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7DA" w:rsidRPr="00C629D5" w:rsidRDefault="00AF17DA" w:rsidP="00C629D5">
      <w:pPr>
        <w:pStyle w:val="NormalWeb"/>
        <w:spacing w:before="120" w:beforeAutospacing="0" w:after="120" w:afterAutospacing="0"/>
        <w:jc w:val="both"/>
        <w:rPr>
          <w:rStyle w:val="Strong"/>
          <w:color w:val="000000" w:themeColor="text1"/>
          <w:sz w:val="22"/>
          <w:szCs w:val="22"/>
          <w:u w:val="single"/>
        </w:rPr>
      </w:pPr>
      <w:proofErr w:type="spellStart"/>
      <w:r w:rsidRPr="00C629D5">
        <w:rPr>
          <w:rStyle w:val="Strong"/>
          <w:color w:val="000000" w:themeColor="text1"/>
          <w:sz w:val="22"/>
          <w:szCs w:val="22"/>
          <w:u w:val="single"/>
        </w:rPr>
        <w:t>JoVe</w:t>
      </w:r>
      <w:proofErr w:type="spellEnd"/>
      <w:r w:rsidRPr="00C629D5">
        <w:rPr>
          <w:rStyle w:val="Strong"/>
          <w:color w:val="000000" w:themeColor="text1"/>
          <w:sz w:val="22"/>
          <w:szCs w:val="22"/>
          <w:u w:val="single"/>
        </w:rPr>
        <w:t xml:space="preserve"> Rebuttal</w:t>
      </w:r>
    </w:p>
    <w:p w:rsidR="00C629D5" w:rsidRDefault="00AF17DA" w:rsidP="00C629D5">
      <w:pPr>
        <w:pStyle w:val="NormalWeb"/>
        <w:spacing w:before="120" w:beforeAutospacing="0" w:after="120" w:afterAutospacing="0"/>
        <w:jc w:val="both"/>
        <w:rPr>
          <w:rStyle w:val="Strong"/>
          <w:color w:val="FF0000"/>
          <w:sz w:val="22"/>
          <w:szCs w:val="22"/>
          <w:u w:val="single"/>
        </w:rPr>
      </w:pPr>
      <w:r w:rsidRPr="00C629D5">
        <w:rPr>
          <w:rStyle w:val="Strong"/>
          <w:color w:val="FF0000"/>
          <w:sz w:val="22"/>
          <w:szCs w:val="22"/>
          <w:u w:val="single"/>
        </w:rPr>
        <w:t>Editorial comments:</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Changes to be made by the Author(s):</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1. Please take this opportunity to thoroughly proofread the manuscript to ensure that there are no spelling or grammar issues. Please define all abbreviations at first use.</w:t>
      </w:r>
    </w:p>
    <w:p w:rsidR="00C629D5"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Thank you. We have gone through the manuscript stringently to ensure that all grammatical errors are fixed, and abbreviations are defined at first use.</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2.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C629D5" w:rsidRPr="00C629D5" w:rsidRDefault="00C629D5" w:rsidP="00C629D5">
      <w:pPr>
        <w:pStyle w:val="NormalWeb"/>
        <w:spacing w:before="120" w:beforeAutospacing="0" w:after="120" w:afterAutospacing="0"/>
        <w:jc w:val="both"/>
        <w:rPr>
          <w:sz w:val="22"/>
          <w:szCs w:val="22"/>
        </w:rPr>
      </w:pPr>
      <w:r w:rsidRPr="00C629D5">
        <w:rPr>
          <w:color w:val="FF0000"/>
          <w:sz w:val="22"/>
          <w:szCs w:val="22"/>
        </w:rPr>
        <w:t>We have now included more details in our methods section as suggested by the editor.</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3. 1.3: As you have emphasized the delicate nature of the retina, please specify whether any surgical instrument is preferable for making these cuts and whether any particular care should be taken while making the cuts.</w:t>
      </w:r>
    </w:p>
    <w:p w:rsidR="00C629D5"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 xml:space="preserve">Details of the trephine, scissors and forceps used have now been included in the ‘Table of Materials’ </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4. Please remove the embedded Table from the manuscript. All tables should be uploaded separately to your Editorial Manager account in the form of an .</w:t>
      </w:r>
      <w:proofErr w:type="spellStart"/>
      <w:r w:rsidRPr="00C629D5">
        <w:rPr>
          <w:sz w:val="22"/>
          <w:szCs w:val="22"/>
        </w:rPr>
        <w:t>xls</w:t>
      </w:r>
      <w:proofErr w:type="spellEnd"/>
      <w:r w:rsidRPr="00C629D5">
        <w:rPr>
          <w:sz w:val="22"/>
          <w:szCs w:val="22"/>
        </w:rPr>
        <w:t xml:space="preserve"> or .xlsx file. The title and a description of the table should appear after the Representative Results of the manuscript text. Please change the title from “Tables of Equipment” to “Table of Materials”.</w:t>
      </w:r>
    </w:p>
    <w:p w:rsidR="00C629D5"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Thank you. This has now been changed accordingly.</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5. Please capitalize the first letters of all words in the journal names in the reference list.</w:t>
      </w:r>
    </w:p>
    <w:p w:rsidR="00C629D5"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Thank you. This has now been changed accordingly.</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6. Please add scale bars to legends for all micrographs.</w:t>
      </w:r>
    </w:p>
    <w:p w:rsidR="00C629D5"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Thank you. This has now been changed accordingly.</w:t>
      </w:r>
    </w:p>
    <w:p w:rsidR="00C629D5" w:rsidRPr="00C629D5" w:rsidRDefault="00AF17DA" w:rsidP="00C629D5">
      <w:pPr>
        <w:pStyle w:val="NormalWeb"/>
        <w:spacing w:before="120" w:beforeAutospacing="0" w:after="120" w:afterAutospacing="0"/>
        <w:jc w:val="both"/>
        <w:rPr>
          <w:color w:val="FF0000"/>
          <w:sz w:val="22"/>
          <w:szCs w:val="22"/>
        </w:rPr>
      </w:pPr>
      <w:r w:rsidRPr="00C629D5">
        <w:rPr>
          <w:sz w:val="22"/>
          <w:szCs w:val="22"/>
        </w:rPr>
        <w:t>7. Please combine your Table of equipment and Table of materials into one Table of materials and sort everything alphabetically.</w:t>
      </w:r>
      <w:r w:rsidRPr="00C629D5">
        <w:rPr>
          <w:sz w:val="22"/>
          <w:szCs w:val="22"/>
        </w:rPr>
        <w:br/>
      </w:r>
      <w:r w:rsidR="00C629D5" w:rsidRPr="00C629D5">
        <w:rPr>
          <w:color w:val="FF0000"/>
          <w:sz w:val="22"/>
          <w:szCs w:val="22"/>
        </w:rPr>
        <w:t>Thank you. We have combined the two tables as suggested by the editor.</w:t>
      </w:r>
    </w:p>
    <w:p w:rsidR="00C629D5" w:rsidRDefault="00C629D5" w:rsidP="00C629D5">
      <w:pPr>
        <w:pStyle w:val="NormalWeb"/>
        <w:spacing w:before="120" w:beforeAutospacing="0" w:after="120" w:afterAutospacing="0"/>
        <w:jc w:val="both"/>
        <w:rPr>
          <w:rStyle w:val="Strong"/>
          <w:color w:val="0000FF"/>
          <w:sz w:val="22"/>
          <w:szCs w:val="22"/>
          <w:u w:val="single"/>
        </w:rPr>
      </w:pPr>
    </w:p>
    <w:p w:rsidR="00AF17DA" w:rsidRPr="00C629D5" w:rsidRDefault="00AF17DA" w:rsidP="00C629D5">
      <w:pPr>
        <w:pStyle w:val="NormalWeb"/>
        <w:spacing w:before="120" w:beforeAutospacing="0" w:after="120" w:afterAutospacing="0"/>
        <w:jc w:val="both"/>
        <w:rPr>
          <w:rStyle w:val="Strong"/>
          <w:color w:val="0000FF"/>
          <w:sz w:val="22"/>
          <w:szCs w:val="22"/>
          <w:u w:val="single"/>
        </w:rPr>
      </w:pPr>
      <w:r w:rsidRPr="00C629D5">
        <w:rPr>
          <w:rStyle w:val="Strong"/>
          <w:color w:val="0000FF"/>
          <w:sz w:val="22"/>
          <w:szCs w:val="22"/>
          <w:u w:val="single"/>
        </w:rPr>
        <w:t>Reviewers' comments:</w:t>
      </w:r>
    </w:p>
    <w:p w:rsidR="00C629D5" w:rsidRDefault="00AF17DA" w:rsidP="00C629D5">
      <w:pPr>
        <w:pStyle w:val="NormalWeb"/>
        <w:spacing w:before="120" w:beforeAutospacing="0" w:after="120" w:afterAutospacing="0"/>
        <w:jc w:val="both"/>
        <w:rPr>
          <w:b/>
          <w:bCs/>
          <w:sz w:val="22"/>
          <w:szCs w:val="22"/>
        </w:rPr>
      </w:pPr>
      <w:r w:rsidRPr="00C629D5">
        <w:rPr>
          <w:sz w:val="22"/>
          <w:szCs w:val="22"/>
        </w:rPr>
        <w:br/>
      </w:r>
      <w:r w:rsidRPr="00C629D5">
        <w:rPr>
          <w:b/>
          <w:bCs/>
          <w:sz w:val="22"/>
          <w:szCs w:val="22"/>
        </w:rPr>
        <w:t>Reviewer #1:</w:t>
      </w:r>
    </w:p>
    <w:p w:rsidR="00C629D5" w:rsidRDefault="00AF17DA" w:rsidP="00C629D5">
      <w:pPr>
        <w:pStyle w:val="NormalWeb"/>
        <w:spacing w:before="120" w:beforeAutospacing="0" w:after="120" w:afterAutospacing="0"/>
        <w:jc w:val="both"/>
        <w:rPr>
          <w:sz w:val="22"/>
          <w:szCs w:val="22"/>
        </w:rPr>
      </w:pPr>
      <w:r w:rsidRPr="00C629D5">
        <w:rPr>
          <w:b/>
          <w:bCs/>
          <w:sz w:val="22"/>
          <w:szCs w:val="22"/>
        </w:rPr>
        <w:t xml:space="preserve"> </w:t>
      </w:r>
      <w:r w:rsidRPr="00C629D5">
        <w:rPr>
          <w:sz w:val="22"/>
          <w:szCs w:val="22"/>
        </w:rPr>
        <w:t>Manuscript Summary:</w:t>
      </w:r>
    </w:p>
    <w:p w:rsidR="00C629D5" w:rsidRDefault="00AF17DA" w:rsidP="00C629D5">
      <w:pPr>
        <w:pStyle w:val="NormalWeb"/>
        <w:spacing w:before="120" w:beforeAutospacing="0" w:after="120" w:afterAutospacing="0"/>
        <w:jc w:val="both"/>
        <w:rPr>
          <w:sz w:val="22"/>
          <w:szCs w:val="22"/>
        </w:rPr>
      </w:pPr>
      <w:r w:rsidRPr="00C629D5">
        <w:rPr>
          <w:sz w:val="22"/>
          <w:szCs w:val="22"/>
        </w:rPr>
        <w:t>Organotypic cultures of human retinal tissue usually use isolated retinas and do not include the retinal pigment epithelium (RPE) or choroid. The RPE and choroid are crucial in maintaining a healthy retina and thus developing a method which includes RPE and choroid is an important goal. The study provides a step by step protocol accompanied by useful illustrations. I suggest the following improvements.</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Major Concerns:</w:t>
      </w:r>
    </w:p>
    <w:p w:rsidR="00AF17DA" w:rsidRDefault="00AF17DA" w:rsidP="00C629D5">
      <w:pPr>
        <w:pStyle w:val="NormalWeb"/>
        <w:numPr>
          <w:ilvl w:val="0"/>
          <w:numId w:val="11"/>
        </w:numPr>
        <w:spacing w:before="120" w:beforeAutospacing="0" w:after="120" w:afterAutospacing="0"/>
        <w:jc w:val="both"/>
        <w:rPr>
          <w:sz w:val="22"/>
          <w:szCs w:val="22"/>
        </w:rPr>
      </w:pPr>
      <w:r w:rsidRPr="00C629D5">
        <w:rPr>
          <w:sz w:val="22"/>
          <w:szCs w:val="22"/>
        </w:rPr>
        <w:t>The authors state that the tissues must be processed within 48h after death but no further details about the donor tissue are provided. More information is needed: such as what is the time delay between death and enucleation, how are the eyes being kept before the samples are taken and how does the time delay affect the quality of the tissue.</w:t>
      </w:r>
    </w:p>
    <w:p w:rsid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Thank you for your helpful suggestion. We have now included the donor information in a table under the methods section.</w:t>
      </w:r>
      <w:r>
        <w:rPr>
          <w:color w:val="FF0000"/>
          <w:sz w:val="22"/>
          <w:szCs w:val="22"/>
        </w:rPr>
        <w:t xml:space="preserve"> Please note that the donor used for the images in Fig. 1 was the only one collected over 48</w:t>
      </w:r>
      <w:r w:rsidR="00441D74">
        <w:rPr>
          <w:color w:val="FF0000"/>
          <w:sz w:val="22"/>
          <w:szCs w:val="22"/>
        </w:rPr>
        <w:t xml:space="preserve"> </w:t>
      </w:r>
      <w:r>
        <w:rPr>
          <w:color w:val="FF0000"/>
          <w:sz w:val="22"/>
          <w:szCs w:val="22"/>
        </w:rPr>
        <w:t>h as the globes were only used for showing the protocol but were not cultured. For culturing, donor eyes were always used within 24 h post-mortem. Previous studies using human donor explants have shown that there is no difference in tissue survival in HORCs cultured within 24 h post-mortem</w:t>
      </w:r>
      <w:r w:rsidR="003010DE">
        <w:rPr>
          <w:color w:val="FF0000"/>
          <w:sz w:val="22"/>
          <w:szCs w:val="22"/>
        </w:rPr>
        <w:t xml:space="preserve"> (</w:t>
      </w:r>
      <w:r w:rsidR="003010DE" w:rsidRPr="00C629D5">
        <w:rPr>
          <w:color w:val="FF0000"/>
          <w:sz w:val="22"/>
          <w:szCs w:val="22"/>
        </w:rPr>
        <w:t>PMID: 26432917</w:t>
      </w:r>
      <w:r w:rsidR="003010DE">
        <w:rPr>
          <w:color w:val="FF0000"/>
          <w:sz w:val="22"/>
          <w:szCs w:val="22"/>
        </w:rPr>
        <w:t>)</w:t>
      </w:r>
      <w:r>
        <w:rPr>
          <w:color w:val="FF0000"/>
          <w:sz w:val="22"/>
          <w:szCs w:val="22"/>
        </w:rPr>
        <w:t>. We have included the following sentences to clarify this within the manuscript:</w:t>
      </w:r>
    </w:p>
    <w:p w:rsidR="00C629D5" w:rsidRPr="00C629D5" w:rsidRDefault="00C629D5" w:rsidP="00C629D5">
      <w:pPr>
        <w:pStyle w:val="NormalWeb"/>
        <w:spacing w:before="120" w:beforeAutospacing="0" w:after="120" w:afterAutospacing="0"/>
        <w:jc w:val="both"/>
        <w:rPr>
          <w:color w:val="0070C0"/>
          <w:sz w:val="22"/>
          <w:szCs w:val="22"/>
        </w:rPr>
      </w:pPr>
      <w:r w:rsidRPr="00C629D5">
        <w:rPr>
          <w:color w:val="0070C0"/>
        </w:rPr>
        <w:lastRenderedPageBreak/>
        <w:t>The tissues must be cultured within 24 h post-mortem to avoid significant retinal integrity loss.</w:t>
      </w:r>
    </w:p>
    <w:p w:rsidR="00AF17DA" w:rsidRPr="00C629D5" w:rsidRDefault="00AF17DA" w:rsidP="00C629D5">
      <w:pPr>
        <w:pStyle w:val="NormalWeb"/>
        <w:spacing w:before="120" w:beforeAutospacing="0" w:after="120" w:afterAutospacing="0"/>
        <w:jc w:val="both"/>
        <w:rPr>
          <w:color w:val="FF0000"/>
          <w:sz w:val="22"/>
          <w:szCs w:val="22"/>
        </w:rPr>
      </w:pPr>
      <w:r w:rsidRPr="00C629D5">
        <w:rPr>
          <w:sz w:val="22"/>
          <w:szCs w:val="22"/>
        </w:rPr>
        <w:br/>
      </w:r>
      <w:r w:rsidR="00C629D5">
        <w:rPr>
          <w:sz w:val="22"/>
          <w:szCs w:val="22"/>
        </w:rPr>
        <w:t xml:space="preserve">2. </w:t>
      </w:r>
      <w:r w:rsidRPr="00C629D5">
        <w:rPr>
          <w:sz w:val="22"/>
          <w:szCs w:val="22"/>
        </w:rPr>
        <w:t>Figure 2 is very informative but the all-important step, i.e. how the incision of the eyecup in order to flatten it is made, is not shown or explained.</w:t>
      </w:r>
    </w:p>
    <w:p w:rsidR="00687597"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We agree with the reviewer that the incision part is a very important part of the protocol. As a result, we have included images of the incision process as suggested by the reviewer. Nonetheless, we w</w:t>
      </w:r>
      <w:r w:rsidR="00441D74">
        <w:rPr>
          <w:color w:val="FF0000"/>
          <w:sz w:val="22"/>
          <w:szCs w:val="22"/>
        </w:rPr>
        <w:t>ould</w:t>
      </w:r>
      <w:r w:rsidRPr="00C629D5">
        <w:rPr>
          <w:color w:val="FF0000"/>
          <w:sz w:val="22"/>
          <w:szCs w:val="22"/>
        </w:rPr>
        <w:t xml:space="preserve"> like to note that while the photo shows some indication of how the incision was conducted, </w:t>
      </w:r>
      <w:r w:rsidR="00441D74">
        <w:rPr>
          <w:color w:val="FF0000"/>
          <w:sz w:val="22"/>
          <w:szCs w:val="22"/>
        </w:rPr>
        <w:t>the</w:t>
      </w:r>
      <w:r w:rsidRPr="00C629D5">
        <w:rPr>
          <w:color w:val="FF0000"/>
          <w:sz w:val="22"/>
          <w:szCs w:val="22"/>
        </w:rPr>
        <w:t xml:space="preserve"> video will provide the level of detail </w:t>
      </w:r>
      <w:r w:rsidR="00441D74">
        <w:rPr>
          <w:color w:val="FF0000"/>
          <w:sz w:val="22"/>
          <w:szCs w:val="22"/>
        </w:rPr>
        <w:t>and</w:t>
      </w:r>
      <w:r w:rsidR="00441D74" w:rsidRPr="00C629D5">
        <w:rPr>
          <w:color w:val="FF0000"/>
          <w:sz w:val="22"/>
          <w:szCs w:val="22"/>
        </w:rPr>
        <w:t xml:space="preserve"> </w:t>
      </w:r>
      <w:r w:rsidRPr="00C629D5">
        <w:rPr>
          <w:color w:val="FF0000"/>
          <w:sz w:val="22"/>
          <w:szCs w:val="22"/>
        </w:rPr>
        <w:t>explanation required to replicate the process. We have also updated the figure legend for Fig. 2 as shown below:</w:t>
      </w:r>
    </w:p>
    <w:p w:rsidR="00764934" w:rsidRPr="00764934" w:rsidRDefault="00764934" w:rsidP="00C629D5">
      <w:pPr>
        <w:pStyle w:val="NormalWeb"/>
        <w:spacing w:before="120" w:beforeAutospacing="0" w:after="120" w:afterAutospacing="0"/>
        <w:jc w:val="both"/>
        <w:rPr>
          <w:bCs/>
          <w:color w:val="0070C0"/>
          <w:sz w:val="22"/>
          <w:szCs w:val="22"/>
          <w:lang w:eastAsia="en-US"/>
        </w:rPr>
      </w:pPr>
      <w:r w:rsidRPr="00764934">
        <w:rPr>
          <w:bCs/>
          <w:color w:val="0070C0"/>
          <w:sz w:val="22"/>
          <w:szCs w:val="22"/>
          <w:lang w:eastAsia="en-US"/>
        </w:rPr>
        <w:t>Fig.2: Images showing the procedure for collecting the sandwich retinal explants. For explant preparation, use dissecting scissors with one sharp tip and one blunt end, with the blunt end facing the inside of the globe to reduce tissue damage during incision. Also use forceps with blunt ends to avoid scratching to the intraocular tissues during handling. Using surgical scissors, with the blunt end facing the inside, cut along the limbus to remove the iris and lens (A-C). The ONH can be located if looking straight into the opened eyecup (D). Using forceps with blunt tips, hold the sclera to stabilize the globe (E). Divide the globe vertically into two halves by making two deep incisions towards the ONH but do not cut through the ONH. Repeat this along the horizontal meridian (G). Apply blunt forceps at the sclera and gently open the globe to a clover shape (H-K). Use forceps to carefully manipulate the vitreous to smoothen the folded retina, as the vitreous tugs onto the retina, but do not touch the retina directly (I). Remove the vitreous if it is causing retinal detachment or folding (not shown in Fig.2 as the transparent vitreous is not well captured on photos). Locate areas where the retina is flat and extract retinal explants using a surgical trephine (L). Applying forceps at the sclera, carefully transfer the retinal explants into the pre-prepared culture medium (</w:t>
      </w:r>
      <w:proofErr w:type="gramStart"/>
      <w:r w:rsidRPr="00764934">
        <w:rPr>
          <w:bCs/>
          <w:color w:val="0070C0"/>
          <w:sz w:val="22"/>
          <w:szCs w:val="22"/>
          <w:lang w:eastAsia="en-US"/>
        </w:rPr>
        <w:t>M,N</w:t>
      </w:r>
      <w:proofErr w:type="gramEnd"/>
      <w:r w:rsidRPr="00764934">
        <w:rPr>
          <w:bCs/>
          <w:color w:val="0070C0"/>
          <w:sz w:val="22"/>
          <w:szCs w:val="22"/>
          <w:lang w:eastAsia="en-US"/>
        </w:rPr>
        <w:t>). The entire sandwich explant should sink to the bottom of the well due to its weight, therefore each explant is submersed in the medium (O).</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3. Table 1 is missing.</w:t>
      </w:r>
    </w:p>
    <w:p w:rsidR="00937954" w:rsidRPr="00C629D5" w:rsidRDefault="00C629D5" w:rsidP="00C629D5">
      <w:pPr>
        <w:pStyle w:val="NormalWeb"/>
        <w:spacing w:before="120" w:beforeAutospacing="0" w:after="120" w:afterAutospacing="0"/>
        <w:jc w:val="both"/>
        <w:rPr>
          <w:color w:val="FF0000"/>
          <w:sz w:val="22"/>
          <w:szCs w:val="22"/>
        </w:rPr>
      </w:pPr>
      <w:r>
        <w:rPr>
          <w:color w:val="FF0000"/>
          <w:sz w:val="22"/>
          <w:szCs w:val="22"/>
        </w:rPr>
        <w:t xml:space="preserve">Apologies for the confusion. Table 1 is the ‘Table of Materials’ that </w:t>
      </w:r>
      <w:r w:rsidR="003010DE">
        <w:rPr>
          <w:color w:val="FF0000"/>
          <w:sz w:val="22"/>
          <w:szCs w:val="22"/>
        </w:rPr>
        <w:t>was</w:t>
      </w:r>
      <w:r>
        <w:rPr>
          <w:color w:val="FF0000"/>
          <w:sz w:val="22"/>
          <w:szCs w:val="22"/>
        </w:rPr>
        <w:t xml:space="preserve"> </w:t>
      </w:r>
      <w:r w:rsidR="00F70969">
        <w:rPr>
          <w:color w:val="FF0000"/>
          <w:sz w:val="22"/>
          <w:szCs w:val="22"/>
        </w:rPr>
        <w:t>mistakenly</w:t>
      </w:r>
      <w:r>
        <w:rPr>
          <w:color w:val="FF0000"/>
          <w:sz w:val="22"/>
          <w:szCs w:val="22"/>
        </w:rPr>
        <w:t xml:space="preserve"> placed at the end of the manuscript. We have now combined it with the instruments table and provided it as a separate file as required.</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4. Table 2 lacks information on the dissection instruments, e.g. scissors, forceps etc.</w:t>
      </w:r>
    </w:p>
    <w:p w:rsidR="00C629D5" w:rsidRDefault="00C629D5" w:rsidP="00C629D5">
      <w:pPr>
        <w:pStyle w:val="NormalWeb"/>
        <w:spacing w:before="120" w:beforeAutospacing="0" w:after="120" w:afterAutospacing="0"/>
        <w:jc w:val="both"/>
        <w:rPr>
          <w:color w:val="FF0000"/>
          <w:sz w:val="22"/>
          <w:szCs w:val="22"/>
        </w:rPr>
      </w:pPr>
      <w:r>
        <w:rPr>
          <w:color w:val="FF0000"/>
          <w:sz w:val="22"/>
          <w:szCs w:val="22"/>
        </w:rPr>
        <w:t xml:space="preserve">Thank you for your observation. We have now included details on the </w:t>
      </w:r>
      <w:r w:rsidR="00A41314" w:rsidRPr="00C629D5">
        <w:rPr>
          <w:color w:val="FF0000"/>
          <w:sz w:val="22"/>
          <w:szCs w:val="22"/>
        </w:rPr>
        <w:t xml:space="preserve">forceps and scissors used </w:t>
      </w:r>
      <w:r>
        <w:rPr>
          <w:color w:val="FF0000"/>
          <w:sz w:val="22"/>
          <w:szCs w:val="22"/>
        </w:rPr>
        <w:t>in the</w:t>
      </w:r>
      <w:r w:rsidR="00A41314" w:rsidRPr="00C629D5">
        <w:rPr>
          <w:color w:val="FF0000"/>
          <w:sz w:val="22"/>
          <w:szCs w:val="22"/>
        </w:rPr>
        <w:t xml:space="preserve"> Table of Materials.</w:t>
      </w:r>
      <w:r w:rsidR="001F7C3B" w:rsidRPr="00C629D5">
        <w:rPr>
          <w:color w:val="FF0000"/>
          <w:sz w:val="22"/>
          <w:szCs w:val="22"/>
        </w:rPr>
        <w:t xml:space="preserve"> They are also emphasised in the legend of Figure 2</w:t>
      </w:r>
      <w:r>
        <w:rPr>
          <w:color w:val="FF0000"/>
          <w:sz w:val="22"/>
          <w:szCs w:val="22"/>
        </w:rPr>
        <w:t xml:space="preserve"> as shown in our response to your question 2 above.</w:t>
      </w:r>
    </w:p>
    <w:p w:rsidR="00AF17DA" w:rsidRDefault="00AF17DA" w:rsidP="00C629D5">
      <w:pPr>
        <w:pStyle w:val="NormalWeb"/>
        <w:spacing w:before="120" w:beforeAutospacing="0" w:after="120" w:afterAutospacing="0"/>
        <w:jc w:val="both"/>
        <w:rPr>
          <w:sz w:val="22"/>
          <w:szCs w:val="22"/>
        </w:rPr>
      </w:pPr>
      <w:r w:rsidRPr="00C629D5">
        <w:rPr>
          <w:sz w:val="22"/>
          <w:szCs w:val="22"/>
        </w:rPr>
        <w:t>5. Please explain why only peripheral retina is being used.</w:t>
      </w:r>
    </w:p>
    <w:p w:rsidR="00C629D5"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 xml:space="preserve">Previous studies </w:t>
      </w:r>
      <w:r>
        <w:rPr>
          <w:color w:val="FF0000"/>
          <w:sz w:val="22"/>
          <w:szCs w:val="22"/>
        </w:rPr>
        <w:t>(</w:t>
      </w:r>
      <w:r w:rsidRPr="00C629D5">
        <w:rPr>
          <w:color w:val="FF0000"/>
          <w:sz w:val="22"/>
          <w:szCs w:val="22"/>
        </w:rPr>
        <w:t>PMID: 21413409</w:t>
      </w:r>
      <w:r>
        <w:rPr>
          <w:color w:val="FF0000"/>
          <w:sz w:val="22"/>
          <w:szCs w:val="22"/>
        </w:rPr>
        <w:t xml:space="preserve">) </w:t>
      </w:r>
      <w:r w:rsidRPr="00C629D5">
        <w:rPr>
          <w:color w:val="FF0000"/>
          <w:sz w:val="22"/>
          <w:szCs w:val="22"/>
        </w:rPr>
        <w:t xml:space="preserve">have shown that there is a significant difference in the density of rod photoreceptors </w:t>
      </w:r>
      <w:r w:rsidR="003010DE">
        <w:rPr>
          <w:color w:val="FF0000"/>
          <w:sz w:val="22"/>
          <w:szCs w:val="22"/>
        </w:rPr>
        <w:t>(R</w:t>
      </w:r>
      <w:r w:rsidRPr="00C629D5">
        <w:rPr>
          <w:color w:val="FF0000"/>
          <w:sz w:val="22"/>
          <w:szCs w:val="22"/>
        </w:rPr>
        <w:t>esponse figure 1</w:t>
      </w:r>
      <w:r w:rsidR="003010DE">
        <w:rPr>
          <w:color w:val="FF0000"/>
          <w:sz w:val="22"/>
          <w:szCs w:val="22"/>
        </w:rPr>
        <w:t>)</w:t>
      </w:r>
      <w:r w:rsidRPr="00C629D5">
        <w:rPr>
          <w:color w:val="FF0000"/>
          <w:sz w:val="22"/>
          <w:szCs w:val="22"/>
        </w:rPr>
        <w:t>. In our protocol, we used the peripheral retina as it allows the thickness and distribution of retinal cells to be more uniformly extracted, compared to the para-macular region and the fovea, where rod cells and cones cells peak, respectively</w:t>
      </w:r>
      <w:r>
        <w:rPr>
          <w:color w:val="FF0000"/>
          <w:sz w:val="22"/>
          <w:szCs w:val="22"/>
        </w:rPr>
        <w:t>.</w:t>
      </w:r>
    </w:p>
    <w:p w:rsidR="00A70A61" w:rsidRPr="00C629D5" w:rsidRDefault="00A70A61" w:rsidP="003010DE">
      <w:pPr>
        <w:pStyle w:val="NormalWeb"/>
        <w:spacing w:before="120" w:beforeAutospacing="0" w:after="120" w:afterAutospacing="0"/>
        <w:jc w:val="center"/>
        <w:rPr>
          <w:sz w:val="22"/>
          <w:szCs w:val="22"/>
        </w:rPr>
      </w:pPr>
      <w:r w:rsidRPr="00C629D5">
        <w:rPr>
          <w:noProof/>
          <w:sz w:val="22"/>
          <w:szCs w:val="22"/>
        </w:rPr>
        <w:drawing>
          <wp:inline distT="0" distB="0" distL="0" distR="0" wp14:anchorId="5A28D054" wp14:editId="79B67242">
            <wp:extent cx="3496985" cy="2104942"/>
            <wp:effectExtent l="0" t="0" r="8255" b="0"/>
            <wp:docPr id="5" name="Picture 5" descr="Figure 5. Graph to show rod and cone densities along the horizontal meri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5. Graph to show rod and cone densities along the horizontal meridi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2486" cy="2120292"/>
                    </a:xfrm>
                    <a:prstGeom prst="rect">
                      <a:avLst/>
                    </a:prstGeom>
                    <a:noFill/>
                    <a:ln>
                      <a:noFill/>
                    </a:ln>
                  </pic:spPr>
                </pic:pic>
              </a:graphicData>
            </a:graphic>
          </wp:inline>
        </w:drawing>
      </w:r>
    </w:p>
    <w:p w:rsidR="00721A70" w:rsidRPr="00AB17DA" w:rsidRDefault="00C629D5" w:rsidP="00C629D5">
      <w:pPr>
        <w:pStyle w:val="NormalWeb"/>
        <w:spacing w:before="120" w:beforeAutospacing="0" w:after="120" w:afterAutospacing="0"/>
        <w:jc w:val="both"/>
        <w:rPr>
          <w:sz w:val="22"/>
          <w:szCs w:val="22"/>
        </w:rPr>
      </w:pPr>
      <w:r>
        <w:rPr>
          <w:color w:val="FF0000"/>
          <w:sz w:val="22"/>
          <w:szCs w:val="22"/>
        </w:rPr>
        <w:t xml:space="preserve">Response figure 1: </w:t>
      </w:r>
      <w:r w:rsidR="007B4F2C">
        <w:rPr>
          <w:color w:val="FF0000"/>
          <w:sz w:val="22"/>
          <w:szCs w:val="22"/>
        </w:rPr>
        <w:t xml:space="preserve">Graph showing the densities of rod and cone photoreceptors along the horizontal meridian. </w:t>
      </w:r>
      <w:r w:rsidR="00AB17DA">
        <w:rPr>
          <w:color w:val="FF0000"/>
          <w:sz w:val="22"/>
          <w:szCs w:val="22"/>
        </w:rPr>
        <w:t>C</w:t>
      </w:r>
      <w:r w:rsidR="00B42362">
        <w:rPr>
          <w:color w:val="FF0000"/>
          <w:sz w:val="22"/>
          <w:szCs w:val="22"/>
        </w:rPr>
        <w:t>one cells peak at the fovea</w:t>
      </w:r>
      <w:r w:rsidR="00AB17DA">
        <w:rPr>
          <w:color w:val="FF0000"/>
          <w:sz w:val="22"/>
          <w:szCs w:val="22"/>
        </w:rPr>
        <w:t xml:space="preserve"> at a mean density of 161,900</w:t>
      </w:r>
      <w:r w:rsidR="00AB17DA" w:rsidRPr="00AB17DA">
        <w:rPr>
          <w:color w:val="FF0000"/>
          <w:sz w:val="22"/>
          <w:szCs w:val="22"/>
        </w:rPr>
        <w:t xml:space="preserve"> </w:t>
      </w:r>
      <w:r w:rsidR="00AB17DA">
        <w:rPr>
          <w:color w:val="FF0000"/>
          <w:sz w:val="22"/>
          <w:szCs w:val="22"/>
        </w:rPr>
        <w:t>cones/mm</w:t>
      </w:r>
      <w:r w:rsidR="00AB17DA">
        <w:rPr>
          <w:color w:val="FF0000"/>
          <w:sz w:val="22"/>
          <w:szCs w:val="22"/>
          <w:vertAlign w:val="superscript"/>
        </w:rPr>
        <w:t>2</w:t>
      </w:r>
      <w:r w:rsidR="00B42362">
        <w:rPr>
          <w:color w:val="FF0000"/>
          <w:sz w:val="22"/>
          <w:szCs w:val="22"/>
        </w:rPr>
        <w:t xml:space="preserve">, decrease </w:t>
      </w:r>
      <w:r w:rsidR="00AB17DA">
        <w:rPr>
          <w:color w:val="FF0000"/>
          <w:sz w:val="22"/>
          <w:szCs w:val="22"/>
        </w:rPr>
        <w:t xml:space="preserve">in density </w:t>
      </w:r>
      <w:r w:rsidR="00B42362">
        <w:rPr>
          <w:color w:val="FF0000"/>
          <w:sz w:val="22"/>
          <w:szCs w:val="22"/>
        </w:rPr>
        <w:t>significantly outside the fovea and plateaus at approximately 10</w:t>
      </w:r>
      <w:r w:rsidR="00AB17DA">
        <w:rPr>
          <w:color w:val="FF0000"/>
          <w:sz w:val="22"/>
          <w:szCs w:val="22"/>
        </w:rPr>
        <w:sym w:font="Symbol" w:char="F0B0"/>
      </w:r>
      <w:r w:rsidR="00AB17DA">
        <w:rPr>
          <w:color w:val="FF0000"/>
          <w:sz w:val="22"/>
          <w:szCs w:val="22"/>
        </w:rPr>
        <w:t xml:space="preserve"> </w:t>
      </w:r>
      <w:r w:rsidR="00B42362">
        <w:rPr>
          <w:color w:val="FF0000"/>
          <w:sz w:val="22"/>
          <w:szCs w:val="22"/>
        </w:rPr>
        <w:t>away from the fovea. R</w:t>
      </w:r>
      <w:r w:rsidR="007B4F2C">
        <w:rPr>
          <w:color w:val="FF0000"/>
          <w:sz w:val="22"/>
          <w:szCs w:val="22"/>
        </w:rPr>
        <w:t xml:space="preserve">od cells </w:t>
      </w:r>
      <w:r w:rsidR="00AB17DA">
        <w:rPr>
          <w:color w:val="FF0000"/>
          <w:sz w:val="22"/>
          <w:szCs w:val="22"/>
        </w:rPr>
        <w:t xml:space="preserve">are not present in the central 200 µm of the retina and the density of rod cells </w:t>
      </w:r>
      <w:r w:rsidR="007B4F2C">
        <w:rPr>
          <w:color w:val="FF0000"/>
          <w:sz w:val="22"/>
          <w:szCs w:val="22"/>
        </w:rPr>
        <w:t>peak at 18</w:t>
      </w:r>
      <w:r w:rsidR="007B4F2C">
        <w:rPr>
          <w:color w:val="FF0000"/>
          <w:sz w:val="22"/>
          <w:szCs w:val="22"/>
        </w:rPr>
        <w:sym w:font="Symbol" w:char="F0B0"/>
      </w:r>
      <w:r w:rsidR="007B4F2C">
        <w:rPr>
          <w:color w:val="FF0000"/>
          <w:sz w:val="22"/>
          <w:szCs w:val="22"/>
        </w:rPr>
        <w:t xml:space="preserve"> or 5mm</w:t>
      </w:r>
      <w:r w:rsidR="00B42362">
        <w:rPr>
          <w:color w:val="FF0000"/>
          <w:sz w:val="22"/>
          <w:szCs w:val="22"/>
        </w:rPr>
        <w:t xml:space="preserve"> away from the cent</w:t>
      </w:r>
      <w:r w:rsidR="00AB17DA">
        <w:rPr>
          <w:color w:val="FF0000"/>
          <w:sz w:val="22"/>
          <w:szCs w:val="22"/>
        </w:rPr>
        <w:t>re of fovea, as a ring of 160,000 rods/mm</w:t>
      </w:r>
      <w:r w:rsidR="00AB17DA">
        <w:rPr>
          <w:color w:val="FF0000"/>
          <w:sz w:val="22"/>
          <w:szCs w:val="22"/>
          <w:vertAlign w:val="superscript"/>
        </w:rPr>
        <w:t xml:space="preserve">2 </w:t>
      </w:r>
      <w:r w:rsidR="00AB17DA">
        <w:rPr>
          <w:color w:val="FF0000"/>
          <w:sz w:val="22"/>
          <w:szCs w:val="22"/>
        </w:rPr>
        <w:t xml:space="preserve">around the fovea. </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br/>
        <w:t xml:space="preserve">6. The quality of the retina shown in Figure 4B appears to be extremely bad. Did both images come from comparable retinas with respect to the </w:t>
      </w:r>
      <w:proofErr w:type="gramStart"/>
      <w:r w:rsidRPr="00C629D5">
        <w:rPr>
          <w:sz w:val="22"/>
          <w:szCs w:val="22"/>
        </w:rPr>
        <w:t>post mortem</w:t>
      </w:r>
      <w:proofErr w:type="gramEnd"/>
      <w:r w:rsidRPr="00C629D5">
        <w:rPr>
          <w:sz w:val="22"/>
          <w:szCs w:val="22"/>
        </w:rPr>
        <w:t xml:space="preserve"> fixation delay, donor age? A more quantitative comparison of the two treatment options should be provided. How does the quality of the explants vary within one retina? Other authors have obtained satisfactory result with respect to the quality of retina after culturing without RPE (e.g. Fernandez-Bueno et al. 2012, </w:t>
      </w:r>
      <w:r w:rsidRPr="00C629D5">
        <w:rPr>
          <w:sz w:val="22"/>
          <w:szCs w:val="22"/>
        </w:rPr>
        <w:lastRenderedPageBreak/>
        <w:t xml:space="preserve">Exp. </w:t>
      </w:r>
      <w:r w:rsidRPr="00441D74">
        <w:rPr>
          <w:sz w:val="22"/>
          <w:szCs w:val="22"/>
        </w:rPr>
        <w:t xml:space="preserve">Eye Res., </w:t>
      </w:r>
      <w:proofErr w:type="spellStart"/>
      <w:r w:rsidRPr="00441D74">
        <w:rPr>
          <w:sz w:val="22"/>
          <w:szCs w:val="22"/>
        </w:rPr>
        <w:t>Niyadurupola</w:t>
      </w:r>
      <w:proofErr w:type="spellEnd"/>
      <w:r w:rsidRPr="00441D74">
        <w:rPr>
          <w:sz w:val="22"/>
          <w:szCs w:val="22"/>
        </w:rPr>
        <w:t xml:space="preserve"> et al. 2010, BJO; </w:t>
      </w:r>
      <w:proofErr w:type="spellStart"/>
      <w:r w:rsidRPr="00441D74">
        <w:rPr>
          <w:sz w:val="22"/>
          <w:szCs w:val="22"/>
        </w:rPr>
        <w:t>Masri</w:t>
      </w:r>
      <w:proofErr w:type="spellEnd"/>
      <w:r w:rsidRPr="00441D74">
        <w:rPr>
          <w:sz w:val="22"/>
          <w:szCs w:val="22"/>
        </w:rPr>
        <w:t xml:space="preserve"> et al., 2019, TVST). </w:t>
      </w:r>
      <w:r w:rsidRPr="00C629D5">
        <w:rPr>
          <w:sz w:val="22"/>
          <w:szCs w:val="22"/>
        </w:rPr>
        <w:t>These papers are cited but the fact that these authors achieved comparable tissue preservation to that shown in Fig. 4A is not discussed.</w:t>
      </w:r>
    </w:p>
    <w:p w:rsidR="00A45F31" w:rsidRPr="00C629D5" w:rsidRDefault="00BF0AA2" w:rsidP="00C629D5">
      <w:pPr>
        <w:pStyle w:val="NormalWeb"/>
        <w:spacing w:before="120" w:beforeAutospacing="0" w:after="120" w:afterAutospacing="0"/>
        <w:jc w:val="both"/>
        <w:rPr>
          <w:color w:val="FF0000"/>
          <w:sz w:val="22"/>
          <w:szCs w:val="22"/>
        </w:rPr>
      </w:pPr>
      <w:r w:rsidRPr="00C629D5">
        <w:rPr>
          <w:color w:val="FF0000"/>
          <w:sz w:val="22"/>
          <w:szCs w:val="22"/>
        </w:rPr>
        <w:t xml:space="preserve">Both </w:t>
      </w:r>
      <w:r w:rsidR="00222568" w:rsidRPr="00C629D5">
        <w:rPr>
          <w:color w:val="FF0000"/>
          <w:sz w:val="22"/>
          <w:szCs w:val="22"/>
        </w:rPr>
        <w:t xml:space="preserve">sections </w:t>
      </w:r>
      <w:r w:rsidR="00A45F31" w:rsidRPr="00C629D5">
        <w:rPr>
          <w:color w:val="FF0000"/>
          <w:sz w:val="22"/>
          <w:szCs w:val="22"/>
        </w:rPr>
        <w:t xml:space="preserve">of retina in Figure 4A and 4B </w:t>
      </w:r>
      <w:r w:rsidR="00222568" w:rsidRPr="00C629D5">
        <w:rPr>
          <w:color w:val="FF0000"/>
          <w:sz w:val="22"/>
          <w:szCs w:val="22"/>
        </w:rPr>
        <w:t xml:space="preserve">were </w:t>
      </w:r>
      <w:r w:rsidR="00A45F31" w:rsidRPr="00C629D5">
        <w:rPr>
          <w:color w:val="FF0000"/>
          <w:sz w:val="22"/>
          <w:szCs w:val="22"/>
        </w:rPr>
        <w:t>from the same donor</w:t>
      </w:r>
      <w:r w:rsidR="00C629D5">
        <w:rPr>
          <w:color w:val="FF0000"/>
          <w:sz w:val="22"/>
          <w:szCs w:val="22"/>
        </w:rPr>
        <w:t>, fixed at the same time and utilised the same fixation protocol</w:t>
      </w:r>
      <w:r w:rsidR="00A45F31" w:rsidRPr="00C629D5">
        <w:rPr>
          <w:color w:val="FF0000"/>
          <w:sz w:val="22"/>
          <w:szCs w:val="22"/>
        </w:rPr>
        <w:t xml:space="preserve">. In the process of </w:t>
      </w:r>
      <w:r w:rsidR="00C629D5">
        <w:rPr>
          <w:color w:val="FF0000"/>
          <w:sz w:val="22"/>
          <w:szCs w:val="22"/>
        </w:rPr>
        <w:t>collecting the explants</w:t>
      </w:r>
      <w:r w:rsidR="002874CE" w:rsidRPr="00C629D5">
        <w:rPr>
          <w:color w:val="FF0000"/>
          <w:sz w:val="22"/>
          <w:szCs w:val="22"/>
        </w:rPr>
        <w:t>,</w:t>
      </w:r>
      <w:r w:rsidR="00A45F31" w:rsidRPr="00C629D5">
        <w:rPr>
          <w:color w:val="FF0000"/>
          <w:sz w:val="22"/>
          <w:szCs w:val="22"/>
        </w:rPr>
        <w:t xml:space="preserve"> we </w:t>
      </w:r>
      <w:r w:rsidR="00C629D5">
        <w:rPr>
          <w:color w:val="FF0000"/>
          <w:sz w:val="22"/>
          <w:szCs w:val="22"/>
        </w:rPr>
        <w:t>observed</w:t>
      </w:r>
      <w:r w:rsidR="00A45F31" w:rsidRPr="00C629D5">
        <w:rPr>
          <w:color w:val="FF0000"/>
          <w:sz w:val="22"/>
          <w:szCs w:val="22"/>
        </w:rPr>
        <w:t xml:space="preserve"> that one area of the retina had lifted away from the underlying structures</w:t>
      </w:r>
      <w:r w:rsidR="00441D74">
        <w:rPr>
          <w:color w:val="FF0000"/>
          <w:sz w:val="22"/>
          <w:szCs w:val="22"/>
        </w:rPr>
        <w:t xml:space="preserve"> and was thus unsupported by the sclera/choroid</w:t>
      </w:r>
      <w:r w:rsidR="00A45F31" w:rsidRPr="00C629D5">
        <w:rPr>
          <w:color w:val="FF0000"/>
          <w:sz w:val="22"/>
          <w:szCs w:val="22"/>
        </w:rPr>
        <w:t xml:space="preserve">, and this area was used for imaging Figure 4B. </w:t>
      </w:r>
      <w:r w:rsidR="00C629D5">
        <w:rPr>
          <w:color w:val="FF0000"/>
          <w:sz w:val="22"/>
          <w:szCs w:val="22"/>
        </w:rPr>
        <w:t>Given the poor tissue integrity of the detached retina (Figure 4B) as well as the fact that, as rightly pointed out by the reviewer, detached retinas ha</w:t>
      </w:r>
      <w:r w:rsidR="00441D74">
        <w:rPr>
          <w:color w:val="FF0000"/>
          <w:sz w:val="22"/>
          <w:szCs w:val="22"/>
        </w:rPr>
        <w:t>ve</w:t>
      </w:r>
      <w:r w:rsidR="00C629D5">
        <w:rPr>
          <w:color w:val="FF0000"/>
          <w:sz w:val="22"/>
          <w:szCs w:val="22"/>
        </w:rPr>
        <w:t xml:space="preserve"> been extensively characterised in literature, we focussed our manuscript on the sandwich explant method instead. This is in keeping with the</w:t>
      </w:r>
      <w:r w:rsidR="00441D74">
        <w:rPr>
          <w:color w:val="FF0000"/>
          <w:sz w:val="22"/>
          <w:szCs w:val="22"/>
        </w:rPr>
        <w:t xml:space="preserve"> overall</w:t>
      </w:r>
      <w:r w:rsidR="00C629D5">
        <w:rPr>
          <w:color w:val="FF0000"/>
          <w:sz w:val="22"/>
          <w:szCs w:val="22"/>
        </w:rPr>
        <w:t xml:space="preserve"> aim of our study which is to </w:t>
      </w:r>
      <w:r w:rsidR="00C629D5" w:rsidRPr="00C629D5">
        <w:rPr>
          <w:color w:val="FF0000"/>
          <w:sz w:val="22"/>
          <w:szCs w:val="22"/>
        </w:rPr>
        <w:t xml:space="preserve">characterise a clinically translatable HORC model </w:t>
      </w:r>
      <w:r w:rsidR="00C629D5">
        <w:rPr>
          <w:color w:val="FF0000"/>
          <w:sz w:val="22"/>
          <w:szCs w:val="22"/>
        </w:rPr>
        <w:t xml:space="preserve">in which </w:t>
      </w:r>
      <w:r w:rsidR="00C629D5" w:rsidRPr="00C629D5">
        <w:rPr>
          <w:color w:val="FF0000"/>
          <w:sz w:val="22"/>
          <w:szCs w:val="22"/>
        </w:rPr>
        <w:t xml:space="preserve">the retina </w:t>
      </w:r>
      <w:r w:rsidR="00C629D5">
        <w:rPr>
          <w:color w:val="FF0000"/>
          <w:sz w:val="22"/>
          <w:szCs w:val="22"/>
        </w:rPr>
        <w:t>is cultured along with</w:t>
      </w:r>
      <w:r w:rsidR="00C629D5" w:rsidRPr="00C629D5">
        <w:rPr>
          <w:color w:val="FF0000"/>
          <w:sz w:val="22"/>
          <w:szCs w:val="22"/>
        </w:rPr>
        <w:t xml:space="preserve"> its adjacent structures</w:t>
      </w:r>
      <w:r w:rsidR="00C629D5">
        <w:rPr>
          <w:color w:val="FF0000"/>
          <w:sz w:val="22"/>
          <w:szCs w:val="22"/>
        </w:rPr>
        <w:t xml:space="preserve">. </w:t>
      </w:r>
    </w:p>
    <w:p w:rsidR="003121FE" w:rsidRDefault="00C629D5" w:rsidP="00C629D5">
      <w:pPr>
        <w:pStyle w:val="NormalWeb"/>
        <w:spacing w:before="120" w:beforeAutospacing="0" w:after="120" w:afterAutospacing="0"/>
        <w:jc w:val="both"/>
        <w:rPr>
          <w:color w:val="FF0000"/>
          <w:sz w:val="22"/>
          <w:szCs w:val="22"/>
        </w:rPr>
      </w:pPr>
      <w:r w:rsidRPr="00C629D5">
        <w:rPr>
          <w:color w:val="FF0000"/>
          <w:sz w:val="22"/>
          <w:szCs w:val="22"/>
        </w:rPr>
        <w:t xml:space="preserve">With regards to the disparity between our </w:t>
      </w:r>
      <w:r>
        <w:rPr>
          <w:color w:val="FF0000"/>
          <w:sz w:val="22"/>
          <w:szCs w:val="22"/>
        </w:rPr>
        <w:t>findings</w:t>
      </w:r>
      <w:r w:rsidRPr="00C629D5">
        <w:rPr>
          <w:color w:val="FF0000"/>
          <w:sz w:val="22"/>
          <w:szCs w:val="22"/>
        </w:rPr>
        <w:t xml:space="preserve"> and previously published work, we believe that this maybe because these other studies utilised different culturing, fixing and storage protocols. Nonetheless, it is important to note that while Fernandez</w:t>
      </w:r>
      <w:r>
        <w:rPr>
          <w:color w:val="FF0000"/>
          <w:sz w:val="22"/>
          <w:szCs w:val="22"/>
        </w:rPr>
        <w:t>-Bueno</w:t>
      </w:r>
      <w:r w:rsidRPr="00C629D5">
        <w:rPr>
          <w:color w:val="FF0000"/>
          <w:sz w:val="22"/>
          <w:szCs w:val="22"/>
        </w:rPr>
        <w:t xml:space="preserve"> et al. 2012 used tissues 3-4 hrs post</w:t>
      </w:r>
      <w:r>
        <w:rPr>
          <w:color w:val="FF0000"/>
          <w:sz w:val="22"/>
          <w:szCs w:val="22"/>
        </w:rPr>
        <w:t>-</w:t>
      </w:r>
      <w:r w:rsidRPr="00C629D5">
        <w:rPr>
          <w:color w:val="FF0000"/>
          <w:sz w:val="22"/>
          <w:szCs w:val="22"/>
        </w:rPr>
        <w:t xml:space="preserve">mortem, Müller cell activation shown by GFAP </w:t>
      </w:r>
      <w:r>
        <w:rPr>
          <w:color w:val="FF0000"/>
          <w:sz w:val="22"/>
          <w:szCs w:val="22"/>
        </w:rPr>
        <w:t>upregulation</w:t>
      </w:r>
      <w:r w:rsidRPr="00C629D5">
        <w:rPr>
          <w:color w:val="FF0000"/>
          <w:sz w:val="22"/>
          <w:szCs w:val="22"/>
        </w:rPr>
        <w:t xml:space="preserve"> was </w:t>
      </w:r>
      <w:r>
        <w:rPr>
          <w:color w:val="FF0000"/>
          <w:sz w:val="22"/>
          <w:szCs w:val="22"/>
        </w:rPr>
        <w:t>present a</w:t>
      </w:r>
      <w:r w:rsidRPr="00C629D5">
        <w:rPr>
          <w:color w:val="FF0000"/>
          <w:sz w:val="22"/>
          <w:szCs w:val="22"/>
        </w:rPr>
        <w:t xml:space="preserve">t day 3, which is not seen in our study. </w:t>
      </w:r>
      <w:r>
        <w:rPr>
          <w:color w:val="FF0000"/>
          <w:sz w:val="22"/>
          <w:szCs w:val="22"/>
        </w:rPr>
        <w:t xml:space="preserve">In </w:t>
      </w:r>
      <w:proofErr w:type="spellStart"/>
      <w:r>
        <w:rPr>
          <w:color w:val="FF0000"/>
          <w:sz w:val="22"/>
          <w:szCs w:val="22"/>
        </w:rPr>
        <w:t>Niyadurupola</w:t>
      </w:r>
      <w:proofErr w:type="spellEnd"/>
      <w:r>
        <w:rPr>
          <w:color w:val="FF0000"/>
          <w:sz w:val="22"/>
          <w:szCs w:val="22"/>
        </w:rPr>
        <w:t xml:space="preserve"> et al</w:t>
      </w:r>
      <w:r w:rsidR="008E62C4">
        <w:rPr>
          <w:color w:val="FF0000"/>
          <w:sz w:val="22"/>
          <w:szCs w:val="22"/>
        </w:rPr>
        <w:t>.</w:t>
      </w:r>
      <w:r>
        <w:rPr>
          <w:color w:val="FF0000"/>
          <w:sz w:val="22"/>
          <w:szCs w:val="22"/>
        </w:rPr>
        <w:t xml:space="preserve"> 2011, 72 h culture resulted in</w:t>
      </w:r>
      <w:r w:rsidR="008E62C4">
        <w:rPr>
          <w:color w:val="FF0000"/>
          <w:sz w:val="22"/>
          <w:szCs w:val="22"/>
        </w:rPr>
        <w:t xml:space="preserve"> a</w:t>
      </w:r>
      <w:r>
        <w:rPr>
          <w:color w:val="FF0000"/>
          <w:sz w:val="22"/>
          <w:szCs w:val="22"/>
        </w:rPr>
        <w:t xml:space="preserve"> significant increase in TUNEL-positive cells across all retinal layers. In contrast, our study found no TUNEL-positive cells after 72 h culture with the sandwich culture method. In order to further clarify this in the manuscript, we have included the following sentences in the discussion section. </w:t>
      </w:r>
    </w:p>
    <w:p w:rsidR="003010DE" w:rsidRPr="003010DE" w:rsidRDefault="003010DE" w:rsidP="00C629D5">
      <w:pPr>
        <w:pStyle w:val="NormalWeb"/>
        <w:spacing w:before="120" w:beforeAutospacing="0" w:after="120" w:afterAutospacing="0"/>
        <w:jc w:val="both"/>
        <w:rPr>
          <w:color w:val="0070C0"/>
        </w:rPr>
      </w:pPr>
      <w:r w:rsidRPr="003010DE">
        <w:rPr>
          <w:color w:val="0070C0"/>
        </w:rPr>
        <w:t>This is evidenced by the fact that previous studies using isolated retinas have reported increased Müller cell activation and TUNEL-positive nuclei by 72 h of culture. This is in contract to our findings, suggesting that the sandwich method better preserves retinal integrity.</w:t>
      </w:r>
    </w:p>
    <w:p w:rsidR="00AF17DA" w:rsidRPr="003010DE" w:rsidRDefault="00AF17DA" w:rsidP="00C629D5">
      <w:pPr>
        <w:pStyle w:val="NormalWeb"/>
        <w:spacing w:before="120" w:beforeAutospacing="0" w:after="120" w:afterAutospacing="0"/>
        <w:jc w:val="both"/>
        <w:rPr>
          <w:sz w:val="22"/>
          <w:szCs w:val="22"/>
        </w:rPr>
      </w:pPr>
      <w:r w:rsidRPr="00C629D5">
        <w:rPr>
          <w:sz w:val="22"/>
          <w:szCs w:val="22"/>
        </w:rPr>
        <w:br/>
      </w:r>
      <w:r w:rsidRPr="003010DE">
        <w:rPr>
          <w:sz w:val="22"/>
          <w:szCs w:val="22"/>
        </w:rPr>
        <w:t xml:space="preserve">7. Panels </w:t>
      </w:r>
      <w:proofErr w:type="gramStart"/>
      <w:r w:rsidRPr="003010DE">
        <w:rPr>
          <w:sz w:val="22"/>
          <w:szCs w:val="22"/>
        </w:rPr>
        <w:t>B,C</w:t>
      </w:r>
      <w:proofErr w:type="gramEnd"/>
      <w:r w:rsidRPr="003010DE">
        <w:rPr>
          <w:sz w:val="22"/>
          <w:szCs w:val="22"/>
        </w:rPr>
        <w:t>, E,F and H, I in Fig. 5 are redundant. It would be much more useful to compare the two treatment options in this Figure.</w:t>
      </w:r>
    </w:p>
    <w:p w:rsidR="002874CE" w:rsidRPr="003010DE" w:rsidRDefault="003010DE" w:rsidP="00C629D5">
      <w:pPr>
        <w:pStyle w:val="NormalWeb"/>
        <w:spacing w:before="120" w:beforeAutospacing="0" w:after="120" w:afterAutospacing="0"/>
        <w:jc w:val="both"/>
        <w:rPr>
          <w:sz w:val="22"/>
          <w:szCs w:val="22"/>
        </w:rPr>
      </w:pPr>
      <w:r w:rsidRPr="003010DE">
        <w:rPr>
          <w:color w:val="FF0000"/>
          <w:sz w:val="22"/>
          <w:szCs w:val="22"/>
        </w:rPr>
        <w:t>We appreciate this feedback but w</w:t>
      </w:r>
      <w:r w:rsidR="008E62C4">
        <w:rPr>
          <w:color w:val="FF0000"/>
          <w:sz w:val="22"/>
          <w:szCs w:val="22"/>
        </w:rPr>
        <w:t>ould</w:t>
      </w:r>
      <w:r w:rsidRPr="003010DE">
        <w:rPr>
          <w:color w:val="FF0000"/>
          <w:sz w:val="22"/>
          <w:szCs w:val="22"/>
        </w:rPr>
        <w:t xml:space="preserve"> like to kindly point out that this is a methods manuscript as opposed to a traditional research paper. Therefore, the aim is to describe the protocol pertaining a new technique with no onus to compare this technique to an existing protocol. As a result, we did not compare our technique to the isolated retinas in terms of our immunohistochemical findings or following HG + </w:t>
      </w:r>
      <w:proofErr w:type="spellStart"/>
      <w:r w:rsidRPr="003010DE">
        <w:rPr>
          <w:color w:val="FF0000"/>
          <w:sz w:val="22"/>
          <w:szCs w:val="22"/>
        </w:rPr>
        <w:t>Cyt</w:t>
      </w:r>
      <w:proofErr w:type="spellEnd"/>
      <w:r w:rsidRPr="003010DE">
        <w:rPr>
          <w:color w:val="FF0000"/>
          <w:sz w:val="22"/>
          <w:szCs w:val="22"/>
        </w:rPr>
        <w:t xml:space="preserve"> treatment.</w:t>
      </w:r>
    </w:p>
    <w:p w:rsidR="00905522" w:rsidRPr="00C629D5" w:rsidRDefault="00AF17DA" w:rsidP="00C629D5">
      <w:pPr>
        <w:pStyle w:val="NormalWeb"/>
        <w:spacing w:before="120" w:beforeAutospacing="0" w:after="120" w:afterAutospacing="0"/>
        <w:jc w:val="both"/>
        <w:rPr>
          <w:sz w:val="22"/>
          <w:szCs w:val="22"/>
        </w:rPr>
      </w:pPr>
      <w:r w:rsidRPr="003010DE">
        <w:rPr>
          <w:sz w:val="22"/>
          <w:szCs w:val="22"/>
        </w:rPr>
        <w:t>8. The authors exposed the explants to different solution in order to induce diseases, but the same treatment is not applied to isolated retina. Thus, it is not clear whether the sandwich method is required.</w:t>
      </w:r>
    </w:p>
    <w:p w:rsidR="00905522" w:rsidRPr="00C629D5" w:rsidRDefault="003010DE" w:rsidP="00C629D5">
      <w:pPr>
        <w:pStyle w:val="NormalWeb"/>
        <w:spacing w:before="120" w:beforeAutospacing="0" w:after="120" w:afterAutospacing="0"/>
        <w:jc w:val="both"/>
        <w:rPr>
          <w:color w:val="FF0000"/>
          <w:sz w:val="22"/>
          <w:szCs w:val="22"/>
        </w:rPr>
      </w:pPr>
      <w:r>
        <w:rPr>
          <w:color w:val="FF0000"/>
          <w:sz w:val="22"/>
          <w:szCs w:val="22"/>
        </w:rPr>
        <w:t xml:space="preserve">Thank you for your feedback. We expect that isolated retinas will also respond to treatment with HG and cytokines.  We have not explored that in detail here because, as mentioned in our response to question 7 above, this is a methods paper as opposed to a traditional research paper. Therefore, the purpose of the manuscript is to describe the step-by-step protocol for a new technique as opposed to comparing the technique to existing ones. In particular, the purpose of our manuscript is to describe a protocol for a new sandwich method that preserves retinal integrity. As a result, the manuscript is not focussed on comparing </w:t>
      </w:r>
      <w:r w:rsidR="008E62C4">
        <w:rPr>
          <w:color w:val="FF0000"/>
          <w:sz w:val="22"/>
          <w:szCs w:val="22"/>
        </w:rPr>
        <w:t xml:space="preserve">the </w:t>
      </w:r>
      <w:r>
        <w:rPr>
          <w:color w:val="FF0000"/>
          <w:sz w:val="22"/>
          <w:szCs w:val="22"/>
        </w:rPr>
        <w:t xml:space="preserve">two culture methods but describing the protocol for our </w:t>
      </w:r>
      <w:r w:rsidR="008E62C4">
        <w:rPr>
          <w:color w:val="FF0000"/>
          <w:sz w:val="22"/>
          <w:szCs w:val="22"/>
        </w:rPr>
        <w:t xml:space="preserve">developed </w:t>
      </w:r>
      <w:r>
        <w:rPr>
          <w:color w:val="FF0000"/>
          <w:sz w:val="22"/>
          <w:szCs w:val="22"/>
        </w:rPr>
        <w:t xml:space="preserve">sandwich method. </w:t>
      </w:r>
    </w:p>
    <w:p w:rsidR="00AF17DA" w:rsidRPr="00C629D5" w:rsidRDefault="00AF17DA" w:rsidP="00C629D5">
      <w:pPr>
        <w:pStyle w:val="NormalWeb"/>
        <w:spacing w:before="120" w:beforeAutospacing="0" w:after="120" w:afterAutospacing="0"/>
        <w:jc w:val="both"/>
        <w:rPr>
          <w:b/>
          <w:bCs/>
          <w:sz w:val="22"/>
          <w:szCs w:val="22"/>
        </w:rPr>
      </w:pPr>
      <w:r w:rsidRPr="00C629D5">
        <w:rPr>
          <w:b/>
          <w:bCs/>
          <w:sz w:val="22"/>
          <w:szCs w:val="22"/>
        </w:rPr>
        <w:t>Minor Concerns:</w:t>
      </w:r>
    </w:p>
    <w:p w:rsidR="00C629D5" w:rsidRDefault="00AF17DA" w:rsidP="00C629D5">
      <w:pPr>
        <w:pStyle w:val="NormalWeb"/>
        <w:spacing w:before="120" w:beforeAutospacing="0" w:after="120" w:afterAutospacing="0"/>
        <w:jc w:val="both"/>
        <w:rPr>
          <w:sz w:val="22"/>
          <w:szCs w:val="22"/>
        </w:rPr>
      </w:pPr>
      <w:r w:rsidRPr="00C629D5">
        <w:rPr>
          <w:sz w:val="22"/>
          <w:szCs w:val="22"/>
        </w:rPr>
        <w:t>1. The schematic of the retina shown in Figure 1 could be reduced in size. Also, the diagram contains numerous inaccuracies in the retinal connectivity, so it might be better to make the layers more schematic.</w:t>
      </w:r>
    </w:p>
    <w:p w:rsid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 xml:space="preserve">Thank you for your observation. We </w:t>
      </w:r>
      <w:r w:rsidR="00EC1CE7">
        <w:rPr>
          <w:color w:val="FF0000"/>
          <w:sz w:val="22"/>
          <w:szCs w:val="22"/>
        </w:rPr>
        <w:t>have included a sentence in the figure legend to explain that we have used this image for schematic purposes only. The sentence included is:</w:t>
      </w:r>
    </w:p>
    <w:p w:rsidR="00EC1CE7" w:rsidRPr="00EC1CE7" w:rsidRDefault="00EC1CE7" w:rsidP="00C629D5">
      <w:pPr>
        <w:pStyle w:val="NormalWeb"/>
        <w:spacing w:before="120" w:beforeAutospacing="0" w:after="120" w:afterAutospacing="0"/>
        <w:jc w:val="both"/>
        <w:rPr>
          <w:color w:val="0070C0"/>
          <w:sz w:val="22"/>
          <w:szCs w:val="22"/>
        </w:rPr>
      </w:pPr>
      <w:r w:rsidRPr="00EC1CE7">
        <w:rPr>
          <w:color w:val="0070C0"/>
          <w:sz w:val="22"/>
          <w:szCs w:val="22"/>
        </w:rPr>
        <w:t xml:space="preserve">Note that the retinal image shown is only a schematic representation of the retina and the ratio of cells/retinal connectivity within each layer may not be indicative of the </w:t>
      </w:r>
      <w:r w:rsidRPr="00EC1CE7">
        <w:rPr>
          <w:i/>
          <w:iCs/>
          <w:color w:val="0070C0"/>
          <w:sz w:val="22"/>
          <w:szCs w:val="22"/>
        </w:rPr>
        <w:t>in vivo</w:t>
      </w:r>
      <w:r w:rsidRPr="00EC1CE7">
        <w:rPr>
          <w:color w:val="0070C0"/>
          <w:sz w:val="22"/>
          <w:szCs w:val="22"/>
        </w:rPr>
        <w:t xml:space="preserve"> setting.</w:t>
      </w:r>
      <w:bookmarkStart w:id="0" w:name="_GoBack"/>
      <w:bookmarkEnd w:id="0"/>
    </w:p>
    <w:p w:rsidR="00C629D5" w:rsidRDefault="00AF17DA" w:rsidP="00C629D5">
      <w:pPr>
        <w:pStyle w:val="NormalWeb"/>
        <w:spacing w:before="120" w:beforeAutospacing="0" w:after="120" w:afterAutospacing="0"/>
        <w:jc w:val="both"/>
        <w:rPr>
          <w:sz w:val="22"/>
          <w:szCs w:val="22"/>
        </w:rPr>
      </w:pPr>
      <w:r w:rsidRPr="00C629D5">
        <w:rPr>
          <w:sz w:val="22"/>
          <w:szCs w:val="22"/>
        </w:rPr>
        <w:t>2. Consider moving #4.4 further up.</w:t>
      </w:r>
    </w:p>
    <w:p w:rsidR="0053643B" w:rsidRPr="00C629D5" w:rsidRDefault="00C629D5" w:rsidP="00C629D5">
      <w:pPr>
        <w:pStyle w:val="NormalWeb"/>
        <w:spacing w:before="120" w:beforeAutospacing="0" w:after="120" w:afterAutospacing="0"/>
        <w:jc w:val="both"/>
        <w:rPr>
          <w:color w:val="FF0000"/>
          <w:sz w:val="22"/>
          <w:szCs w:val="22"/>
        </w:rPr>
      </w:pPr>
      <w:r>
        <w:rPr>
          <w:color w:val="FF0000"/>
          <w:sz w:val="22"/>
          <w:szCs w:val="22"/>
        </w:rPr>
        <w:t xml:space="preserve">Thank you for your suggestion. We have now moved </w:t>
      </w:r>
      <w:r w:rsidR="0053643B" w:rsidRPr="00C629D5">
        <w:rPr>
          <w:color w:val="FF0000"/>
          <w:sz w:val="22"/>
          <w:szCs w:val="22"/>
        </w:rPr>
        <w:t xml:space="preserve">#4.4 </w:t>
      </w:r>
      <w:r>
        <w:rPr>
          <w:color w:val="FF0000"/>
          <w:sz w:val="22"/>
          <w:szCs w:val="22"/>
        </w:rPr>
        <w:t>to</w:t>
      </w:r>
      <w:r w:rsidR="0053643B" w:rsidRPr="00C629D5">
        <w:rPr>
          <w:color w:val="FF0000"/>
          <w:sz w:val="22"/>
          <w:szCs w:val="22"/>
        </w:rPr>
        <w:t xml:space="preserve"> #4.1.</w:t>
      </w:r>
    </w:p>
    <w:p w:rsidR="00905522" w:rsidRPr="00C629D5" w:rsidRDefault="00AF17DA" w:rsidP="00C629D5">
      <w:pPr>
        <w:pStyle w:val="NormalWeb"/>
        <w:spacing w:before="120" w:beforeAutospacing="0" w:after="120" w:afterAutospacing="0"/>
        <w:jc w:val="both"/>
        <w:rPr>
          <w:sz w:val="22"/>
          <w:szCs w:val="22"/>
        </w:rPr>
      </w:pPr>
      <w:r w:rsidRPr="00C629D5">
        <w:rPr>
          <w:sz w:val="22"/>
          <w:szCs w:val="22"/>
        </w:rPr>
        <w:t xml:space="preserve">3. The abbreviations HG and </w:t>
      </w:r>
      <w:proofErr w:type="spellStart"/>
      <w:r w:rsidRPr="00C629D5">
        <w:rPr>
          <w:sz w:val="22"/>
          <w:szCs w:val="22"/>
        </w:rPr>
        <w:t>cyt</w:t>
      </w:r>
      <w:proofErr w:type="spellEnd"/>
      <w:r w:rsidRPr="00C629D5">
        <w:rPr>
          <w:sz w:val="22"/>
          <w:szCs w:val="22"/>
        </w:rPr>
        <w:t xml:space="preserve"> are not defined</w:t>
      </w:r>
    </w:p>
    <w:p w:rsidR="00C629D5" w:rsidRDefault="00C629D5" w:rsidP="00C629D5">
      <w:pPr>
        <w:pStyle w:val="NormalWeb"/>
        <w:spacing w:before="120" w:beforeAutospacing="0" w:after="120" w:afterAutospacing="0"/>
        <w:jc w:val="both"/>
        <w:rPr>
          <w:b/>
          <w:bCs/>
          <w:sz w:val="22"/>
          <w:szCs w:val="22"/>
        </w:rPr>
      </w:pPr>
      <w:r>
        <w:rPr>
          <w:color w:val="FF0000"/>
          <w:sz w:val="22"/>
          <w:szCs w:val="22"/>
        </w:rPr>
        <w:t xml:space="preserve">Thank you for your observation. We have now defined HG + </w:t>
      </w:r>
      <w:proofErr w:type="spellStart"/>
      <w:r>
        <w:rPr>
          <w:color w:val="FF0000"/>
          <w:sz w:val="22"/>
          <w:szCs w:val="22"/>
        </w:rPr>
        <w:t>Cyt</w:t>
      </w:r>
      <w:proofErr w:type="spellEnd"/>
      <w:r>
        <w:rPr>
          <w:color w:val="FF0000"/>
          <w:sz w:val="22"/>
          <w:szCs w:val="22"/>
        </w:rPr>
        <w:t xml:space="preserve"> at first mention in both the abstract and the introduction sections.</w:t>
      </w:r>
      <w:r w:rsidR="00905522" w:rsidRPr="00C629D5">
        <w:rPr>
          <w:color w:val="FF0000"/>
          <w:sz w:val="22"/>
          <w:szCs w:val="22"/>
        </w:rPr>
        <w:t xml:space="preserve"> </w:t>
      </w:r>
      <w:r w:rsidR="00AF17DA" w:rsidRPr="00C629D5">
        <w:rPr>
          <w:color w:val="FF0000"/>
          <w:sz w:val="22"/>
          <w:szCs w:val="22"/>
        </w:rPr>
        <w:br/>
      </w:r>
      <w:r w:rsidR="00AF17DA" w:rsidRPr="00C629D5">
        <w:rPr>
          <w:sz w:val="22"/>
          <w:szCs w:val="22"/>
        </w:rPr>
        <w:br/>
      </w:r>
      <w:r w:rsidR="00AF17DA" w:rsidRPr="00C629D5">
        <w:rPr>
          <w:b/>
          <w:bCs/>
          <w:sz w:val="22"/>
          <w:szCs w:val="22"/>
        </w:rPr>
        <w:t xml:space="preserve">Reviewer #2: </w:t>
      </w:r>
    </w:p>
    <w:p w:rsidR="00C629D5" w:rsidRDefault="00AF17DA" w:rsidP="00C629D5">
      <w:pPr>
        <w:pStyle w:val="NormalWeb"/>
        <w:spacing w:before="120" w:beforeAutospacing="0" w:after="120" w:afterAutospacing="0"/>
        <w:jc w:val="both"/>
        <w:rPr>
          <w:sz w:val="22"/>
          <w:szCs w:val="22"/>
        </w:rPr>
      </w:pPr>
      <w:r w:rsidRPr="00C629D5">
        <w:rPr>
          <w:sz w:val="22"/>
          <w:szCs w:val="22"/>
        </w:rPr>
        <w:t>Manuscript Summary:</w:t>
      </w:r>
    </w:p>
    <w:p w:rsidR="00C629D5" w:rsidRDefault="00AF17DA" w:rsidP="00C629D5">
      <w:pPr>
        <w:pStyle w:val="NormalWeb"/>
        <w:spacing w:before="120" w:beforeAutospacing="0" w:after="120" w:afterAutospacing="0"/>
        <w:jc w:val="both"/>
        <w:rPr>
          <w:sz w:val="22"/>
          <w:szCs w:val="22"/>
        </w:rPr>
      </w:pPr>
      <w:r w:rsidRPr="00C629D5">
        <w:rPr>
          <w:sz w:val="22"/>
          <w:szCs w:val="22"/>
        </w:rPr>
        <w:t>Authors are presenting the novel, interesting protocol for human retinal explants culture. The protocol is understandable and clear, however there are several questions that should be addressed.</w:t>
      </w:r>
    </w:p>
    <w:p w:rsidR="00AF17DA" w:rsidRPr="00C629D5" w:rsidRDefault="00AF17DA" w:rsidP="00C629D5">
      <w:pPr>
        <w:pStyle w:val="NormalWeb"/>
        <w:spacing w:before="120" w:beforeAutospacing="0" w:after="120" w:afterAutospacing="0"/>
        <w:jc w:val="both"/>
        <w:rPr>
          <w:b/>
          <w:bCs/>
          <w:sz w:val="22"/>
          <w:szCs w:val="22"/>
        </w:rPr>
      </w:pPr>
      <w:r w:rsidRPr="00C629D5">
        <w:rPr>
          <w:b/>
          <w:bCs/>
          <w:sz w:val="22"/>
          <w:szCs w:val="22"/>
        </w:rPr>
        <w:lastRenderedPageBreak/>
        <w:t>Major Concerns:</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 xml:space="preserve">1. The authors claim that after 72 hours there is no apoptotic cells identified. I would say that this is not very impressive outcome, considering that rat explants for example are cultured for 7 or even 10 days. In my opinion it would be interesting to validate at what time-point the apoptosis in these explants starts to provide researchers with practical information how to utilize these explants in experiments. </w:t>
      </w:r>
    </w:p>
    <w:p w:rsidR="00C629D5" w:rsidRDefault="00C629D5" w:rsidP="00C629D5">
      <w:pPr>
        <w:pStyle w:val="NormalWeb"/>
        <w:spacing w:before="120" w:beforeAutospacing="0" w:after="120" w:afterAutospacing="0"/>
        <w:jc w:val="both"/>
        <w:rPr>
          <w:color w:val="FF0000"/>
          <w:sz w:val="22"/>
          <w:szCs w:val="22"/>
        </w:rPr>
      </w:pPr>
      <w:r>
        <w:rPr>
          <w:color w:val="FF0000"/>
          <w:sz w:val="22"/>
          <w:szCs w:val="22"/>
        </w:rPr>
        <w:t>We agree with the reviewer that rat explants can be cultured for extended periods of up to 10 days. However, previous studies using human donor explants (</w:t>
      </w:r>
      <w:r w:rsidRPr="00C629D5">
        <w:rPr>
          <w:color w:val="FF0000"/>
          <w:sz w:val="22"/>
          <w:szCs w:val="22"/>
        </w:rPr>
        <w:t>PMID: 21169273</w:t>
      </w:r>
      <w:r>
        <w:rPr>
          <w:color w:val="FF0000"/>
          <w:sz w:val="22"/>
          <w:szCs w:val="22"/>
        </w:rPr>
        <w:t xml:space="preserve">, </w:t>
      </w:r>
      <w:r w:rsidRPr="00C629D5">
        <w:rPr>
          <w:color w:val="FF0000"/>
          <w:sz w:val="22"/>
          <w:szCs w:val="22"/>
        </w:rPr>
        <w:t>PMID: 26432917</w:t>
      </w:r>
      <w:r>
        <w:rPr>
          <w:color w:val="FF0000"/>
          <w:sz w:val="22"/>
          <w:szCs w:val="22"/>
        </w:rPr>
        <w:t xml:space="preserve">, </w:t>
      </w:r>
      <w:proofErr w:type="gramStart"/>
      <w:r>
        <w:rPr>
          <w:color w:val="FF0000"/>
          <w:sz w:val="22"/>
          <w:szCs w:val="22"/>
        </w:rPr>
        <w:t xml:space="preserve">and  </w:t>
      </w:r>
      <w:r w:rsidRPr="00C629D5">
        <w:rPr>
          <w:color w:val="FF0000"/>
          <w:sz w:val="22"/>
          <w:szCs w:val="22"/>
        </w:rPr>
        <w:t>PMID</w:t>
      </w:r>
      <w:proofErr w:type="gramEnd"/>
      <w:r w:rsidRPr="00C629D5">
        <w:rPr>
          <w:color w:val="FF0000"/>
          <w:sz w:val="22"/>
          <w:szCs w:val="22"/>
        </w:rPr>
        <w:t>: 23022403</w:t>
      </w:r>
      <w:r>
        <w:rPr>
          <w:color w:val="FF0000"/>
          <w:sz w:val="22"/>
          <w:szCs w:val="22"/>
        </w:rPr>
        <w:t>) showed that culturing of donor retinas for more than three days results in significant GFAP upregulation (</w:t>
      </w:r>
      <w:r w:rsidRPr="00C629D5">
        <w:rPr>
          <w:color w:val="FF0000"/>
          <w:sz w:val="22"/>
          <w:szCs w:val="22"/>
        </w:rPr>
        <w:t>PMID: 23022403</w:t>
      </w:r>
      <w:r>
        <w:rPr>
          <w:color w:val="FF0000"/>
          <w:sz w:val="22"/>
          <w:szCs w:val="22"/>
        </w:rPr>
        <w:t>) and increase in TUNEL-positive cells (</w:t>
      </w:r>
      <w:r w:rsidRPr="00C629D5">
        <w:rPr>
          <w:color w:val="FF0000"/>
          <w:sz w:val="22"/>
          <w:szCs w:val="22"/>
        </w:rPr>
        <w:t>PMID: 21169273</w:t>
      </w:r>
      <w:r>
        <w:rPr>
          <w:color w:val="FF0000"/>
          <w:sz w:val="22"/>
          <w:szCs w:val="22"/>
        </w:rPr>
        <w:t>). In fact, Osbourne and colleagues (</w:t>
      </w:r>
      <w:r w:rsidRPr="00C629D5">
        <w:rPr>
          <w:color w:val="FF0000"/>
          <w:sz w:val="22"/>
          <w:szCs w:val="22"/>
        </w:rPr>
        <w:t>PMID: 26432917</w:t>
      </w:r>
      <w:r>
        <w:rPr>
          <w:color w:val="FF0000"/>
          <w:sz w:val="22"/>
          <w:szCs w:val="22"/>
        </w:rPr>
        <w:t>) found that TUNEL-positive/</w:t>
      </w:r>
      <w:proofErr w:type="spellStart"/>
      <w:r>
        <w:rPr>
          <w:color w:val="FF0000"/>
          <w:sz w:val="22"/>
          <w:szCs w:val="22"/>
        </w:rPr>
        <w:t>NeuN</w:t>
      </w:r>
      <w:proofErr w:type="spellEnd"/>
      <w:r>
        <w:rPr>
          <w:color w:val="FF0000"/>
          <w:sz w:val="22"/>
          <w:szCs w:val="22"/>
        </w:rPr>
        <w:t xml:space="preserve"> positive cells increased to up to 80% after one week of culturing their human retinal explants. It is in keeping with previous studies using human donor retinal cultures that we limited our experiment to three days. However, it is important to note that these previous studies used the isolated retina method. In contrast, our study using the sandwich retinal explant method resulted in no GFAP upregulation and no TUNEL-positive nuclear staining by 72 h. Therefore, our future studies will attempt to culture the explants for longer periods of time, </w:t>
      </w:r>
      <w:proofErr w:type="gramStart"/>
      <w:r>
        <w:rPr>
          <w:color w:val="FF0000"/>
          <w:sz w:val="22"/>
          <w:szCs w:val="22"/>
        </w:rPr>
        <w:t>similar to</w:t>
      </w:r>
      <w:proofErr w:type="gramEnd"/>
      <w:r>
        <w:rPr>
          <w:color w:val="FF0000"/>
          <w:sz w:val="22"/>
          <w:szCs w:val="22"/>
        </w:rPr>
        <w:t xml:space="preserve"> what can be achieved using rat retinas. </w:t>
      </w:r>
    </w:p>
    <w:p w:rsidR="00440748" w:rsidRPr="00C629D5" w:rsidRDefault="00AF17DA" w:rsidP="00C629D5">
      <w:pPr>
        <w:pStyle w:val="NormalWeb"/>
        <w:spacing w:before="120" w:beforeAutospacing="0" w:after="120" w:afterAutospacing="0"/>
        <w:jc w:val="both"/>
        <w:rPr>
          <w:sz w:val="22"/>
          <w:szCs w:val="22"/>
        </w:rPr>
      </w:pPr>
      <w:r w:rsidRPr="00C629D5">
        <w:rPr>
          <w:sz w:val="22"/>
          <w:szCs w:val="22"/>
        </w:rPr>
        <w:t>2. Statement that "HORC can preserve the anatomy and physiology of the human retina" is bit over for me. Considering that HORC are still denervated tissue and cut with trephine, it is risky to state that it preserves physiology of retina.</w:t>
      </w:r>
    </w:p>
    <w:p w:rsidR="00440748"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Thank you for your feedback. We have now changed the sentence to:</w:t>
      </w:r>
    </w:p>
    <w:p w:rsidR="00C629D5" w:rsidRPr="00C629D5" w:rsidRDefault="005F2398" w:rsidP="00C629D5">
      <w:pPr>
        <w:pStyle w:val="NormalWeb"/>
        <w:spacing w:before="120" w:beforeAutospacing="0" w:after="120" w:afterAutospacing="0"/>
        <w:jc w:val="both"/>
        <w:rPr>
          <w:color w:val="0070C0"/>
          <w:sz w:val="22"/>
          <w:szCs w:val="22"/>
        </w:rPr>
      </w:pPr>
      <w:bookmarkStart w:id="1" w:name="_Hlk54780430"/>
      <w:r w:rsidRPr="00C629D5">
        <w:rPr>
          <w:color w:val="0070C0"/>
          <w:sz w:val="22"/>
          <w:szCs w:val="22"/>
        </w:rPr>
        <w:t xml:space="preserve">Compared to </w:t>
      </w:r>
      <w:r w:rsidRPr="00C629D5">
        <w:rPr>
          <w:i/>
          <w:color w:val="0070C0"/>
          <w:sz w:val="22"/>
          <w:szCs w:val="22"/>
        </w:rPr>
        <w:t>in vitro</w:t>
      </w:r>
      <w:r w:rsidRPr="00C629D5">
        <w:rPr>
          <w:color w:val="0070C0"/>
          <w:sz w:val="22"/>
          <w:szCs w:val="22"/>
        </w:rPr>
        <w:t xml:space="preserve"> cell culture models, HORC can better represent the anatomy of the human retina </w:t>
      </w:r>
      <w:r w:rsidRPr="00C629D5">
        <w:rPr>
          <w:i/>
          <w:color w:val="0070C0"/>
          <w:sz w:val="22"/>
          <w:szCs w:val="22"/>
        </w:rPr>
        <w:t>in situ</w:t>
      </w:r>
      <w:r w:rsidRPr="00C629D5">
        <w:rPr>
          <w:color w:val="0070C0"/>
          <w:sz w:val="22"/>
          <w:szCs w:val="22"/>
        </w:rPr>
        <w:t>, through retaining the dynamic retinal cell types and their connections with neurons, vasculatures and the extracellular environment.</w:t>
      </w:r>
    </w:p>
    <w:bookmarkEnd w:id="1"/>
    <w:p w:rsidR="00AF17DA" w:rsidRPr="00C629D5" w:rsidRDefault="00AF17DA" w:rsidP="00C629D5">
      <w:pPr>
        <w:pStyle w:val="NormalWeb"/>
        <w:spacing w:before="120" w:beforeAutospacing="0" w:after="120" w:afterAutospacing="0"/>
        <w:jc w:val="both"/>
        <w:rPr>
          <w:b/>
          <w:bCs/>
          <w:sz w:val="22"/>
          <w:szCs w:val="22"/>
        </w:rPr>
      </w:pPr>
      <w:r w:rsidRPr="00C629D5">
        <w:rPr>
          <w:b/>
          <w:bCs/>
          <w:sz w:val="22"/>
          <w:szCs w:val="22"/>
        </w:rPr>
        <w:t>Minor Concerns:</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 xml:space="preserve">1. It is not true that lens is attached to the iris, lens zonulas are originating from ciliary body, so should be more </w:t>
      </w:r>
      <w:proofErr w:type="spellStart"/>
      <w:r w:rsidRPr="00C629D5">
        <w:rPr>
          <w:sz w:val="22"/>
          <w:szCs w:val="22"/>
        </w:rPr>
        <w:t>precised</w:t>
      </w:r>
      <w:proofErr w:type="spellEnd"/>
      <w:r w:rsidRPr="00C629D5">
        <w:rPr>
          <w:sz w:val="22"/>
          <w:szCs w:val="22"/>
        </w:rPr>
        <w:t xml:space="preserve"> in the description.</w:t>
      </w:r>
    </w:p>
    <w:p w:rsidR="00AF17DA"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 xml:space="preserve">Thank you, we have now updated this in the manuscript. </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 xml:space="preserve">2. </w:t>
      </w:r>
      <w:proofErr w:type="spellStart"/>
      <w:r w:rsidRPr="00C629D5">
        <w:rPr>
          <w:sz w:val="22"/>
          <w:szCs w:val="22"/>
        </w:rPr>
        <w:t>Im</w:t>
      </w:r>
      <w:proofErr w:type="spellEnd"/>
      <w:r w:rsidRPr="00C629D5">
        <w:rPr>
          <w:sz w:val="22"/>
          <w:szCs w:val="22"/>
        </w:rPr>
        <w:t xml:space="preserve"> lacking some technical details. For example, if these explants are floating? Are they whole immersed in medium? What was volume of medium used? If they are floating it is trivial to state that vitreous is pressing retina if there is no solid base that explants rest on. </w:t>
      </w:r>
    </w:p>
    <w:p w:rsidR="00AF17DA" w:rsidRPr="00C629D5" w:rsidRDefault="00C629D5" w:rsidP="00C629D5">
      <w:pPr>
        <w:pStyle w:val="NormalWeb"/>
        <w:spacing w:before="120" w:beforeAutospacing="0" w:after="120" w:afterAutospacing="0"/>
        <w:jc w:val="both"/>
        <w:rPr>
          <w:color w:val="FF0000"/>
          <w:sz w:val="22"/>
          <w:szCs w:val="22"/>
        </w:rPr>
      </w:pPr>
      <w:r w:rsidRPr="00C629D5">
        <w:rPr>
          <w:color w:val="FF0000"/>
          <w:sz w:val="22"/>
          <w:szCs w:val="22"/>
        </w:rPr>
        <w:t>Thank you, we have updated the manuscript with the required details.</w:t>
      </w:r>
    </w:p>
    <w:p w:rsidR="00AF17DA" w:rsidRPr="00C629D5" w:rsidRDefault="00AF17DA" w:rsidP="00C629D5">
      <w:pPr>
        <w:pStyle w:val="NormalWeb"/>
        <w:spacing w:before="120" w:beforeAutospacing="0" w:after="120" w:afterAutospacing="0"/>
        <w:jc w:val="both"/>
        <w:rPr>
          <w:sz w:val="22"/>
          <w:szCs w:val="22"/>
        </w:rPr>
      </w:pPr>
      <w:r w:rsidRPr="00C629D5">
        <w:rPr>
          <w:sz w:val="22"/>
          <w:szCs w:val="22"/>
        </w:rPr>
        <w:t xml:space="preserve">3. </w:t>
      </w:r>
      <w:proofErr w:type="spellStart"/>
      <w:r w:rsidRPr="00C629D5">
        <w:rPr>
          <w:sz w:val="22"/>
          <w:szCs w:val="22"/>
        </w:rPr>
        <w:t>Im</w:t>
      </w:r>
      <w:proofErr w:type="spellEnd"/>
      <w:r w:rsidRPr="00C629D5">
        <w:rPr>
          <w:sz w:val="22"/>
          <w:szCs w:val="22"/>
        </w:rPr>
        <w:t xml:space="preserve"> also lacking in discussion information </w:t>
      </w:r>
      <w:proofErr w:type="spellStart"/>
      <w:r w:rsidRPr="00C629D5">
        <w:rPr>
          <w:sz w:val="22"/>
          <w:szCs w:val="22"/>
        </w:rPr>
        <w:t>abt</w:t>
      </w:r>
      <w:proofErr w:type="spellEnd"/>
      <w:r w:rsidRPr="00C629D5">
        <w:rPr>
          <w:sz w:val="22"/>
          <w:szCs w:val="22"/>
        </w:rPr>
        <w:t xml:space="preserve"> penetration of supplements since the retina is sandwiched between sclera and vitreous. To long penetration of supplements may limit usefulness of this method.</w:t>
      </w:r>
    </w:p>
    <w:p w:rsidR="00393772" w:rsidRPr="00C629D5" w:rsidRDefault="00C629D5" w:rsidP="00C629D5">
      <w:pPr>
        <w:spacing w:before="120" w:after="120" w:line="240" w:lineRule="auto"/>
        <w:jc w:val="both"/>
        <w:rPr>
          <w:rFonts w:ascii="Times New Roman" w:hAnsi="Times New Roman" w:cs="Times New Roman"/>
          <w:color w:val="FF0000"/>
        </w:rPr>
      </w:pPr>
      <w:r w:rsidRPr="00C629D5">
        <w:rPr>
          <w:rFonts w:ascii="Times New Roman" w:hAnsi="Times New Roman" w:cs="Times New Roman"/>
          <w:color w:val="FF0000"/>
        </w:rPr>
        <w:t>Thank you for this important observation. We did not observe any issues relating to tissue perfusion such as loss of integrity in central parts of the explants. This is not surprising given that the tissue is only 5mm in diameter and wholly immersed in culture media.</w:t>
      </w:r>
    </w:p>
    <w:sectPr w:rsidR="00393772" w:rsidRPr="00C629D5" w:rsidSect="00AF17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80E11"/>
    <w:multiLevelType w:val="hybridMultilevel"/>
    <w:tmpl w:val="08367090"/>
    <w:lvl w:ilvl="0" w:tplc="89981C7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082ECD"/>
    <w:multiLevelType w:val="hybridMultilevel"/>
    <w:tmpl w:val="2814E252"/>
    <w:lvl w:ilvl="0" w:tplc="B7BA012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AE12BF3"/>
    <w:multiLevelType w:val="hybridMultilevel"/>
    <w:tmpl w:val="8E90A2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E7F5A24"/>
    <w:multiLevelType w:val="hybridMultilevel"/>
    <w:tmpl w:val="E52C8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8BA3B85"/>
    <w:multiLevelType w:val="hybridMultilevel"/>
    <w:tmpl w:val="2814E252"/>
    <w:lvl w:ilvl="0" w:tplc="B7BA012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18655C4"/>
    <w:multiLevelType w:val="hybridMultilevel"/>
    <w:tmpl w:val="F1D294A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52C63616"/>
    <w:multiLevelType w:val="hybridMultilevel"/>
    <w:tmpl w:val="395AB9A0"/>
    <w:lvl w:ilvl="0" w:tplc="0B2CF6D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54572AB"/>
    <w:multiLevelType w:val="hybridMultilevel"/>
    <w:tmpl w:val="BD4EFB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C96798A"/>
    <w:multiLevelType w:val="hybridMultilevel"/>
    <w:tmpl w:val="C570D722"/>
    <w:lvl w:ilvl="0" w:tplc="89C0FE7E">
      <w:numFmt w:val="bullet"/>
      <w:lvlText w:val="•"/>
      <w:lvlJc w:val="left"/>
      <w:pPr>
        <w:ind w:left="1080" w:hanging="72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46477EC"/>
    <w:multiLevelType w:val="hybridMultilevel"/>
    <w:tmpl w:val="FE2C7592"/>
    <w:lvl w:ilvl="0" w:tplc="A42C9A9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CB50FD8"/>
    <w:multiLevelType w:val="hybridMultilevel"/>
    <w:tmpl w:val="299826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4"/>
  </w:num>
  <w:num w:numId="5">
    <w:abstractNumId w:val="3"/>
  </w:num>
  <w:num w:numId="6">
    <w:abstractNumId w:val="0"/>
  </w:num>
  <w:num w:numId="7">
    <w:abstractNumId w:val="8"/>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Verdan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0wsaaxdtz9pper22mvedp85f5at22pwv0w&quot;&gt;charissekuo@hotmail.com&lt;record-ids&gt;&lt;item&gt;505&lt;/item&gt;&lt;item&gt;555&lt;/item&gt;&lt;/record-ids&gt;&lt;/item&gt;&lt;/Libraries&gt;"/>
  </w:docVars>
  <w:rsids>
    <w:rsidRoot w:val="00AF17DA"/>
    <w:rsid w:val="00005F79"/>
    <w:rsid w:val="000353E8"/>
    <w:rsid w:val="00037BF8"/>
    <w:rsid w:val="000405BD"/>
    <w:rsid w:val="000774B9"/>
    <w:rsid w:val="000954CA"/>
    <w:rsid w:val="000B2AED"/>
    <w:rsid w:val="000B57C8"/>
    <w:rsid w:val="000C295C"/>
    <w:rsid w:val="000C31C0"/>
    <w:rsid w:val="000E4839"/>
    <w:rsid w:val="000E7E8B"/>
    <w:rsid w:val="000F5743"/>
    <w:rsid w:val="000F574B"/>
    <w:rsid w:val="00102BEC"/>
    <w:rsid w:val="00103F3E"/>
    <w:rsid w:val="0010795F"/>
    <w:rsid w:val="0011520E"/>
    <w:rsid w:val="001203CE"/>
    <w:rsid w:val="001215D3"/>
    <w:rsid w:val="00132502"/>
    <w:rsid w:val="00133363"/>
    <w:rsid w:val="0013565D"/>
    <w:rsid w:val="00135682"/>
    <w:rsid w:val="00153B7A"/>
    <w:rsid w:val="00171E8A"/>
    <w:rsid w:val="0018138A"/>
    <w:rsid w:val="001B5AF1"/>
    <w:rsid w:val="001C126A"/>
    <w:rsid w:val="001D107E"/>
    <w:rsid w:val="001D1096"/>
    <w:rsid w:val="001D15F0"/>
    <w:rsid w:val="001D448A"/>
    <w:rsid w:val="001D753D"/>
    <w:rsid w:val="001F7C3B"/>
    <w:rsid w:val="0020280F"/>
    <w:rsid w:val="00217CDD"/>
    <w:rsid w:val="00222568"/>
    <w:rsid w:val="002367E7"/>
    <w:rsid w:val="00241921"/>
    <w:rsid w:val="0024401B"/>
    <w:rsid w:val="00254D20"/>
    <w:rsid w:val="002602B1"/>
    <w:rsid w:val="00266F00"/>
    <w:rsid w:val="00277D15"/>
    <w:rsid w:val="002854CD"/>
    <w:rsid w:val="002874CE"/>
    <w:rsid w:val="002B5F87"/>
    <w:rsid w:val="002C1595"/>
    <w:rsid w:val="002D3BDA"/>
    <w:rsid w:val="002E6122"/>
    <w:rsid w:val="002F75FB"/>
    <w:rsid w:val="003010DE"/>
    <w:rsid w:val="003014AA"/>
    <w:rsid w:val="003121FE"/>
    <w:rsid w:val="00313440"/>
    <w:rsid w:val="003239A4"/>
    <w:rsid w:val="00325C9C"/>
    <w:rsid w:val="00326E1C"/>
    <w:rsid w:val="003304C1"/>
    <w:rsid w:val="00330AD8"/>
    <w:rsid w:val="00364B41"/>
    <w:rsid w:val="00365BAE"/>
    <w:rsid w:val="00393772"/>
    <w:rsid w:val="00395098"/>
    <w:rsid w:val="003A7E3E"/>
    <w:rsid w:val="003C0E11"/>
    <w:rsid w:val="003D308C"/>
    <w:rsid w:val="003F6397"/>
    <w:rsid w:val="004013EA"/>
    <w:rsid w:val="0041159A"/>
    <w:rsid w:val="00417758"/>
    <w:rsid w:val="00440748"/>
    <w:rsid w:val="00441D74"/>
    <w:rsid w:val="00456925"/>
    <w:rsid w:val="00461705"/>
    <w:rsid w:val="0047025A"/>
    <w:rsid w:val="00480483"/>
    <w:rsid w:val="00487FC6"/>
    <w:rsid w:val="004B16E3"/>
    <w:rsid w:val="004C38CC"/>
    <w:rsid w:val="004E33A5"/>
    <w:rsid w:val="004F0AA4"/>
    <w:rsid w:val="004F1E03"/>
    <w:rsid w:val="005054D1"/>
    <w:rsid w:val="00531A5C"/>
    <w:rsid w:val="0053643B"/>
    <w:rsid w:val="0055489B"/>
    <w:rsid w:val="00561D1F"/>
    <w:rsid w:val="0056368F"/>
    <w:rsid w:val="00575AD0"/>
    <w:rsid w:val="005909B4"/>
    <w:rsid w:val="005914E4"/>
    <w:rsid w:val="00597F39"/>
    <w:rsid w:val="005D3FE7"/>
    <w:rsid w:val="005E5002"/>
    <w:rsid w:val="005E6040"/>
    <w:rsid w:val="005F2398"/>
    <w:rsid w:val="00613006"/>
    <w:rsid w:val="006233B1"/>
    <w:rsid w:val="00641756"/>
    <w:rsid w:val="00647B45"/>
    <w:rsid w:val="0065324F"/>
    <w:rsid w:val="00665584"/>
    <w:rsid w:val="0068390A"/>
    <w:rsid w:val="00685445"/>
    <w:rsid w:val="00687597"/>
    <w:rsid w:val="006A02D5"/>
    <w:rsid w:val="006A2F1C"/>
    <w:rsid w:val="006B4C5A"/>
    <w:rsid w:val="006C6553"/>
    <w:rsid w:val="006E1CFD"/>
    <w:rsid w:val="00703C5F"/>
    <w:rsid w:val="00721A70"/>
    <w:rsid w:val="007235D1"/>
    <w:rsid w:val="00725F42"/>
    <w:rsid w:val="007317E8"/>
    <w:rsid w:val="00764934"/>
    <w:rsid w:val="0077708D"/>
    <w:rsid w:val="00780BF5"/>
    <w:rsid w:val="00781C0D"/>
    <w:rsid w:val="00793539"/>
    <w:rsid w:val="00793D74"/>
    <w:rsid w:val="007A5BC6"/>
    <w:rsid w:val="007B4F2C"/>
    <w:rsid w:val="007C448D"/>
    <w:rsid w:val="007D0102"/>
    <w:rsid w:val="007F1BAA"/>
    <w:rsid w:val="008007AB"/>
    <w:rsid w:val="00802D6C"/>
    <w:rsid w:val="00814409"/>
    <w:rsid w:val="008219BB"/>
    <w:rsid w:val="00822EDE"/>
    <w:rsid w:val="00830013"/>
    <w:rsid w:val="00836B63"/>
    <w:rsid w:val="0085138B"/>
    <w:rsid w:val="00895064"/>
    <w:rsid w:val="008B5652"/>
    <w:rsid w:val="008D31AA"/>
    <w:rsid w:val="008D464E"/>
    <w:rsid w:val="008D54BF"/>
    <w:rsid w:val="008E62C4"/>
    <w:rsid w:val="00905522"/>
    <w:rsid w:val="00913861"/>
    <w:rsid w:val="00923A2C"/>
    <w:rsid w:val="00924218"/>
    <w:rsid w:val="00937954"/>
    <w:rsid w:val="00942E10"/>
    <w:rsid w:val="009507CE"/>
    <w:rsid w:val="00950B64"/>
    <w:rsid w:val="009574E9"/>
    <w:rsid w:val="009674CD"/>
    <w:rsid w:val="00967C5F"/>
    <w:rsid w:val="00970758"/>
    <w:rsid w:val="009A0DA5"/>
    <w:rsid w:val="009B47BD"/>
    <w:rsid w:val="009C2A06"/>
    <w:rsid w:val="009F0F12"/>
    <w:rsid w:val="00A052C1"/>
    <w:rsid w:val="00A10010"/>
    <w:rsid w:val="00A41314"/>
    <w:rsid w:val="00A45F31"/>
    <w:rsid w:val="00A54643"/>
    <w:rsid w:val="00A630AC"/>
    <w:rsid w:val="00A70A61"/>
    <w:rsid w:val="00A92B05"/>
    <w:rsid w:val="00AA3D18"/>
    <w:rsid w:val="00AA5BFC"/>
    <w:rsid w:val="00AB06EB"/>
    <w:rsid w:val="00AB17DA"/>
    <w:rsid w:val="00AD0966"/>
    <w:rsid w:val="00AD53C6"/>
    <w:rsid w:val="00AD7638"/>
    <w:rsid w:val="00AE0C61"/>
    <w:rsid w:val="00AF17DA"/>
    <w:rsid w:val="00B11D56"/>
    <w:rsid w:val="00B152D3"/>
    <w:rsid w:val="00B21F15"/>
    <w:rsid w:val="00B42362"/>
    <w:rsid w:val="00B43189"/>
    <w:rsid w:val="00B43232"/>
    <w:rsid w:val="00B55BDE"/>
    <w:rsid w:val="00B730A4"/>
    <w:rsid w:val="00B77540"/>
    <w:rsid w:val="00B93AB4"/>
    <w:rsid w:val="00BD4CEF"/>
    <w:rsid w:val="00BD579A"/>
    <w:rsid w:val="00BD74EB"/>
    <w:rsid w:val="00BE07B0"/>
    <w:rsid w:val="00BE7C15"/>
    <w:rsid w:val="00BF0AA2"/>
    <w:rsid w:val="00C27140"/>
    <w:rsid w:val="00C30D16"/>
    <w:rsid w:val="00C454BB"/>
    <w:rsid w:val="00C45BBA"/>
    <w:rsid w:val="00C50C20"/>
    <w:rsid w:val="00C55D95"/>
    <w:rsid w:val="00C629D5"/>
    <w:rsid w:val="00C66361"/>
    <w:rsid w:val="00C74330"/>
    <w:rsid w:val="00C74925"/>
    <w:rsid w:val="00CA6B22"/>
    <w:rsid w:val="00CD7EAB"/>
    <w:rsid w:val="00CE3D73"/>
    <w:rsid w:val="00D00EC3"/>
    <w:rsid w:val="00D017B1"/>
    <w:rsid w:val="00D1289B"/>
    <w:rsid w:val="00D160F6"/>
    <w:rsid w:val="00D321F8"/>
    <w:rsid w:val="00D47729"/>
    <w:rsid w:val="00D569C7"/>
    <w:rsid w:val="00D65C71"/>
    <w:rsid w:val="00D71DCA"/>
    <w:rsid w:val="00D77F59"/>
    <w:rsid w:val="00DC5812"/>
    <w:rsid w:val="00DD2C4B"/>
    <w:rsid w:val="00DF592B"/>
    <w:rsid w:val="00DF6598"/>
    <w:rsid w:val="00E029DD"/>
    <w:rsid w:val="00E12701"/>
    <w:rsid w:val="00E175AA"/>
    <w:rsid w:val="00E22081"/>
    <w:rsid w:val="00E31665"/>
    <w:rsid w:val="00E44E51"/>
    <w:rsid w:val="00E6432E"/>
    <w:rsid w:val="00E7238C"/>
    <w:rsid w:val="00E837EB"/>
    <w:rsid w:val="00E91D35"/>
    <w:rsid w:val="00E97CF4"/>
    <w:rsid w:val="00EA59C1"/>
    <w:rsid w:val="00EC1CE7"/>
    <w:rsid w:val="00ED6D55"/>
    <w:rsid w:val="00EE2487"/>
    <w:rsid w:val="00EE650A"/>
    <w:rsid w:val="00EE702A"/>
    <w:rsid w:val="00EF671B"/>
    <w:rsid w:val="00F11B8A"/>
    <w:rsid w:val="00F20EDC"/>
    <w:rsid w:val="00F70969"/>
    <w:rsid w:val="00F85DA4"/>
    <w:rsid w:val="00F967F7"/>
    <w:rsid w:val="00F977B2"/>
    <w:rsid w:val="00FC2790"/>
    <w:rsid w:val="00FC3A53"/>
    <w:rsid w:val="00FC5082"/>
    <w:rsid w:val="00FD608B"/>
    <w:rsid w:val="00FF2C4D"/>
  </w:rsids>
  <m:mathPr>
    <m:mathFont m:val="Cambria Math"/>
    <m:brkBin m:val="before"/>
    <m:brkBinSub m:val="--"/>
    <m:smallFrac m:val="0"/>
    <m:dispDef/>
    <m:lMargin m:val="0"/>
    <m:rMargin m:val="0"/>
    <m:defJc m:val="centerGroup"/>
    <m:wrapIndent m:val="1440"/>
    <m:intLim m:val="subSup"/>
    <m:naryLim m:val="undOvr"/>
  </m:mathPr>
  <w:themeFontLang w:val="en-N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29CE"/>
  <w15:chartTrackingRefBased/>
  <w15:docId w15:val="{CF9457B6-0A65-4142-9081-55FA8086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15"/>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F17DA"/>
    <w:pPr>
      <w:spacing w:before="100" w:beforeAutospacing="1" w:after="100" w:afterAutospacing="1" w:line="240" w:lineRule="auto"/>
    </w:pPr>
    <w:rPr>
      <w:rFonts w:ascii="Times New Roman" w:hAnsi="Times New Roman" w:cs="Times New Roman"/>
      <w:sz w:val="24"/>
      <w:szCs w:val="24"/>
      <w:lang w:eastAsia="en-NZ"/>
    </w:rPr>
  </w:style>
  <w:style w:type="character" w:styleId="Strong">
    <w:name w:val="Strong"/>
    <w:basedOn w:val="DefaultParagraphFont"/>
    <w:uiPriority w:val="22"/>
    <w:qFormat/>
    <w:rsid w:val="00AF17DA"/>
    <w:rPr>
      <w:b/>
      <w:bCs/>
    </w:rPr>
  </w:style>
  <w:style w:type="paragraph" w:styleId="BalloonText">
    <w:name w:val="Balloon Text"/>
    <w:basedOn w:val="Normal"/>
    <w:link w:val="BalloonTextChar"/>
    <w:uiPriority w:val="99"/>
    <w:semiHidden/>
    <w:unhideWhenUsed/>
    <w:rsid w:val="00AF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7DA"/>
    <w:rPr>
      <w:rFonts w:ascii="Segoe UI" w:hAnsi="Segoe UI" w:cs="Segoe UI"/>
      <w:sz w:val="18"/>
      <w:szCs w:val="18"/>
    </w:rPr>
  </w:style>
  <w:style w:type="character" w:styleId="Hyperlink">
    <w:name w:val="Hyperlink"/>
    <w:basedOn w:val="DefaultParagraphFont"/>
    <w:uiPriority w:val="99"/>
    <w:unhideWhenUsed/>
    <w:rsid w:val="0077708D"/>
    <w:rPr>
      <w:color w:val="0563C1" w:themeColor="hyperlink"/>
      <w:u w:val="single"/>
    </w:rPr>
  </w:style>
  <w:style w:type="paragraph" w:customStyle="1" w:styleId="EndNoteBibliographyTitle">
    <w:name w:val="EndNote Bibliography Title"/>
    <w:basedOn w:val="Normal"/>
    <w:link w:val="EndNoteBibliographyTitleChar"/>
    <w:rsid w:val="00BE07B0"/>
    <w:pPr>
      <w:spacing w:after="0"/>
      <w:jc w:val="center"/>
    </w:pPr>
    <w:rPr>
      <w:noProof/>
      <w:lang w:val="en-US"/>
    </w:rPr>
  </w:style>
  <w:style w:type="character" w:customStyle="1" w:styleId="NormalWebChar">
    <w:name w:val="Normal (Web) Char"/>
    <w:basedOn w:val="DefaultParagraphFont"/>
    <w:link w:val="NormalWeb"/>
    <w:uiPriority w:val="99"/>
    <w:rsid w:val="00BE07B0"/>
    <w:rPr>
      <w:rFonts w:ascii="Times New Roman" w:hAnsi="Times New Roman" w:cs="Times New Roman"/>
      <w:sz w:val="24"/>
      <w:szCs w:val="24"/>
      <w:lang w:eastAsia="en-NZ"/>
    </w:rPr>
  </w:style>
  <w:style w:type="character" w:customStyle="1" w:styleId="EndNoteBibliographyTitleChar">
    <w:name w:val="EndNote Bibliography Title Char"/>
    <w:basedOn w:val="NormalWebChar"/>
    <w:link w:val="EndNoteBibliographyTitle"/>
    <w:rsid w:val="00BE07B0"/>
    <w:rPr>
      <w:rFonts w:ascii="Verdana" w:hAnsi="Verdana" w:cs="Times New Roman"/>
      <w:noProof/>
      <w:sz w:val="24"/>
      <w:szCs w:val="24"/>
      <w:lang w:val="en-US" w:eastAsia="en-NZ"/>
    </w:rPr>
  </w:style>
  <w:style w:type="paragraph" w:customStyle="1" w:styleId="EndNoteBibliography">
    <w:name w:val="EndNote Bibliography"/>
    <w:basedOn w:val="Normal"/>
    <w:link w:val="EndNoteBibliographyChar"/>
    <w:rsid w:val="00BE07B0"/>
    <w:pPr>
      <w:spacing w:line="240" w:lineRule="auto"/>
    </w:pPr>
    <w:rPr>
      <w:noProof/>
      <w:lang w:val="en-US"/>
    </w:rPr>
  </w:style>
  <w:style w:type="character" w:customStyle="1" w:styleId="EndNoteBibliographyChar">
    <w:name w:val="EndNote Bibliography Char"/>
    <w:basedOn w:val="NormalWebChar"/>
    <w:link w:val="EndNoteBibliography"/>
    <w:rsid w:val="00BE07B0"/>
    <w:rPr>
      <w:rFonts w:ascii="Verdana" w:hAnsi="Verdana" w:cs="Times New Roman"/>
      <w:noProof/>
      <w:sz w:val="24"/>
      <w:szCs w:val="24"/>
      <w:lang w:val="en-US" w:eastAsia="en-NZ"/>
    </w:rPr>
  </w:style>
  <w:style w:type="character" w:styleId="FollowedHyperlink">
    <w:name w:val="FollowedHyperlink"/>
    <w:basedOn w:val="DefaultParagraphFont"/>
    <w:uiPriority w:val="99"/>
    <w:semiHidden/>
    <w:unhideWhenUsed/>
    <w:rsid w:val="00B43189"/>
    <w:rPr>
      <w:color w:val="954F72" w:themeColor="followedHyperlink"/>
      <w:u w:val="single"/>
    </w:rPr>
  </w:style>
  <w:style w:type="character" w:customStyle="1" w:styleId="bkciteavail">
    <w:name w:val="bk_cite_avail"/>
    <w:basedOn w:val="DefaultParagraphFont"/>
    <w:rsid w:val="00B43189"/>
  </w:style>
  <w:style w:type="character" w:styleId="CommentReference">
    <w:name w:val="annotation reference"/>
    <w:basedOn w:val="DefaultParagraphFont"/>
    <w:uiPriority w:val="99"/>
    <w:semiHidden/>
    <w:unhideWhenUsed/>
    <w:rsid w:val="00C629D5"/>
    <w:rPr>
      <w:sz w:val="16"/>
      <w:szCs w:val="16"/>
    </w:rPr>
  </w:style>
  <w:style w:type="paragraph" w:styleId="CommentText">
    <w:name w:val="annotation text"/>
    <w:basedOn w:val="Normal"/>
    <w:link w:val="CommentTextChar"/>
    <w:uiPriority w:val="99"/>
    <w:semiHidden/>
    <w:unhideWhenUsed/>
    <w:rsid w:val="00C629D5"/>
    <w:pPr>
      <w:spacing w:line="240" w:lineRule="auto"/>
    </w:pPr>
    <w:rPr>
      <w:sz w:val="20"/>
      <w:szCs w:val="20"/>
    </w:rPr>
  </w:style>
  <w:style w:type="character" w:customStyle="1" w:styleId="CommentTextChar">
    <w:name w:val="Comment Text Char"/>
    <w:basedOn w:val="DefaultParagraphFont"/>
    <w:link w:val="CommentText"/>
    <w:uiPriority w:val="99"/>
    <w:semiHidden/>
    <w:rsid w:val="00C629D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629D5"/>
    <w:rPr>
      <w:b/>
      <w:bCs/>
    </w:rPr>
  </w:style>
  <w:style w:type="character" w:customStyle="1" w:styleId="CommentSubjectChar">
    <w:name w:val="Comment Subject Char"/>
    <w:basedOn w:val="CommentTextChar"/>
    <w:link w:val="CommentSubject"/>
    <w:uiPriority w:val="99"/>
    <w:semiHidden/>
    <w:rsid w:val="00C629D5"/>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2894">
      <w:bodyDiv w:val="1"/>
      <w:marLeft w:val="0"/>
      <w:marRight w:val="0"/>
      <w:marTop w:val="0"/>
      <w:marBottom w:val="0"/>
      <w:divBdr>
        <w:top w:val="none" w:sz="0" w:space="0" w:color="auto"/>
        <w:left w:val="none" w:sz="0" w:space="0" w:color="auto"/>
        <w:bottom w:val="none" w:sz="0" w:space="0" w:color="auto"/>
        <w:right w:val="none" w:sz="0" w:space="0" w:color="auto"/>
      </w:divBdr>
    </w:div>
    <w:div w:id="373701002">
      <w:bodyDiv w:val="1"/>
      <w:marLeft w:val="0"/>
      <w:marRight w:val="0"/>
      <w:marTop w:val="0"/>
      <w:marBottom w:val="0"/>
      <w:divBdr>
        <w:top w:val="none" w:sz="0" w:space="0" w:color="auto"/>
        <w:left w:val="none" w:sz="0" w:space="0" w:color="auto"/>
        <w:bottom w:val="none" w:sz="0" w:space="0" w:color="auto"/>
        <w:right w:val="none" w:sz="0" w:space="0" w:color="auto"/>
      </w:divBdr>
    </w:div>
    <w:div w:id="755175186">
      <w:bodyDiv w:val="1"/>
      <w:marLeft w:val="0"/>
      <w:marRight w:val="0"/>
      <w:marTop w:val="0"/>
      <w:marBottom w:val="0"/>
      <w:divBdr>
        <w:top w:val="none" w:sz="0" w:space="0" w:color="auto"/>
        <w:left w:val="none" w:sz="0" w:space="0" w:color="auto"/>
        <w:bottom w:val="none" w:sz="0" w:space="0" w:color="auto"/>
        <w:right w:val="none" w:sz="0" w:space="0" w:color="auto"/>
      </w:divBdr>
    </w:div>
    <w:div w:id="1326130646">
      <w:bodyDiv w:val="1"/>
      <w:marLeft w:val="0"/>
      <w:marRight w:val="0"/>
      <w:marTop w:val="0"/>
      <w:marBottom w:val="0"/>
      <w:divBdr>
        <w:top w:val="none" w:sz="0" w:space="0" w:color="auto"/>
        <w:left w:val="none" w:sz="0" w:space="0" w:color="auto"/>
        <w:bottom w:val="none" w:sz="0" w:space="0" w:color="auto"/>
        <w:right w:val="none" w:sz="0" w:space="0" w:color="auto"/>
      </w:divBdr>
    </w:div>
    <w:div w:id="1945844693">
      <w:bodyDiv w:val="1"/>
      <w:marLeft w:val="0"/>
      <w:marRight w:val="0"/>
      <w:marTop w:val="0"/>
      <w:marBottom w:val="0"/>
      <w:divBdr>
        <w:top w:val="none" w:sz="0" w:space="0" w:color="auto"/>
        <w:left w:val="none" w:sz="0" w:space="0" w:color="auto"/>
        <w:bottom w:val="none" w:sz="0" w:space="0" w:color="auto"/>
        <w:right w:val="none" w:sz="0" w:space="0" w:color="auto"/>
      </w:divBdr>
    </w:div>
    <w:div w:id="2134473776">
      <w:bodyDiv w:val="1"/>
      <w:marLeft w:val="0"/>
      <w:marRight w:val="0"/>
      <w:marTop w:val="0"/>
      <w:marBottom w:val="0"/>
      <w:divBdr>
        <w:top w:val="none" w:sz="0" w:space="0" w:color="auto"/>
        <w:left w:val="none" w:sz="0" w:space="0" w:color="auto"/>
        <w:bottom w:val="none" w:sz="0" w:space="0" w:color="auto"/>
        <w:right w:val="none" w:sz="0" w:space="0" w:color="auto"/>
      </w:divBdr>
      <w:divsChild>
        <w:div w:id="65827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2253</Words>
  <Characters>13428</Characters>
  <Application>Microsoft Office Word</Application>
  <DocSecurity>0</DocSecurity>
  <Lines>291</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Kuo</dc:creator>
  <cp:keywords/>
  <dc:description/>
  <cp:lastModifiedBy>Lola Mugisho</cp:lastModifiedBy>
  <cp:revision>3</cp:revision>
  <cp:lastPrinted>2020-10-26T19:58:00Z</cp:lastPrinted>
  <dcterms:created xsi:type="dcterms:W3CDTF">2020-11-11T20:19:00Z</dcterms:created>
  <dcterms:modified xsi:type="dcterms:W3CDTF">2020-11-11T20:49:00Z</dcterms:modified>
</cp:coreProperties>
</file>