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High-throughput live imaging of microcolonies to measure heterogeneity in growth and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Federica M. O. Sartori, Cassandra Buzby, Yevgeniy Plavskin, Mark L. Siegal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Genomics and Systems Biology, Department of Biology, New York University, NY, 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federica.sartori@nyu.edu</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cb4097@nyu.edu</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eugene.plavskin@nyu.edu</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mark.siegal@nyu.edu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rate,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nongenetic heterogeneity, high-throughput microscopy, natural variation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Yeast growth phenotypes are precisely measured through highly parallel time-lapse imaging of immobilized cells growing into microcolonies. Simultaneously, stress tolerance, protein expression, and protein localization can be monitored, generating integrated datasets to study how environmental and genetic differences, as well as gene-expression heterogeneity among isogenic cells, modulate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Precise measurements of between- and within-strain heterogeneity in microbial growth rates are essential for understanding genetic and environmental inputs into stress tolerance, pathogenicity, and other key components of fitness. This manuscript describes a microscope-based assay that tracks approximately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microcolonies per experiment. After automated time-lapse imaging of yeast immobilized in a multiwell plate, microcolony growth rates are easily analyzed with custom image-analysis software. For each microcolony, expression and localization of fluorescent proteins and survival of acute stress can also be monitored. This assay allows precise estimation of strains’ average growth rates, as well as comprehensive measurement of heterogeneity in growth, gene expression, and stress tolerance within clonal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phenotypes contribute critically to yeast fitness. Natural selection can efficiently distinguish between lineages with growth rates differing by the inverse of the effective population size, which can exceed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individuals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variability of growth rates among individuals within a population is an evolutionarily relevant parameter, as it can serve as the basis for survival strategies such as bet hedging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assays that allow for highly accurate measurements of growth phenotypes and their distributions are pivotal for the study of microorganisms. The microcolony growth assay described here can generate individual growth-rate measurements for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microcolonies per experiment. This assay therefore provides a powerful protocol to study yeast evolutionary genetics and genomics. It lends itself particularly well to testing how variability within populations of genetically identical single cells is generated, maintained, and contributes to population fitness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uses periodically captured, low-magnification brightfield images of cells growing in liquid media on a 96- or 384-well glass-bottom plate to track growth into microcolonies. The cells adhere to the lectin concanavalin A, which coats the bottom of the microscope plate, and form two-dimensional colonies. Because the microcolonies grow in a monolayer, microcolony area is highly correlated with cell number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accurate estimates of microcolony growth rate and lag time can be generated with custom image-analysis software that tracks the rate of change of the area of each microcolony. Furthermore, the experimental setup can monitor the abundances and even the subcellular localizations of fluorescently labeled proteins expressed in these microcolonies. Downstream processing of data from this microcolony growth assay can be achieved by custom analysis or by existing image-analysis software, such as Processing Images Easily (PIE)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 algorithm for robust colony area recognition and high-throughput growth analysis from low-magnification, brightfield images, which is available via GitHub</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growth-rate estimates derived from the microcolony-growth assay are generated from a large number of single-colony measurements, they are extremely accurate, with standard errors several orders of magnitude smaller than the estimates themselves for a reasonably sized experiment. Therefore, the power of the assay to detect growth-rate differences between different genotypes, treatments, or environmental conditions is high. The multiwell-plate format allows numerous different environment and genotype combinations to be compared in a single experiment. If strains constitutively express different fluorescent markers, they may be mixed in the same well and distinguished by subsequent image analysis, which could increase power further by allowing well-by-well data normalization.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Randomized Plates (Prior to Experiment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Plan the strains and conditions to be tested with the growth assay. At this point, randomly assign strains and conditions to any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considering plate setup, it is advisable to include more than one replicate per strain and growth condition on a single plate to account for well-related noise in measurements. See DisXion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Computationally randomize the location of each strain and environmental condition for plate replicates that will be run on different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Grow all cells that will be used in the experiment to saturation in yeast extract-peptone-dextrose (YEPD; 2% glucose) medium in a shaker at 30 &amp;#176;C (or any other appropriate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Create the randomized stock plates either manually or with a liquid-handling robot. Add 10 &amp;#181;L of the designated saturated cells to each well of a sterile U-bottom tissue culture plate. If multiple strains will be tested in a single well, do not combine them at this point; this combining will be done just prior to cell dilutions on the day of the experiment to ensure all strains are at the correct concentrations when plated as microcolony founder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10 &amp;#181;L of 30% glycerol to each well of each plate. Pipet up and down so that the cells and the glycerol become well mixed.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Seal each plate with a foil cover and freeze down immediately at -70 &amp;#176;C until ready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create all randomized plates on the same day, and freeze them, so that the pre-growth conditions of the cells in each plate will have been identical and will not generate technical variation in the growth-rate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Pre-Growth of Yeast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this starts prior to experiment day and is highly dependent on the experimental question. See Disxn for details.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Remove a stock plate (10 &amp;#181;L yeast, 10 &amp;#181;L glycerol per well) from the -70 &amp;#176;C freezer and add 180 &amp;#181;L of the media to be used for the experiment. If the experiment will be conducted using nutrient-limiting media, do not pre-grow yeast to saturation in the nutrient-limiting media as sporulation of yeast can occur. Instead, pre-grow in non-limiting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Grow yeast while shaking at 30 &amp;#176;C. Consider whether to run the assay starting with cells in log phase or in stationary phase to determine if diluting the cells multiple times prior to the experiment will be necessary. If the yeast strains or conditions in the assay are expected to have significantly different growth rates, then a two-day pre-growth period will be necessary in order for all the different conditions to reach stationary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Microscope Setup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Microscope plate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Ensure that the microscope incubator is on and heating the microscope chamber to the desired growth temperature for the experimental conditions. For standard experiments using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cells, the incubator should heat the microscope chamber to 30 &amp;#176;C to ensure that the growth conditions for the cells will be correct during the growth rate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Sanitize the workbench, pipettes, and other tools with 70% ethanol. Retrieve a microscope plate and place it on the bench on top of a lint- and static-free wipe.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Never touch the bottom of the microscope plate, even with gloves on, and always set the microscope plate down on top of a lint- and static-free wipe any time it touches any surface. This prevents smudges or scratches from impeding growth-rate measurements once the experiment is being imaged.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Thaw 5 mL of 5x concanavalin A solution, dilute to 1x with water, and filter sterilize through a syringe fitted with a 0.2-&amp;#181;m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Filter sterilize all other liquids that will be used in the assay with a 0.2 &amp;#181;m filter, including experimental media, to remove any crystals or debris that may have materialized in the solutions. The presence of crystals would reduce the quality of the microscopy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Pipet 200 &amp;#181;L of concanavalin A solution into each well of the microscope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Centrifuge the plate for 2 min at 411 x gravity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with a lint- and static-free wipe under the plate, to ensure that the concanavalin A solution evenly covers the bottom of each well and that there are no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Cover the plate with its lid and let it sit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The precise time the plate sits is flexible, but it is important to be consistent between different runs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Remove all of the concanavalin A solution from the plate either by suction or by forcefully discharging it out into the sink or a receptacle. Be careful not to touch the glass part of the plate. It is acceptable if some drops of concanavalin A solution remain in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Wash the microscope plate wells by adding 400 &amp;#181;L of sterile water. Remove the water as done with the concanavalin A in the previous step</w:t>
      </w:r>
      <w:r>
        <w:rPr>
          <w:rFonts w:ascii="Calibri" w:hAnsi="Calibri" w:cs="Calibri" w:eastAsia="Calibri"/>
          <w:b/>
          <w:color w:val="auto"/>
          <w:spacing w:val="0"/>
          <w:position w:val="0"/>
          <w:sz w:val="24"/>
          <w:shd w:fill="auto" w:val="clear"/>
        </w:rPr>
        <w:t xml:space="preserve">. Do not let the plate sit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Immediately add 185 &amp;#181;L experimental growth media into the plate. 15 &amp;#181;L of </w:t>
      </w:r>
      <w:r>
        <w:rPr>
          <w:rFonts w:ascii="Calibri" w:hAnsi="Calibri" w:cs="Calibri" w:eastAsia="Calibri"/>
          <w:b/>
          <w:color w:val="auto"/>
          <w:spacing w:val="0"/>
          <w:position w:val="0"/>
          <w:sz w:val="24"/>
          <w:shd w:fill="auto" w:val="clear"/>
        </w:rPr>
        <w:t xml:space="preserve">correctly diluted </w:t>
      </w:r>
      <w:r>
        <w:rPr>
          <w:rFonts w:ascii="Calibri" w:hAnsi="Calibri" w:cs="Calibri" w:eastAsia="Calibri"/>
          <w:color w:val="auto"/>
          <w:spacing w:val="0"/>
          <w:position w:val="0"/>
          <w:sz w:val="24"/>
          <w:shd w:fill="auto" w:val="clear"/>
        </w:rPr>
        <w:t xml:space="preserve">cells will be added to this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Yeast Cell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steps below describe a dilution of yeast from a saturated culture (approximately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cells/mL) 400-fold to achieve a concentration of 250,000 cells/mL, 15 &amp;#181;L of which will be diluted into 400 &amp;#181;L in the glass-bottom plate, giving a final number of approximately 4000 cells per well in a 96-well plate</w:t>
      </w:r>
      <w:r>
        <w:rPr>
          <w:rFonts w:ascii="Calibri" w:hAnsi="Calibri" w:cs="Calibri" w:eastAsia="Calibri"/>
          <w:color w:val="auto"/>
          <w:spacing w:val="0"/>
          <w:position w:val="0"/>
          <w:sz w:val="24"/>
          <w:shd w:fill="auto" w:val="clear"/>
        </w:rPr>
        <w:t xml:space="preserve">. If using a 384-well plate the final number of cells per well should be approximately 700 and the dilutions should be adjusted accordingly. This ratio should be adjusted for cells collected in log phase, growing in richer or poorer pre-growth media, or from different strains. The final density of cells per well should be reduced when running the growth rate assay for time periods longer than 10 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Arial" w:hAnsi="Arial" w:cs="Arial" w:eastAsia="Arial"/>
          <w:color w:val="344043"/>
          <w:spacing w:val="0"/>
          <w:position w:val="0"/>
          <w:sz w:val="18"/>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Set up two 96-well culture plates for serial dilutions: label as plate 1 and 2, and add 90 &amp;#181;L experimental growth media (i.e., the media that the yeast will grow in on the microscope) to each serial dilution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Regardless of what final dilution is used, at least two serial dilutions of cells are recommended, in each of which a small volume of yeast is pipetted into a bigger volume of experimental media and then a large volume of experimental media is mixed in vigorously with a pipet (as in steps 3.2.5 and 3.2.6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Retrieve the plate of cells from pre-growth and centrifuge the plate for 2 min at 411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not to cross-contaminate different wells in the plate. The purpose of this centrifugation step before removing the foil covering from plates is to ensure that yeast-filled droplets from one well do not fly off the foil and end up in other wells. Be careful never to tilt or agitate the plates to avoid yeast coming into contact with the foil covering after centrifugation.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Carefully peel back the foil and resuspend cells by vigorously pipetting cells with a pipet set to approximately one-half the total volume in the plate while moving the pipet around the well to mix. Check that all cells have been resuspended from the bottom of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If multiple strains within individual wells will be used, strains should be mixed at this time at the ratio necessary for the experiment. If a reference strain will be used to generate growth-rate measurements, the ratio of reference to test strain should be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Pipet 10 &amp;#181;L of yeast from growth media into dilution plate 1. Add 100 &amp;#181;L of experimental growth media to each well to a final volume of 200 &amp;#181;L per well. Pipet up and down vigorously.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Pipet 10 &amp;#181;L of yeast from plate 1 into plate 2. Add 100 &amp;#181;L of experimental growth media to each well, and pipet up and down vigorously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dilution steps are critical to help separate clusters of yeast that are stuck together at the end of the pre-growth stage and ensure that approximately equal numbers of yeast cells end up in each well. Having consistent numbers of yeast in each well helps remove experimental noise and biases in growth-rate measurements (see Rexative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Sonication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Sonication is optional</w:t>
      </w:r>
      <w:r>
        <w:rPr>
          <w:rFonts w:ascii="Calibri" w:hAnsi="Calibri" w:cs="Calibri" w:eastAsia="Calibri"/>
          <w:color w:val="auto"/>
          <w:spacing w:val="0"/>
          <w:position w:val="0"/>
          <w:sz w:val="24"/>
          <w:shd w:fill="auto" w:val="clear"/>
        </w:rPr>
        <w:t xml:space="preserve">, and only needs to be performed for yeast strains that have a high propensity to adhere to one another (e.g., some wild strains). For lab strains, sonication is generally not necessary and may be skipped by proceeding to step 3.4.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Sanitize a 96-pin sonicator head with 70% ethanol by placing it in a 96-well plate filled with 70% ethanol and dry with a lint- and static-free wipe.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Set a sonication program that is sufficiently strong to break apart flocculated yeast cells, but does not kill cells or cause elevated stress responses. Some testing may be required to identify the best sonication program for a given experiment. The sonication program used in this experiment is: amplitude = 10, process time = 10 s, pulse-on = 1 s, pulse-off = 1 s. This exact program is likely not applicable to all sonicators so testing is suggested prior to the experiment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Mix the yeast in serial dilution plate 2 once more by pipetting up and down vigorously five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Place dilution plate 2 on the platform and secure it with the sonicator pins in the cell suspension but not touching the bottom of the plate. Run the sonication program using appropriate ear 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After the program runs, clean the sonicator head with 70% ethanol and then with water, and then </w:t>
      </w:r>
      <w:r>
        <w:rPr>
          <w:rFonts w:ascii="Calibri" w:hAnsi="Calibri" w:cs="Calibri" w:eastAsia="Calibri"/>
          <w:b/>
          <w:color w:val="auto"/>
          <w:spacing w:val="0"/>
          <w:position w:val="0"/>
          <w:sz w:val="24"/>
          <w:shd w:fill="auto" w:val="clear"/>
        </w:rPr>
        <w:t xml:space="preserve">immediately </w:t>
      </w:r>
      <w:r>
        <w:rPr>
          <w:rFonts w:ascii="Calibri" w:hAnsi="Calibri" w:cs="Calibri" w:eastAsia="Calibri"/>
          <w:color w:val="auto"/>
          <w:spacing w:val="0"/>
          <w:position w:val="0"/>
          <w:sz w:val="24"/>
          <w:shd w:fill="auto" w:val="clear"/>
        </w:rPr>
        <w:t xml:space="preserve">proceed to microscope plate preparation so that the cells do not flocculate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Prepare Plate for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Pipet 15 &amp;#181;L of yeast from serial dilution plate 2 into the microscope plate to a volume of 200 &amp;#181;L. Add 200 &amp;#181;L of experimental growth media to each well to a final volume of 400 &amp;#181;L per well, and pipet up and down vigorously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Cover the plate with a breathable membrane. It is important to seal the plate well with this membrane, for example using a rubber roller.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To adhere the yeast cells to the concanavalin A on the glass surface, centrifuge the plate with a lint- and static-free wipe beneath it for 2 min at 411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At the microscope, wipe the top and bottom of the plate with a lint- and static-free wipe, and blow compressed air onto the plate to get rid of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Place the plate onto the microscope, making sure it is level and that the A1 well is in the top left corner.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Time-lapse Microscopy Growth-rate Measurements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During time-lapse microscopy the following features are computer controlled: x, y, and z position, shutters, and fluorescence filters. A hardware-based auto-focus system is optimal to prevent focal plane drift during time-lapse imaging. Alternatively, a software-based auto-focusing loop can be used. To maintain humidity in the microscope chamber, it is advised to keep a beaker with purified water in the chamber throughout the duration of the experiment.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w:t>
        <w:tab/>
        <w:t xml:space="preserve">Create a list of positions (x,y) to image, so that each microscope-plate well is fully imaged. Avoid overlapping images so that no cell is analyzed multiple times.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Image in brightfield with diascopic illumination (DIA) at a magnification of 15x. Set exposure to ~5 ms.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Zoom in on the image digitally so that cells are clearly visible. Use the focusing knobs to identify the ideal focus for the experiment in the four wells on the corner of the plate and in one well at the center of the plate. Focus in such a way as to get maximum contrast of the cells.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w:t>
        <w:tab/>
        <w:t xml:space="preserve">Set the z position (or autofocus position) for the experiment to be an average of the z/autofocus positions identified for each of these wells. If the microscope plate is well made and the glass bottom does not have defects, the ideal focus positions should be similar for each well.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When analyzing images with the Processing Images Easily (PIE) image analysis pipeline</w:t>
      </w:r>
      <w:r>
        <w:rPr>
          <w:rFonts w:ascii="Calibri" w:hAnsi="Calibri" w:cs="Calibri" w:eastAsia="Calibri"/>
          <w:color w:val="000000"/>
          <w:spacing w:val="0"/>
          <w:position w:val="0"/>
          <w:sz w:val="24"/>
          <w:shd w:fill="FFFFFF" w:val="clear"/>
          <w:vertAlign w:val="superscript"/>
        </w:rPr>
        <w:t xml:space="preserve">11, 12</w:t>
      </w:r>
      <w:r>
        <w:rPr>
          <w:rFonts w:ascii="Calibri" w:hAnsi="Calibri" w:cs="Calibri" w:eastAsia="Calibri"/>
          <w:color w:val="auto"/>
          <w:spacing w:val="0"/>
          <w:position w:val="0"/>
          <w:sz w:val="24"/>
          <w:shd w:fill="FFFFFF" w:val="clear"/>
        </w:rPr>
        <w:t xml:space="preserve">, it is helpful for the cells to be slightly out of focus on the microscope so that there is a dark rim outside of the cell and a light-colored interior, which aids in accurate colony recognition and size estimates.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w:t>
        <w:tab/>
        <w:t xml:space="preserve">If using fluorescent strains, identify the channels and the exposures with which to image, ensuring that no pixels are overexposed. When setting exposure time for fluorescent channels, turn off the “live capture” mode on the microscope to avoid exposing cells to fluorescence excitation for long periods of time, as this can both photobleach the cells and cause stress.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4.6.</w:t>
        <w:tab/>
        <w:t xml:space="preserve">Set up the time-sequence acquisition to capture images at the desired time interval for the desired length of time.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4.7.</w:t>
        <w:tab/>
        <w:t xml:space="preserve">Run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novelty of this protocol is that growth rate can be calculated for individual cells within a population by tracking their growth into microcolonies through time-lapse imaging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Because microcolonies grow for many hours in a planar manner due to the presence of concanavalin A, their areas can be tracked throughout the experiment, and a linear fit to the change in the natural log of the area over time can be used to calculate growth rate for each individual colony observed </w:t>
      </w:r>
      <w:r>
        <w:rPr>
          <w:rFonts w:ascii="Calibri" w:hAnsi="Calibri" w:cs="Calibri" w:eastAsia="Calibri"/>
          <w:color w:val="000000"/>
          <w:spacing w:val="0"/>
          <w:position w:val="0"/>
          <w:sz w:val="24"/>
          <w:shd w:fill="auto" w:val="clear"/>
          <w:vertAlign w:val="superscript"/>
        </w:rPr>
        <w:t xml:space="preserve">7, 9, 10, 13</w:t>
      </w:r>
      <w:r>
        <w:rPr>
          <w:rFonts w:ascii="Calibri" w:hAnsi="Calibri" w:cs="Calibri" w:eastAsia="Calibri"/>
          <w:color w:val="auto"/>
          <w:spacing w:val="0"/>
          <w:position w:val="0"/>
          <w:sz w:val="24"/>
          <w:shd w:fill="auto" w:val="clear"/>
        </w:rPr>
        <w:t xml:space="preserve">. Differences in microcolony growth rate for individual isogenic cells in the same environment are clearly recorded (</w:t>
      </w:r>
      <w:r>
        <w:rPr>
          <w:rFonts w:ascii="Calibri" w:hAnsi="Calibri" w:cs="Calibri" w:eastAsia="Calibri"/>
          <w:b/>
          <w:color w:val="auto"/>
          <w:spacing w:val="0"/>
          <w:position w:val="0"/>
          <w:sz w:val="24"/>
          <w:shd w:fill="auto" w:val="clear"/>
        </w:rPr>
        <w:t xml:space="preserve">Figures 2A, 2B</w:t>
      </w:r>
      <w:r>
        <w:rPr>
          <w:rFonts w:ascii="Calibri" w:hAnsi="Calibri" w:cs="Calibri" w:eastAsia="Calibri"/>
          <w:color w:val="auto"/>
          <w:spacing w:val="0"/>
          <w:position w:val="0"/>
          <w:sz w:val="24"/>
          <w:shd w:fill="auto" w:val="clear"/>
        </w:rPr>
        <w:t xml:space="preserve">). Image-analysis software should be used to automatically track changes in microcolony size and fluorescence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colony tracking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was done using PIE</w:t>
      </w:r>
      <w:r>
        <w:rPr>
          <w:rFonts w:ascii="Calibri" w:hAnsi="Calibri" w:cs="Calibri" w:eastAsia="Calibri"/>
          <w:color w:val="000000"/>
          <w:spacing w:val="0"/>
          <w:position w:val="0"/>
          <w:sz w:val="24"/>
          <w:shd w:fill="auto" w:val="clear"/>
          <w:vertAlign w:val="superscript"/>
        </w:rPr>
        <w:t xml:space="preserve">11, 12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microcolony growth rates per experiment can be collected using this assay. These data can be used to observe both differences between strains/growth conditions, and variation across genetically identical microcolonies grown in a shared condition. For example, Figure 3A shows the distributions of growth rates for ~12,000 colonies from a mutation-accumulation line (MAH.44)</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GFP-marked reference strain grown in the same wells, with both differences between the strains and high within-strain variability visible. In Figure 3B, individual growth rates and summary statistics for 10 mutation-accumulation strains, paired with their in-well GFP-marked controls, are shown; the collected data allow precise calculation of small average growth-rate differences.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microcolony growth assay can also be used to simultaneously measure growth and gene expression by imaging both brightfield and fluorescence channels. In the experiment shown in Figure 2, fluorescent imaging of GFP expression after the completion of the growth phase of the experiment allowed identification of colonies belonging to a GFP-marked in-well reference strain with weak GFP expression (Figure 2C); however, measurement of intercolony differences in gene expression levels across timepoints is also possible (see DisXon).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 number of common pitfalls can prevent collection of accurate growth-rate data or the correct analysis of these data. One key point is that g</w:t>
      </w:r>
      <w:r>
        <w:rPr>
          <w:rFonts w:ascii="Calibri" w:hAnsi="Calibri" w:cs="Calibri" w:eastAsia="Calibri"/>
          <w:color w:val="auto"/>
          <w:spacing w:val="0"/>
          <w:position w:val="0"/>
          <w:sz w:val="24"/>
          <w:shd w:fill="FFFFFF" w:val="clear"/>
        </w:rPr>
        <w:t xml:space="preserve">rowth-rate measurements rely on the formation of immobile, two-dimensional microcolonies from single founder yeast cells. Concanavalin A interacts noncovalently with polysaccharides on the surfaces of yeast cells to immobilize microcolonies. The bond between concanavalin A and yeast cells can be reversed by competition with sugars or by low pH</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Therefore, strongly acidic media or media containing lectin-binding components such as yeast extract (YEPD) or phthalate (Edinburgh Minimal Media), cannot be used for this assay without modifications to the immobilization technique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If the growth assay is being conducted with yeast strains that flocculate, the optional sonication step should be used to break apart aggregated cells so single cells are immobilized on the microscope plate at the beginning of the experiment (see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for an example of flocculating cells post-plating if the sonication step is omitted). Any microcolonies that are founded by a cluster of multiple cells should be excluded in downstream analysis, as growth-rate measurements are no longer derived from a single founder cell, and cells may not be growing in two dimensions. Microcolonies that are founded by a budding cell are admissible. The formation of two-dimensional microcolonies is impeded by yeast that flocculate very strongly, even if colonies are founded by a single cell, and therefore the ability of a yeast strain to grow in a single layer on concanavalin A should be tested before conducting a growth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Another important set of considerations comes during both the planning and analysis stages of the experiment, when determining how many timepoints to include in analysis. First, it is important to include data for enough timepoints across a sufficient period of time to accurately track growth: it is recommended that assays are run in such a way that yeast have time to go through ~5 doublings, with at least 10 timepoints collected over that period. However, simply including every collected timepoint in the growth-rate calculation will result in a bias that artificially lowers growth rate for many colonies. This bias can occur when cells go through a lag phase before beginning growth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Pre-growth lag of microcolonies is common and varies between experimental conditions and strains</w:t>
      </w:r>
      <w:r>
        <w:rPr>
          <w:rFonts w:ascii="Calibri" w:hAnsi="Calibri" w:cs="Calibri" w:eastAsia="Calibri"/>
          <w:color w:val="000000"/>
          <w:spacing w:val="0"/>
          <w:position w:val="0"/>
          <w:sz w:val="24"/>
          <w:shd w:fill="FFFFFF" w:val="clear"/>
          <w:vertAlign w:val="superscript"/>
        </w:rPr>
        <w:t xml:space="preserve">9, 13</w:t>
      </w:r>
      <w:r>
        <w:rPr>
          <w:rFonts w:ascii="Calibri" w:hAnsi="Calibri" w:cs="Calibri" w:eastAsia="Calibri"/>
          <w:color w:val="auto"/>
          <w:spacing w:val="0"/>
          <w:position w:val="0"/>
          <w:sz w:val="24"/>
          <w:shd w:fill="FFFFFF" w:val="clear"/>
        </w:rPr>
        <w:t xml:space="preserve">. Experimental analysis methods must be able to differentiate timepoints in the “active growth” period from pre-growth lag; one approach is to use a pre-set number of timepoints in a window and find the window that corresponds to the highest growth rate (</w:t>
      </w:r>
      <w:r>
        <w:rPr>
          <w:rFonts w:ascii="Calibri" w:hAnsi="Calibri" w:cs="Calibri" w:eastAsia="Calibri"/>
          <w:b/>
          <w:color w:val="auto"/>
          <w:spacing w:val="0"/>
          <w:position w:val="0"/>
          <w:sz w:val="24"/>
          <w:shd w:fill="FFFFFF" w:val="clear"/>
        </w:rPr>
        <w:t xml:space="preserve">Figure 4D</w:t>
      </w:r>
      <w:r>
        <w:rPr>
          <w:rFonts w:ascii="Calibri" w:hAnsi="Calibri" w:cs="Calibri" w:eastAsia="Calibri"/>
          <w:color w:val="auto"/>
          <w:spacing w:val="0"/>
          <w:position w:val="0"/>
          <w:sz w:val="24"/>
          <w:shd w:fill="FFFFFF" w:val="clear"/>
        </w:rPr>
        <w:t xml:space="preserve">, solid line)</w:t>
      </w:r>
      <w:r>
        <w:rPr>
          <w:rFonts w:ascii="Calibri" w:hAnsi="Calibri" w:cs="Calibri" w:eastAsia="Calibri"/>
          <w:color w:val="000000"/>
          <w:spacing w:val="0"/>
          <w:position w:val="0"/>
          <w:sz w:val="24"/>
          <w:shd w:fill="FFFFFF" w:val="clear"/>
          <w:vertAlign w:val="superscript"/>
        </w:rPr>
        <w:t xml:space="preserve">11, 13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Finally, one of the most critical steps of the microcolony growth assay is the yeast-cell dilution step. The concentration of cells and the ratio of different genotypes within microscope-plate wells must be carefully controlled. For statistical analysis it is important that experiments be balanced such that approximately equal numbers of cells for each genotype and condition are tested and compared</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In addition, useful growth rates typically cannot be measured after neighboring colonies merge because the growth rates of the individual colonies can no longer be discerned; therefore, more densely plated cells will yield growth data from fewer timepoints (Figure 4D). Importantly, if cell density is high or uneven at the start of an experiment, filtering out merged microcolonies will disproportionately exclude faster growing microcolonies from downstream analyses because fast growers will merge more frequently than slow growers. Therefore, final growth measurements will be biased towards slower-growing sub-populations. Additionally, different numbers of colonies may be filtered out for different treatments, precluding a balanced experiment. It is recommended to plate around 4000 cells per well in a 96-well plate (or 700 cells per well in a 384-well plate). </w:t>
      </w:r>
      <w:r>
        <w:rPr>
          <w:rFonts w:ascii="Calibri" w:hAnsi="Calibri" w:cs="Calibri" w:eastAsia="Calibri"/>
          <w:b/>
          <w:color w:val="auto"/>
          <w:spacing w:val="0"/>
          <w:position w:val="0"/>
          <w:sz w:val="24"/>
          <w:shd w:fill="FFFFFF" w:val="clear"/>
        </w:rPr>
        <w:t xml:space="preserve">Thorough pipet mixing throughout the yeast-dilution portion of the protocol is imperative to ensure that the correct number of cells is present in each well, and that cells are evenly dispersed throughout the well. </w:t>
      </w:r>
      <w:r>
        <w:rPr>
          <w:rFonts w:ascii="Calibri" w:hAnsi="Calibri" w:cs="Calibri" w:eastAsia="Calibri"/>
          <w:color w:val="auto"/>
          <w:spacing w:val="0"/>
          <w:position w:val="0"/>
          <w:sz w:val="24"/>
          <w:shd w:fill="FFFFFF" w:val="clear"/>
        </w:rPr>
        <w:t xml:space="preserve">It is also advisable to remove any microcolonies from analysis whose centers are within ~10 cell diameters of each other.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protocol. </w:t>
      </w:r>
      <w:r>
        <w:rPr>
          <w:rFonts w:ascii="Calibri" w:hAnsi="Calibri" w:cs="Calibri" w:eastAsia="Calibri"/>
          <w:color w:val="auto"/>
          <w:spacing w:val="0"/>
          <w:position w:val="0"/>
          <w:sz w:val="24"/>
          <w:shd w:fill="auto" w:val="clear"/>
        </w:rPr>
        <w:t xml:space="preserve">This protocol follows two main steps, which are the preparation of the experimental plate and the preparation of the cells to image. Randomization of plates and growth of cells should be conducted before and leading up to the experiment day. Repeated mixing of cells at each step during dilution is imperative in the steps until plating, and therefore preparing the experimental plate first is recommended so that it is ready for plating immediately upon the completion of cell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Quantification of growth rate and fluorescence in yeast microcolonies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 portion of a single imaging field showing microcolonies growing at the start of the experiment, after 3 h, and after 6 h, showing colony tracking using the PIE colony tracking software. Colonies are visibly growing in a monolayer for the duration of the experiment. (B) Change in ln(area) over time for the tracked colonies in panel A. If sufficient timepoint data exist for a colony, its growth rate and pre-growth lag time can be calculated. (C) Image showing GFP fluorescence intensity for the colonies in panel A, taken after the growth portion of the experiment is complete, with the colony outlines from the 6-h timepoint overlaid. Here, Scw11P::GFP marks a reference strain included in every experimental well. Calculating the GFP fluorescence level of each colony allows determination of which colonies originate from the reference strain, and which from the non-reference strains in each well. Each scale bar is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Large sample sizes of individual microcolony growth rates allow for precise quantification of within-strain and between-strain growth variation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distributions of growth rates of ~12,000 colonies from two strains. Note differences between the modes of the distributions, as well as the long tail of slow-growing colonies present in each one; the latter is only detectable due to individual microcolony 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Distributions of individual microcolony growth rates (black dots) and summary statistics (boxplots showing median, as well as lower and upper 25% quantiles) for ~120,000 colonies from 11 strains. As in (A), each strain was grown in an individual well with a spiked-in GFP-marked reference strain; data shown here represent 14 experimental wells per MAH-reference strain 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Experimental pitfalls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Colonies growing in YEPD media, which prevents efficient binding of cells to concanavalin A. The appearance of new cells far from any colony (arrowheads), as well as the appearance of many out-of-focus cells at the edge of the colony, are the result of cells failing to adhere to the glass surface and drifting away from the colony during growth. (B) Cells from a flocculating strain right after plating without sonication; notice the presence of large numbers of clusters of multiple cells (arrowheads), and cells within the clusters in different focal planes. (C) Change in ln(area) over time for a colony with a long lag phase. Note that if all timepoints are used for growth-rate estimation, the estimated growth rate is significantly depressed; an accurate measurement is produced only when the subset of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timepoints (here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=6) that results in the highest growth rate estimate is used. (D) Cells that were plated too densely shown at the start of the experiment and after 7 h of growth. Colors track individual colonies until they merge with neighbors; here, by the 7-h mark, the majority of colonies have merged, with only a small number of individual slow-growing colonies remaining. (Tracking for a small subset of the colonies shown here is lost for reasons unrelated to colony merging.) Each scale bar is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a versatile assay that allows cell growth and gene expression to be monitored simultaneously at the level of individual microcolonies. Combining these two modalities yields unique biological insights. For example, previous work has used this assay to show a negative correlation between expression of the </w:t>
      </w:r>
      <w:r>
        <w:rPr>
          <w:rFonts w:ascii="Calibri" w:hAnsi="Calibri" w:cs="Calibri" w:eastAsia="Calibri"/>
          <w:i/>
          <w:color w:val="auto"/>
          <w:spacing w:val="0"/>
          <w:position w:val="0"/>
          <w:sz w:val="24"/>
          <w:shd w:fill="auto" w:val="clear"/>
        </w:rPr>
        <w:t xml:space="preserve">TSL1</w:t>
      </w:r>
      <w:r>
        <w:rPr>
          <w:rFonts w:ascii="Calibri" w:hAnsi="Calibri" w:cs="Calibri" w:eastAsia="Calibri"/>
          <w:color w:val="auto"/>
          <w:spacing w:val="0"/>
          <w:position w:val="0"/>
          <w:sz w:val="24"/>
          <w:shd w:fill="auto" w:val="clear"/>
        </w:rPr>
        <w:t xml:space="preserve"> gene and microcolony growth rate in isogenic wildtype cells by measuring both simultaneously</w:t>
      </w:r>
      <w:r>
        <w:rPr>
          <w:rFonts w:ascii="Calibri" w:hAnsi="Calibri" w:cs="Calibri" w:eastAsia="Calibri"/>
          <w:color w:val="000000"/>
          <w:spacing w:val="0"/>
          <w:position w:val="0"/>
          <w:sz w:val="24"/>
          <w:shd w:fill="auto" w:val="clear"/>
          <w:vertAlign w:val="superscript"/>
        </w:rPr>
        <w:t xml:space="preserve">7, 10</w:t>
      </w:r>
      <w:r>
        <w:rPr>
          <w:rFonts w:ascii="Calibri" w:hAnsi="Calibri" w:cs="Calibri" w:eastAsia="Calibri"/>
          <w:color w:val="auto"/>
          <w:spacing w:val="0"/>
          <w:position w:val="0"/>
          <w:sz w:val="24"/>
          <w:shd w:fill="auto" w:val="clear"/>
        </w:rPr>
        <w:t xml:space="preserve">. It is also possible to monitor the relationship between growth rate and subcellular localization dynamics of fluorescently tagged proteins with the described assay. For example, a negative relationship between growth rate and the nuclear occupancy of RFP-tagged transcription factor Msn2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identified by imaging fluorescence in cells every minute for 30 min before initializing the growth assay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Finally, this protocol allows monitoring of cell responses to environmental stresses and perturbations. Treatments such as heat shock can be administered part-way through the growth assay. Such studies have revealed, for example, that slow-growing cells expressing high levels of Tsl1 are more tolerant of heat shock </w:t>
      </w:r>
      <w:r>
        <w:rPr>
          <w:rFonts w:ascii="Calibri" w:hAnsi="Calibri" w:cs="Calibri" w:eastAsia="Calibri"/>
          <w:color w:val="000000"/>
          <w:spacing w:val="0"/>
          <w:position w:val="0"/>
          <w:sz w:val="24"/>
          <w:shd w:fill="auto" w:val="clear"/>
          <w:vertAlign w:val="superscript"/>
        </w:rPr>
        <w:t xml:space="preserve">7, 10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addition to the common pitfalls described in the Representative Results section (Fig 4), several key factors must be considered when designing a growth-assay experiment. </w:t>
      </w:r>
      <w:r>
        <w:rPr>
          <w:rFonts w:ascii="Calibri" w:hAnsi="Calibri" w:cs="Calibri" w:eastAsia="Calibri"/>
          <w:color w:val="auto"/>
          <w:spacing w:val="0"/>
          <w:position w:val="0"/>
          <w:sz w:val="24"/>
          <w:shd w:fill="FFFFFF" w:val="clear"/>
        </w:rPr>
        <w:t xml:space="preserve">The phenotypic variation that is measured with the assay is affected by multiple factors, some of which are repeatable and of inherent interest, such as genotype or environment, whereas others are the result of technical variation</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Therefore, the first important consideration when designing a microcolony assay is to carry out the experiment in a way that facilitates the separation of effects of interest from the effects resulting from technical variation; key to this separation are randomizing treatments or strains on experimental plates, and including controls in every experiment. Appropriate statistical methods, such as linear mixed modeling (LMM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must be applied to data after they are collected, to account for different sources of variation in downstream analysis</w:t>
      </w:r>
      <w:r>
        <w:rPr>
          <w:rFonts w:ascii="Calibri" w:hAnsi="Calibri" w:cs="Calibri" w:eastAsia="Calibri"/>
          <w:color w:val="000000"/>
          <w:spacing w:val="0"/>
          <w:position w:val="0"/>
          <w:sz w:val="24"/>
          <w:shd w:fill="FFFFFF" w:val="clear"/>
          <w:vertAlign w:val="superscript"/>
        </w:rPr>
        <w:t xml:space="preserve">17, 18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order to employ statistical methods to separate variation in growth phenotypes due to experimental variables of interest from variation due to random factors such as batch effects, it is necessary to run multiple experiments on different days and with randomized well locations of genotype and growth conditions. </w:t>
      </w:r>
      <w:r>
        <w:rPr>
          <w:rFonts w:ascii="Calibri" w:hAnsi="Calibri" w:cs="Calibri" w:eastAsia="Calibri"/>
          <w:color w:val="auto"/>
          <w:spacing w:val="0"/>
          <w:position w:val="0"/>
          <w:sz w:val="24"/>
          <w:shd w:fill="auto" w:val="clear"/>
        </w:rPr>
        <w:t xml:space="preserve">In addition, to increase the power of the experiment to detect growth differences between strains or treatment conditions, it is also important to include multiple replicates of each tested genotype or growth condition, on a single experimental plate where possible.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One key advantage of the microcolony growth assay lies in the amount of data it can collect: a single experimental plate typically generates data for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individual microcolonies, which is several orders of magnitude greater than typical experiments using microfluidic devices instead of multiwell plates. Software that automatically tracks colonies and calculates relevant data (e.g. lag times, growth rates, and mean fluorescent intensities) is key to taking full advantage of this assay. This software should not only robustly identify colony bounds and track colonies through time, but also correctly measure growth in colonies with a lag phase</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One option developed for this purpose is PIE, open-source software that tracks colonies over time (including accounting for shifts in colony position), calculates growth rates, and allows integration of fluorescent imaging data into experimental measurements</w:t>
      </w:r>
      <w:r>
        <w:rPr>
          <w:rFonts w:ascii="Calibri" w:hAnsi="Calibri" w:cs="Calibri" w:eastAsia="Calibri"/>
          <w:color w:val="000000"/>
          <w:spacing w:val="0"/>
          <w:position w:val="0"/>
          <w:sz w:val="24"/>
          <w:shd w:fill="FFFFFF" w:val="clear"/>
          <w:vertAlign w:val="superscript"/>
        </w:rPr>
        <w:t xml:space="preserve">11, 12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microcolony growth assay can be used to gain insight into fundamental questions relating to yeast fitness and evolution, including growth phenotype variability, changes in different environments or in response to stress, and the relationship between growth and protein expression or subcellular localization. The assay has been used extensively in studies of both laboratory and wild strains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000000"/>
          <w:spacing w:val="0"/>
          <w:position w:val="0"/>
          <w:sz w:val="24"/>
          <w:shd w:fill="auto" w:val="clear"/>
          <w:vertAlign w:val="superscript"/>
        </w:rPr>
        <w:t xml:space="preserve">7, 9, 10, 13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Naomi Ziv, Sasha Levy and Shuang Li for their contributions to developing this protocol, David Gresham for shared equipment, and Marissa Knoll for help with video production. </w:t>
      </w:r>
      <w:r>
        <w:rPr>
          <w:rFonts w:ascii="Calibri" w:hAnsi="Calibri" w:cs="Calibri" w:eastAsia="Calibri"/>
          <w:color w:val="auto"/>
          <w:spacing w:val="0"/>
          <w:position w:val="0"/>
          <w:sz w:val="24"/>
          <w:shd w:fill="FFFFFF" w:val="clear"/>
        </w:rPr>
        <w:t xml:space="preserve">This work was supported by National Institutes of Health grant R35GM118170.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Geiler-Samerotte, K.A., Hashimoto, T., Dion, M.F., Budnik, B.A., Airoldi, E.M., Drummond, D.A. Quantifying condition-dependent intracellular protein levels enables high-precision fitness estimates.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e75320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Kussell, E., Leibler, S. Phenotypic diversity, population growth, and information in fluctuating environments.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309</w:t>
      </w:r>
      <w:r>
        <w:rPr>
          <w:rFonts w:ascii="Calibri" w:hAnsi="Calibri" w:cs="Calibri" w:eastAsia="Calibri"/>
          <w:color w:val="000000"/>
          <w:spacing w:val="0"/>
          <w:position w:val="0"/>
          <w:sz w:val="24"/>
          <w:shd w:fill="auto" w:val="clear"/>
        </w:rPr>
        <w:t xml:space="preserve"> (5743), 2075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Thattai, M., van Oudenaarden, A. Stochastic gene expression in fluctuating environments.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(1),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King, O.D., Masel, J. The evolution of bet-hedging adaptations to rare scenarios. </w:t>
      </w:r>
      <w:r>
        <w:rPr>
          <w:rFonts w:ascii="Calibri" w:hAnsi="Calibri" w:cs="Calibri" w:eastAsia="Calibri"/>
          <w:i/>
          <w:color w:val="000000"/>
          <w:spacing w:val="0"/>
          <w:position w:val="0"/>
          <w:sz w:val="24"/>
          <w:shd w:fill="auto" w:val="clear"/>
        </w:rPr>
        <w:t xml:space="preserve">Theoretical population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(4), 560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Acar, M., Mettetal, J.T., van Oudenaarden, A. Stochastic switching as a survival strategy in fluctuating environments.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Avery, S.V. Microbial cell individuality and the underlying sources of heterogeneity.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Levy, S.F., Ziv, N., Siegal, M.L. Bet hedging in yeast by heterogeneous, age-correlated expression of a stress protectant.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e1001325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 Dijk,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Slow-growing cells within isogenic populations have increased RNA polymerase error rates and DNA damage.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7972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Ziv, N., Shuster, B.M., Siegal, M.L., Gresham, D. Resolving the Complex Genetic Basis of Phenotypic Variation and Variability of Cellular Growth.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(3), 1645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S., Giardina, D.M., Siegal, M.L. Control of nongenetic heterogeneity in growth rate and stress tolerance of Saccharomyces cerevisiae by cyclic AMP-regulated transcription factors.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e1007744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Plavskin, Y., Li, S., Ziv, N., Levy, S.F., Siegal, M.L. Robust colony recognition for high-throughput growth analysis from suboptimal low-magnification brightfield micrographs. doi: 10.1101/253724.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https://github.com/Siegallab/PIE</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Ziv, N., Siegal, M.L., Gresham, D. Genetic and nongenetic determinants of cell growth variation assessed by high-throughput microscopy. </w:t>
      </w:r>
      <w:r>
        <w:rPr>
          <w:rFonts w:ascii="Calibri" w:hAnsi="Calibri" w:cs="Calibri" w:eastAsia="Calibri"/>
          <w:i/>
          <w:color w:val="000000"/>
          <w:spacing w:val="0"/>
          <w:position w:val="0"/>
          <w:sz w:val="24"/>
          <w:shd w:fill="auto" w:val="clear"/>
        </w:rPr>
        <w:t xml:space="preserve">Molecular biology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2568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Hall, D.W., Joseph, S.B. A high frequency of beneficial mutations across multiple fitness components in Saccharomyces cerevisiae.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(4), 1397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Saleemuddin, M., Husain, Q. Concanavalin A: a useful ligand for glycoenzyme immobilization--a review. </w:t>
      </w:r>
      <w:r>
        <w:rPr>
          <w:rFonts w:ascii="Calibri" w:hAnsi="Calibri" w:cs="Calibri" w:eastAsia="Calibri"/>
          <w:i/>
          <w:color w:val="000000"/>
          <w:spacing w:val="0"/>
          <w:position w:val="0"/>
          <w:sz w:val="24"/>
          <w:shd w:fill="auto" w:val="clear"/>
        </w:rPr>
        <w:t xml:space="preserve">Enzyme and microbial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290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Geiler-Samerotte, K.A., Bauer, C.R., Li, S., Ziv, N., Gresham, D., Siegal, M.L. The details in the distributions: why and how to study phenotypic variability.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752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Nakagawa, S., Schielzeth, H. Repeatability for Gaussian and non-Gaussian data: a practical guide for biologists. </w:t>
      </w:r>
      <w:r>
        <w:rPr>
          <w:rFonts w:ascii="Calibri" w:hAnsi="Calibri" w:cs="Calibri" w:eastAsia="Calibri"/>
          <w:i/>
          <w:color w:val="000000"/>
          <w:spacing w:val="0"/>
          <w:position w:val="0"/>
          <w:sz w:val="24"/>
          <w:shd w:fill="auto" w:val="clear"/>
        </w:rPr>
        <w:t xml:space="preserve">Biological reviews of the Cambridge Philosophical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(4), 935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Bolker, J.A. Exemplary and surrogate models: two modes of representation in biology. </w:t>
      </w:r>
      <w:r>
        <w:rPr>
          <w:rFonts w:ascii="Calibri" w:hAnsi="Calibri" w:cs="Calibri" w:eastAsia="Calibri"/>
          <w:i/>
          <w:color w:val="000000"/>
          <w:spacing w:val="0"/>
          <w:position w:val="0"/>
          <w:sz w:val="24"/>
          <w:shd w:fill="auto" w:val="clear"/>
        </w:rPr>
        <w:t xml:space="preserve">Perspectives in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 485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Siegallab/PI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