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Location, Dissection, and Analysis of the Murine Stellate Ganglion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Scherschel</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Hanna Br&amp;amp;#228;uninger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Klara Glufke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Christiane Jungen</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Nikolaj Kl&amp;amp;#246;cker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Christian Meyer</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Cardiology, EVK D&amp;amp;#252;sseldorf, cNEP, cardiac Neuro- and Electrophysiology Re-search Consortium, Kirchfeldstrasse 40, 40217 D&amp;amp;#252;sseldorf,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DZHK (German Centre for Cardiovascular Research), Partner Site Hamburg/Kiel/L&amp;amp;#252;beck,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Neural and Sensory Physiology, Medical Faculty, Heinrich Heine University D&amp;amp;#252;sseldorf, Universit&amp;amp;#228;tsstrasse 1, 40225 D&amp;amp;#252;sseldorf,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Clinic for Cardiology, University Heart &amp;amp;amp; Vascular Centre, University Hospital Hamburg-Eppendorf, Martinistrasse 52, 20246 Hamburg,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Cardiology, Leiden University Medical Center,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Scherschel</w:t>
        <w:tab/>
        <w:t xml:space="preserve">(katharina.scherschel@hhu.de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 Br&amp;amp;#228;uninger</w:t>
        <w:tab/>
        <w:t xml:space="preserve">(h.braeuninger@uke.de)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Klara Glufke</w:t>
        <w:tab/>
        <w:tab/>
        <w:t xml:space="preserve">(klara.glufke@stud.uke.uni-hamburg.de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Christiane Jungen</w:t>
        <w:tab/>
        <w:t xml:space="preserve">(c.jungen@lumc.nl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Nikolaj Kl&amp;amp;#246;cker</w:t>
        <w:tab/>
        <w:t xml:space="preserve">(nikolaj.kloecker@uni-duesseldorf.de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Christian Meyer</w:t>
        <w:tab/>
        <w:t xml:space="preserve">(christian.meyer@evk-duesseldorf.de)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Meyer</w:t>
        <w:tab/>
        <w:t xml:space="preserve">(christian.meyer@evk-duesseldorf.de)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sympathetic nervous system, stellate ganglia, intracardiac autonomic nervous system, ventricular arrhythmia, neuromorphology, electrophysiology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Pathophysiological changes in the cardiac autonomic nervous system, especially in its sympathetic branch, contribute to the onset and maintenance of ventricular arrhythmias. In the present protocol, we show how to characterize murine stellate ganglia to improve the understanding of the underlying molecular and cellular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autonomic nervous system is a substantial driver of cardiac electrophysiology. Especially, the role of its sympathetic branch is an ongoing matter of investigation in the pathophysiology of ventricular arrhythmias (VA). Neurons in the stellate ganglia (SG)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bilateral star-shaped structures of the sympathetic chain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an important component of the sympathetic infrastructure. The SG are a recognized target for the treatment via cardiac sympathetic denervation in patients with therapy-refractory VA. While neuronal remodeling and glial activation in the SG have been described in patients with VA, the underlying cellular and molecular processes that potentially precede the onset of arrhythmia are only insufficiently understood and should be elucidated to improve autonomic modulation. Mouse models allow us to study sympathetic neuronal remodeling, but identification of the murine SG is challenging for the inexperienced investigator. Thus, in-depth cellular and molecular biological studies of the murine SG are lacking for many common cardiac diseases. Here, we describe a basic repertoire for dissecting and studying the SG in adult mice for analyses at RNA level (RNA isolation for gene expression analyses, in situ hybridization), protein level (immunofluorescent whole mount staining), and cellular level (basic morphology, cell size measurement). We present potential solutions to overcome challenges in the preparation technique, and how to improve staining via quenching of autofluorescence. This allows for the visualization of neurons as well as glial cells via established markers in order to determine cell composition and remodeling processes. The methods presented here allow characterizing the SG to gain further information on autonomic dysfunction in mice prone to VA and can be complemented by additional techniques investigating neuronal and glial components of the autonomic nervous system in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cardiac autonomic nervous system is a tightly regulated equilibrium of sympathetic, parasympathetic, and sensory components that allows the heart to adapt to environmental changes with the appropriate physiological response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Disturbances in this equilibrium, for example, an increase of sympathetic activity, have been established as a key driver for the onset as well as maintenance of ventricular arrhythmias (VA)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autonomic modulation, achieved via pharmacological reduction of sympathetic activity with beta-blockers, has been a cornerstone in the treatment of patients with VA for decades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But despite pharmacological and catheter-based interventions, a relevant number of patients still suffers from recurrent VA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Sympathetic input to the heart is mostly mediated via neuronal cell bodies in the stellate ganglia (SG), bilateral star-shaped structures of the sympathetic chain, which relay information via numerous intrathoracic nerves from the brainstem to the heart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Nerve sprouting from the SG after injury is associated with VA and sudden cardiac death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emphasizing the SG as a target for autonomic modulation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 reduction of sympathetic input to the heart can be achieved temporarily via percutaneous injection of local anesthetics or permanently by partial removal of the SG via video-assisted thoracoscopy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Cardiac sympathetic denervation presents an option for patients with therapy-refractory VA with promising results</w:t>
      </w:r>
      <w:r>
        <w:rPr>
          <w:rFonts w:ascii="Calibri" w:hAnsi="Calibri" w:cs="Calibri" w:eastAsia="Calibri"/>
          <w:color w:val="auto"/>
          <w:spacing w:val="0"/>
          <w:position w:val="0"/>
          <w:sz w:val="24"/>
          <w:shd w:fill="auto" w:val="clear"/>
          <w:vertAlign w:val="superscript"/>
        </w:rPr>
        <w:t xml:space="preserve">14,16,17</w:t>
      </w:r>
      <w:r>
        <w:rPr>
          <w:rFonts w:ascii="Calibri" w:hAnsi="Calibri" w:cs="Calibri" w:eastAsia="Calibri"/>
          <w:color w:val="auto"/>
          <w:spacing w:val="0"/>
          <w:position w:val="0"/>
          <w:sz w:val="24"/>
          <w:shd w:fill="auto" w:val="clear"/>
        </w:rPr>
        <w:t xml:space="preserve">. We have learned from explanted SG of these patients that neuronal and neurochemical remodeling, neuro-inflammation and glial activation are hallmarks of sympathetic remodeling that might contribute or aggravate autonomic dysfunction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Still, the underlying cellular and molecular processes in these neurons remain obscure to date, for example, the role of neuronal transdifferentiation into a cholinergic phenotype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Experimental studies present novel approaches to treat VA, for example, the reduction of sympathetic nerve activity via optogenetics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in-depth characterization of the SG is still lacking in many cardiac pathologies that go in hand with VA. Mouse models mimicking these pathologies allow to study neuronal remodeling that potentially precedes the onset of arrhythmias</w:t>
      </w:r>
      <w:r>
        <w:rPr>
          <w:rFonts w:ascii="Calibri" w:hAnsi="Calibri" w:cs="Calibri" w:eastAsia="Calibri"/>
          <w:color w:val="auto"/>
          <w:spacing w:val="0"/>
          <w:position w:val="0"/>
          <w:sz w:val="24"/>
          <w:shd w:fill="auto" w:val="clear"/>
          <w:vertAlign w:val="superscript"/>
        </w:rPr>
        <w:t xml:space="preserve">12,23</w:t>
      </w:r>
      <w:r>
        <w:rPr>
          <w:rFonts w:ascii="Calibri" w:hAnsi="Calibri" w:cs="Calibri" w:eastAsia="Calibri"/>
          <w:color w:val="auto"/>
          <w:spacing w:val="0"/>
          <w:position w:val="0"/>
          <w:sz w:val="24"/>
          <w:shd w:fill="auto" w:val="clear"/>
        </w:rPr>
        <w:t xml:space="preserve">. These can be completed by further morphological and functional analyses for autonomic characterization of the heart and the nervous system. In the present protocol, we provide a basic repertoire of methods allowing to dissect and characterize the murine SG to improve the understanding of 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animals were approved by the Animal Care and Use Committee of the State of Hamburg (ORG870, 959) and conform to the National Institutes of Health’s Guide for the Care and Use of Laboratory Animals (2011). Studies were performed using male and female (aged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weeks) C57BL/6 mice (stock number 000664, Jackson Laboratories) and mice homozygous (db/db) or heterozygous (db/het; control) for the diabetes spontaneous mutation (Lepr</w:t>
      </w:r>
      <w:r>
        <w:rPr>
          <w:rFonts w:ascii="Calibri" w:hAnsi="Calibri" w:cs="Calibri" w:eastAsia="Calibri"/>
          <w:color w:val="auto"/>
          <w:spacing w:val="0"/>
          <w:position w:val="0"/>
          <w:sz w:val="24"/>
          <w:shd w:fill="auto" w:val="clear"/>
          <w:vertAlign w:val="superscript"/>
        </w:rPr>
        <w:t xml:space="preserve">db</w:t>
      </w:r>
      <w:r>
        <w:rPr>
          <w:rFonts w:ascii="Calibri" w:hAnsi="Calibri" w:cs="Calibri" w:eastAsia="Calibri"/>
          <w:color w:val="auto"/>
          <w:spacing w:val="0"/>
          <w:position w:val="0"/>
          <w:sz w:val="24"/>
          <w:shd w:fill="auto" w:val="clear"/>
        </w:rPr>
        <w:t xml:space="preserve">; BKS.Cg-Dock7</w:t>
      </w:r>
      <w:r>
        <w:rPr>
          <w:rFonts w:ascii="Calibri" w:hAnsi="Calibri" w:cs="Calibri" w:eastAsia="Calibri"/>
          <w:color w:val="auto"/>
          <w:spacing w:val="0"/>
          <w:position w:val="0"/>
          <w:sz w:val="24"/>
          <w:shd w:fill="auto" w:val="clear"/>
          <w:vertAlign w:val="superscript"/>
        </w:rPr>
        <w:t xml:space="preserve">m+/+</w:t>
      </w:r>
      <w:r>
        <w:rPr>
          <w:rFonts w:ascii="Calibri" w:hAnsi="Calibri" w:cs="Calibri" w:eastAsia="Calibri"/>
          <w:color w:val="auto"/>
          <w:spacing w:val="0"/>
          <w:position w:val="0"/>
          <w:sz w:val="24"/>
          <w:shd w:fill="auto" w:val="clear"/>
        </w:rPr>
        <w:t xml:space="preserve"> Leprdb /J, stock number 000642, Jackson Laboratories). The authors have used the protocols at hand without variations for mice aged up to 60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Location and dissection of murine stellate ganglia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Even though descriptions and drawings are mostly available in bigger species, some publications have previously described the location of the SG in rats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using anatomical methods and fluorescent reporter lines,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50 mL of ice-cold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&amp;amp;#176;C) heparinized (20 units/mL,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phosphate-buffered saline (PBS). Perform dissection of the SG at room temperature (RT).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Deeply anesthetize mouse by inhalation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according to the institutional and local guidelines. Verify adequate anesthesia by loss of pedal withdrawal reflex. Decapitate mice or perform cervical dislocation.</w:t>
      </w:r>
    </w:p>
    <w:p>
      <w:pPr>
        <w:widowControl w:val="false"/>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Incorrect cervical dislocation can result in breakage of the spine and damage of thoracic vessels leading to bleeding which hinders in the preparation or the severing of the sympathetic chain, so that SG are not in their correct position. Therefore, it is critical to have experienced personnel perform cervical dislocation or decapitate animals in deep sedation.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Spray the skin with ethanol and open the thorax with two incisions along the anterior axillary lines using Mayo scissors and narrow pattern forceps. Cut the diaphragm and remove the complete ribcage.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the heart-lung package by gripping the aorta and vena cava right above the diaphragm using London forceps and cutting all vessels and connective tissue close to the spine below with the Strabismus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Flush the thorax thoroughly with heparinized PBS using a plastic disposable pipette until all traces of blood are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Place the torso under stereomicroscope preparation binoculars and ensure good lighting in the thorax with external light sources.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Locate the first rib and the longus colli muscles.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SG are located bilaterally, parallel to the spine at the branch between the first rib and the spine, in a groove lateral to the longus colli muscles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flat side of the SG is located adjacent to the longus colli muscles. Depending on the preparation, parts of the sympathetic chain might already be visible as white, oblique fibers parallel to the spine. These can be traced along to the 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Gently use the tip of the Dumont #5/45 forceps to expose the connective tissue lateral to the longus colli muscle.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Turn the forceps around by 180&amp;amp;#176; and use the flat side to grip the SG and pull it out with minimal pressure.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Repeat with the second SG.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Place both SG in a dish (6 cm diameter) filled with cold PBS and inspect with the appropriate magnification. If necessary, remove excess vessels, fat tissue, and larger nerves.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Autonomic ganglia are surrounded by a connective tissue capsule consisting of collagen fibers and fibroblasts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permeability of these capsules seems to vary among species, different kind of ganglia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age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Remove as much connective tissue as possible using Dumont #5/45 forceps and, if necessary, spring scissors. Depending on the goal of the experiment, proceed with section 2, 3, or 4 of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Whole mount immunohistochemistry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adapted from cardiac whole mount stainings</w:t>
      </w:r>
      <w:r>
        <w:rPr>
          <w:rFonts w:ascii="Calibri" w:hAnsi="Calibri" w:cs="Calibri" w:eastAsia="Calibri"/>
          <w:color w:val="auto"/>
          <w:spacing w:val="0"/>
          <w:position w:val="0"/>
          <w:sz w:val="24"/>
          <w:shd w:fill="auto" w:val="clear"/>
          <w:vertAlign w:val="superscript"/>
        </w:rPr>
        <w:t xml:space="preserve">4,29</w:t>
      </w:r>
      <w:r>
        <w:rPr>
          <w:rFonts w:ascii="Calibri" w:hAnsi="Calibri" w:cs="Calibri" w:eastAsia="Calibri"/>
          <w:color w:val="auto"/>
          <w:spacing w:val="0"/>
          <w:position w:val="0"/>
          <w:sz w:val="24"/>
          <w:shd w:fill="auto" w:val="clear"/>
        </w:rPr>
        <w:t xml:space="preserve">. Perform incubation steps for every single SG in one well of a 96-well plate and use 100 &amp;amp;#181;L (for antibody-containing solutions) to 200 &amp;amp;#181;L (for all other solutions) of the solution to ensure complete coverage. Regularly check the coverage and correct immersion of the SG with binoculars. Remove liquids manually with a 200 &amp;amp;#181;L pipette with an additional 10 &amp;amp;#181;L tip on top of the 200 &amp;amp;#181;L tip. This will prevent aspiration of the SG in the pipette tip. Use freshly prepared solutions and sterile liquids to prevent bacterial growth.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Fix SG for histology for 2 h at RT in 4% methanol-free paraformaldehyde (PFA)/PBS.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Process SG as quickly as possible, but they can be stored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weeks at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&amp;amp;#176;C in PBS with 0.02% (w/v) sodium azide at this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Prepare Sudan black stock solution (1% Sudan black w/v in 100% ethanol) for reduction of autofluorescence and improvement of signal to background ratio</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Dissolve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on a magnetic stirrer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stock solution for a maximum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discard earlier when sedimentation appears.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Prepare Sudan black working solution by centrifuging the stock solution for 30 min at full speed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remove debris and diluting the stock in 70% ethanol to a final concentration of 0.25% Sudan black.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Treat SG with Dent’s bleach to improve antibody permeabilization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Freshly prepare Dent’s bleach by mixing methanol (MeOH), hydrogen peroxide solution 30% (w/w)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dimethyl sulfoxide (DMSO) in a ratio of 4:1:1. Add 200 &amp;amp;#181;L per SG and place the plate on an orbital shaker for 1 h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Perform a descending MeOH series for rehydration by incubating for 10 min each on an orbital shaker: 100% MeOH, 75% MeOH/PBS, 50% MeOH/PBS, 25% MeOH/PBS.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Perform permeabilization by incubating SG twice for 60 min each in PBS/1% Triton-X-100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Remove permeabilization solution from the SG and add Sudan black working solution. Incubate for 2 h at RT on an orbital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In the meantime, prepare a blocking solution by adding 5% receptor grade bovine serum albumin (BSA) and 0.1% Triton-X-100 in PBS a 15 mL vessel and let it dissolve on a roller shaker for approximately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Decant through a pre-pleated paper filter to remove debris.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Remove Sudan black very carefully by tilting the plate and carefully pipetting from the upright side.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possible to see the SG in Sudan black. Use a strong light source and work slowly. From this step on, SG are stained black, enhancing visualization. If any additional connective tissue is seen surrounding SG at this point, remove it using Dumont #5/45 forceps and spring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Add 200 &amp;amp;#181;L of PBS/0.1% Triton-X-100 (PBS-T) and wash for 5 min at RT on an orbital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PBS-T by aspirating it with a pipette and repeat 2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Remove PBS; add 200 &amp;amp;#181;L of blocking solution and incubate at 4 &amp;amp;#176;C overnight on an orbital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On the next day, prepare solutions by adding primary antibodies in the blocking solution. Adapt antibody concentrations from established protocols.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one SG as antibody control without primary antibody (incubated with antigen-preabsorbed antibody or IgG, if available, or blocking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Perform primary antibody incubation for 36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at 4 &amp;amp;#176;C on an orbital shaker. For cell size measurements and staining of sympathetic neurons, use antibodies against tyrosine hydroxylase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antibody recommendations).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96-well plate in a wet chamber (e.g., plastic box lined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O-wetted paper towels) to prevent evaporation at this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antibody solution carefully and add 200 &amp;amp;#181;L of PBS-T. Place the plate on an orbital shaker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Remove PBS-T and repeat the washing step 5 additional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Prepare the secondary antibody working solution by centrifuging fluorescent Alexa-labeled secondary antibodies for 1 min at full speed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before usage. Dilute the appropriate secondary antibodies according to the primary antibodies 1:500 in the blocking solution and add to SG. Add 1 &amp;amp;#181;g/mL of bisbenzimide H33342 trihydrochloride (Hoechst staining) if nuclear staining is desired. Incubate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4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Remove the antibody solution carefully and add 200 &amp;amp;#181;L of PBS-T. Place the plate on an orbital shaker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Remove PBS-T and repeat the washing step 5 additional times. For the last step, use PBS without Triton.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For embedding, spread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&amp;amp;#181;L of fluorescent mounting medium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a glass slide and place under preparation binoculars. Use Dumont #5/45 forceps to pick up SG from the 96-well plate and remove excess liquid by dipping one end on a filter paper (e.g., Whatman drying pad) and place it on the drop.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Use Dumont #5/45 forceps to correct positioning with the appropriate magnification.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Gently place a glass coverslip (20 mm x 20 mm) next to the SG and slowly descend.</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Using too much mounting medium will result in movement of the SG or tangling of nerves. If that happens, quickly remove the coverslip and repeat steps 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Let the slides dry in the dark overnight at RT. Storage of the stained specimen is possible for at least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weeks at 4 &amp;amp;#176;C.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Whole mount in situ hybridization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Whole-mount in situ-hybridization of the SG is adapted from the organ of corti</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the commercial RNA fluorescence in situ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Obtain probes for the genes of interest and buffers and solutions from the supplier. All incubation steps are performed at RT, if not mentioned otherwise. Use sterile PBS. If interested in staining several SG in one well, use at least 150 &amp;amp;#181;L of buffers and solutions.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dissection of the SG as described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Fixate SG for 1 h in 200 &amp;amp;#181;L of 4% MeOH-free PFA/PBS in one well of a 96-well plate placed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Wash SG three times for 30 min each in 0.1% Tween-20/PBS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Dehydrate SG in MeOH/PBS series by subsequent incubation in 50% MeOH/PBS, 70% MeOH/PBS, and 100% MeOH for 10 min each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Store SG at -20 &amp;amp;#176;C in 100% MeOH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The next day, pre-warm the incubator to 40 &amp;amp;#176;C. Check the temperature with a thermometer.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Rehydrate SG in reverse MeOH/PBS series (100% MeOH, 70% MeOH/PBS, 50% MeOH/PBS) for 10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Wash SG three times for 5 min each in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In the meantime, start pre-warming the probes by incubation at 40 &amp;amp;#176;C for 10 min, followed by cooling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Incubate SG in 200 &amp;amp;#181;L of Protease III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Optional: Perform Sudan black treatment to quench autofluorescence according to sections 2.3, 2.7, and 2.8 of this protocol if subsequent immunofluorescence staining is planned.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SG in 200 &amp;amp;#181;L of 0.1% Tween-20/PBS 3x for 5 min each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Optional: If co-staining with several probes is desired, dilute Channel-2 (50x) and Channel-3 probe (50x) in Channel-1 probe (1x).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Cover SG with 100 &amp;amp;#181;L of probe for the gene of interest and incubate overnight at 40 &amp;amp;#176;C with slight agitation. Place the 96-well plate in a wet chamber at 40 &amp;amp;#176;C for all incubation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one SG as negative control, using a probe against a bacterial gene (e.g., dihydro-dipicolinate reductase, </w:t>
      </w:r>
      <w:r>
        <w:rPr>
          <w:rFonts w:ascii="Calibri" w:hAnsi="Calibri" w:cs="Calibri" w:eastAsia="Calibri"/>
          <w:i/>
          <w:color w:val="auto"/>
          <w:spacing w:val="0"/>
          <w:position w:val="0"/>
          <w:sz w:val="24"/>
          <w:shd w:fill="auto" w:val="clear"/>
        </w:rPr>
        <w:t xml:space="preserve">Dapb</w:t>
      </w:r>
      <w:r>
        <w:rPr>
          <w:rFonts w:ascii="Calibri" w:hAnsi="Calibri" w:cs="Calibri" w:eastAsia="Calibri"/>
          <w:color w:val="auto"/>
          <w:spacing w:val="0"/>
          <w:position w:val="0"/>
          <w:sz w:val="24"/>
          <w:shd w:fill="auto" w:val="clear"/>
        </w:rPr>
        <w:t xml:space="preserve">) to check for non-specific binding of amplification reagents in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Wash SG in supplied washing buffer 3x for 15 min each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Pre-warm Amp1-3, HRP-C1, and HRP-Blocker to RT. If co-staining with Channel-2 and/or Channel-2 probe is desired, pre-warm HRP-C2 and HRP-C3.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Re-fix SG for 10 min at RT in 4% PFA/PBS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SG in 200 &amp;amp;#181;L of supplied washing buffer 3x for 5 min each on an orbital shaker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For amplification, incubate SG with 100 &amp;amp;#181;L of Amp1 for 35 min at 40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Carefully remove any liquid and wash SG in 200 &amp;amp;#181;L of supplied washing buffer 3x for 5 min each at RT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Incubate SG with 100 &amp;amp;#181;L of Amp2 for 35 min at 40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Incubate SG with 100 &amp;amp;#181;L of Amp3 for 20 min at 40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Incubate SG with 100 &amp;amp;#181;L of supplied Multiplex FL v2 HRP-C1 for 20 min at 40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Prepare Opal-conjugated secondary antibody 1:1,000 in 200 &amp;amp;#181;L of supplied TSA-buffer and incubate SG for 35 min at 40 &amp;amp;#176;C on an orbital shaker. Protect from light during incubation and from this step 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Incubate SG in 100 &amp;amp;#181;L of supplied Multiplex FL v2 HRP-blocker for 15 min at 40 &amp;amp;#176;C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Optional: For co-staining with Channel-2 probe, repeat steps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with supplied Multiplex FL v2 HRP-C2.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Optional: For co-staining with Channel-3 probe, repeat steps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with supplied Multiplex FL v2 HRP-C3.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In case of subsequent immunofluorescent staining, perform steps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of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Incubate in 1% BSA/PBS for 30 min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Incubate SG for 30 min in 1 &amp;amp;#181;g/mL of bisbenzimide H33342 trihydrochloride (Hoechst staining) in 1% BSA/PBS if nuclear staining is desired and/or add Alexa-coupled wheat germ agglutinin (WGA, 1:500) on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Repeat step 3.18.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Embed as described in steps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Imaging and analyses of murine stellate ganglia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confocal microscopy of embedded SG in the local imaging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If cell size measurements are required, image SG stained for tyrosine hydroxylase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200x magnification and take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random images from every SG.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Analyze images using ImageJ</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software to estimate cell size (e.g., with a pen table,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Use </w:t>
      </w:r>
      <w:r>
        <w:rPr>
          <w:rFonts w:ascii="Calibri" w:hAnsi="Calibri" w:cs="Calibri" w:eastAsia="Calibri"/>
          <w:b/>
          <w:color w:val="auto"/>
          <w:spacing w:val="0"/>
          <w:position w:val="0"/>
          <w:sz w:val="24"/>
          <w:shd w:fill="FFFF00" w:val="clear"/>
        </w:rPr>
        <w:t xml:space="preserve">Free Hand Selection</w:t>
      </w:r>
      <w:r>
        <w:rPr>
          <w:rFonts w:ascii="Calibri" w:hAnsi="Calibri" w:cs="Calibri" w:eastAsia="Calibri"/>
          <w:color w:val="auto"/>
          <w:spacing w:val="0"/>
          <w:position w:val="0"/>
          <w:sz w:val="24"/>
          <w:shd w:fill="FFFF00" w:val="clear"/>
        </w:rPr>
        <w:t xml:space="preserve">, circle each cell and 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Measure </w:t>
      </w:r>
      <w:r>
        <w:rPr>
          <w:rFonts w:ascii="Calibri" w:hAnsi="Calibri" w:cs="Calibri" w:eastAsia="Calibri"/>
          <w:color w:val="auto"/>
          <w:spacing w:val="0"/>
          <w:position w:val="0"/>
          <w:sz w:val="24"/>
          <w:shd w:fill="FFFF00" w:val="clear"/>
        </w:rPr>
        <w:t xml:space="preserve">to obtain cell area. Be careful to include only intact, fully visible cells that are located well within the SG.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Using this method, perform measurement of approximately 100 cells per SG.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Have a blinded investigator perform steps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if you want to compare SG from different mice. Use a frequency distribution in statistical software to visualize size differences between groups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Molecular analyses of murine stellate ganglia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controls depending on your experimental design. This could be SG with different genotypes and disease background and/or other autonomic ganglia, such as the sympathetic superior cervical ganglion (located in the neck area, see detailed description in Ziegler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parasympathetic ganglia (such as intracardiac ganglia, see Jungen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2 mL tube with 500 &amp;amp;#181;L of phenol/guanidine thiocyanate solution (e.g., Qiazol) per animal and have liquid nitrogen ready for shock-frosting or consider commercial solutions for protection of RNA (optional,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Work quickly for RNA isolation.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dissection of the SG as described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Immediately immerse both SG directly in one tube with phenol/guanidine thiocyanate solution and shock-frost tube in liquid nitrogen.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Store at -80 &amp;amp;#176;C until further 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For tissue lysis, let tubes with SG thaw until phenol/guanidine thiocyanate solution is liquified and add two 7 mm stainless steel beads. Cool down the metal parts of tissue homogenizer (ball or mixer mill, e.g., Tissue Lyser II) on dry ice and centrifuge to 4 &amp;amp;#176;C.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Centrifuge tubes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4 &amp;amp;#176;C so that SG are at the bottom of the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Put tubes into the metal parts of the Tissue Lyser and lyse for 1 min at 20 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Repeat steps 5.6 and 5.7 up to 5 times until no intact tissue is detectable.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Transfer the liquid into a fresh 1.5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Perform RNA isolation with a column-based RNA isolation kit (e.g., miRNeasy mini kit) according to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Elute RNA in 20 &amp;amp;#181;L of RNase-free water and measure concentration using a 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exclude contamination of the purified RNA with genomic DNA, we propose performing a polymerase chain reaction with genomic primers and 1 &amp;amp;#181;L of RNA as template, instead minus reverse transcriptase control. This will save a significant amount of RNA. If RNA is contaminated, use exon-intron boundary primers or intron flanking primers for subsequent quantitative real-time polymerase chain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Use 250 ng SG RNA to perform cDNA synthesis and use established protocols. Here a high-capacity cDNA reverse transcription kit was used according to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Dilute to a final concentration of 2.5 ng/&amp;amp;#181;L of cDNA and perform quantitative real-time polymerase chain reaction with the appropriate probes according to the established protocols. Here TaqMan Assay (</w:t>
      </w:r>
      <w:r>
        <w:rPr>
          <w:rFonts w:ascii="Calibri" w:hAnsi="Calibri" w:cs="Calibri" w:eastAsia="Calibri"/>
          <w:b/>
          <w:color w:val="auto"/>
          <w:spacing w:val="0"/>
          <w:position w:val="0"/>
          <w:sz w:val="24"/>
          <w:shd w:fill="auto" w:val="clear"/>
        </w:rPr>
        <w:t xml:space="preserve">see Table of Materials</w:t>
      </w:r>
      <w:r>
        <w:rPr>
          <w:rFonts w:ascii="Calibri" w:hAnsi="Calibri" w:cs="Calibri" w:eastAsia="Calibri"/>
          <w:color w:val="auto"/>
          <w:spacing w:val="0"/>
          <w:position w:val="0"/>
          <w:sz w:val="24"/>
          <w:shd w:fill="auto" w:val="clear"/>
        </w:rPr>
        <w:t xml:space="preserve">) was performed using 10 ng cDNA per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no-template control for every gene to exclude false positive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Normalize gene expression of your gene of interest on a house keeping gene (e.g., </w:t>
      </w:r>
      <w:r>
        <w:rPr>
          <w:rFonts w:ascii="Calibri" w:hAnsi="Calibri" w:cs="Calibri" w:eastAsia="Calibri"/>
          <w:i/>
          <w:color w:val="auto"/>
          <w:spacing w:val="0"/>
          <w:position w:val="0"/>
          <w:sz w:val="24"/>
          <w:shd w:fill="auto" w:val="clear"/>
        </w:rPr>
        <w:t xml:space="preserve">Cdkn1b</w:t>
      </w:r>
      <w:r>
        <w:rPr>
          <w:rFonts w:ascii="Calibri" w:hAnsi="Calibri" w:cs="Calibri" w:eastAsia="Calibri"/>
          <w:color w:val="auto"/>
          <w:spacing w:val="0"/>
          <w:position w:val="0"/>
          <w:sz w:val="24"/>
          <w:shd w:fill="auto" w:val="clear"/>
        </w:rPr>
        <w:t xml:space="preserve">) to compare relative gene expression between different groups of SG.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visualizes how to identify and dissect the SG.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a schematic drawing of the location, while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presents the view of the thorax after removal of the heart-lung-package. The left and right longus colli muscles medial from the SG and the rib cage are important landmarks for orientation. Dissection is performed along the dotted lines between muscles and the first rib. The SG and the sympathetic chain become visible as white structures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shows a magnification of the region between the left longus colli muscle and the first rib, where the left SG is located. Morphology of the SG differs between individuals. It often consists of a fusion of the inferior cervical and the first to the third thoracic ganglia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Some variety that the experimenter can expect in murine SG is depicted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where left and right SG of five male C57Bl6 wild type mice are photographed.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gross anatomic overview, cellular and subcellular analyses of cells in the SG innervating the heart can be performed by whole mount techniques on protein and RNA level. An overview of a SG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Myocardial sympathetic fibers originate from cell bodies in the SG. These are visualized by staining with an antibody against tyrosine hydroxylase (TH). TH-expressing neuronal somata are surrounded by nerve fibers staining positive for choline acetyltransferase (ChAT). These are most likely presynaptic fibers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An exemplary magnification from TH and ChAT co-labeling is presented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Glial cells surrounding neuronal cell bodies can be visualized by staining for S100B. This is depicted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combination with the neural marker PGP9.5.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show exemplary analyses to study the SG on a subcellular level, using whole mount in situ hybridization and immunofluorescent co-staining. The protein TH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red) and mRNA molecules of </w:t>
      </w:r>
      <w:r>
        <w:rPr>
          <w:rFonts w:ascii="Calibri" w:hAnsi="Calibri" w:cs="Calibri" w:eastAsia="Calibri"/>
          <w:i/>
          <w:color w:val="auto"/>
          <w:spacing w:val="0"/>
          <w:position w:val="0"/>
          <w:sz w:val="24"/>
          <w:shd w:fill="auto" w:val="clear"/>
        </w:rPr>
        <w:t xml:space="preserve">Tubb3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white) are expressed in large neuronal cell bodies, while mRNA of </w:t>
      </w:r>
      <w:r>
        <w:rPr>
          <w:rFonts w:ascii="Calibri" w:hAnsi="Calibri" w:cs="Calibri" w:eastAsia="Calibri"/>
          <w:i/>
          <w:color w:val="auto"/>
          <w:spacing w:val="0"/>
          <w:position w:val="0"/>
          <w:sz w:val="24"/>
          <w:shd w:fill="auto" w:val="clear"/>
        </w:rPr>
        <w:t xml:space="preserve">S100b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green) is also detectable in surrounding glia cells. In the merge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it is visible that some neurons are negative for TH but express </w:t>
      </w:r>
      <w:r>
        <w:rPr>
          <w:rFonts w:ascii="Calibri" w:hAnsi="Calibri" w:cs="Calibri" w:eastAsia="Calibri"/>
          <w:i/>
          <w:color w:val="auto"/>
          <w:spacing w:val="0"/>
          <w:position w:val="0"/>
          <w:sz w:val="24"/>
          <w:shd w:fill="auto" w:val="clear"/>
        </w:rPr>
        <w:t xml:space="preserve">Tubb3</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S100b </w:t>
      </w:r>
      <w:r>
        <w:rPr>
          <w:rFonts w:ascii="Calibri" w:hAnsi="Calibri" w:cs="Calibri" w:eastAsia="Calibri"/>
          <w:color w:val="auto"/>
          <w:spacing w:val="0"/>
          <w:position w:val="0"/>
          <w:sz w:val="24"/>
          <w:shd w:fill="auto" w:val="clear"/>
        </w:rPr>
        <w:t xml:space="preserve">mRNAs can also be detected in surrounding cells, as depicted in the magnification in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presents potential quantitative analyses and pitfalls for studying the murine SG. Images from TH-stained SG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can be used for cell size measurements as was performed exemplary for a mouse model of diabetes. Neuronal somata from control (db/het) SG were 388.8 &amp;amp;plusmn; 123.8 &amp;amp;#181;m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vs. in diabetic SG (db/db) 407.33 &amp;amp;plusmn; 139.6 &amp;amp;#181;m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 = 2 SG, 100 cells per SG per genotype,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0.348, data were compared using Mann-Whitney test).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the expression of genes from different cell types of the SG (n =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Pooling of both SG from one animal allows gene expression measurements of approximately 24 assays (12 genes in duplicates). We typically normalize samples for </w:t>
      </w:r>
      <w:r>
        <w:rPr>
          <w:rFonts w:ascii="Calibri" w:hAnsi="Calibri" w:cs="Calibri" w:eastAsia="Calibri"/>
          <w:i/>
          <w:color w:val="auto"/>
          <w:spacing w:val="0"/>
          <w:position w:val="0"/>
          <w:sz w:val="24"/>
          <w:shd w:fill="auto" w:val="clear"/>
        </w:rPr>
        <w:t xml:space="preserve">Cdkn1b</w:t>
      </w:r>
      <w:r>
        <w:rPr>
          <w:rFonts w:ascii="Calibri" w:hAnsi="Calibri" w:cs="Calibri" w:eastAsia="Calibri"/>
          <w:color w:val="auto"/>
          <w:spacing w:val="0"/>
          <w:position w:val="0"/>
          <w:sz w:val="24"/>
          <w:shd w:fill="auto" w:val="clear"/>
        </w:rPr>
        <w:t xml:space="preserve"> (detected at Ct values of 25.4 &amp;amp;plusmn; 0.97) as well as the neuronal marker </w:t>
      </w:r>
      <w:r>
        <w:rPr>
          <w:rFonts w:ascii="Calibri" w:hAnsi="Calibri" w:cs="Calibri" w:eastAsia="Calibri"/>
          <w:i/>
          <w:color w:val="auto"/>
          <w:spacing w:val="0"/>
          <w:position w:val="0"/>
          <w:sz w:val="24"/>
          <w:shd w:fill="auto" w:val="clear"/>
        </w:rPr>
        <w:t xml:space="preserve">Neun/Rbfox3</w:t>
      </w:r>
      <w:r>
        <w:rPr>
          <w:rFonts w:ascii="Calibri" w:hAnsi="Calibri" w:cs="Calibri" w:eastAsia="Calibri"/>
          <w:color w:val="auto"/>
          <w:spacing w:val="0"/>
          <w:position w:val="0"/>
          <w:sz w:val="24"/>
          <w:shd w:fill="auto" w:val="clear"/>
        </w:rPr>
        <w:t xml:space="preserve"> (32.5 &amp;amp;plusmn; 0.7) if it is necessary to account for other cell types and neuronal purity of the dissection. Genes that we found useful for characterizing molecular processes in the SG include the sympathetic gene </w:t>
      </w:r>
      <w:r>
        <w:rPr>
          <w:rFonts w:ascii="Calibri" w:hAnsi="Calibri" w:cs="Calibri" w:eastAsia="Calibri"/>
          <w:i/>
          <w:color w:val="auto"/>
          <w:spacing w:val="0"/>
          <w:position w:val="0"/>
          <w:sz w:val="24"/>
          <w:shd w:fill="auto" w:val="clear"/>
        </w:rPr>
        <w:t xml:space="preserve">Th</w:t>
      </w:r>
      <w:r>
        <w:rPr>
          <w:rFonts w:ascii="Calibri" w:hAnsi="Calibri" w:cs="Calibri" w:eastAsia="Calibri"/>
          <w:color w:val="auto"/>
          <w:spacing w:val="0"/>
          <w:position w:val="0"/>
          <w:sz w:val="24"/>
          <w:shd w:fill="auto" w:val="clear"/>
        </w:rPr>
        <w:t xml:space="preserve"> (22.4 &amp;amp;plusmn; 1.6), </w:t>
      </w:r>
      <w:r>
        <w:rPr>
          <w:rFonts w:ascii="Calibri" w:hAnsi="Calibri" w:cs="Calibri" w:eastAsia="Calibri"/>
          <w:i/>
          <w:color w:val="auto"/>
          <w:spacing w:val="0"/>
          <w:position w:val="0"/>
          <w:sz w:val="24"/>
          <w:shd w:fill="auto" w:val="clear"/>
        </w:rPr>
        <w:t xml:space="preserve">Chat</w:t>
      </w:r>
      <w:r>
        <w:rPr>
          <w:rFonts w:ascii="Calibri" w:hAnsi="Calibri" w:cs="Calibri" w:eastAsia="Calibri"/>
          <w:color w:val="auto"/>
          <w:spacing w:val="0"/>
          <w:position w:val="0"/>
          <w:sz w:val="24"/>
          <w:shd w:fill="auto" w:val="clear"/>
        </w:rPr>
        <w:t xml:space="preserve">, which could indicate cholinergic transdifferentiation (expressed at Ct values of 30.8 &amp;amp;plusmn; 1.3) and </w:t>
      </w:r>
      <w:r>
        <w:rPr>
          <w:rFonts w:ascii="Calibri" w:hAnsi="Calibri" w:cs="Calibri" w:eastAsia="Calibri"/>
          <w:i/>
          <w:color w:val="auto"/>
          <w:spacing w:val="0"/>
          <w:position w:val="0"/>
          <w:sz w:val="24"/>
          <w:shd w:fill="auto" w:val="clear"/>
        </w:rPr>
        <w:t xml:space="preserve">Gap43</w:t>
      </w:r>
      <w:r>
        <w:rPr>
          <w:rFonts w:ascii="Calibri" w:hAnsi="Calibri" w:cs="Calibri" w:eastAsia="Calibri"/>
          <w:color w:val="auto"/>
          <w:spacing w:val="0"/>
          <w:position w:val="0"/>
          <w:sz w:val="24"/>
          <w:shd w:fill="auto" w:val="clear"/>
        </w:rPr>
        <w:t xml:space="preserve">, a marker for neuronal sprouting (detectable at Ct values of 22.4 &amp;amp;plusmn; 1.4). Genes expressed in non-neuronal cell type include </w:t>
      </w:r>
      <w:r>
        <w:rPr>
          <w:rFonts w:ascii="Calibri" w:hAnsi="Calibri" w:cs="Calibri" w:eastAsia="Calibri"/>
          <w:i/>
          <w:color w:val="auto"/>
          <w:spacing w:val="0"/>
          <w:position w:val="0"/>
          <w:sz w:val="24"/>
          <w:shd w:fill="auto" w:val="clear"/>
        </w:rPr>
        <w:t xml:space="preserve">S100b</w:t>
      </w:r>
      <w:r>
        <w:rPr>
          <w:rFonts w:ascii="Calibri" w:hAnsi="Calibri" w:cs="Calibri" w:eastAsia="Calibri"/>
          <w:color w:val="auto"/>
          <w:spacing w:val="0"/>
          <w:position w:val="0"/>
          <w:sz w:val="24"/>
          <w:shd w:fill="auto" w:val="clear"/>
        </w:rPr>
        <w:t xml:space="preserve"> (for glial cells, 27.3 &amp;amp;plusmn; 1.2), </w:t>
      </w:r>
      <w:r>
        <w:rPr>
          <w:rFonts w:ascii="Calibri" w:hAnsi="Calibri" w:cs="Calibri" w:eastAsia="Calibri"/>
          <w:i/>
          <w:color w:val="auto"/>
          <w:spacing w:val="0"/>
          <w:position w:val="0"/>
          <w:sz w:val="24"/>
          <w:shd w:fill="auto" w:val="clear"/>
        </w:rPr>
        <w:t xml:space="preserve">Ki-67</w:t>
      </w:r>
      <w:r>
        <w:rPr>
          <w:rFonts w:ascii="Calibri" w:hAnsi="Calibri" w:cs="Calibri" w:eastAsia="Calibri"/>
          <w:color w:val="auto"/>
          <w:spacing w:val="0"/>
          <w:position w:val="0"/>
          <w:sz w:val="24"/>
          <w:shd w:fill="auto" w:val="clear"/>
        </w:rPr>
        <w:t xml:space="preserve"> (for proliferating cells, 33.0 &amp;amp;plusmn; 1.6) and </w:t>
      </w:r>
      <w:r>
        <w:rPr>
          <w:rFonts w:ascii="Calibri" w:hAnsi="Calibri" w:cs="Calibri" w:eastAsia="Calibri"/>
          <w:i/>
          <w:color w:val="auto"/>
          <w:spacing w:val="0"/>
          <w:position w:val="0"/>
          <w:sz w:val="24"/>
          <w:shd w:fill="auto" w:val="clear"/>
        </w:rPr>
        <w:t xml:space="preserve">Cd45</w:t>
      </w:r>
      <w:r>
        <w:rPr>
          <w:rFonts w:ascii="Calibri" w:hAnsi="Calibri" w:cs="Calibri" w:eastAsia="Calibri"/>
          <w:color w:val="auto"/>
          <w:spacing w:val="0"/>
          <w:position w:val="0"/>
          <w:sz w:val="24"/>
          <w:shd w:fill="auto" w:val="clear"/>
        </w:rPr>
        <w:t xml:space="preserve"> (for immune cells, 30.2 &amp;amp;plusmn;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SG is surrounded by a capsule of connective tissue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visualized via hematoxylin and eosin staining in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Occasionally, we observed inconsistencies in antibody-based staining as demonstrated in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most likely due to incomplete removal of the capsule. While ChAT and TH staining are only detectable in some parts of the SG, nuclei counterstained with DAPI are detectable throughout. The dotted line in the merged image separates successful staining (right of the line) from unsuccessful staining (left of the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are presented as mean &amp;amp;plusmn; standard deviation. Statistical significance was defined as a P value of &amp;amp;lt;0.05; statistical analysis was performed using commercial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Location, dissection, and morphology of the murine stellate ganglia.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drawing of the location of the stellate ganglia (SG).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into the thorax after removal of the heart-lung package. It is important to note that the SG are not immediately visible most of the time. The longus colli muscles are located lateral from the spine. The SG are located lateral from the muscles at the junction with the first rib. Carefully dissect lateral to the muscles (area marked by dotted line) to uncover the ganglia. After dissection, ganglia (left and right, LSG and RSG, respectively) and the sympathetic chain can be made out as white, long structures.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exemplary dissection showing the ganglia and anatomical landmarks.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Magnification of the LSG.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LSG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RSG from wild type, male C57Bl6 mice (16 weeks) were dissected and photographed to show the variations in morphology and size. Scale bar represents 1,000 &amp;amp;#181;m.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Visualization of different cell types in murine stellate ganglia via whole mount immunohistochemistry and in situ hybridization.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Gross overview of a murine stellate ganglion (SG) stained for the sympathetic marker tyrosine hydroxylase (TH) and choline acetyltransferase (ChAT). The magnification shows TH-positive cell bodies and the presence of ChAT-positive, most likely presynaptic, nerve fibers surrounding neuronal somata.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Glial cells ensheathing neuronal cell bodies can be visualized by staining for S100B, here in combination with the neuronal marker PGP9.5.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Microscopic images from one SG stained whole mount via a combination of immunohistochemistry for TH (red) and in situ hybridization for </w:t>
      </w:r>
      <w:r>
        <w:rPr>
          <w:rFonts w:ascii="Calibri" w:hAnsi="Calibri" w:cs="Calibri" w:eastAsia="Calibri"/>
          <w:i/>
          <w:color w:val="auto"/>
          <w:spacing w:val="0"/>
          <w:position w:val="0"/>
          <w:sz w:val="24"/>
          <w:shd w:fill="auto" w:val="clear"/>
        </w:rPr>
        <w:t xml:space="preserve">Tubb3</w:t>
      </w:r>
      <w:r>
        <w:rPr>
          <w:rFonts w:ascii="Calibri" w:hAnsi="Calibri" w:cs="Calibri" w:eastAsia="Calibri"/>
          <w:color w:val="auto"/>
          <w:spacing w:val="0"/>
          <w:position w:val="0"/>
          <w:sz w:val="24"/>
          <w:shd w:fill="auto" w:val="clear"/>
        </w:rPr>
        <w:t xml:space="preserve"> (D, white) and </w:t>
      </w:r>
      <w:r>
        <w:rPr>
          <w:rFonts w:ascii="Calibri" w:hAnsi="Calibri" w:cs="Calibri" w:eastAsia="Calibri"/>
          <w:i/>
          <w:color w:val="auto"/>
          <w:spacing w:val="0"/>
          <w:position w:val="0"/>
          <w:sz w:val="24"/>
          <w:shd w:fill="auto" w:val="clear"/>
        </w:rPr>
        <w:t xml:space="preserve">S100b</w:t>
      </w:r>
      <w:r>
        <w:rPr>
          <w:rFonts w:ascii="Calibri" w:hAnsi="Calibri" w:cs="Calibri" w:eastAsia="Calibri"/>
          <w:color w:val="auto"/>
          <w:spacing w:val="0"/>
          <w:position w:val="0"/>
          <w:sz w:val="24"/>
          <w:shd w:fill="auto" w:val="clear"/>
        </w:rPr>
        <w:t xml:space="preserve"> (E, green). Nuclei are counterstained with DAPI (blue).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merge shows that not all neuronal (</w:t>
      </w:r>
      <w:r>
        <w:rPr>
          <w:rFonts w:ascii="Calibri" w:hAnsi="Calibri" w:cs="Calibri" w:eastAsia="Calibri"/>
          <w:i/>
          <w:color w:val="auto"/>
          <w:spacing w:val="0"/>
          <w:position w:val="0"/>
          <w:sz w:val="24"/>
          <w:shd w:fill="auto" w:val="clear"/>
        </w:rPr>
        <w:t xml:space="preserve">Tubb3</w:t>
      </w:r>
      <w:r>
        <w:rPr>
          <w:rFonts w:ascii="Calibri" w:hAnsi="Calibri" w:cs="Calibri" w:eastAsia="Calibri"/>
          <w:color w:val="auto"/>
          <w:spacing w:val="0"/>
          <w:position w:val="0"/>
          <w:sz w:val="24"/>
          <w:shd w:fill="auto" w:val="clear"/>
        </w:rPr>
        <w:t xml:space="preserve">-positive)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are TH positive. </w:t>
      </w:r>
      <w:r>
        <w:rPr>
          <w:rFonts w:ascii="Calibri" w:hAnsi="Calibri" w:cs="Calibri" w:eastAsia="Calibri"/>
          <w:i/>
          <w:color w:val="auto"/>
          <w:spacing w:val="0"/>
          <w:position w:val="0"/>
          <w:sz w:val="24"/>
          <w:shd w:fill="auto" w:val="clear"/>
        </w:rPr>
        <w:t xml:space="preserve">S100b</w:t>
      </w:r>
      <w:r>
        <w:rPr>
          <w:rFonts w:ascii="Calibri" w:hAnsi="Calibri" w:cs="Calibri" w:eastAsia="Calibri"/>
          <w:color w:val="auto"/>
          <w:spacing w:val="0"/>
          <w:position w:val="0"/>
          <w:sz w:val="24"/>
          <w:shd w:fill="auto" w:val="clear"/>
        </w:rPr>
        <w:t xml:space="preserve"> mRNAs can be detected within neuronal somata, but also surrounding cells, as marked by an arrow in the magnification 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Potential quantitative analyses and pitfalls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from Tyrosine-hydroxylase (TH)-stained SG can be used for cell size measurements using ImageJ.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was performed in a mouse model of diabetes (100 cells per SG, n = 2 SG per genotype, data was compared using Mann-Whitney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Exemplary genes expressed in the SG that might be useful for characterizing molecular processes. </w:t>
      </w:r>
      <w:r>
        <w:rPr>
          <w:rFonts w:ascii="Calibri" w:hAnsi="Calibri" w:cs="Calibri" w:eastAsia="Calibri"/>
          <w:i/>
          <w:color w:val="auto"/>
          <w:spacing w:val="0"/>
          <w:position w:val="0"/>
          <w:sz w:val="24"/>
          <w:shd w:fill="auto" w:val="clear"/>
        </w:rPr>
        <w:t xml:space="preserve">Cdkn1b</w:t>
      </w:r>
      <w:r>
        <w:rPr>
          <w:rFonts w:ascii="Calibri" w:hAnsi="Calibri" w:cs="Calibri" w:eastAsia="Calibri"/>
          <w:color w:val="auto"/>
          <w:spacing w:val="0"/>
          <w:position w:val="0"/>
          <w:sz w:val="24"/>
          <w:shd w:fill="auto" w:val="clear"/>
        </w:rPr>
        <w:t xml:space="preserve"> as well as the neuronal marker </w:t>
      </w:r>
      <w:r>
        <w:rPr>
          <w:rFonts w:ascii="Calibri" w:hAnsi="Calibri" w:cs="Calibri" w:eastAsia="Calibri"/>
          <w:i/>
          <w:color w:val="auto"/>
          <w:spacing w:val="0"/>
          <w:position w:val="0"/>
          <w:sz w:val="24"/>
          <w:shd w:fill="auto" w:val="clear"/>
        </w:rPr>
        <w:t xml:space="preserve">Neun/Rbfox3</w:t>
      </w:r>
      <w:r>
        <w:rPr>
          <w:rFonts w:ascii="Calibri" w:hAnsi="Calibri" w:cs="Calibri" w:eastAsia="Calibri"/>
          <w:color w:val="auto"/>
          <w:spacing w:val="0"/>
          <w:position w:val="0"/>
          <w:sz w:val="24"/>
          <w:shd w:fill="auto" w:val="clear"/>
        </w:rPr>
        <w:t xml:space="preserve"> (to account for the presence of other cell types) can be used for normalization. Tyrosine hydroxylase (</w:t>
      </w:r>
      <w:r>
        <w:rPr>
          <w:rFonts w:ascii="Calibri" w:hAnsi="Calibri" w:cs="Calibri" w:eastAsia="Calibri"/>
          <w:i/>
          <w:color w:val="auto"/>
          <w:spacing w:val="0"/>
          <w:position w:val="0"/>
          <w:sz w:val="24"/>
          <w:shd w:fill="auto" w:val="clear"/>
        </w:rPr>
        <w:t xml:space="preserve">Th</w:t>
      </w:r>
      <w:r>
        <w:rPr>
          <w:rFonts w:ascii="Calibri" w:hAnsi="Calibri" w:cs="Calibri" w:eastAsia="Calibri"/>
          <w:color w:val="auto"/>
          <w:spacing w:val="0"/>
          <w:position w:val="0"/>
          <w:sz w:val="24"/>
          <w:shd w:fill="auto" w:val="clear"/>
        </w:rPr>
        <w:t xml:space="preserve">) serves as a sympathetic marker, choline acetyltransferase (</w:t>
      </w:r>
      <w:r>
        <w:rPr>
          <w:rFonts w:ascii="Calibri" w:hAnsi="Calibri" w:cs="Calibri" w:eastAsia="Calibri"/>
          <w:i/>
          <w:color w:val="auto"/>
          <w:spacing w:val="0"/>
          <w:position w:val="0"/>
          <w:sz w:val="24"/>
          <w:shd w:fill="auto" w:val="clear"/>
        </w:rPr>
        <w:t xml:space="preserve">Chat</w:t>
      </w:r>
      <w:r>
        <w:rPr>
          <w:rFonts w:ascii="Calibri" w:hAnsi="Calibri" w:cs="Calibri" w:eastAsia="Calibri"/>
          <w:color w:val="auto"/>
          <w:spacing w:val="0"/>
          <w:position w:val="0"/>
          <w:sz w:val="24"/>
          <w:shd w:fill="auto" w:val="clear"/>
        </w:rPr>
        <w:t xml:space="preserve">) for cholinergic transdifferentiation, </w:t>
      </w:r>
      <w:r>
        <w:rPr>
          <w:rFonts w:ascii="Calibri" w:hAnsi="Calibri" w:cs="Calibri" w:eastAsia="Calibri"/>
          <w:i/>
          <w:color w:val="auto"/>
          <w:spacing w:val="0"/>
          <w:position w:val="0"/>
          <w:sz w:val="24"/>
          <w:shd w:fill="auto" w:val="clear"/>
        </w:rPr>
        <w:t xml:space="preserve">Gap43</w:t>
      </w:r>
      <w:r>
        <w:rPr>
          <w:rFonts w:ascii="Calibri" w:hAnsi="Calibri" w:cs="Calibri" w:eastAsia="Calibri"/>
          <w:color w:val="auto"/>
          <w:spacing w:val="0"/>
          <w:position w:val="0"/>
          <w:sz w:val="24"/>
          <w:shd w:fill="auto" w:val="clear"/>
        </w:rPr>
        <w:t xml:space="preserve"> for neuronal sprouting. Genes expressed in non-neuronal cell types include </w:t>
      </w:r>
      <w:r>
        <w:rPr>
          <w:rFonts w:ascii="Calibri" w:hAnsi="Calibri" w:cs="Calibri" w:eastAsia="Calibri"/>
          <w:i/>
          <w:color w:val="auto"/>
          <w:spacing w:val="0"/>
          <w:position w:val="0"/>
          <w:sz w:val="24"/>
          <w:shd w:fill="auto" w:val="clear"/>
        </w:rPr>
        <w:t xml:space="preserve">S100b</w:t>
      </w:r>
      <w:r>
        <w:rPr>
          <w:rFonts w:ascii="Calibri" w:hAnsi="Calibri" w:cs="Calibri" w:eastAsia="Calibri"/>
          <w:color w:val="auto"/>
          <w:spacing w:val="0"/>
          <w:position w:val="0"/>
          <w:sz w:val="24"/>
          <w:shd w:fill="auto" w:val="clear"/>
        </w:rPr>
        <w:t xml:space="preserve"> (glial cells), </w:t>
      </w:r>
      <w:r>
        <w:rPr>
          <w:rFonts w:ascii="Calibri" w:hAnsi="Calibri" w:cs="Calibri" w:eastAsia="Calibri"/>
          <w:i/>
          <w:color w:val="auto"/>
          <w:spacing w:val="0"/>
          <w:position w:val="0"/>
          <w:sz w:val="24"/>
          <w:shd w:fill="auto" w:val="clear"/>
        </w:rPr>
        <w:t xml:space="preserve">Ki-67</w:t>
      </w:r>
      <w:r>
        <w:rPr>
          <w:rFonts w:ascii="Calibri" w:hAnsi="Calibri" w:cs="Calibri" w:eastAsia="Calibri"/>
          <w:color w:val="auto"/>
          <w:spacing w:val="0"/>
          <w:position w:val="0"/>
          <w:sz w:val="24"/>
          <w:shd w:fill="auto" w:val="clear"/>
        </w:rPr>
        <w:t xml:space="preserve"> (proliferating cells) and </w:t>
      </w:r>
      <w:r>
        <w:rPr>
          <w:rFonts w:ascii="Calibri" w:hAnsi="Calibri" w:cs="Calibri" w:eastAsia="Calibri"/>
          <w:i/>
          <w:color w:val="auto"/>
          <w:spacing w:val="0"/>
          <w:position w:val="0"/>
          <w:sz w:val="24"/>
          <w:shd w:fill="auto" w:val="clear"/>
        </w:rPr>
        <w:t xml:space="preserve">Cd45</w:t>
      </w:r>
      <w:r>
        <w:rPr>
          <w:rFonts w:ascii="Calibri" w:hAnsi="Calibri" w:cs="Calibri" w:eastAsia="Calibri"/>
          <w:color w:val="auto"/>
          <w:spacing w:val="0"/>
          <w:position w:val="0"/>
          <w:sz w:val="24"/>
          <w:shd w:fill="auto" w:val="clear"/>
        </w:rPr>
        <w:t xml:space="preserve"> (immune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Hematoxylin and eosin staining of a formalin-fixed SG visualizes connective tissue and cells on top of the SG.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Magnification from the boxed area.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On some occasions, we observed failure in antibody-based staining, most likely due to incomplete removal of the capsule. While ChAT (red) and TH (green) staining are only detectable in some parts of the SG, nuclei counterstained with DAPI (dark blue) are detectable throughout. The dotted line in the merged image separates successful staining (right of the line) from unsuccessful staining (left of the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understanding of cellular and molecular processes in neurons and glial cells of the sympathetic nervous system that precede the onset of VA is of high interest, as sudden cardiac arrest remains the most common cause of death worldwide</w:t>
      </w:r>
      <w:r>
        <w:rPr>
          <w:rFonts w:ascii="Calibri" w:hAnsi="Calibri" w:cs="Calibri" w:eastAsia="Calibri"/>
          <w:color w:val="auto"/>
          <w:spacing w:val="0"/>
          <w:position w:val="0"/>
          <w:sz w:val="24"/>
          <w:shd w:fill="auto" w:val="clear"/>
          <w:vertAlign w:val="superscript"/>
        </w:rPr>
        <w:t xml:space="preserve">5</w:t>
      </w:r>
      <w:r>
        <w:rPr>
          <w:rFonts w:ascii="Cambria" w:hAnsi="Cambria" w:cs="Cambria" w:eastAsia="Cambria"/>
          <w:color w:val="auto"/>
          <w:spacing w:val="0"/>
          <w:position w:val="0"/>
          <w:sz w:val="16"/>
          <w:shd w:fill="auto" w:val="clear"/>
        </w:rPr>
        <w:t xml:space="preserve">.</w:t>
      </w:r>
      <w:r>
        <w:rPr>
          <w:rFonts w:ascii="Calibri" w:hAnsi="Calibri" w:cs="Calibri" w:eastAsia="Calibri"/>
          <w:color w:val="auto"/>
          <w:spacing w:val="0"/>
          <w:position w:val="0"/>
          <w:sz w:val="24"/>
          <w:shd w:fill="auto" w:val="clear"/>
        </w:rPr>
        <w:t xml:space="preserve"> Therefore, in the current manuscript, we provide a basic repertoire of methods to identify the murine SG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key element within this this network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perform subsequent analyses on RNA, protein, and cellular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of the murine SG is its size and the limited number of cells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Due to this, different animal models, such as rats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dogs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pigs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are used for studies on the SG. Still, there is a variety of well-established disease models for cardiac phenotypes available in mice and some of these have already been characterized in different aspects of cardiac innervation and arrhythmia, such as models for diabetes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myocardial infarction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myocarditis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Therefore, further studies of the murine SG are warranted to further characterize autonomic dysfunction in the light of VA. These can be completed by other approaches to study innervation of the murine heart as functional experiments</w:t>
      </w:r>
      <w:r>
        <w:rPr>
          <w:rFonts w:ascii="Calibri" w:hAnsi="Calibri" w:cs="Calibri" w:eastAsia="Calibri"/>
          <w:color w:val="auto"/>
          <w:spacing w:val="0"/>
          <w:position w:val="0"/>
          <w:sz w:val="24"/>
          <w:shd w:fill="auto" w:val="clear"/>
          <w:vertAlign w:val="superscript"/>
        </w:rPr>
        <w:t xml:space="preserve">4,23,44</w:t>
      </w:r>
      <w:r>
        <w:rPr>
          <w:rFonts w:ascii="Calibri" w:hAnsi="Calibri" w:cs="Calibri" w:eastAsia="Calibri"/>
          <w:color w:val="auto"/>
          <w:spacing w:val="0"/>
          <w:position w:val="0"/>
          <w:sz w:val="24"/>
          <w:shd w:fill="auto" w:val="clear"/>
        </w:rPr>
        <w:t xml:space="preserve"> including in-vivo stimulation of the SG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small size and its location within the thoracic cavity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manipulation of the murine SG in vivo is challenging, although it has been performed successfully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this reason, some studies therefore focus on the superior cervical ganglia, which are located more accessibly in the neck, upstream of the SG in the sympathetic chain behind the carotid bifurcation into internal and external carotid arteries</w:t>
      </w:r>
      <w:r>
        <w:rPr>
          <w:rFonts w:ascii="Calibri" w:hAnsi="Calibri" w:cs="Calibri" w:eastAsia="Calibri"/>
          <w:color w:val="auto"/>
          <w:spacing w:val="0"/>
          <w:position w:val="0"/>
          <w:sz w:val="24"/>
          <w:shd w:fill="auto" w:val="clear"/>
          <w:vertAlign w:val="superscript"/>
        </w:rPr>
        <w:t xml:space="preserve">24,35</w:t>
      </w:r>
      <w:r>
        <w:rPr>
          <w:rFonts w:ascii="Calibri" w:hAnsi="Calibri" w:cs="Calibri" w:eastAsia="Calibri"/>
          <w:color w:val="auto"/>
          <w:spacing w:val="0"/>
          <w:position w:val="0"/>
          <w:sz w:val="24"/>
          <w:shd w:fill="auto" w:val="clear"/>
        </w:rPr>
        <w:t xml:space="preserve">. Cardiac denervation via removal of the superior cervical ganglia has been shown to attenuate myocardial inflammation, hypertrophy, and cardiac dysfunction after myocardial infarction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it is important to note that the superior cervical ganglia innervate different regions of the heart, most prominently the anterior side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a recent in-depth literature review came to the conclusion that the role of cervical ganglia on sympathetic innervation of the heart remains unclear in humans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This highlights the importance of characterizing the SG for studies of cardiac sympathetic innervation.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heart is not the only target of the SG. Among others, lungs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and sweat glands in the forepaw</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are also innervated from fibers originating in the SG, the latter are an exception to sympathetic physiology as they express choline acetyltransferase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Temporary blockade of the SG is studied with regard to inflammatory processes in acute lung injury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or for treatment of hot flushes and sleep dysfunction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therefore, the protocols at hand might offer a repertoire for mechanistic questions in these fields. When focusing on cardiac disease models, it should be kept in mind for interpretation of results that cardiac neurons cannot be differentiated by morphology or electrophysiological properties from non-cardiac neurons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This can be achieved by retrograde tracing, thereby the location of neurons projecting to the heart was shown to be located in the cranio-medial parts of the SG</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it is important to note that besides different types of neurons, sympathetic ganglia are made up of ensheathing glia, so-called satellite glial cells or satellite cells marked by expression of the glial marker S100B</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While little is known about the role of these cells in cardiovascular pathologies, glial activation and expression of the glial fibrillary acidic protein (GFAP) has been described in SG from patients with arrhythmias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pitfalls should be kept in mind with the presented methods: we observed inconsistencies in antibody-based staining at some occasions and hypothesized that incomplete removal of the connective tissue capsule ensheathing the SG might be at fault, as they have been described to vary in permeability among different types of ganglia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Mechanical removal of the capsule using fine forceps has been described in the superior cervical ganglion of rats up to postnatal day 10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desheathing is mentioned in literature for adult rat SG</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Removal of the SG capsule might vary between age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due to size differences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species. In our experience, fresh dissection, removal of as much connective tissue as possible using fine forceps and thorough permeabilization as described in the protocol at hand, are important factors for successful staining. Regarding quantitative real-time PCR, quick work and efficient lysis are essential. Pooling both SGs from one animal reliably allowed for the analysis of up to 12 different genes (when performing duplicates).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function and gross anatomy of SG has been studied for decades now and every single cardiomyocyte is innervated by sympathetic fibers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many open questions remain. For example, it remains unclear, why sympathetic neurons of the SG transdifferentiate transiently to a cholinergic phenotype in ischemic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non-ischemic heart failure, in animal models as well as in patients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Recently, our group described a role of S100B-positive glial cells, which are also present in the murine SG, on nerve sprouting in the cardiac nervous system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Whether these cells are relevant for sympathetic nerve sprouting after injury associated with VA</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needs to be elucidated in future studies. Importantly, innovative approaches, such as optogenetics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transcriptome analyses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can complement established methods such as neuronal tracing in order to deepen the understanding of the sympathetic nervous system and its role on cardiac electrophysiology.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repertoire allows the inexperienced investigator to perform a basic characterization of the SG in murine models of cardiac pathologies. We hope that this will stimulate the usage, combination, and creation of novel methods. This might help to increase the understanding of the underlying cellular and molecular processes in sympathetic neurons that might be responsible for the onset and maintenance of 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Hartwig Wieboldt for his excellent technical assistance, and the UKE Microscopy Imaging Facility (Umif) of the University Medical Center Hamburg-Eppendorf for providing microscopes and support. This research was funded by the DZHK (German Centre for Cardiovascular Research) [FKZ 81Z4710141].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Goldberger, J. J., Arora, R., Buckley, U., Shivkumar, K. Autonomic nervous system dysfunction: JACC focus seminar.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J&amp;amp;#228;nig, W. Neurocardiology: a neurobiologist’s perspective.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(14), 3955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Meng, L., Shivkumar, K., Ajijola, O. Autonomic Regulation and Ventricular Arrhythmias. </w:t>
      </w:r>
      <w:r>
        <w:rPr>
          <w:rFonts w:ascii="Calibri" w:hAnsi="Calibri" w:cs="Calibri" w:eastAsia="Calibri"/>
          <w:i/>
          <w:color w:val="auto"/>
          <w:spacing w:val="0"/>
          <w:position w:val="0"/>
          <w:sz w:val="24"/>
          <w:shd w:fill="auto" w:val="clear"/>
        </w:rPr>
        <w:t xml:space="preserve">Current Treatment Options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Jungen, C. et al. Disruption of cardiac cholinergic neurons enhances susceptibility to ventricular arrhythmias.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14155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Al-Khatib, S.M.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 AHA/ACC/HRS Guideline for management of patients with ventricular arrhythmias and the prevention of sudden cardiac death.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(13), e272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Yusuf, S., Wittes, J., Friedman, L. Overview of results of randomized clinical trials in heart disease: I. treatments following myocardial infarction. </w:t>
      </w:r>
      <w:r>
        <w:rPr>
          <w:rFonts w:ascii="Calibri" w:hAnsi="Calibri" w:cs="Calibri" w:eastAsia="Calibri"/>
          <w:i/>
          <w:color w:val="auto"/>
          <w:spacing w:val="0"/>
          <w:position w:val="0"/>
          <w:sz w:val="24"/>
          <w:shd w:fill="auto" w:val="clear"/>
        </w:rPr>
        <w:t xml:space="preserve">JAMA: 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(14), 2088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Sapp, J. L. et al. Ventricular tachycardia ablation versus escalation of antiarrhythmic drugs.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Yasunaga, K., Nosaka, S. Cardiac sympathetic nerves in rats: Anatomical and functional features. </w:t>
      </w:r>
      <w:r>
        <w:rPr>
          <w:rFonts w:ascii="Calibri" w:hAnsi="Calibri" w:cs="Calibri" w:eastAsia="Calibri"/>
          <w:i/>
          <w:color w:val="auto"/>
          <w:spacing w:val="0"/>
          <w:position w:val="0"/>
          <w:sz w:val="24"/>
          <w:shd w:fill="auto" w:val="clear"/>
        </w:rPr>
        <w:t xml:space="preserve">The Japanese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Pardini, B. J., Lund, D. D., Schmid, P. G. Organization of the sympathetic postganglionic innervation of the rat heart. </w:t>
      </w:r>
      <w:r>
        <w:rPr>
          <w:rFonts w:ascii="Calibri" w:hAnsi="Calibri" w:cs="Calibri" w:eastAsia="Calibri"/>
          <w:i/>
          <w:color w:val="auto"/>
          <w:spacing w:val="0"/>
          <w:position w:val="0"/>
          <w:sz w:val="24"/>
          <w:shd w:fill="auto" w:val="clear"/>
        </w:rPr>
        <w:t xml:space="preserve">Journal of the Autonomic Nervous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Meyer, C., Scherschel, K. Ventricular tachycardia in ischemic heart disease: The sympathetic heart and its scars.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(3), H549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H551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Cao, J. M. et al. Relationship between regional cardiac hyperinnervation and ventricular arrhythmia.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(16), 1960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Ren, C. et al. Nerve sprouting suppresses myocardial Ito and IK1 channels and increases severity to ventricular fibrillation in rat. </w:t>
      </w:r>
      <w:r>
        <w:rPr>
          <w:rFonts w:ascii="Calibri" w:hAnsi="Calibri" w:cs="Calibri" w:eastAsia="Calibri"/>
          <w:i/>
          <w:color w:val="auto"/>
          <w:spacing w:val="0"/>
          <w:position w:val="0"/>
          <w:sz w:val="24"/>
          <w:shd w:fill="auto" w:val="clear"/>
        </w:rPr>
        <w:t xml:space="preserve">Autonomic Neuroscience: Basic and Clinical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Zipes, D.P. et al. Treatment of ventricular arrhythmia by permanent atrial pacemaker and cardiac sympathectomy.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Kusumoto, F. M. et al. Systematic review for the 2017 AHA/ACC/HRS guideline for management of patients with ventricular arrhythmias and the prevention of sudden cardiac death.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Cronin, E. M. et al. 2019 HRS/EHRA/APHRS/LAHRS Expert Consensus Statement on Catheter Ablation of Ventricular Arrhythmias: Executive Summary.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Vaseghi, M. et al. Cardiac sympathetic denervation in patients with refractory ventricular arrhythmias or electrical storm: Intermediate and long-term follow-up.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Vaseghi, M. et al. Cardiac sympathetic denervation for refractory ventricular arrhythmias.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(25), 3070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Ajijola, O. A. et al. Inflammation, oxidative stress, and glial cell activation characterize stellate ganglia from humans with electrical storm.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Rizzo, S. et al. T-cell-mediated inflammatory activity in the stellate ganglia of patients with ion-channel disease and severe ventricular arrhythmias. </w:t>
      </w:r>
      <w:r>
        <w:rPr>
          <w:rFonts w:ascii="Calibri" w:hAnsi="Calibri" w:cs="Calibri" w:eastAsia="Calibri"/>
          <w:i/>
          <w:color w:val="auto"/>
          <w:spacing w:val="0"/>
          <w:position w:val="0"/>
          <w:sz w:val="24"/>
          <w:shd w:fill="auto" w:val="clear"/>
        </w:rPr>
        <w:t xml:space="preserve">Circulation: Arrhythmia and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Kanazawa, H. et al. Heart failure causes cholinergic transdifferentiation of cardiac sympathetic nerves via gp130-signaling cytokines in rodents.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Olivas, A. et al. Myocardial infarction causes transient cholinergic transdifferentiation of cardiac sympathetic nerves via gp130.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Yu, L. et al. Optogenetic Modulation of Cardiac Sympathetic Nerve Activity to Prevent Ventricular Arrhythmias.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(22), 2778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Jungen, C. et al. Increased arrhythmia susceptibility in type 2 diabetic mice related to dysregulation of ventricular sympathetic innervation.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(6), H1328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H1341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Hedger, J. H., Webber, R. H. Anatomical study of the cervical sympathetic trunk and ganglia in the albino rat (Mus norvegicus albinus). </w:t>
      </w:r>
      <w:r>
        <w:rPr>
          <w:rFonts w:ascii="Calibri" w:hAnsi="Calibri" w:cs="Calibri" w:eastAsia="Calibri"/>
          <w:i/>
          <w:color w:val="auto"/>
          <w:spacing w:val="0"/>
          <w:position w:val="0"/>
          <w:sz w:val="24"/>
          <w:shd w:fill="auto" w:val="clear"/>
        </w:rPr>
        <w:t xml:space="preserve">Acta Anatomica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Furlan, A. et al. Visceral motor neuron diversity delineates a cellular basis for nipple- and pilo-erection muscle control.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 Khafaji, F. A. H., Anderson, P. N., Mitchell, J., Mayor, D. The permeability of the capsule of autonomic ganglia to horseradish peroxidase.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(4),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Armour, J. A., Murphy, D. A., Yuan, B. X., Macdonald, S., Hopkins, D. A. Gross and microscopic anatomy of the human intrinsic cardiac nervous system. </w:t>
      </w:r>
      <w:r>
        <w:rPr>
          <w:rFonts w:ascii="Calibri" w:hAnsi="Calibri" w:cs="Calibri" w:eastAsia="Calibri"/>
          <w:i/>
          <w:color w:val="auto"/>
          <w:spacing w:val="0"/>
          <w:position w:val="0"/>
          <w:sz w:val="24"/>
          <w:shd w:fill="auto" w:val="clear"/>
        </w:rPr>
        <w:t xml:space="preserve">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(2),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Fedoroff, S., Richardson, A., Johnson, M. I. Primary Cultures of Sympathetic Ganglia. </w:t>
      </w:r>
      <w:r>
        <w:rPr>
          <w:rFonts w:ascii="Calibri" w:hAnsi="Calibri" w:cs="Calibri" w:eastAsia="Calibri"/>
          <w:i/>
          <w:color w:val="auto"/>
          <w:spacing w:val="0"/>
          <w:position w:val="0"/>
          <w:sz w:val="24"/>
          <w:shd w:fill="auto" w:val="clear"/>
        </w:rPr>
        <w:t xml:space="preserve">Protocols for Neural Cell Culture</w:t>
      </w:r>
      <w:r>
        <w:rPr>
          <w:rFonts w:ascii="Calibri" w:hAnsi="Calibri" w:cs="Calibri" w:eastAsia="Calibri"/>
          <w:color w:val="auto"/>
          <w:spacing w:val="0"/>
          <w:position w:val="0"/>
          <w:sz w:val="24"/>
          <w:shd w:fill="auto" w:val="clear"/>
        </w:rPr>
        <w:t xml:space="preserve">. (11051),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Scherschel, K. et al. Cardiac glial cells release neurotrophic S100B upon catheter-based treatment of atrial fibrillation.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(493),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Sun, Y. et al. Sudan black B reduces autofluorescence in murine renal tissue. </w:t>
      </w:r>
      <w:r>
        <w:rPr>
          <w:rFonts w:ascii="Calibri" w:hAnsi="Calibri" w:cs="Calibri" w:eastAsia="Calibri"/>
          <w:i/>
          <w:color w:val="auto"/>
          <w:spacing w:val="0"/>
          <w:position w:val="0"/>
          <w:sz w:val="24"/>
          <w:shd w:fill="auto" w:val="clear"/>
        </w:rPr>
        <w:t xml:space="preserve">Archives of Pathology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(10), 1335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Alanentalo, T. et al. Tomographic molecular imaging and 3D quantification within adult mouse organs.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Kersigo, J. et al. A RNAscope whole mount approach that can be combined with immunofluorescence to quantify differential distribution of mRNA.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Bassil, G. et al. Pulmonary vein ganglia are remodeled in the diabetic heart.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Ziegler, K. A. et al. Local sympathetic denervation attenuates myocardial inflammation and improves cardiac function after myocardial infarction in mice.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Bayles, R.G. et al. Transcriptomic and neurochemical analysis of the stellate ganglia in mice highlights sex differences.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8963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Morales, M.A. et al. Localization of choline acetyltransferase in rat peripheral sympathetic neurons and its coexistence with nitric oxide synthase and neuropeptides.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(25), 11819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Jimnez, B., Mora-Valladares, E., Zetina, M. E., Morales, M. A. Occurrence, co-occurrence and topographic distribution of choline acetyl transferase, met-enkephalin and neurotensin in the stellate ganglion of the cat. </w:t>
      </w:r>
      <w:r>
        <w:rPr>
          <w:rFonts w:ascii="Calibri" w:hAnsi="Calibri" w:cs="Calibri" w:eastAsia="Calibri"/>
          <w:i/>
          <w:color w:val="auto"/>
          <w:spacing w:val="0"/>
          <w:position w:val="0"/>
          <w:sz w:val="24"/>
          <w:shd w:fill="auto" w:val="clear"/>
        </w:rPr>
        <w:t xml:space="preserve">Synapse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Ruit, K. G., Osborne, P. A., Schmidt, R. E., Johnson, E. M., Snider, W. D. Nerve growth factor regulates sympathetic ganglion cell morphology and survival in the adult mouse.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2412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Guo, J. et al. Involvement of P2Y 12 receptor of stellate ganglion in diabetic cardiovascular autonomic neuropathy. </w:t>
      </w:r>
      <w:r>
        <w:rPr>
          <w:rFonts w:ascii="Calibri" w:hAnsi="Calibri" w:cs="Calibri" w:eastAsia="Calibri"/>
          <w:i/>
          <w:color w:val="auto"/>
          <w:spacing w:val="0"/>
          <w:position w:val="0"/>
          <w:sz w:val="24"/>
          <w:shd w:fill="auto" w:val="clear"/>
        </w:rPr>
        <w:t xml:space="preserve">Purinergic Signalling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Ajijola, O. A. et al. Remodeling of stellate ganglion neurons after spatially targeted myocardial infarction: Neuropeptide and morphologic changes.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Hinrichs, S. et al. Precursor proadrenomedullin influences cardiomyocyte survival and local inflammation related to myocardial infarction.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(37), E8727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E8736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Westermann, D. et al. Reduced degradation of the chemokine MCP-3 by matrix metalloproteinase-2 exacerbates myocardial inflammation in experimental viral cardiomyopathy.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(19), 2082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Johnsen, D., Olivas, A., Lang, B., Silver, J., Habecker, B. Disrupting protein tyrosine phosphatase &amp;amp;#963; does not prevent sympathetic axonal dieback following myocardial infarction.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Manousiouthakis, E., Mendez, M., Garner, M. C., Exertier, P., Makita, T. Venous endothelin guides sympathetic innervation of the developing mouse heart.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(May), 3918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Wink, J. et al. Human adult cardiac autonomic innervation: Controversies in anatomical knowledge and relevance for cardiac neuromodulation. </w:t>
      </w:r>
      <w:r>
        <w:rPr>
          <w:rFonts w:ascii="Calibri" w:hAnsi="Calibri" w:cs="Calibri" w:eastAsia="Calibri"/>
          <w:i/>
          <w:color w:val="auto"/>
          <w:spacing w:val="0"/>
          <w:position w:val="0"/>
          <w:sz w:val="24"/>
          <w:shd w:fill="auto" w:val="clear"/>
        </w:rPr>
        <w:t xml:space="preserve">Autonomic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(April), 102674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Kummer, W., Fischer, A., Kurkowski, R., Heym, C. The sensory and sympathetic innervation of guinea-pig lung and trachea as studied by retrograde neuronal tracing and double-labelling immunohistochemistry.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Sch&amp;amp;#228;fer, M. K. H., Sch&amp;amp;#252;tz, B., Weihe, E., Eiden, L. E. Target-independent cholinergic differentiation in the rat sympathetic nervous system.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(8), 4149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Chen, Y. et al. Effect of a Stellate Ganglion block on acute lung injury in septic rats. </w:t>
      </w:r>
      <w:r>
        <w:rPr>
          <w:rFonts w:ascii="Calibri" w:hAnsi="Calibri" w:cs="Calibri" w:eastAsia="Calibri"/>
          <w:i/>
          <w:color w:val="auto"/>
          <w:spacing w:val="0"/>
          <w:position w:val="0"/>
          <w:sz w:val="24"/>
          <w:shd w:fill="auto" w:val="clear"/>
        </w:rPr>
        <w:t xml:space="preserve">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1601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Lipov, E. G. et al. Effects of stellate-ganglion block on hot flushes and night awakenings in survivors of breast cancer: a pilot study.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Mo, N., Wallis, D. I., Watson, A. Properties of putative cardiac and non-cardiac neurones in the rat stellate ganglion. </w:t>
      </w:r>
      <w:r>
        <w:rPr>
          <w:rFonts w:ascii="Calibri" w:hAnsi="Calibri" w:cs="Calibri" w:eastAsia="Calibri"/>
          <w:i/>
          <w:color w:val="auto"/>
          <w:spacing w:val="0"/>
          <w:position w:val="0"/>
          <w:sz w:val="24"/>
          <w:shd w:fill="auto" w:val="clear"/>
        </w:rPr>
        <w:t xml:space="preserve">Journal of the Autonomic Nervous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Rajendran, P. S. et al. Identification of peripheral neural circuits that regulate heart rate using optogenetic and viral vector strategies.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Hanani, M. Satellite glial cells in sympathetic and parasympathetic ganglia: In search of function. </w:t>
      </w:r>
      <w:r>
        <w:rPr>
          <w:rFonts w:ascii="Calibri" w:hAnsi="Calibri" w:cs="Calibri" w:eastAsia="Calibri"/>
          <w:i/>
          <w:color w:val="auto"/>
          <w:spacing w:val="0"/>
          <w:position w:val="0"/>
          <w:sz w:val="24"/>
          <w:shd w:fill="auto" w:val="clear"/>
        </w:rPr>
        <w:t xml:space="preserve">Brain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Larsen, H. E., Lefkimmiatis, K., Paterson, D. J. Sympathetic neurons are a powerful driver of myocyte function in cardiovascular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Hasan, W. et al. Sympathetic hyperinnervation and inflammatory cell NGF synthesis following myocardial infarction in rats.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1124</w:t>
      </w:r>
      <w:r>
        <w:rPr>
          <w:rFonts w:ascii="Calibri" w:hAnsi="Calibri" w:cs="Calibri" w:eastAsia="Calibri"/>
          <w:color w:val="auto"/>
          <w:spacing w:val="0"/>
          <w:position w:val="0"/>
          <w:sz w:val="24"/>
          <w:shd w:fill="auto" w:val="clear"/>
        </w:rPr>
        <w:t xml:space="preserve"> (1),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Lorentz, C. U. et al. Heterogeneous ventricular sympathetic innervation, altered &amp;amp;#946;-adrenergic receptor expression, and rhythm instability in mice lacking the p75 neurotrophin receptor.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(6), 1652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1660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