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240" w:after="60" w:line="240"/>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Labelling and Visualization of Mitochondrial Genome Expression Products in Baker's Yeast </w:t>
      </w:r>
      <w:r>
        <w:rPr>
          <w:rFonts w:ascii="Calibri" w:hAnsi="Calibri" w:cs="Calibri" w:eastAsia="Calibri"/>
          <w:i/>
          <w:color w:val="auto"/>
          <w:spacing w:val="0"/>
          <w:position w:val="0"/>
          <w:sz w:val="24"/>
          <w:shd w:fill="auto" w:val="clear"/>
        </w:rPr>
        <w:t xml:space="preserve">Saccharomyces Cerevisiae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Sergei A. Levitskii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V. Baleva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Igor A. Krasheninnikov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Maxim V. Patrushev</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Piotr A. Kamenski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M.V.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Functional Genomics, M.V.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National Research Centre "Kurchatov Institute", Moscow, Russia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Sergei A. Levitskii</w:t>
        <w:tab/>
        <w:tab/>
        <w:t xml:space="preserve">(krolick@yandex.ru)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V. Baleva</w:t>
        <w:tab/>
        <w:tab/>
        <w:t xml:space="preserve">(mary-bw@mail.ru)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Igor A. Krasheninnikov</w:t>
        <w:tab/>
        <w:t xml:space="preserve">(iakrasheninnikov@protein.bio.msu.ru)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 V. Patrushev</w:t>
        <w:tab/>
        <w:tab/>
        <w:t xml:space="preserve">(maxpatrushev@yandex.ru)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Piotr A. Kamenski</w:t>
        <w:tab/>
        <w:tab/>
        <w:t xml:space="preserve">(peter@protein.bio.msu.ru)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Baker’s yeast, mitochondria, translation, protein, biosynthesis, labeling, visualization, assay,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Baker’s yeast mitochondrial genome encodes eight polypeptides. The goal of the current protocol is to label all of them and subsequently visualize them as separate bands.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essential organelles of eukaryotic cells capable of aerobic respiration. They contain circular genome and gene expression apparatus. A mitochondrial genome of baker’s yeast encodes eight proteins: three subunits of the cytochrome c oxidase (Cox1p, Cox2p, and Cox3p), three subunits of the ATP synthase (Atp6p, Atp8p, and Atp9p), a subunit of the ubiquinol-cytochrome c oxidoreductase enzyme, cytochrome b (Cytb), and mitochondrial ribosomal protein Var1p. The purpose of the method described here is to specifically label these proteins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methionine, separate them by electrophoresis and visualize the signals as discrete bands on the screen. The procedure involves several steps. First, yeast cells are cultured in a galactose-containing medium until they reach the late logarithmic growth stage. Next, cycloheximide treatment blocks cytoplasmic translation and allows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methionine incorporation only in mitochondrial translation products. Then, all proteins are extracted from yeast cells and separated by polyacrylamide gel electrophoresis. Finally, the gel is dried and incubated with the storage phosphor screen. The screen is scanned on a phosphorimager revealing the bands. The method can be applied to compare the biosynthesis rate of a single polypeptide in the mitochondria of a mutant yeast strain versus the wild type, which is useful for studying mitochondrial gene expression defects. This protocol gives valuable information about the translation rate of all yeast mitochondrial mRNAs. However, it requires several controls and additional experiments to make proper conclusions.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the organelles deeply involved in the metabolism of a eukaryotic cell. Their electron transfer chain supplies the cell with ATP, the main energetic currency used in multiple biochemical pathways. Besides, they are involved in apoptosis, fatty acid and heme synthesis, and other processes. Dysfunction of mitochondria is a well-known source of human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can result from mutations in nuclear or mitochondrial genes encoding structural or regulatory components of the organelles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Baker’s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is an excellent model organism for studying mitochondrial gene expression due to several reasons. First, their genome is completely sequenced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well-annotated, and a big sum of data is already available in literature thanks to the long history of investigations carried out with this organism. Second, the manipulations with their nuclear genome are relatively fast and easy because of their fast growth rate and highly efficient homologous recombination system. Third, baker’s yeast</w:t>
      </w:r>
      <w:r>
        <w:rPr>
          <w:rFonts w:ascii="Calibri" w:hAnsi="Calibri" w:cs="Calibri" w:eastAsia="Calibri"/>
          <w:i/>
          <w:color w:val="auto"/>
          <w:spacing w:val="0"/>
          <w:position w:val="0"/>
          <w:sz w:val="24"/>
          <w:shd w:fill="auto" w:val="clear"/>
        </w:rPr>
        <w:t xml:space="preserve"> S. cerevisiae</w:t>
      </w:r>
      <w:r>
        <w:rPr>
          <w:rFonts w:ascii="Calibri" w:hAnsi="Calibri" w:cs="Calibri" w:eastAsia="Calibri"/>
          <w:color w:val="auto"/>
          <w:spacing w:val="0"/>
          <w:position w:val="0"/>
          <w:sz w:val="24"/>
          <w:shd w:fill="auto" w:val="clear"/>
        </w:rPr>
        <w:t xml:space="preserve"> is one of the few organisms for which the manipulations with mitochondrial genomes are developed. Finally, baker's yeast is an aerobe-anaerobe facultative organism, which allows isolation and study of respiratory defective mutants, since they can grow in media containing fermentable carbon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method to study mitochondrial gene expression of baker’s yeast</w:t>
      </w:r>
      <w:r>
        <w:rPr>
          <w:rFonts w:ascii="Calibri" w:hAnsi="Calibri" w:cs="Calibri" w:eastAsia="Calibri"/>
          <w:i/>
          <w:color w:val="auto"/>
          <w:spacing w:val="0"/>
          <w:position w:val="0"/>
          <w:sz w:val="24"/>
          <w:shd w:fill="auto" w:val="clear"/>
        </w:rPr>
        <w:t xml:space="preserve"> S. cerevisiae </w:t>
      </w:r>
      <w:r>
        <w:rPr>
          <w:rFonts w:ascii="Calibri" w:hAnsi="Calibri" w:cs="Calibri" w:eastAsia="Calibri"/>
          <w:color w:val="auto"/>
          <w:spacing w:val="0"/>
          <w:position w:val="0"/>
          <w:sz w:val="24"/>
          <w:shd w:fill="auto" w:val="clear"/>
        </w:rPr>
        <w:t xml:space="preserve">at the translational level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Its main principle comes from several observations. First, the yeast mitochondrial genome encodes only eight proteins: three subunits of the cytochrome c oxidase (Cox1p, Cox2p, and Cox3p), three subunits of the ATP synthase (Atp6p, Atp8p, and Atp9p),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subunit of the ubiquinol-cytochrome c oxidoreductase enzyme, cytochrome b (Cytb), and mitochondrial ribosomal protein Var1p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number is small, and all of them can be separated by electrophoresis on a single gel in the appropriate conditions. Second, mitochondrial ribosomes belong to the prokaryotic class rather than eukaryotic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therefore, the sensitivity to antibiotics is different for yeast cytoplasmic and mitochondrial ribosomes. It allows the inhibition of cytoplasmic translation with cycloheximide, providing the conditions when the labeled amino acid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is incorporated only in mitochondrial translation products. As a result, the experiment gives information about the rate of amino acid incorporation in mitochondrial proteins synthesized de novo, reflecting the overall efficiency of mitochondrial translation for each of the eight products.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Yeast culture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Streak yeast from the frozen stock cultures on fresh plates with the appropriate medium. Put the plates in a culture incubator at 30 &amp;#176;C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Let the temperature-sensitive mutants grow at the permissive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Inoculate yeast cultures in 2 mL of YPGal medium (2% peptone, 1% yeast extract, 2% galactose) from the fresh streak in 15 mL tubes and incubate them overnight agitating at 200 rpm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Measure the optical density of the culture at a wavelength of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Take the volume corresponding to 0.2 absorbance units in sterile tubes,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Wash cells with 0.5 mL of sterile water by vortexing for 5 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 Dilute cells in 2 mL of fresh YPGal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Incubate agitating at 200 rpm and 30 &amp;#176;C until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reaches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Yeast growth rates vary, so be prepared to wait. It is reasonable to make steps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early in the morning. It usually takes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but can take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Radioactive isotope incorporation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Transfer the culture volume equivalent to one optical unit in a microcentrifuge tube. Spin the tubes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discard the supernatant. Wash with 0.5 mL of sterile water by vortexing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 Resuspend yeast cells in 0.5 mL of sterile translation buffer. Place the suspension in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Translation buffer is a solution containing 2% galactose (w/v) and 50 mM potassium phosphate with pH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cycloheximide to cell suspension up to a final concentration of 0.2 mg/mL. Incubate for 5 min agitating at 200 rpm and 30 &amp;#176;C to inhibit cytosolic 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Cycloheximide solution (20 mg/mL, in ethanol) should be prepared fresh before the experiment. Chloramphenicol can be successfully substituted with anisomycin in the same concentration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&amp;#181;Ci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to the cell suspension and incubate for 30 min agitating at 200 rpm and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mixture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and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S-cysteine can also be used. Pure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results in the strongest signal and the best signal-to-noise ratio. Generally, methionine is more effective than cysteine because the content of this amino acid in mitochondrial proteins is higher. However, the EasyTag mixture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and cysteine is less expensive and gives comparable results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is radioactive. Follow the usual safety practices for handling radioactive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well known that the incorporation of radioactivity reaches a limit due to which the total signals level off over time. Once this limit is reached, it is almost impossible to determine the rates by which the different translation products are synthesized. To analyze the rate of mitochondrial translation, it is imperative to be in a condition in which the signal intensity increases with time of incubation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in a linear manner. For common laboratory wild-type strains, the signal is already saturated for incubation times far shorter than the 30 min. Translational mutants can behave very differently. A time-course should be performed to establish the kinetics of radioactivity incorporation and thus the rate of translation, at least when working with a new strain. For this, we suggest taking samples with an interval of several minutes (e.g., 2.5, 5.0, 7,5, 10, and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unlabeled "cold" methionine (final concentration should be 20 mM) and puromycine (final concentration should be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&amp;#181;g/mL) to stop the labeling. Incubate for 10 min agitating at 200 rpm and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to give ribosomes time to finish translating the peptides. Otherwise, all polypeptides shorter than full-length will be detected at a different size. A time-course experiment (pulse-chase) can be done at this step to determine the stability of mitochondrial translation products. For this, continue the incubation taking samples with an interval of 30 min (e.g., 30, 60, 90, and 120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Yeast cell lysis and extraction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Collect yeast cells by centrifugation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Wash the cells with 0.5 mL of sterile water by vortexing for 5 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Store the samples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75 &amp;#181;L of lysis buffer to the pellet and vortex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buffer is a solution of 1.8 M NaOH, 1 M &amp;#946;-mercaptoethanol, and 1 mM PMSF in water. Avoid excessive incubation with lysis buffer leading to alkaline hydrolysis of proteins. Immediately proceed to step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500 &amp;#181;L of 0.5 M Tris-HCl buffer with pH 6.8. Vortex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Precipitation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and chloroform are organic solvents. Follow the usual safety practices for handling organic substances.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Add 600 &amp;#181;L of methanol to the sample. Vortex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150 &amp;#181;L of chloroform to the sample. Vortex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Centrifuge the samples for 2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Carefully discard the upper phase with a sampler.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600 &amp;#181;L of methanol to the sample. Mix carefully by inverting the tube several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Centrifuge the samples for 2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Air-dry the pellet for 2 min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liquid should evaporate. There is a risk to have an aberrant separation of proteins in the gel if the pellet was dried insufficiently. However, it is not possible to over-dry the pellet, so it can even be stored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Dissolve precipitated proteins in 60 &amp;#181;L of 1x Laemmli sample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Heat for 10 min at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boiling the samples at 95 &amp;#176;C, because this causes aggregation. If the aggregates still form, Spin the samples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and collect the supernatant. Samples can be stored at -20 &amp;#176;C.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SDS-PAGE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Cast the 17.5% Laemmli SDS-polyacrylamide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6 M urea can be added to the gel to resolve better atp8 and atp9. Gradient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gels can also give better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Load 15 &amp;#181;L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&amp;#181;g) of each sample in the pockets.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necessary to measure protein concentration if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values were close in step 1.6. If not, measure protein concentrations using the assay with detergent-compatible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Run the gel in a cold room until the blue dye reaches approximately 65% of the gel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system used (e.g., Protean II xi cell), we use either of the two modes: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h at 5 V/cm or 5 h at 15 V/cm. No proteins run faster than the bromophenol blue dye, but long runs can result in blurring of atp8 and atp9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Stain the gel with Coomassie brilliant blue and make a scan or photo, which is required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way to make a loading control is immunoblotting with an antibody to mitochondrial “house-keeping” gene, e. g., porin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Autoradiography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Dry the gel in a gel-dryer. Keep it in the cassette with a storage phosphor screen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to screening the dried gel is the transfer of proteins to a nitrocellulose membrane by electro-blotting and screening it thereafter. It results in stronger signals and sharper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Scan the screen on a phosphorimager.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to phosphor imaging, X-ray film can also be used to reveal the signals.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described above, we assigned mitochondrial translation products from two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strains: the wild type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and a mutant bearing deletion of the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gene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encoding mitochondrial translation initiation factor 3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Mitochondrial translation products were radioactively labeled and separated in SDS-PAAG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samples were collected every 2.5 min before saturation to build a time course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gel was stained, dried, and screened after the 5-day exposition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a successful experiment, the picture demonstrates eight bands assigned according to the standard pattern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intensities of individual bands can be highly variable depending on the strain and experimental conditions. Each band corresponds to one translation product. The data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suggest that the </w:t>
      </w:r>
      <w:r>
        <w:rPr>
          <w:rFonts w:ascii="Calibri" w:hAnsi="Calibri" w:cs="Calibri" w:eastAsia="Calibri"/>
          <w:i/>
          <w:color w:val="auto"/>
          <w:spacing w:val="0"/>
          <w:position w:val="0"/>
          <w:sz w:val="24"/>
          <w:shd w:fill="auto" w:val="clear"/>
        </w:rPr>
        <w:t xml:space="preserve">AIM23 </w:t>
      </w:r>
      <w:r>
        <w:rPr>
          <w:rFonts w:ascii="Calibri" w:hAnsi="Calibri" w:cs="Calibri" w:eastAsia="Calibri"/>
          <w:color w:val="auto"/>
          <w:spacing w:val="0"/>
          <w:position w:val="0"/>
          <w:sz w:val="24"/>
          <w:shd w:fill="auto" w:val="clear"/>
        </w:rPr>
        <w:t xml:space="preserve">strain is capable of mitochondrial protein synthesis because all products appearing in the WT are visible in this mutant. However, the intensities of the bands are different from the WT, meaning that the deletion of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affects mitochondrial gene expression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Coomassie Brilliant Blue staining serves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data can be quantified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identify differences between strains or experimental conditions using ImageJ</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ImageQuant software. For this, the ratios of the signal corresponding to every product to the total signal are calculated. Mean values and standard deviations are calculated in at least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kinetics of synthesized protein turnover is studied in a pulse-chase experiment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Samples are collected at the indicated time points after the labeling reaction is stopped by cold methionine and puromycine in step 2.4. This control is necessary to estimate the stability of the products because the intensity of the signal is a result of two opposite processes: synthesis of new chains and protein degradation. Immunostaining with anti-porin 1 antibodies is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radioactive labeling of yeast mitochondrial translation products.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 course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incorporation in mitochondrially synthesized proteins in live yeast cells of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AIM23</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strains. Coomassie Brilliant Blue staining is a loading control.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Levels of mitochondrially-encoded proteins after 5 min labeling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The relative expression is normalized to the total expression of mitochondrially encoded protein genes. Error bars indicate the standard deviation of the mean of at least three independent experiments.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Turnover of mitochondrially synthesized proteins in wild type and </w:t>
      </w:r>
      <w:r>
        <w:rPr>
          <w:rFonts w:ascii="Calibri" w:hAnsi="Calibri" w:cs="Calibri" w:eastAsia="Calibri"/>
          <w:i/>
          <w:color w:val="auto"/>
          <w:spacing w:val="0"/>
          <w:position w:val="0"/>
          <w:sz w:val="24"/>
          <w:shd w:fill="auto" w:val="clear"/>
        </w:rPr>
        <w:t xml:space="preserve">Aim23Δ</w:t>
      </w:r>
      <w:r>
        <w:rPr>
          <w:rFonts w:ascii="Calibri" w:hAnsi="Calibri" w:cs="Calibri" w:eastAsia="Calibri"/>
          <w:color w:val="auto"/>
          <w:spacing w:val="0"/>
          <w:position w:val="0"/>
          <w:sz w:val="24"/>
          <w:shd w:fill="auto" w:val="clear"/>
        </w:rPr>
        <w:t xml:space="preserve"> strains. The labeling was stopped and the samples were collected at the indicated time points. Immunostaining with anti-porin 1 antibody is a loading control.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Sub-optimal experiment with old 35S-methionine, radioautography. </w:t>
      </w:r>
      <w:r>
        <w:rPr>
          <w:rFonts w:ascii="Calibri" w:hAnsi="Calibri" w:cs="Calibri" w:eastAsia="Calibri"/>
          <w:b/>
          <w:color w:val="auto"/>
          <w:spacing w:val="0"/>
          <w:position w:val="0"/>
          <w:sz w:val="24"/>
          <w:shd w:fill="auto" w:val="clear"/>
        </w:rPr>
        <w:t xml:space="preserve">Figures 1A,B,C</w:t>
      </w:r>
      <w:r>
        <w:rPr>
          <w:rFonts w:ascii="Calibri" w:hAnsi="Calibri" w:cs="Calibri" w:eastAsia="Calibri"/>
          <w:color w:val="auto"/>
          <w:spacing w:val="0"/>
          <w:position w:val="0"/>
          <w:sz w:val="24"/>
          <w:shd w:fill="auto" w:val="clear"/>
        </w:rPr>
        <w:t xml:space="preserve"> are adapted from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minor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Genotypes of </w:t>
      </w:r>
      <w:r>
        <w:rPr>
          <w:rFonts w:ascii="Calibri" w:hAnsi="Calibri" w:cs="Calibri" w:eastAsia="Calibri"/>
          <w:b/>
          <w:i/>
          <w:color w:val="auto"/>
          <w:spacing w:val="0"/>
          <w:position w:val="0"/>
          <w:sz w:val="24"/>
          <w:shd w:fill="auto" w:val="clear"/>
        </w:rPr>
        <w:t xml:space="preserve">S. cerevisiae</w:t>
      </w:r>
      <w:r>
        <w:rPr>
          <w:rFonts w:ascii="Calibri" w:hAnsi="Calibri" w:cs="Calibri" w:eastAsia="Calibri"/>
          <w:b/>
          <w:color w:val="auto"/>
          <w:spacing w:val="0"/>
          <w:position w:val="0"/>
          <w:sz w:val="24"/>
          <w:shd w:fill="auto" w:val="clear"/>
        </w:rPr>
        <w:t xml:space="preserv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Investigations of gene expression occupy a central part in modern life sciences. Numerous methods providing insights into this complex process have been developed. Here, we described the method allowing to access protein biosynthesis in baker's yeast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mitochondria. </w:t>
      </w:r>
      <w:r>
        <w:rPr>
          <w:rFonts w:ascii="Calibri" w:hAnsi="Calibri" w:cs="Calibri" w:eastAsia="Calibri"/>
          <w:color w:val="auto"/>
          <w:spacing w:val="0"/>
          <w:position w:val="0"/>
          <w:sz w:val="24"/>
          <w:shd w:fill="auto" w:val="clear"/>
        </w:rPr>
        <w:t xml:space="preserve">It is usually applied to compare translation efficiencies of the mRNAs in mitochondria of mutant yeast strain versus wild type to access the consequences of the studied mutation. This is one of the basic experiments the researchers conduct when they study the mitochondrial function of yeast cells bearing the mutation suggested to influence mitochondria</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is often combined with the measurements of oxygen consumption rate and mitochondrial membrane potential. However, the information it provides is not sufficient to distinguish what stage of gene expression is affected. A set of additional experiments is required to find it out. First, northern blot or RT-qPCR evaluation of mitochondrial mRNAs is necessary to assess the transcriptional step. Second, a Western blot of total protein extracts with specific antibodies should be done to assess the protein level. Third, the pulse of labeled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(hot) should be continued with the addition of unlabeled (cold) methionine (chase) and several time points should be collected and analyzed on the gel to investigate the stability of the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analysis of mitochondrial gene expression using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pulse labeling requires control reactions, especially when the researcher lacks the experience handling it or works with a new yeast strain or a mutant. In these cases, good negative control is a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strain devoid of mitochondrial DNA. It shows efficient cycloheximide inhibition of cytosolic translation and confirms that the banding pattern is mitochondrial translation specific. If the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strain is not available, then we suggest including chloramphenicol along with cycloheximide to inhibit all protein synthesis to confirm cycloheximide efficiency and specificity of the banding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closest modification of the protocol is the pulse-chase when the culture is incubated in the shaker (step 2.4) longer than suggested in the pulse experiment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It is used to study the turnover and stability of mitochondrial translation products. There is another modification of the method when the radioactive labeling is done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organello, not in vivo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suggests the isolation of mitochondria from yeast cells. This modification is faster if frozen mitochondria were previously stocked in aliquots. Another advantage is the absence of cycloheximide treatment, which affects different aspects of cellular metabolism. However, isolation of mitochondria and freeze-thawing them can perturb the translation complexes in the organelles providing an artificial picture. Another important modification of the protocol can be done after the separation of mitochondrial translation products in polyacrylamide gel (step 5). Instead of Coomassie Brilliant Blue staining and drying the gel, the protein can be transferred to the nitrocellulose membrane by electro-blotting. This results in stronger and sharper signals. The main reason is that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decays by emission of beta particles with very short penetration, so the signal is easily screened in this approach. Electrophoretic conditions can also be modified to provide better resolution. One point is to add 6M urea in the gel, which improves the separation of atp8 and atp9</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Another way is using gradient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Translational profiling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the method used to dive deeper into the alterations of mitochondrial translation. As compared to radioactive labeling, it allows establishing positions of mitochondrial ribosomes on the mRNA, which makes it possible to find the exact step (initiation, elongation, or termination) being affected. However, profiling is much more expensive, complicated, and time-consuming. Rationally it can be done after the label incorporation experiment, not vice versa. Recently, a novel approach to monitoring yeast mitochondrial translation has been developed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avoids treatment with cycloheximide, which is advantageous because such treatment affects cellular metabolism and signaling pathways. Instead of radioactively labeled amino acid incorporation, it utilizes the insertion of a recoded gene for super-folded GFP (sfGFP) in yeast mitochondrial genome, which allows direct measurement of mitochondrial translation using flow cytometry. However, the application of this approach requires the special yeast strain with modified mitochondrial DNA containing sfGFP coding sequence placed between 5’- and 3’- flanking sequences of a certain mitochondrial 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label incorporation experiment</w:t>
      </w:r>
      <w:r>
        <w:rPr>
          <w:rFonts w:ascii="Calibri" w:hAnsi="Calibri" w:cs="Calibri" w:eastAsia="Calibri"/>
          <w:color w:val="000000"/>
          <w:spacing w:val="0"/>
          <w:position w:val="0"/>
          <w:sz w:val="24"/>
          <w:shd w:fill="auto" w:val="clear"/>
        </w:rPr>
        <w:t xml:space="preserve"> includes several critical steps, which cannot be compromised in a successful experiment. First, fresh yeast cultures should be used (step 1.1). Keeping yeasts on the plates longer than 1 month is not recommend; otherwise, they can behave unpredictably in this assay. Second, the cycloheximide solution should be prepared fresh before the experiment and stored frozen no longer than 1 week (step 2.1). The old solution loses its ability to inhibit cytoplasmic translation resulting in a completely aberrant band pattern in the radioautography. Third,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S-methionine should be fresh and active (step 2.2), otherwise, the intensities of the bands will be weak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Using the reagent that passed four half-lives (4 x 87.4 days) is not recommended. Avoid boiling the protein samples at 95 &amp;#176;C as standard sample preparation guides suggest (step 4.8) because mitochondrial proteins are highly hydrophobic and prone to aggregation.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common issues one can experience dealing with this method. The first one is the weak intensity of the bands on the radioautography. To fix it make sure, that fresh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S-methionine is used, a sufficient amount of yeast cells is taken, and the proteins do not aggregate in the pockets on the gel, which can be controlled by Coomassie staining. Keep the dried gel with the screen for no less than 3 days. The second issue is the incorrect band pattern. If it is encountered, make sure that fresh yeast plates and freshly prepared cycloheximide are used. Keep in mind that relative intensities of the bands can vastly vary in different yeast strains and electrophoresis conditions. It makes little sense to load the protein molecular weight ladder on the gel since mitochondrial translation products are never separated according to their molecular masses in this procedure because they are highly hydrophobic. Thus, Cox I (58 kDa) migrates faster than Var 1 (47 kDa). Depending on the buffer conditions, the proteins can even switch positions with one of the neighbors. The third common issue is the blurred picture with no sharp bands observed after Coomassie staining. It indicates the mistakes in the casting of the gel, incorrect buffer composition, or degradation of proteins in the samples. It is recommended to prepare new gel buffers and running buffer carefully checking the composition and the pH values.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Russian Foundation for Basic Research, grant number 18-29-07002. P.K. was supported by State Assignment of Ministry of Science and Higher Education of the Russian Federation, grant number AAAA-A16-116021660073-5. M.V.P. was supported by the Ministry of Science and Higher Education of the Russian Federation, grant number 075-15-2019-1659 (Program of Kurchatov Center of Genome Research). The work was partly done on the equipment purchased in the frame of the Moscow State University Program of Development. I.C., S.L., and M.V.B. were additionally supported by Moscow State University grant “Leading Scientific School Noah’s 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Taylor, R. W., Turnbull, D. M. Mitochondrial DNA mutations in human disease.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Park, C. B., Larsson, N. G. Mitochondrial DNA mutations in disease and aging.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(5), 809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818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Goffeau, A. et al. Life with 6000 genes.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(5287), 546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563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Westermann, B., Herrmann, J. M., Neupert, W. Analysis of mitochondrial translation products in vivo and in organello in yeast.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438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Foury, F., Roganti, T., Lecrenier, N., Purnelle, B. The complete sequence of the mitochondrial genome of Saccharomyces cerevisiae.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 (3),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Desai, N., Brown, A., Amunts, A., Ramakrishnan, V. The structure of the yeast mitochondrial ribosome.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355</w:t>
      </w:r>
      <w:r>
        <w:rPr>
          <w:rFonts w:ascii="Calibri" w:hAnsi="Calibri" w:cs="Calibri" w:eastAsia="Calibri"/>
          <w:color w:val="000000"/>
          <w:spacing w:val="0"/>
          <w:position w:val="0"/>
          <w:sz w:val="24"/>
          <w:shd w:fill="auto" w:val="clear"/>
        </w:rPr>
        <w:t xml:space="preserve"> (6324), 528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Sasarman, F., Shoubridge, E. A. Radioactive labeling of mitochondrial translation products in cultured cells.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837</w:t>
      </w:r>
      <w:r>
        <w:rPr>
          <w:rFonts w:ascii="Calibri" w:hAnsi="Calibri" w:cs="Calibri" w:eastAsia="Calibri"/>
          <w:color w:val="000000"/>
          <w:spacing w:val="0"/>
          <w:position w:val="0"/>
          <w:sz w:val="24"/>
          <w:shd w:fill="auto" w:val="clear"/>
        </w:rPr>
        <w:t xml:space="preserve">,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Kuzmenko, A. et al. Aim-less translation: loss of Saccharomyces cerevisiae mitochondrial translation initiation factor mIF3/Aim23 leads to unbalanced protein synthesis.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18749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Laemmli, U. K. Cleavage of structural proteins during the assembly of the head of bacteriophage T4.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(5259), 680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685 (1970).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Schneider, C. A., Rasband, W. S., Eliceiri, K. W. NIH Image to ImageJ: 25 years of 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Keil, M. et al. Oxa1-ribosome complexes coordinate the assembly of cytochrome c oxidase in mitochondria.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(41), 34484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34493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Singhal, R. K. et al. Coi1 is a novel assembly factor of the yeast complex III-complex IV supercomplex.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(20), 2609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Mick, D. U. et al. Coa3 and Cox14 are essential for negative feedback regulation of COX1 translation in mitochondria.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(1), 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Bietenhader, M. et al. Experimental relocation of the mitochondrial ATP9 gene to the nucleus reveals forces underlying mitochondrial genome evolution.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e1002876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Couvillion, M. T., Churchman, L. S. Mitochondrial ribosome (mitoribosome) profiling for monitoring mitochondrial translation in vivo.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4.28.1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4.28.25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Suhm, T. et al. A novel system to monitor mitochondrial translation in yeast. </w:t>
      </w:r>
      <w:r>
        <w:rPr>
          <w:rFonts w:ascii="Calibri" w:hAnsi="Calibri" w:cs="Calibri" w:eastAsia="Calibri"/>
          <w:i/>
          <w:color w:val="000000"/>
          <w:spacing w:val="0"/>
          <w:position w:val="0"/>
          <w:sz w:val="24"/>
          <w:shd w:fill="auto" w:val="clear"/>
        </w:rPr>
        <w:t xml:space="preserve">Microbial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(2018).</w:t>
      </w:r>
    </w:p>
    <w:p>
      <w:pPr>
        <w:spacing w:before="0" w:after="0" w:line="240"/>
        <w:ind w:right="0" w:left="640" w:hanging="64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