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097F6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>TITLE:</w:t>
      </w:r>
      <w:r w:rsidRPr="002B27DA">
        <w:rPr>
          <w:rFonts w:eastAsia="Calibri"/>
        </w:rPr>
        <w:t xml:space="preserve"> </w:t>
      </w:r>
    </w:p>
    <w:p w14:paraId="21029102" w14:textId="7258D9BD" w:rsidR="00FB5104" w:rsidRPr="002B27DA" w:rsidRDefault="00663A76" w:rsidP="002B27DA">
      <w:pPr>
        <w:pStyle w:val="Heading1"/>
        <w:spacing w:before="0" w:after="0"/>
        <w:contextualSpacing/>
        <w:rPr>
          <w:b w:val="0"/>
          <w:sz w:val="24"/>
          <w:szCs w:val="24"/>
        </w:rPr>
      </w:pPr>
      <w:r w:rsidRPr="002B27DA">
        <w:rPr>
          <w:rStyle w:val="title-text"/>
          <w:b w:val="0"/>
          <w:sz w:val="24"/>
          <w:szCs w:val="24"/>
        </w:rPr>
        <w:t>Q</w:t>
      </w:r>
      <w:r w:rsidR="00267FDB" w:rsidRPr="002B27DA">
        <w:rPr>
          <w:rStyle w:val="title-text"/>
          <w:b w:val="0"/>
          <w:sz w:val="24"/>
          <w:szCs w:val="24"/>
        </w:rPr>
        <w:t>uantitative atomic-site</w:t>
      </w:r>
      <w:r w:rsidR="00BB5CD3" w:rsidRPr="002B27DA">
        <w:rPr>
          <w:rStyle w:val="title-text"/>
          <w:b w:val="0"/>
          <w:sz w:val="24"/>
          <w:szCs w:val="24"/>
        </w:rPr>
        <w:t xml:space="preserve"> </w:t>
      </w:r>
      <w:r w:rsidR="00267FDB" w:rsidRPr="002B27DA">
        <w:rPr>
          <w:rStyle w:val="title-text"/>
          <w:b w:val="0"/>
          <w:sz w:val="24"/>
          <w:szCs w:val="24"/>
        </w:rPr>
        <w:t>analysis of functional dopants</w:t>
      </w:r>
      <w:r w:rsidR="004A5D0B" w:rsidRPr="002B27DA">
        <w:rPr>
          <w:rStyle w:val="title-text"/>
          <w:b w:val="0"/>
          <w:sz w:val="24"/>
          <w:szCs w:val="24"/>
        </w:rPr>
        <w:t>/point defects</w:t>
      </w:r>
      <w:r w:rsidR="00267FDB" w:rsidRPr="002B27DA">
        <w:rPr>
          <w:rStyle w:val="title-text"/>
          <w:b w:val="0"/>
          <w:sz w:val="24"/>
          <w:szCs w:val="24"/>
        </w:rPr>
        <w:t xml:space="preserve"> in crystalline materials by electron-channeling-enhanced microanalysis</w:t>
      </w:r>
    </w:p>
    <w:p w14:paraId="7A81CEFE" w14:textId="77777777" w:rsidR="00593C2D" w:rsidRPr="002B27DA" w:rsidRDefault="00593C2D" w:rsidP="002B27DA">
      <w:pPr>
        <w:contextualSpacing/>
        <w:rPr>
          <w:b/>
        </w:rPr>
      </w:pPr>
    </w:p>
    <w:p w14:paraId="60EEDB3C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 xml:space="preserve">AUTHORS AND AFFILIATIONS: </w:t>
      </w:r>
    </w:p>
    <w:p w14:paraId="2E9F26CC" w14:textId="77777777" w:rsidR="000E4EC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</w:rPr>
        <w:t xml:space="preserve">Masahiro </w:t>
      </w:r>
      <w:proofErr w:type="spellStart"/>
      <w:r w:rsidRPr="002B27DA">
        <w:rPr>
          <w:rFonts w:eastAsia="Calibri"/>
        </w:rPr>
        <w:t>Ohtsuka</w:t>
      </w:r>
      <w:proofErr w:type="spellEnd"/>
    </w:p>
    <w:p w14:paraId="15803706" w14:textId="13B2C5AD" w:rsidR="0026423B" w:rsidRPr="002B27DA" w:rsidRDefault="0087634F" w:rsidP="002B27DA">
      <w:pPr>
        <w:contextualSpacing/>
        <w:rPr>
          <w:rFonts w:eastAsia="Calibri"/>
        </w:rPr>
      </w:pPr>
      <w:r w:rsidRPr="002B27DA">
        <w:rPr>
          <w:rFonts w:eastAsia="Calibri"/>
        </w:rPr>
        <w:t xml:space="preserve">Electron </w:t>
      </w:r>
      <w:proofErr w:type="spellStart"/>
      <w:r w:rsidRPr="002B27DA">
        <w:rPr>
          <w:rFonts w:eastAsia="Calibri"/>
        </w:rPr>
        <w:t>Nanoscopy</w:t>
      </w:r>
      <w:proofErr w:type="spellEnd"/>
      <w:r w:rsidRPr="002B27DA">
        <w:rPr>
          <w:rFonts w:eastAsia="Calibri"/>
        </w:rPr>
        <w:t xml:space="preserve"> Division, Advanced Measurement Technology Center, Institute of Materials &amp; Systems for Sustainability, Nagoya University</w:t>
      </w:r>
      <w:r w:rsidR="00163796">
        <w:rPr>
          <w:rFonts w:eastAsia="Calibri"/>
        </w:rPr>
        <w:t>, Nagoya, Japan</w:t>
      </w:r>
    </w:p>
    <w:p w14:paraId="0B5668F0" w14:textId="77777777" w:rsidR="00B15989" w:rsidRPr="002B27D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</w:rPr>
        <w:t>m-ohtsuka@nagoya-u.jp</w:t>
      </w:r>
    </w:p>
    <w:p w14:paraId="0D047776" w14:textId="77777777" w:rsidR="0087634F" w:rsidRPr="002B27DA" w:rsidRDefault="0087634F" w:rsidP="002B27DA">
      <w:pPr>
        <w:contextualSpacing/>
      </w:pPr>
    </w:p>
    <w:p w14:paraId="030C739C" w14:textId="77777777" w:rsidR="000E4ECA" w:rsidRDefault="00663A76" w:rsidP="002B27DA">
      <w:pPr>
        <w:contextualSpacing/>
        <w:rPr>
          <w:rFonts w:eastAsia="Calibri"/>
        </w:rPr>
      </w:pPr>
      <w:proofErr w:type="spellStart"/>
      <w:r w:rsidRPr="002B27DA">
        <w:rPr>
          <w:rFonts w:eastAsia="Calibri"/>
        </w:rPr>
        <w:t>Shunsuke</w:t>
      </w:r>
      <w:proofErr w:type="spellEnd"/>
      <w:r w:rsidRPr="002B27DA">
        <w:rPr>
          <w:rFonts w:eastAsia="Calibri"/>
        </w:rPr>
        <w:t xml:space="preserve"> Muto</w:t>
      </w:r>
    </w:p>
    <w:p w14:paraId="7F67AD26" w14:textId="778449C6" w:rsidR="00411234" w:rsidRPr="002B27D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</w:rPr>
        <w:t xml:space="preserve">Electron </w:t>
      </w:r>
      <w:proofErr w:type="spellStart"/>
      <w:r w:rsidRPr="002B27DA">
        <w:rPr>
          <w:rFonts w:eastAsia="Calibri"/>
        </w:rPr>
        <w:t>Nanoscopy</w:t>
      </w:r>
      <w:proofErr w:type="spellEnd"/>
      <w:r w:rsidRPr="002B27DA">
        <w:rPr>
          <w:rFonts w:eastAsia="Calibri"/>
        </w:rPr>
        <w:t xml:space="preserve"> Division, Advanced Measurement Technology Center, Institute of Materials &amp; Systems for Sustainability, Nagoya University</w:t>
      </w:r>
      <w:r w:rsidR="00163796">
        <w:rPr>
          <w:rFonts w:eastAsia="Calibri"/>
        </w:rPr>
        <w:t>, Nagoya, Japan</w:t>
      </w:r>
    </w:p>
    <w:p w14:paraId="476A8F5A" w14:textId="77777777" w:rsidR="00593C2D" w:rsidRPr="002B27DA" w:rsidRDefault="00663A76" w:rsidP="002B27DA">
      <w:pPr>
        <w:contextualSpacing/>
      </w:pPr>
      <w:r w:rsidRPr="002B27DA">
        <w:rPr>
          <w:rFonts w:eastAsia="Calibri"/>
        </w:rPr>
        <w:t>smuto@imass.nagoya-u.ac.jp</w:t>
      </w:r>
    </w:p>
    <w:p w14:paraId="5E0A55F9" w14:textId="77777777" w:rsidR="00593C2D" w:rsidRPr="002B27DA" w:rsidRDefault="00593C2D" w:rsidP="002B27DA">
      <w:pPr>
        <w:contextualSpacing/>
      </w:pPr>
    </w:p>
    <w:p w14:paraId="4D9108F9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>KEYWORDS:</w:t>
      </w:r>
      <w:r w:rsidRPr="002B27DA">
        <w:rPr>
          <w:rFonts w:eastAsia="Calibri"/>
        </w:rPr>
        <w:t xml:space="preserve"> </w:t>
      </w:r>
    </w:p>
    <w:p w14:paraId="5012184A" w14:textId="77777777" w:rsidR="0087634F" w:rsidRPr="002B27DA" w:rsidRDefault="00663A76" w:rsidP="002B27DA">
      <w:pPr>
        <w:contextualSpacing/>
      </w:pPr>
      <w:r w:rsidRPr="002B27DA">
        <w:t>Transmission electron microscopy; Electron channeling; Energy-dispersive X-ray spectroscopy; Electron energy-loss spectroscopy; Dopant occupancy</w:t>
      </w:r>
      <w:r w:rsidR="00A976E3" w:rsidRPr="002B27DA">
        <w:t>; Point defect geometry; Statistical analysis; Quantitative analysis</w:t>
      </w:r>
      <w:r w:rsidR="004707FD" w:rsidRPr="002B27DA">
        <w:t xml:space="preserve">; </w:t>
      </w:r>
      <w:r w:rsidR="00650BF5" w:rsidRPr="002B27DA">
        <w:t>Electron b</w:t>
      </w:r>
      <w:r w:rsidR="004707FD" w:rsidRPr="002B27DA">
        <w:t>eam</w:t>
      </w:r>
      <w:r w:rsidR="00650BF5" w:rsidRPr="002B27DA">
        <w:t>-</w:t>
      </w:r>
      <w:r w:rsidR="004707FD" w:rsidRPr="002B27DA">
        <w:t>rocking</w:t>
      </w:r>
    </w:p>
    <w:p w14:paraId="613AB4EF" w14:textId="77777777" w:rsidR="00593C2D" w:rsidRPr="002B27DA" w:rsidRDefault="00593C2D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</w:p>
    <w:p w14:paraId="243C1DCD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SUMMARY:</w:t>
      </w:r>
      <w:r w:rsidRPr="002B27DA">
        <w:rPr>
          <w:rFonts w:eastAsia="Calibri"/>
        </w:rPr>
        <w:t xml:space="preserve"> </w:t>
      </w:r>
    </w:p>
    <w:p w14:paraId="3150074F" w14:textId="317370DC" w:rsidR="00161552" w:rsidRPr="002B27DA" w:rsidRDefault="00663A76" w:rsidP="002B27DA">
      <w:pPr>
        <w:adjustRightInd w:val="0"/>
        <w:snapToGrid w:val="0"/>
        <w:contextualSpacing/>
      </w:pPr>
      <w:r w:rsidRPr="002B27DA">
        <w:t xml:space="preserve">We </w:t>
      </w:r>
      <w:r w:rsidR="00583299" w:rsidRPr="002B27DA">
        <w:t>provide a general outline of</w:t>
      </w:r>
      <w:r w:rsidRPr="002B27DA">
        <w:t xml:space="preserve"> quantitative</w:t>
      </w:r>
      <w:r w:rsidR="00583299" w:rsidRPr="002B27DA">
        <w:t xml:space="preserve"> microanalysis methods</w:t>
      </w:r>
      <w:r w:rsidRPr="002B27DA">
        <w:t xml:space="preserve"> </w:t>
      </w:r>
      <w:r w:rsidR="00583299" w:rsidRPr="002B27DA">
        <w:t xml:space="preserve">for </w:t>
      </w:r>
      <w:r w:rsidRPr="002B27DA">
        <w:t xml:space="preserve">estimating the site occupancies of impurities and their chemical states </w:t>
      </w:r>
      <w:r w:rsidRPr="002B27DA">
        <w:rPr>
          <w:rFonts w:eastAsia="MS Mincho"/>
        </w:rPr>
        <w:t xml:space="preserve">by </w:t>
      </w:r>
      <w:r w:rsidR="00583299" w:rsidRPr="002B27DA">
        <w:t>taking advantage of</w:t>
      </w:r>
      <w:r w:rsidRPr="002B27DA">
        <w:t xml:space="preserve"> electron</w:t>
      </w:r>
      <w:r w:rsidR="000D1F0E" w:rsidRPr="002B27DA">
        <w:t>-</w:t>
      </w:r>
      <w:r w:rsidR="00B508E5" w:rsidRPr="002B27DA">
        <w:t>channeling</w:t>
      </w:r>
      <w:r w:rsidR="00583299" w:rsidRPr="002B27DA">
        <w:t xml:space="preserve"> phenomena</w:t>
      </w:r>
      <w:r w:rsidRPr="002B27DA">
        <w:t xml:space="preserve"> under incident electron beam-rocking conditions, which reliably extract information from minority species, light elements, oxygen vacancies</w:t>
      </w:r>
      <w:r w:rsidRPr="002B27DA">
        <w:rPr>
          <w:rFonts w:eastAsia="MS Mincho"/>
        </w:rPr>
        <w:t>, and other point</w:t>
      </w:r>
      <w:r w:rsidR="00C00A21" w:rsidRPr="002B27DA">
        <w:t>/line/planar</w:t>
      </w:r>
      <w:r w:rsidRPr="002B27DA">
        <w:t xml:space="preserve"> defects.</w:t>
      </w:r>
      <w:r w:rsidR="00EE5444" w:rsidRPr="002B27DA">
        <w:t xml:space="preserve"> </w:t>
      </w:r>
    </w:p>
    <w:p w14:paraId="66352043" w14:textId="77777777" w:rsidR="00593C2D" w:rsidRPr="002B27DA" w:rsidRDefault="00593C2D" w:rsidP="002B27DA">
      <w:pPr>
        <w:contextualSpacing/>
      </w:pPr>
    </w:p>
    <w:p w14:paraId="1F239DE2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ABSTRACT:</w:t>
      </w:r>
      <w:r w:rsidRPr="002B27DA">
        <w:rPr>
          <w:rFonts w:eastAsia="Calibri"/>
        </w:rPr>
        <w:t xml:space="preserve"> </w:t>
      </w:r>
    </w:p>
    <w:p w14:paraId="346C9E06" w14:textId="57BC65B4" w:rsidR="00593C2D" w:rsidRPr="002B27DA" w:rsidRDefault="00663A76" w:rsidP="002B27DA">
      <w:pPr>
        <w:contextualSpacing/>
      </w:pPr>
      <w:r w:rsidRPr="002B27DA">
        <w:t>A novel elemental and chemical analysis scheme based on electron</w:t>
      </w:r>
      <w:r w:rsidR="000D1F0E" w:rsidRPr="002B27DA">
        <w:t>-</w:t>
      </w:r>
      <w:r w:rsidRPr="002B27DA">
        <w:t xml:space="preserve">channeling phenomena </w:t>
      </w:r>
      <w:r w:rsidR="00D05FD3" w:rsidRPr="002B27DA">
        <w:t>in crystalline materials is introduced, where the incident high-energy electron beam is rocked</w:t>
      </w:r>
      <w:r w:rsidR="001B6561" w:rsidRPr="002B27DA">
        <w:t xml:space="preserve"> with the submicrometric pivot point fixed on a specimen</w:t>
      </w:r>
      <w:r w:rsidR="00D05FD3" w:rsidRPr="002B27DA">
        <w:t xml:space="preserve">. </w:t>
      </w:r>
      <w:r w:rsidR="001B6561" w:rsidRPr="002B27DA">
        <w:t xml:space="preserve">This method enables us to quantitatively derive the site occupancies and site-dependent chemical information of impurities </w:t>
      </w:r>
      <w:r w:rsidR="00400D89" w:rsidRPr="002B27DA">
        <w:t xml:space="preserve">or intentionally doped functional elements </w:t>
      </w:r>
      <w:r w:rsidR="001B6561" w:rsidRPr="002B27DA">
        <w:t>in a specimen, using</w:t>
      </w:r>
      <w:r w:rsidR="004B03BA" w:rsidRPr="002B27DA">
        <w:t xml:space="preserve"> energy-dispersive X-ray spectroscopy and electron energy-loss spectroscopy attached to a scanning transmission electron microscope</w:t>
      </w:r>
      <w:r w:rsidR="00400D89" w:rsidRPr="002B27DA">
        <w:t xml:space="preserve">, which </w:t>
      </w:r>
      <w:r w:rsidR="00267FDB" w:rsidRPr="002B27DA">
        <w:t xml:space="preserve">is of </w:t>
      </w:r>
      <w:r w:rsidR="006374A5" w:rsidRPr="002B27DA">
        <w:t xml:space="preserve">significant </w:t>
      </w:r>
      <w:r w:rsidR="00267FDB" w:rsidRPr="002B27DA">
        <w:t>interest to</w:t>
      </w:r>
      <w:r w:rsidR="00400D89" w:rsidRPr="002B27DA">
        <w:t xml:space="preserve"> current materials science</w:t>
      </w:r>
      <w:r w:rsidRPr="002B27DA">
        <w:rPr>
          <w:rFonts w:eastAsia="MS Mincho"/>
        </w:rPr>
        <w:t>, particularly related to nanotechnologies</w:t>
      </w:r>
      <w:r w:rsidR="00267FDB" w:rsidRPr="002B27DA">
        <w:t xml:space="preserve">. </w:t>
      </w:r>
      <w:r w:rsidR="00400D89" w:rsidRPr="002B27DA">
        <w:t xml:space="preserve">This scheme is applicable to any combination of elements even when </w:t>
      </w:r>
      <w:r w:rsidR="001C7D7B" w:rsidRPr="002B27DA">
        <w:t xml:space="preserve">the conventional </w:t>
      </w:r>
      <w:r w:rsidR="00267FDB" w:rsidRPr="002B27DA">
        <w:t xml:space="preserve">Rietveld analysis </w:t>
      </w:r>
      <w:r w:rsidR="001C7D7B" w:rsidRPr="002B27DA">
        <w:t xml:space="preserve">by X-ray or neutron diffraction </w:t>
      </w:r>
      <w:r w:rsidR="006374A5" w:rsidRPr="002B27DA">
        <w:t>occasionally</w:t>
      </w:r>
      <w:r w:rsidR="00267FDB" w:rsidRPr="002B27DA">
        <w:t xml:space="preserve"> fail</w:t>
      </w:r>
      <w:r w:rsidR="001C7D7B" w:rsidRPr="002B27DA">
        <w:t>s</w:t>
      </w:r>
      <w:r w:rsidR="00267FDB" w:rsidRPr="002B27DA">
        <w:t xml:space="preserve"> to </w:t>
      </w:r>
      <w:r w:rsidR="001C7D7B" w:rsidRPr="002B27DA">
        <w:t>provide</w:t>
      </w:r>
      <w:r w:rsidR="00267FDB" w:rsidRPr="002B27DA">
        <w:t xml:space="preserve"> the desired results </w:t>
      </w:r>
      <w:r w:rsidR="00F56F7E" w:rsidRPr="002B27DA">
        <w:t>because of limited sample sizes and close scattering factors of neighboring elements in the periodic table</w:t>
      </w:r>
      <w:r w:rsidR="00267FDB" w:rsidRPr="002B27DA">
        <w:t xml:space="preserve">. </w:t>
      </w:r>
      <w:r w:rsidR="00DB649D" w:rsidRPr="002B27DA">
        <w:t>In this methodological article, we demonstrate the basic experimental procedure and analysis method of the present beam-rocking microanalysis.</w:t>
      </w:r>
    </w:p>
    <w:p w14:paraId="45F72B7D" w14:textId="77777777" w:rsidR="0095541F" w:rsidRPr="002B27DA" w:rsidRDefault="0095541F" w:rsidP="002B27DA">
      <w:pPr>
        <w:contextualSpacing/>
      </w:pPr>
    </w:p>
    <w:p w14:paraId="364C360C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INTRODUCTION:</w:t>
      </w:r>
      <w:r w:rsidRPr="002B27DA">
        <w:rPr>
          <w:rFonts w:eastAsia="Calibri"/>
        </w:rPr>
        <w:t xml:space="preserve"> </w:t>
      </w:r>
    </w:p>
    <w:p w14:paraId="24C249D2" w14:textId="35BB7495" w:rsidR="00F94C99" w:rsidRPr="002B27DA" w:rsidRDefault="00663A76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With the demand of downsizing most current industrial </w:t>
      </w:r>
      <w:r w:rsidR="00386D2A" w:rsidRPr="002B27DA">
        <w:rPr>
          <w:rFonts w:ascii="Calibri" w:hAnsi="Calibri" w:cs="Calibri"/>
        </w:rPr>
        <w:t xml:space="preserve">products, </w:t>
      </w:r>
      <w:r w:rsidR="00AD5C48" w:rsidRPr="002B27DA">
        <w:rPr>
          <w:rFonts w:ascii="Calibri" w:hAnsi="Calibri" w:cs="Calibri"/>
        </w:rPr>
        <w:t xml:space="preserve">it is getting more and more important to understand the physical/chemical properties of materials </w:t>
      </w:r>
      <w:r w:rsidR="00267FDB" w:rsidRPr="002B27DA">
        <w:rPr>
          <w:rFonts w:ascii="Calibri" w:hAnsi="Calibri" w:cs="Calibri"/>
        </w:rPr>
        <w:t xml:space="preserve">from the microscopic perspective, </w:t>
      </w:r>
      <w:r w:rsidR="001466E6" w:rsidRPr="002B27DA">
        <w:rPr>
          <w:rFonts w:ascii="Calibri" w:hAnsi="Calibri" w:cs="Calibri"/>
        </w:rPr>
        <w:t>sometimes</w:t>
      </w:r>
      <w:r w:rsidR="00267FDB" w:rsidRPr="002B27DA">
        <w:rPr>
          <w:rFonts w:ascii="Calibri" w:hAnsi="Calibri" w:cs="Calibri"/>
        </w:rPr>
        <w:t xml:space="preserve"> in terms of atomic-scale spatial/electronic structur</w:t>
      </w:r>
      <w:r w:rsidR="00AD5C48" w:rsidRPr="002B27DA">
        <w:rPr>
          <w:rFonts w:ascii="Calibri" w:hAnsi="Calibri" w:cs="Calibri"/>
        </w:rPr>
        <w:t>es</w:t>
      </w:r>
      <w:r w:rsidR="00267FDB" w:rsidRPr="002B27DA">
        <w:rPr>
          <w:rFonts w:ascii="Calibri" w:hAnsi="Calibri" w:cs="Calibri"/>
        </w:rPr>
        <w:t xml:space="preserve">. Novel properties </w:t>
      </w:r>
      <w:r w:rsidR="00267FDB" w:rsidRPr="002B27DA">
        <w:rPr>
          <w:rFonts w:ascii="Calibri" w:hAnsi="Calibri" w:cs="Calibri"/>
        </w:rPr>
        <w:lastRenderedPageBreak/>
        <w:t xml:space="preserve">are often discovered unexpectedly </w:t>
      </w:r>
      <w:r w:rsidR="00635C77" w:rsidRPr="002B27DA">
        <w:rPr>
          <w:rFonts w:ascii="Calibri" w:hAnsi="Calibri" w:cs="Calibri"/>
        </w:rPr>
        <w:t xml:space="preserve">when </w:t>
      </w:r>
      <w:r w:rsidR="00267FDB" w:rsidRPr="002B27DA">
        <w:rPr>
          <w:rFonts w:ascii="Calibri" w:hAnsi="Calibri" w:cs="Calibri"/>
        </w:rPr>
        <w:t>synthesizing materials by trial and error</w:t>
      </w:r>
      <w:r w:rsidR="001466E6" w:rsidRPr="002B27DA">
        <w:rPr>
          <w:rFonts w:ascii="Calibri" w:hAnsi="Calibri" w:cs="Calibri"/>
        </w:rPr>
        <w:t>,</w:t>
      </w:r>
      <w:r w:rsidR="007601FE" w:rsidRPr="002B27DA">
        <w:rPr>
          <w:rFonts w:ascii="Calibri" w:hAnsi="Calibri" w:cs="Calibri"/>
        </w:rPr>
        <w:t xml:space="preserve"> </w:t>
      </w:r>
      <w:r w:rsidR="008861C9" w:rsidRPr="002B27DA">
        <w:rPr>
          <w:rFonts w:ascii="Calibri" w:hAnsi="Calibri" w:cs="Calibri"/>
        </w:rPr>
        <w:t xml:space="preserve">selecting </w:t>
      </w:r>
      <w:r w:rsidR="001726CD" w:rsidRPr="002B27DA">
        <w:rPr>
          <w:rFonts w:ascii="Calibri" w:hAnsi="Calibri" w:cs="Calibri"/>
        </w:rPr>
        <w:t xml:space="preserve">different </w:t>
      </w:r>
      <w:r w:rsidR="00E953F0" w:rsidRPr="002B27DA">
        <w:rPr>
          <w:rFonts w:ascii="Calibri" w:hAnsi="Calibri" w:cs="Calibri"/>
        </w:rPr>
        <w:t xml:space="preserve">numbers or kinds of </w:t>
      </w:r>
      <w:r w:rsidR="001726CD" w:rsidRPr="002B27DA">
        <w:rPr>
          <w:rFonts w:ascii="Calibri" w:hAnsi="Calibri" w:cs="Calibri"/>
        </w:rPr>
        <w:t>elements,</w:t>
      </w:r>
      <w:r w:rsidR="001466E6" w:rsidRPr="002B27DA">
        <w:rPr>
          <w:rFonts w:ascii="Calibri" w:hAnsi="Calibri" w:cs="Calibri"/>
        </w:rPr>
        <w:t xml:space="preserve"> although</w:t>
      </w:r>
      <w:r w:rsidR="003C435E" w:rsidRPr="002B27DA">
        <w:rPr>
          <w:rFonts w:ascii="Calibri" w:hAnsi="Calibri" w:cs="Calibri"/>
        </w:rPr>
        <w:t xml:space="preserve"> </w:t>
      </w:r>
      <w:r w:rsidR="00E953F0" w:rsidRPr="002B27DA">
        <w:rPr>
          <w:rFonts w:ascii="Calibri" w:hAnsi="Calibri" w:cs="Calibri"/>
        </w:rPr>
        <w:t>current</w:t>
      </w:r>
      <w:r w:rsidR="00267FDB" w:rsidRPr="002B27DA">
        <w:rPr>
          <w:rFonts w:ascii="Calibri" w:hAnsi="Calibri" w:cs="Calibri"/>
        </w:rPr>
        <w:t xml:space="preserve"> measurement techniques and </w:t>
      </w:r>
      <w:r w:rsidR="00E953F0" w:rsidRPr="002B27DA">
        <w:rPr>
          <w:rFonts w:ascii="Calibri" w:hAnsi="Calibri" w:cs="Calibri"/>
        </w:rPr>
        <w:t>ab initio</w:t>
      </w:r>
      <w:r w:rsidR="00267FDB" w:rsidRPr="002B27DA">
        <w:rPr>
          <w:rFonts w:ascii="Calibri" w:hAnsi="Calibri" w:cs="Calibri"/>
        </w:rPr>
        <w:t xml:space="preserve"> theoretical calculations based on density functional theory</w:t>
      </w:r>
      <w:r w:rsidR="001466E6" w:rsidRPr="002B27DA">
        <w:rPr>
          <w:rFonts w:ascii="Calibri" w:hAnsi="Calibri" w:cs="Calibri"/>
        </w:rPr>
        <w:t xml:space="preserve"> have enabled </w:t>
      </w:r>
      <w:r w:rsidR="00E953F0" w:rsidRPr="002B27DA">
        <w:rPr>
          <w:rFonts w:ascii="Calibri" w:hAnsi="Calibri" w:cs="Calibri"/>
        </w:rPr>
        <w:t>design</w:t>
      </w:r>
      <w:r w:rsidR="003C435E" w:rsidRPr="002B27DA">
        <w:rPr>
          <w:rFonts w:ascii="Calibri" w:hAnsi="Calibri" w:cs="Calibri"/>
        </w:rPr>
        <w:t xml:space="preserve"> </w:t>
      </w:r>
      <w:r w:rsidR="00781739">
        <w:rPr>
          <w:rFonts w:ascii="Calibri" w:hAnsi="Calibri" w:cs="Calibri"/>
        </w:rPr>
        <w:t>of novel</w:t>
      </w:r>
      <w:r w:rsidR="00781739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 xml:space="preserve">materials with </w:t>
      </w:r>
      <w:r w:rsidR="00781739">
        <w:rPr>
          <w:rFonts w:ascii="Calibri" w:hAnsi="Calibri" w:cs="Calibri"/>
        </w:rPr>
        <w:t>improved</w:t>
      </w:r>
      <w:r w:rsidR="00267FDB" w:rsidRPr="002B27DA">
        <w:rPr>
          <w:rFonts w:ascii="Calibri" w:hAnsi="Calibri" w:cs="Calibri"/>
        </w:rPr>
        <w:t xml:space="preserve"> properties without </w:t>
      </w:r>
      <w:r w:rsidR="00E953F0" w:rsidRPr="002B27DA">
        <w:rPr>
          <w:rFonts w:ascii="Calibri" w:hAnsi="Calibri" w:cs="Calibri"/>
        </w:rPr>
        <w:t xml:space="preserve">time-consuming </w:t>
      </w:r>
      <w:r w:rsidR="00267FDB" w:rsidRPr="002B27DA">
        <w:rPr>
          <w:rFonts w:ascii="Calibri" w:hAnsi="Calibri" w:cs="Calibri"/>
        </w:rPr>
        <w:t>trial</w:t>
      </w:r>
      <w:r w:rsidR="001726CD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>and</w:t>
      </w:r>
      <w:r w:rsidR="001726CD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>error experiments</w:t>
      </w:r>
      <w:r w:rsidR="00B649D6" w:rsidRPr="002B27DA">
        <w:rPr>
          <w:rFonts w:ascii="Calibri" w:hAnsi="Calibri" w:cs="Calibri"/>
        </w:rPr>
        <w:t>.</w:t>
      </w:r>
      <w:r w:rsidR="001726CD" w:rsidRPr="002B27DA">
        <w:rPr>
          <w:rFonts w:ascii="Calibri" w:hAnsi="Calibri" w:cs="Calibri"/>
        </w:rPr>
        <w:t xml:space="preserve"> </w:t>
      </w:r>
      <w:r w:rsidR="00B649D6" w:rsidRPr="002B27DA">
        <w:rPr>
          <w:rFonts w:ascii="Calibri" w:hAnsi="Calibri" w:cs="Calibri"/>
        </w:rPr>
        <w:t>F</w:t>
      </w:r>
      <w:r w:rsidR="00E953F0" w:rsidRPr="002B27DA">
        <w:rPr>
          <w:rFonts w:ascii="Calibri" w:hAnsi="Calibri" w:cs="Calibri"/>
        </w:rPr>
        <w:t>or example,</w:t>
      </w:r>
      <w:r w:rsidR="001726CD" w:rsidRPr="002B27DA">
        <w:rPr>
          <w:rFonts w:ascii="Calibri" w:hAnsi="Calibri" w:cs="Calibri"/>
        </w:rPr>
        <w:t xml:space="preserve"> </w:t>
      </w:r>
      <w:r w:rsidR="00781739">
        <w:rPr>
          <w:rFonts w:ascii="Calibri" w:hAnsi="Calibri" w:cs="Calibri"/>
        </w:rPr>
        <w:t>some of the</w:t>
      </w:r>
      <w:r w:rsidR="00267FDB" w:rsidRPr="002B27DA">
        <w:rPr>
          <w:rFonts w:ascii="Calibri" w:hAnsi="Calibri" w:cs="Calibri"/>
        </w:rPr>
        <w:t xml:space="preserve"> host atoms </w:t>
      </w:r>
      <w:r w:rsidR="00781739">
        <w:rPr>
          <w:rFonts w:ascii="Calibri" w:hAnsi="Calibri" w:cs="Calibri"/>
        </w:rPr>
        <w:t>are</w:t>
      </w:r>
      <w:r w:rsidR="00781739" w:rsidRPr="002B27DA">
        <w:rPr>
          <w:rFonts w:ascii="Calibri" w:hAnsi="Calibri" w:cs="Calibri"/>
        </w:rPr>
        <w:t xml:space="preserve"> </w:t>
      </w:r>
      <w:r w:rsidR="003C435E" w:rsidRPr="002B27DA">
        <w:rPr>
          <w:rFonts w:ascii="Calibri" w:hAnsi="Calibri" w:cs="Calibri"/>
        </w:rPr>
        <w:t xml:space="preserve">substituted with </w:t>
      </w:r>
      <w:r w:rsidR="00267FDB" w:rsidRPr="002B27DA">
        <w:rPr>
          <w:rFonts w:ascii="Calibri" w:hAnsi="Calibri" w:cs="Calibri"/>
        </w:rPr>
        <w:t xml:space="preserve">other elements that </w:t>
      </w:r>
      <w:r w:rsidR="003C435E" w:rsidRPr="002B27DA">
        <w:rPr>
          <w:rFonts w:ascii="Calibri" w:hAnsi="Calibri" w:cs="Calibri"/>
        </w:rPr>
        <w:t xml:space="preserve">can </w:t>
      </w:r>
      <w:r w:rsidR="00781739">
        <w:rPr>
          <w:rFonts w:ascii="Calibri" w:hAnsi="Calibri" w:cs="Calibri"/>
        </w:rPr>
        <w:t>possibly</w:t>
      </w:r>
      <w:r w:rsidR="00781739" w:rsidRPr="002B27DA">
        <w:rPr>
          <w:rFonts w:ascii="Calibri" w:hAnsi="Calibri" w:cs="Calibri"/>
        </w:rPr>
        <w:t xml:space="preserve"> </w:t>
      </w:r>
      <w:r w:rsidR="00267FDB" w:rsidRPr="002B27DA">
        <w:rPr>
          <w:rFonts w:ascii="Calibri" w:hAnsi="Calibri" w:cs="Calibri"/>
        </w:rPr>
        <w:t xml:space="preserve">improve the target property </w:t>
      </w:r>
      <w:r w:rsidR="001726CD" w:rsidRPr="002B27DA">
        <w:rPr>
          <w:rFonts w:ascii="Calibri" w:hAnsi="Calibri" w:cs="Calibri"/>
        </w:rPr>
        <w:t xml:space="preserve">as results of </w:t>
      </w:r>
      <w:r w:rsidR="00267FDB" w:rsidRPr="002B27DA">
        <w:rPr>
          <w:rFonts w:ascii="Calibri" w:hAnsi="Calibri" w:cs="Calibri"/>
        </w:rPr>
        <w:t>either experimental or theoretical</w:t>
      </w:r>
      <w:r w:rsidR="001726CD" w:rsidRPr="002B27DA">
        <w:rPr>
          <w:rFonts w:ascii="Calibri" w:hAnsi="Calibri" w:cs="Calibri"/>
        </w:rPr>
        <w:t xml:space="preserve"> considerations</w:t>
      </w:r>
      <w:r w:rsidR="00267FDB" w:rsidRPr="002B27DA">
        <w:rPr>
          <w:rFonts w:ascii="Calibri" w:hAnsi="Calibri" w:cs="Calibri"/>
        </w:rPr>
        <w:t xml:space="preserve">. </w:t>
      </w:r>
      <w:r w:rsidR="00E953F0" w:rsidRPr="002B27DA">
        <w:rPr>
          <w:rFonts w:ascii="Calibri" w:hAnsi="Calibri" w:cs="Calibri"/>
        </w:rPr>
        <w:t>In this context</w:t>
      </w:r>
      <w:r w:rsidRPr="002B27DA">
        <w:rPr>
          <w:rFonts w:ascii="Calibri" w:hAnsi="Calibri" w:cs="Calibri"/>
        </w:rPr>
        <w:t>, a</w:t>
      </w:r>
      <w:r w:rsidR="003C435E" w:rsidRPr="002B27DA">
        <w:rPr>
          <w:rFonts w:ascii="Calibri" w:hAnsi="Calibri" w:cs="Calibri"/>
        </w:rPr>
        <w:t>n</w:t>
      </w:r>
      <w:r w:rsidR="00267FDB" w:rsidRPr="002B27DA">
        <w:rPr>
          <w:rFonts w:ascii="Calibri" w:hAnsi="Calibri" w:cs="Calibri"/>
        </w:rPr>
        <w:t xml:space="preserve"> important </w:t>
      </w:r>
      <w:r w:rsidR="003C435E" w:rsidRPr="002B27DA">
        <w:rPr>
          <w:rFonts w:ascii="Calibri" w:hAnsi="Calibri" w:cs="Calibri"/>
        </w:rPr>
        <w:t>component</w:t>
      </w:r>
      <w:r w:rsidR="00267FDB" w:rsidRPr="002B27DA">
        <w:rPr>
          <w:rFonts w:ascii="Calibri" w:hAnsi="Calibri" w:cs="Calibri"/>
        </w:rPr>
        <w:t xml:space="preserve"> of experimental information is </w:t>
      </w:r>
      <w:r w:rsidR="001726CD" w:rsidRPr="002B27DA">
        <w:rPr>
          <w:rFonts w:ascii="Calibri" w:hAnsi="Calibri" w:cs="Calibri"/>
        </w:rPr>
        <w:t xml:space="preserve">brought about from </w:t>
      </w:r>
      <w:r w:rsidR="00267FDB" w:rsidRPr="002B27DA">
        <w:rPr>
          <w:rFonts w:ascii="Calibri" w:hAnsi="Calibri" w:cs="Calibri"/>
        </w:rPr>
        <w:t xml:space="preserve">detailed </w:t>
      </w:r>
      <w:r w:rsidR="001726CD" w:rsidRPr="002B27DA">
        <w:rPr>
          <w:rFonts w:ascii="Calibri" w:hAnsi="Calibri" w:cs="Calibri"/>
        </w:rPr>
        <w:t>knowledge</w:t>
      </w:r>
      <w:r w:rsidR="003C435E" w:rsidRPr="002B27DA">
        <w:rPr>
          <w:rFonts w:ascii="Calibri" w:hAnsi="Calibri" w:cs="Calibri"/>
        </w:rPr>
        <w:t xml:space="preserve"> of the position of </w:t>
      </w:r>
      <w:r w:rsidR="00267FDB" w:rsidRPr="002B27DA">
        <w:rPr>
          <w:rFonts w:ascii="Calibri" w:hAnsi="Calibri" w:cs="Calibri"/>
        </w:rPr>
        <w:t>each constituent in the atomic structure of the material.</w:t>
      </w:r>
    </w:p>
    <w:p w14:paraId="3E3C0410" w14:textId="77777777" w:rsidR="00633EEA" w:rsidRPr="002B27DA" w:rsidRDefault="00633EEA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4C96C080" w14:textId="7E4148BE" w:rsidR="00F94C99" w:rsidRPr="002B27DA" w:rsidRDefault="00663A76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X-ray and/or neutron diffraction methods are </w:t>
      </w:r>
      <w:r w:rsidR="001726CD" w:rsidRPr="002B27DA">
        <w:rPr>
          <w:rFonts w:ascii="Calibri" w:hAnsi="Calibri" w:cs="Calibri"/>
        </w:rPr>
        <w:t>conventionally</w:t>
      </w:r>
      <w:r w:rsidR="00B140C7" w:rsidRPr="002B27DA">
        <w:rPr>
          <w:rFonts w:ascii="Calibri" w:hAnsi="Calibri" w:cs="Calibri"/>
        </w:rPr>
        <w:t xml:space="preserve"> and widely </w:t>
      </w:r>
      <w:r w:rsidRPr="002B27DA">
        <w:rPr>
          <w:rFonts w:ascii="Calibri" w:hAnsi="Calibri" w:cs="Calibri"/>
        </w:rPr>
        <w:t xml:space="preserve">used </w:t>
      </w:r>
      <w:r w:rsidR="00B140C7" w:rsidRPr="002B27DA">
        <w:rPr>
          <w:rFonts w:ascii="Calibri" w:hAnsi="Calibri" w:cs="Calibri"/>
        </w:rPr>
        <w:t>not only because the structural analysis based on Rietveld analysis</w:t>
      </w:r>
      <w:r w:rsidR="00B140C7" w:rsidRPr="002B27DA">
        <w:rPr>
          <w:rFonts w:ascii="Calibri" w:hAnsi="Calibri" w:cs="Calibri"/>
          <w:vertAlign w:val="superscript"/>
        </w:rPr>
        <w:t>1,2</w:t>
      </w:r>
      <w:r w:rsidR="00B140C7" w:rsidRPr="002B27DA">
        <w:rPr>
          <w:rFonts w:ascii="Calibri" w:hAnsi="Calibri" w:cs="Calibri"/>
        </w:rPr>
        <w:t xml:space="preserve"> </w:t>
      </w:r>
      <w:r w:rsidRPr="002B27DA">
        <w:rPr>
          <w:rFonts w:ascii="Calibri" w:hAnsi="Calibri" w:cs="Calibri"/>
        </w:rPr>
        <w:t xml:space="preserve">techniques </w:t>
      </w:r>
      <w:r w:rsidR="00B140C7" w:rsidRPr="002B27DA">
        <w:rPr>
          <w:rFonts w:ascii="Calibri" w:hAnsi="Calibri" w:cs="Calibri"/>
        </w:rPr>
        <w:t xml:space="preserve">has been well established and open to </w:t>
      </w:r>
      <w:r w:rsidRPr="002B27DA">
        <w:rPr>
          <w:rFonts w:ascii="Calibri" w:hAnsi="Calibri" w:cs="Calibri"/>
        </w:rPr>
        <w:t>the public, but also owing to the d</w:t>
      </w:r>
      <w:r w:rsidR="00267FDB" w:rsidRPr="002B27DA">
        <w:rPr>
          <w:rFonts w:ascii="Calibri" w:hAnsi="Calibri" w:cs="Calibri"/>
        </w:rPr>
        <w:t>evelopment of high-flux X-ray sources</w:t>
      </w:r>
      <w:r w:rsidR="00781739">
        <w:rPr>
          <w:rFonts w:ascii="Calibri" w:hAnsi="Calibri" w:cs="Calibri"/>
        </w:rPr>
        <w:t xml:space="preserve"> (e.g.,</w:t>
      </w:r>
      <w:r w:rsidR="00267FDB" w:rsidRPr="002B27DA">
        <w:rPr>
          <w:rFonts w:ascii="Calibri" w:hAnsi="Calibri" w:cs="Calibri"/>
        </w:rPr>
        <w:t xml:space="preserve"> synchrotron radiation facilities</w:t>
      </w:r>
      <w:r w:rsidR="00781739">
        <w:rPr>
          <w:rFonts w:ascii="Calibri" w:hAnsi="Calibri" w:cs="Calibri"/>
        </w:rPr>
        <w:t xml:space="preserve">) </w:t>
      </w:r>
      <w:r w:rsidR="00267FDB" w:rsidRPr="002B27DA">
        <w:rPr>
          <w:rFonts w:ascii="Calibri" w:hAnsi="Calibri" w:cs="Calibri"/>
        </w:rPr>
        <w:t>and modern neutron sources</w:t>
      </w:r>
      <w:r w:rsidR="00B140C7" w:rsidRPr="002B27DA">
        <w:rPr>
          <w:rFonts w:ascii="Calibri" w:hAnsi="Calibri" w:cs="Calibri"/>
        </w:rPr>
        <w:t xml:space="preserve">, </w:t>
      </w:r>
      <w:r w:rsidR="00250D5C" w:rsidRPr="002B27DA">
        <w:rPr>
          <w:rFonts w:ascii="Calibri" w:hAnsi="Calibri" w:cs="Calibri"/>
        </w:rPr>
        <w:t xml:space="preserve">which are </w:t>
      </w:r>
      <w:r w:rsidR="00B140C7" w:rsidRPr="002B27DA">
        <w:rPr>
          <w:rFonts w:ascii="Calibri" w:hAnsi="Calibri" w:cs="Calibri"/>
        </w:rPr>
        <w:t xml:space="preserve">easily accessible </w:t>
      </w:r>
      <w:r w:rsidR="00B649D6" w:rsidRPr="002B27DA">
        <w:rPr>
          <w:rFonts w:ascii="Calibri" w:hAnsi="Calibri" w:cs="Calibri"/>
        </w:rPr>
        <w:t xml:space="preserve">to </w:t>
      </w:r>
      <w:r w:rsidR="00B140C7" w:rsidRPr="002B27DA">
        <w:rPr>
          <w:rFonts w:ascii="Calibri" w:hAnsi="Calibri" w:cs="Calibri"/>
        </w:rPr>
        <w:t>general researchers</w:t>
      </w:r>
      <w:r w:rsidR="00267FDB" w:rsidRPr="002B27DA">
        <w:rPr>
          <w:rFonts w:ascii="Calibri" w:hAnsi="Calibri" w:cs="Calibri"/>
        </w:rPr>
        <w:t xml:space="preserve">. However, these techniques require samples with </w:t>
      </w:r>
      <w:r w:rsidR="00250D5C" w:rsidRPr="002B27DA">
        <w:rPr>
          <w:rFonts w:ascii="Calibri" w:hAnsi="Calibri" w:cs="Calibri"/>
        </w:rPr>
        <w:t>homogeneous</w:t>
      </w:r>
      <w:r w:rsidR="00267FDB" w:rsidRPr="002B27DA">
        <w:rPr>
          <w:rFonts w:ascii="Calibri" w:hAnsi="Calibri" w:cs="Calibri"/>
        </w:rPr>
        <w:t xml:space="preserve"> structure</w:t>
      </w:r>
      <w:r w:rsidR="00D62EA5" w:rsidRPr="002B27DA">
        <w:rPr>
          <w:rFonts w:ascii="Calibri" w:hAnsi="Calibri" w:cs="Calibri"/>
        </w:rPr>
        <w:t>s</w:t>
      </w:r>
      <w:r w:rsidRPr="002B27DA">
        <w:rPr>
          <w:rFonts w:ascii="Calibri" w:hAnsi="Calibri" w:cs="Calibri"/>
        </w:rPr>
        <w:t>,</w:t>
      </w:r>
      <w:r w:rsidR="00B140C7" w:rsidRPr="002B27DA">
        <w:rPr>
          <w:rFonts w:ascii="Calibri" w:hAnsi="Calibri" w:cs="Calibri"/>
        </w:rPr>
        <w:t xml:space="preserve"> and</w:t>
      </w:r>
      <w:r w:rsidR="00267FDB" w:rsidRPr="002B27DA">
        <w:rPr>
          <w:rFonts w:ascii="Calibri" w:hAnsi="Calibri" w:cs="Calibri"/>
        </w:rPr>
        <w:t xml:space="preserve"> </w:t>
      </w:r>
      <w:r w:rsidR="00B140C7" w:rsidRPr="002B27DA">
        <w:rPr>
          <w:rFonts w:ascii="Calibri" w:hAnsi="Calibri" w:cs="Calibri"/>
        </w:rPr>
        <w:t>they also</w:t>
      </w:r>
      <w:r w:rsidR="00267FDB" w:rsidRPr="002B27DA">
        <w:rPr>
          <w:rFonts w:ascii="Calibri" w:hAnsi="Calibri" w:cs="Calibri"/>
        </w:rPr>
        <w:t xml:space="preserve"> </w:t>
      </w:r>
      <w:r w:rsidR="00D62EA5" w:rsidRPr="002B27DA">
        <w:rPr>
          <w:rFonts w:ascii="Calibri" w:hAnsi="Calibri" w:cs="Calibri"/>
        </w:rPr>
        <w:t>require</w:t>
      </w:r>
      <w:r w:rsidR="00267FDB" w:rsidRPr="002B27DA">
        <w:rPr>
          <w:rFonts w:ascii="Calibri" w:hAnsi="Calibri" w:cs="Calibri"/>
        </w:rPr>
        <w:t xml:space="preserve"> the Rietveld fit between the experimental and theoretical sets of diffracted peak intensities using structural factors</w:t>
      </w:r>
      <w:r w:rsidR="00635C77" w:rsidRPr="002B27DA">
        <w:rPr>
          <w:rFonts w:ascii="Calibri" w:hAnsi="Calibri" w:cs="Calibri"/>
        </w:rPr>
        <w:t>.</w:t>
      </w:r>
      <w:r w:rsidR="00267FDB" w:rsidRPr="002B27DA">
        <w:rPr>
          <w:rFonts w:ascii="Calibri" w:hAnsi="Calibri" w:cs="Calibri"/>
        </w:rPr>
        <w:t xml:space="preserve"> </w:t>
      </w:r>
      <w:r w:rsidR="00635C77" w:rsidRPr="002B27DA">
        <w:rPr>
          <w:rFonts w:ascii="Calibri" w:hAnsi="Calibri" w:cs="Calibri"/>
        </w:rPr>
        <w:t xml:space="preserve">It can </w:t>
      </w:r>
      <w:r w:rsidR="00250D5C" w:rsidRPr="002B27DA">
        <w:rPr>
          <w:rFonts w:ascii="Calibri" w:hAnsi="Calibri" w:cs="Calibri"/>
        </w:rPr>
        <w:t xml:space="preserve">thus </w:t>
      </w:r>
      <w:r w:rsidR="00635C77" w:rsidRPr="002B27DA">
        <w:rPr>
          <w:rFonts w:ascii="Calibri" w:hAnsi="Calibri" w:cs="Calibri"/>
        </w:rPr>
        <w:t>be</w:t>
      </w:r>
      <w:r w:rsidR="00267FDB" w:rsidRPr="002B27DA">
        <w:rPr>
          <w:rFonts w:ascii="Calibri" w:hAnsi="Calibri" w:cs="Calibri"/>
        </w:rPr>
        <w:t xml:space="preserve"> difficult</w:t>
      </w:r>
      <w:r w:rsidR="00635C77" w:rsidRPr="002B27DA">
        <w:rPr>
          <w:rFonts w:ascii="Calibri" w:hAnsi="Calibri" w:cs="Calibri"/>
        </w:rPr>
        <w:t xml:space="preserve"> to</w:t>
      </w:r>
      <w:r w:rsidR="00267FDB" w:rsidRPr="002B27DA">
        <w:rPr>
          <w:rFonts w:ascii="Calibri" w:hAnsi="Calibri" w:cs="Calibri"/>
        </w:rPr>
        <w:t xml:space="preserve"> distinguish between different elements if the</w:t>
      </w:r>
      <w:r w:rsidR="00D62EA5" w:rsidRPr="002B27DA">
        <w:rPr>
          <w:rFonts w:ascii="Calibri" w:hAnsi="Calibri" w:cs="Calibri"/>
        </w:rPr>
        <w:t xml:space="preserve">ir </w:t>
      </w:r>
      <w:r w:rsidR="00267FDB" w:rsidRPr="002B27DA">
        <w:rPr>
          <w:rFonts w:ascii="Calibri" w:hAnsi="Calibri" w:cs="Calibri"/>
        </w:rPr>
        <w:t xml:space="preserve">structural factors </w:t>
      </w:r>
      <w:r w:rsidR="00635C77" w:rsidRPr="002B27DA">
        <w:rPr>
          <w:rFonts w:ascii="Calibri" w:hAnsi="Calibri" w:cs="Calibri"/>
        </w:rPr>
        <w:t>are</w:t>
      </w:r>
      <w:r w:rsidR="00267FDB" w:rsidRPr="002B27DA">
        <w:rPr>
          <w:rFonts w:ascii="Calibri" w:hAnsi="Calibri" w:cs="Calibri"/>
        </w:rPr>
        <w:t xml:space="preserve"> close to each other, such as in X-ray diffraction of neighboring elements in the periodic table.</w:t>
      </w:r>
    </w:p>
    <w:p w14:paraId="53137C52" w14:textId="77777777" w:rsidR="00633EEA" w:rsidRPr="002B27DA" w:rsidRDefault="00633EEA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4E63C5B7" w14:textId="25D1388F" w:rsidR="009E7D78" w:rsidRPr="002B27DA" w:rsidRDefault="00663A76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In </w:t>
      </w:r>
      <w:r w:rsidR="00575770" w:rsidRPr="002B27DA">
        <w:rPr>
          <w:rFonts w:ascii="Calibri" w:hAnsi="Calibri" w:cs="Calibri"/>
        </w:rPr>
        <w:t>most current advanced materials</w:t>
      </w:r>
      <w:r w:rsidRPr="002B27DA">
        <w:rPr>
          <w:rFonts w:ascii="Calibri" w:hAnsi="Calibri" w:cs="Calibri"/>
        </w:rPr>
        <w:t xml:space="preserve">, the compositions, precipitates, grain size, and impurities </w:t>
      </w:r>
      <w:r w:rsidR="00D62EA5" w:rsidRPr="002B27DA">
        <w:rPr>
          <w:rFonts w:ascii="Calibri" w:hAnsi="Calibri" w:cs="Calibri"/>
        </w:rPr>
        <w:t>are</w:t>
      </w:r>
      <w:r w:rsidRPr="002B27DA">
        <w:rPr>
          <w:rFonts w:ascii="Calibri" w:hAnsi="Calibri" w:cs="Calibri"/>
        </w:rPr>
        <w:t xml:space="preserve"> </w:t>
      </w:r>
      <w:r w:rsidR="00D62EA5" w:rsidRPr="002B27DA">
        <w:rPr>
          <w:rFonts w:ascii="Calibri" w:hAnsi="Calibri" w:cs="Calibri"/>
        </w:rPr>
        <w:t xml:space="preserve">adjusted </w:t>
      </w:r>
      <w:r w:rsidRPr="002B27DA">
        <w:rPr>
          <w:rFonts w:ascii="Calibri" w:hAnsi="Calibri" w:cs="Calibri"/>
        </w:rPr>
        <w:t xml:space="preserve">and optimized to maximize the desired </w:t>
      </w:r>
      <w:r w:rsidR="00D62EA5" w:rsidRPr="002B27DA">
        <w:rPr>
          <w:rFonts w:ascii="Calibri" w:hAnsi="Calibri" w:cs="Calibri"/>
        </w:rPr>
        <w:t xml:space="preserve">role </w:t>
      </w:r>
      <w:r w:rsidRPr="002B27DA">
        <w:rPr>
          <w:rFonts w:ascii="Calibri" w:hAnsi="Calibri" w:cs="Calibri"/>
        </w:rPr>
        <w:t>at the nanomete</w:t>
      </w:r>
      <w:r w:rsidR="0095090E" w:rsidRPr="002B27DA">
        <w:rPr>
          <w:rFonts w:ascii="Calibri" w:hAnsi="Calibri" w:cs="Calibri"/>
        </w:rPr>
        <w:t>r</w:t>
      </w:r>
      <w:r w:rsidRPr="002B27DA">
        <w:rPr>
          <w:rFonts w:ascii="Calibri" w:hAnsi="Calibri" w:cs="Calibri"/>
        </w:rPr>
        <w:t xml:space="preserve"> scale. This means that these materials require characterization at the nanomet</w:t>
      </w:r>
      <w:r w:rsidR="0095090E" w:rsidRPr="002B27DA">
        <w:rPr>
          <w:rFonts w:ascii="Calibri" w:hAnsi="Calibri" w:cs="Calibri"/>
        </w:rPr>
        <w:t>e</w:t>
      </w:r>
      <w:r w:rsidRPr="002B27DA">
        <w:rPr>
          <w:rFonts w:ascii="Calibri" w:hAnsi="Calibri" w:cs="Calibri"/>
        </w:rPr>
        <w:t xml:space="preserve">r scale </w:t>
      </w:r>
      <w:r w:rsidR="00575770" w:rsidRPr="002B27DA">
        <w:rPr>
          <w:rFonts w:ascii="Calibri" w:hAnsi="Calibri" w:cs="Calibri"/>
        </w:rPr>
        <w:t xml:space="preserve">or even sub-nanometer scale </w:t>
      </w:r>
      <w:r w:rsidRPr="002B27DA">
        <w:rPr>
          <w:rFonts w:ascii="Calibri" w:hAnsi="Calibri" w:cs="Calibri"/>
        </w:rPr>
        <w:t xml:space="preserve">to </w:t>
      </w:r>
      <w:r w:rsidR="00D62EA5" w:rsidRPr="002B27DA">
        <w:rPr>
          <w:rFonts w:ascii="Calibri" w:hAnsi="Calibri" w:cs="Calibri"/>
        </w:rPr>
        <w:t xml:space="preserve">investigate </w:t>
      </w:r>
      <w:r w:rsidR="00635C77" w:rsidRPr="002B27DA">
        <w:rPr>
          <w:rFonts w:ascii="Calibri" w:hAnsi="Calibri" w:cs="Calibri"/>
        </w:rPr>
        <w:t>whether</w:t>
      </w:r>
      <w:r w:rsidRPr="002B27DA">
        <w:rPr>
          <w:rFonts w:ascii="Calibri" w:hAnsi="Calibri" w:cs="Calibri"/>
        </w:rPr>
        <w:t xml:space="preserve"> they are </w:t>
      </w:r>
      <w:r w:rsidR="008A64FB" w:rsidRPr="002B27DA">
        <w:rPr>
          <w:rFonts w:ascii="Calibri" w:hAnsi="Calibri" w:cs="Calibri"/>
        </w:rPr>
        <w:t>synthesized</w:t>
      </w:r>
      <w:r w:rsidRPr="002B27DA">
        <w:rPr>
          <w:rFonts w:ascii="Calibri" w:hAnsi="Calibri" w:cs="Calibri"/>
        </w:rPr>
        <w:t xml:space="preserve"> as designed. In this context, </w:t>
      </w:r>
      <w:r w:rsidR="008A64FB" w:rsidRPr="002B27DA">
        <w:rPr>
          <w:rFonts w:ascii="Calibri" w:hAnsi="Calibri" w:cs="Calibri"/>
        </w:rPr>
        <w:t xml:space="preserve">it could be best </w:t>
      </w:r>
      <w:r w:rsidR="00672E34" w:rsidRPr="002B27DA">
        <w:rPr>
          <w:rFonts w:ascii="Calibri" w:hAnsi="Calibri" w:cs="Calibri"/>
        </w:rPr>
        <w:t xml:space="preserve">achieved </w:t>
      </w:r>
      <w:r w:rsidR="008A64FB" w:rsidRPr="002B27DA">
        <w:rPr>
          <w:rFonts w:ascii="Calibri" w:hAnsi="Calibri" w:cs="Calibri"/>
        </w:rPr>
        <w:t>using</w:t>
      </w:r>
      <w:r w:rsidRPr="002B27DA">
        <w:rPr>
          <w:rFonts w:ascii="Calibri" w:hAnsi="Calibri" w:cs="Calibri"/>
        </w:rPr>
        <w:t xml:space="preserve"> transmission electron microscopy (TEM)</w:t>
      </w:r>
      <w:r w:rsidR="00D457BB" w:rsidRPr="002B27DA">
        <w:rPr>
          <w:rFonts w:ascii="Calibri" w:hAnsi="Calibri" w:cs="Calibri"/>
        </w:rPr>
        <w:t xml:space="preserve"> and related </w:t>
      </w:r>
      <w:r w:rsidR="00672E34" w:rsidRPr="002B27DA">
        <w:rPr>
          <w:rFonts w:ascii="Calibri" w:hAnsi="Calibri" w:cs="Calibri"/>
        </w:rPr>
        <w:t xml:space="preserve">analytical </w:t>
      </w:r>
      <w:r w:rsidR="00D457BB" w:rsidRPr="002B27DA">
        <w:rPr>
          <w:rFonts w:ascii="Calibri" w:hAnsi="Calibri" w:cs="Calibri"/>
        </w:rPr>
        <w:t>techniques</w:t>
      </w:r>
      <w:r w:rsidRPr="002B27DA">
        <w:rPr>
          <w:rFonts w:ascii="Calibri" w:hAnsi="Calibri" w:cs="Calibri"/>
        </w:rPr>
        <w:t>.</w:t>
      </w:r>
    </w:p>
    <w:p w14:paraId="66739991" w14:textId="77777777" w:rsidR="00633EEA" w:rsidRPr="002B27DA" w:rsidRDefault="00633EEA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64A4E7CD" w14:textId="33FC19F0" w:rsidR="00D9403A" w:rsidRPr="002B27DA" w:rsidRDefault="00663A76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The recent dramatic development of scanning TEM (STEM) </w:t>
      </w:r>
      <w:r w:rsidR="00E740A7" w:rsidRPr="002B27DA">
        <w:rPr>
          <w:rFonts w:ascii="Calibri" w:hAnsi="Calibri" w:cs="Calibri"/>
        </w:rPr>
        <w:t xml:space="preserve">in these decades, </w:t>
      </w:r>
      <w:r w:rsidRPr="002B27DA">
        <w:rPr>
          <w:rFonts w:ascii="Calibri" w:hAnsi="Calibri" w:cs="Calibri"/>
        </w:rPr>
        <w:t>particularly based on aberration correction technologies,</w:t>
      </w:r>
      <w:r w:rsidR="00E740A7" w:rsidRPr="002B27DA">
        <w:rPr>
          <w:rFonts w:ascii="Calibri" w:hAnsi="Calibri" w:cs="Calibri"/>
        </w:rPr>
        <w:t xml:space="preserve"> has accelerated a </w:t>
      </w:r>
      <w:r w:rsidRPr="002B27DA">
        <w:rPr>
          <w:rFonts w:ascii="Calibri" w:hAnsi="Calibri" w:cs="Calibri"/>
        </w:rPr>
        <w:t xml:space="preserve">state-of-the-art technique to </w:t>
      </w:r>
      <w:r w:rsidR="00E740A7" w:rsidRPr="002B27DA">
        <w:rPr>
          <w:rFonts w:ascii="Calibri" w:hAnsi="Calibri" w:cs="Calibri"/>
        </w:rPr>
        <w:t>reveal the structure of a material and its elemental distribution at an atomic scale</w:t>
      </w:r>
      <w:r w:rsidR="00303A9D" w:rsidRPr="002B27DA">
        <w:rPr>
          <w:rFonts w:ascii="Calibri" w:hAnsi="Calibri" w:cs="Calibri"/>
          <w:vertAlign w:val="superscript"/>
        </w:rPr>
        <w:t>3,4</w:t>
      </w:r>
      <w:r w:rsidR="00E740A7" w:rsidRPr="002B27DA">
        <w:rPr>
          <w:rFonts w:ascii="Calibri" w:hAnsi="Calibri" w:cs="Calibri"/>
        </w:rPr>
        <w:t xml:space="preserve">. This method, however, </w:t>
      </w:r>
      <w:r w:rsidR="00F97912" w:rsidRPr="002B27DA">
        <w:rPr>
          <w:rFonts w:ascii="Calibri" w:hAnsi="Calibri" w:cs="Calibri"/>
        </w:rPr>
        <w:t xml:space="preserve">requires </w:t>
      </w:r>
      <w:r w:rsidR="000235F8" w:rsidRPr="002B27DA">
        <w:rPr>
          <w:rFonts w:ascii="Calibri" w:hAnsi="Calibri" w:cs="Calibri"/>
        </w:rPr>
        <w:t xml:space="preserve">precisely setting </w:t>
      </w:r>
      <w:r w:rsidR="00CE63B4" w:rsidRPr="002B27DA">
        <w:rPr>
          <w:rFonts w:ascii="Calibri" w:hAnsi="Calibri" w:cs="Calibri"/>
        </w:rPr>
        <w:t xml:space="preserve">the crystalline material parallel to a low-order zone axis and </w:t>
      </w:r>
      <w:r w:rsidRPr="002B27DA">
        <w:rPr>
          <w:rFonts w:ascii="Calibri" w:hAnsi="Calibri" w:cs="Calibri"/>
        </w:rPr>
        <w:t xml:space="preserve">to the </w:t>
      </w:r>
      <w:r w:rsidR="00CE63B4" w:rsidRPr="002B27DA">
        <w:rPr>
          <w:rFonts w:ascii="Calibri" w:hAnsi="Calibri" w:cs="Calibri"/>
        </w:rPr>
        <w:t>extreme stability of the instrument during the measurement</w:t>
      </w:r>
      <w:r w:rsidRPr="002B27DA">
        <w:rPr>
          <w:rFonts w:ascii="Calibri" w:hAnsi="Calibri" w:cs="Calibri"/>
        </w:rPr>
        <w:t>, which</w:t>
      </w:r>
      <w:r w:rsidR="00CE63B4" w:rsidRPr="002B27DA">
        <w:rPr>
          <w:rFonts w:ascii="Calibri" w:hAnsi="Calibri" w:cs="Calibri"/>
        </w:rPr>
        <w:t xml:space="preserve"> </w:t>
      </w:r>
      <w:r w:rsidR="00B649D6" w:rsidRPr="002B27DA">
        <w:rPr>
          <w:rFonts w:ascii="Calibri" w:hAnsi="Calibri" w:cs="Calibri"/>
        </w:rPr>
        <w:t xml:space="preserve">is </w:t>
      </w:r>
      <w:r w:rsidRPr="002B27DA">
        <w:rPr>
          <w:rFonts w:ascii="Calibri" w:hAnsi="Calibri" w:cs="Calibri"/>
        </w:rPr>
        <w:t xml:space="preserve">a drawback. </w:t>
      </w:r>
      <w:r w:rsidR="0006506C" w:rsidRPr="002B27DA">
        <w:rPr>
          <w:rFonts w:ascii="Calibri" w:hAnsi="Calibri" w:cs="Calibri"/>
        </w:rPr>
        <w:t>Hence</w:t>
      </w:r>
      <w:r w:rsidRPr="002B27DA">
        <w:rPr>
          <w:rFonts w:ascii="Calibri" w:hAnsi="Calibri" w:cs="Calibri"/>
        </w:rPr>
        <w:t xml:space="preserve">, we </w:t>
      </w:r>
      <w:r w:rsidR="00052286" w:rsidRPr="002B27DA">
        <w:rPr>
          <w:rFonts w:ascii="Calibri" w:hAnsi="Calibri" w:cs="Calibri"/>
        </w:rPr>
        <w:t>demonstrate</w:t>
      </w:r>
      <w:r w:rsidR="0006506C" w:rsidRPr="002B27DA">
        <w:rPr>
          <w:rFonts w:ascii="Calibri" w:hAnsi="Calibri" w:cs="Calibri"/>
        </w:rPr>
        <w:t xml:space="preserve"> an alternative method that requires no such limitations, </w:t>
      </w:r>
      <w:r w:rsidRPr="002B27DA">
        <w:rPr>
          <w:rFonts w:ascii="Calibri" w:hAnsi="Calibri" w:cs="Calibri"/>
        </w:rPr>
        <w:t>aberration</w:t>
      </w:r>
      <w:r w:rsidR="00B649D6" w:rsidRPr="002B27DA">
        <w:rPr>
          <w:rFonts w:ascii="Calibri" w:hAnsi="Calibri" w:cs="Calibri"/>
        </w:rPr>
        <w:t>,</w:t>
      </w:r>
      <w:r w:rsidRPr="002B27DA">
        <w:rPr>
          <w:rFonts w:ascii="Calibri" w:hAnsi="Calibri" w:cs="Calibri"/>
        </w:rPr>
        <w:t xml:space="preserve"> correction,</w:t>
      </w:r>
      <w:r w:rsidR="0006506C" w:rsidRPr="002B27DA">
        <w:rPr>
          <w:rFonts w:ascii="Calibri" w:hAnsi="Calibri" w:cs="Calibri"/>
        </w:rPr>
        <w:t xml:space="preserve"> or even field emission electron gun. </w:t>
      </w:r>
    </w:p>
    <w:p w14:paraId="255D9A03" w14:textId="77777777" w:rsidR="00D9403A" w:rsidRPr="002B27DA" w:rsidRDefault="00D9403A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2EA2635" w14:textId="5AA87884" w:rsidR="00F94C99" w:rsidRPr="002B27DA" w:rsidRDefault="00663A76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Electron </w:t>
      </w:r>
      <w:r w:rsidR="009E7D78" w:rsidRPr="002B27DA">
        <w:rPr>
          <w:rFonts w:ascii="Calibri" w:hAnsi="Calibri" w:cs="Calibri"/>
        </w:rPr>
        <w:t>channeling</w:t>
      </w:r>
      <w:r w:rsidRPr="002B27DA">
        <w:rPr>
          <w:rFonts w:ascii="Calibri" w:hAnsi="Calibri" w:cs="Calibri"/>
        </w:rPr>
        <w:t xml:space="preserve"> in a crystalline material occurs </w:t>
      </w:r>
      <w:r w:rsidR="00D62EA5" w:rsidRPr="002B27DA">
        <w:rPr>
          <w:rFonts w:ascii="Calibri" w:hAnsi="Calibri" w:cs="Calibri"/>
        </w:rPr>
        <w:t xml:space="preserve">if </w:t>
      </w:r>
      <w:r w:rsidRPr="002B27DA">
        <w:rPr>
          <w:rFonts w:ascii="Calibri" w:hAnsi="Calibri" w:cs="Calibri"/>
        </w:rPr>
        <w:t>an incident electron beam propagates along particular atomic planes or columns</w:t>
      </w:r>
      <w:r w:rsidR="00D9403A" w:rsidRPr="002B27DA">
        <w:rPr>
          <w:rFonts w:ascii="Calibri" w:hAnsi="Calibri" w:cs="Calibri"/>
        </w:rPr>
        <w:t>, which</w:t>
      </w:r>
      <w:r w:rsidRPr="002B27DA">
        <w:rPr>
          <w:rFonts w:ascii="Calibri" w:hAnsi="Calibri" w:cs="Calibri"/>
        </w:rPr>
        <w:t xml:space="preserve"> depends on the direction of the </w:t>
      </w:r>
      <w:r w:rsidR="007761FC" w:rsidRPr="002B27DA">
        <w:rPr>
          <w:rFonts w:ascii="Calibri" w:hAnsi="Calibri" w:cs="Calibri"/>
        </w:rPr>
        <w:t xml:space="preserve">incident high-energy electron </w:t>
      </w:r>
      <w:r w:rsidRPr="002B27DA">
        <w:rPr>
          <w:rFonts w:ascii="Calibri" w:hAnsi="Calibri" w:cs="Calibri"/>
        </w:rPr>
        <w:t>beam</w:t>
      </w:r>
      <w:r w:rsidR="007761FC" w:rsidRPr="002B27DA">
        <w:rPr>
          <w:rFonts w:ascii="Calibri" w:hAnsi="Calibri" w:cs="Calibri"/>
        </w:rPr>
        <w:t xml:space="preserve"> </w:t>
      </w:r>
      <w:r w:rsidRPr="002B27DA">
        <w:rPr>
          <w:rFonts w:ascii="Calibri" w:hAnsi="Calibri" w:cs="Calibri"/>
        </w:rPr>
        <w:t>with respect to the crystal axes</w:t>
      </w:r>
      <w:r w:rsidR="00412203" w:rsidRPr="002B27DA">
        <w:rPr>
          <w:rFonts w:ascii="Calibri" w:hAnsi="Calibri" w:cs="Calibri"/>
        </w:rPr>
        <w:t xml:space="preserve">, </w:t>
      </w:r>
      <w:r w:rsidR="006D1587" w:rsidRPr="002B27DA">
        <w:rPr>
          <w:rFonts w:ascii="Calibri" w:hAnsi="Calibri" w:cs="Calibri"/>
        </w:rPr>
        <w:t>where</w:t>
      </w:r>
      <w:r w:rsidRPr="002B27DA">
        <w:rPr>
          <w:rFonts w:ascii="Calibri" w:hAnsi="Calibri" w:cs="Calibri"/>
        </w:rPr>
        <w:t xml:space="preserve"> an appropriate set of Bragg reflections and the excitation error of each reflection in a TEM</w:t>
      </w:r>
      <w:r w:rsidR="006D1587" w:rsidRPr="002B27DA">
        <w:rPr>
          <w:rFonts w:ascii="Calibri" w:hAnsi="Calibri" w:cs="Calibri"/>
        </w:rPr>
        <w:t xml:space="preserve"> are selected</w:t>
      </w:r>
      <w:r w:rsidRPr="002B27DA">
        <w:rPr>
          <w:rFonts w:ascii="Calibri" w:hAnsi="Calibri" w:cs="Calibri"/>
        </w:rPr>
        <w:t xml:space="preserve">. The site-specific energy-dispersive X-ray (EDX) analysis technique that </w:t>
      </w:r>
      <w:r w:rsidR="00D62EA5" w:rsidRPr="002B27DA">
        <w:rPr>
          <w:rFonts w:ascii="Calibri" w:hAnsi="Calibri" w:cs="Calibri"/>
        </w:rPr>
        <w:t xml:space="preserve">uses </w:t>
      </w:r>
      <w:r w:rsidRPr="002B27DA">
        <w:rPr>
          <w:rFonts w:ascii="Calibri" w:hAnsi="Calibri" w:cs="Calibri"/>
        </w:rPr>
        <w:t xml:space="preserve">electron channeling is </w:t>
      </w:r>
      <w:r w:rsidR="00D62EA5" w:rsidRPr="002B27DA">
        <w:rPr>
          <w:rFonts w:ascii="Calibri" w:hAnsi="Calibri" w:cs="Calibri"/>
        </w:rPr>
        <w:t>called</w:t>
      </w:r>
      <w:r w:rsidRPr="002B27DA">
        <w:rPr>
          <w:rFonts w:ascii="Calibri" w:hAnsi="Calibri" w:cs="Calibri"/>
        </w:rPr>
        <w:t xml:space="preserve"> the atom location by channeled electron microanalysis (ALCHEMI) method to evaluate the </w:t>
      </w:r>
      <w:r w:rsidR="006D1587" w:rsidRPr="002B27DA">
        <w:rPr>
          <w:rFonts w:ascii="Calibri" w:hAnsi="Calibri" w:cs="Calibri"/>
        </w:rPr>
        <w:t>occupancies</w:t>
      </w:r>
      <w:r w:rsidRPr="002B27DA">
        <w:rPr>
          <w:rFonts w:ascii="Calibri" w:hAnsi="Calibri" w:cs="Calibri"/>
        </w:rPr>
        <w:t xml:space="preserve"> of host atomic sites by impurities</w:t>
      </w:r>
      <w:r w:rsidR="005F081D" w:rsidRPr="002B27DA">
        <w:rPr>
          <w:rFonts w:ascii="Calibri" w:hAnsi="Calibri" w:cs="Calibri"/>
          <w:vertAlign w:val="superscript"/>
        </w:rPr>
        <w:t>5,6</w:t>
      </w:r>
      <w:r w:rsidRPr="002B27DA">
        <w:rPr>
          <w:rFonts w:ascii="Calibri" w:hAnsi="Calibri" w:cs="Calibri"/>
        </w:rPr>
        <w:t xml:space="preserve">. This method has been extended to a </w:t>
      </w:r>
      <w:r w:rsidR="006D1587" w:rsidRPr="002B27DA">
        <w:rPr>
          <w:rFonts w:ascii="Calibri" w:hAnsi="Calibri" w:cs="Calibri"/>
        </w:rPr>
        <w:t xml:space="preserve">more </w:t>
      </w:r>
      <w:r w:rsidR="00D62EA5" w:rsidRPr="002B27DA">
        <w:rPr>
          <w:rFonts w:ascii="Calibri" w:hAnsi="Calibri" w:cs="Calibri"/>
        </w:rPr>
        <w:t>complex</w:t>
      </w:r>
      <w:r w:rsidRPr="002B27DA">
        <w:rPr>
          <w:rFonts w:ascii="Calibri" w:hAnsi="Calibri" w:cs="Calibri"/>
        </w:rPr>
        <w:t xml:space="preserve"> and quantitatively reliable </w:t>
      </w:r>
      <w:r w:rsidR="00D62EA5" w:rsidRPr="002B27DA">
        <w:rPr>
          <w:rFonts w:ascii="Calibri" w:hAnsi="Calibri" w:cs="Calibri"/>
        </w:rPr>
        <w:t>approach</w:t>
      </w:r>
      <w:r w:rsidRPr="002B27DA">
        <w:rPr>
          <w:rFonts w:ascii="Calibri" w:hAnsi="Calibri" w:cs="Calibri"/>
        </w:rPr>
        <w:t xml:space="preserve">, </w:t>
      </w:r>
      <w:r w:rsidR="007761FC" w:rsidRPr="002B27DA">
        <w:rPr>
          <w:rFonts w:ascii="Calibri" w:hAnsi="Calibri" w:cs="Calibri"/>
        </w:rPr>
        <w:t xml:space="preserve">called </w:t>
      </w:r>
      <w:r w:rsidRPr="002B27DA">
        <w:rPr>
          <w:rFonts w:ascii="Calibri" w:hAnsi="Calibri" w:cs="Calibri"/>
        </w:rPr>
        <w:t>high-angular-resolution electron-channeling X-ray spectroscopy (HARECXS)</w:t>
      </w:r>
      <w:r w:rsidR="00B649D6" w:rsidRPr="002B27DA">
        <w:rPr>
          <w:rFonts w:ascii="Calibri" w:hAnsi="Calibri" w:cs="Calibri"/>
        </w:rPr>
        <w:t>,</w:t>
      </w:r>
      <w:r w:rsidRPr="002B27DA">
        <w:rPr>
          <w:rFonts w:ascii="Calibri" w:hAnsi="Calibri" w:cs="Calibri"/>
        </w:rPr>
        <w:t xml:space="preserve"> </w:t>
      </w:r>
      <w:r w:rsidR="00792C5E" w:rsidRPr="002B27DA">
        <w:rPr>
          <w:rFonts w:ascii="Calibri" w:hAnsi="Calibri" w:cs="Calibri"/>
        </w:rPr>
        <w:t xml:space="preserve">to </w:t>
      </w:r>
      <w:r w:rsidR="003E7794" w:rsidRPr="002B27DA">
        <w:rPr>
          <w:rFonts w:ascii="Calibri" w:hAnsi="Calibri" w:cs="Calibri"/>
        </w:rPr>
        <w:t>determin</w:t>
      </w:r>
      <w:r w:rsidR="00792C5E" w:rsidRPr="002B27DA">
        <w:rPr>
          <w:rFonts w:ascii="Calibri" w:hAnsi="Calibri" w:cs="Calibri"/>
        </w:rPr>
        <w:t>e</w:t>
      </w:r>
      <w:r w:rsidRPr="002B27DA">
        <w:rPr>
          <w:rFonts w:ascii="Calibri" w:hAnsi="Calibri" w:cs="Calibri"/>
        </w:rPr>
        <w:t xml:space="preserve"> impurity/dopant occupancies. </w:t>
      </w:r>
      <w:r w:rsidR="007761FC" w:rsidRPr="002B27DA">
        <w:rPr>
          <w:rFonts w:ascii="Calibri" w:hAnsi="Calibri" w:cs="Calibri"/>
        </w:rPr>
        <w:t>This is realized</w:t>
      </w:r>
      <w:r w:rsidRPr="002B27DA">
        <w:rPr>
          <w:rFonts w:ascii="Calibri" w:hAnsi="Calibri" w:cs="Calibri"/>
        </w:rPr>
        <w:t xml:space="preserve"> by comparing the experimental beam-rocking curves with theoretical simulations</w:t>
      </w:r>
      <w:r w:rsidR="0076211E" w:rsidRPr="002B27DA">
        <w:rPr>
          <w:rFonts w:ascii="Calibri" w:hAnsi="Calibri" w:cs="Calibri"/>
          <w:vertAlign w:val="superscript"/>
        </w:rPr>
        <w:t>7</w:t>
      </w:r>
      <w:r w:rsidRPr="002B27DA">
        <w:rPr>
          <w:rFonts w:ascii="Calibri" w:hAnsi="Calibri" w:cs="Calibri"/>
        </w:rPr>
        <w:t xml:space="preserve">. </w:t>
      </w:r>
      <w:r w:rsidR="00B04A88" w:rsidRPr="002B27DA">
        <w:rPr>
          <w:rFonts w:ascii="Calibri" w:hAnsi="Calibri" w:cs="Calibri"/>
        </w:rPr>
        <w:t>T</w:t>
      </w:r>
      <w:r w:rsidRPr="002B27DA">
        <w:rPr>
          <w:rFonts w:ascii="Calibri" w:hAnsi="Calibri" w:cs="Calibri"/>
        </w:rPr>
        <w:t>his technique</w:t>
      </w:r>
      <w:r w:rsidR="00B04A88" w:rsidRPr="002B27DA">
        <w:rPr>
          <w:rFonts w:ascii="Calibri" w:hAnsi="Calibri" w:cs="Calibri"/>
        </w:rPr>
        <w:t xml:space="preserve"> is further extended to</w:t>
      </w:r>
      <w:r w:rsidRPr="002B27DA">
        <w:rPr>
          <w:rFonts w:ascii="Calibri" w:hAnsi="Calibri" w:cs="Calibri"/>
        </w:rPr>
        <w:t xml:space="preserve"> high-angular-resolution electron-channeling electron spectroscopy (HARECES), </w:t>
      </w:r>
      <w:r w:rsidR="00B04A88" w:rsidRPr="002B27DA">
        <w:rPr>
          <w:rFonts w:ascii="Calibri" w:hAnsi="Calibri" w:cs="Calibri"/>
        </w:rPr>
        <w:lastRenderedPageBreak/>
        <w:t xml:space="preserve">which </w:t>
      </w:r>
      <w:r w:rsidRPr="002B27DA">
        <w:rPr>
          <w:rFonts w:ascii="Calibri" w:hAnsi="Calibri" w:cs="Calibri"/>
        </w:rPr>
        <w:t xml:space="preserve">records </w:t>
      </w:r>
      <w:r w:rsidR="003D50EA" w:rsidRPr="002B27DA">
        <w:rPr>
          <w:rFonts w:ascii="Calibri" w:hAnsi="Calibri" w:cs="Calibri"/>
        </w:rPr>
        <w:t>electron energy loss spectra</w:t>
      </w:r>
      <w:r w:rsidRPr="002B27DA">
        <w:rPr>
          <w:rFonts w:ascii="Calibri" w:hAnsi="Calibri" w:cs="Calibri"/>
        </w:rPr>
        <w:t xml:space="preserve"> </w:t>
      </w:r>
      <w:r w:rsidR="003D50EA" w:rsidRPr="002B27DA">
        <w:rPr>
          <w:rFonts w:ascii="Calibri" w:hAnsi="Calibri" w:cs="Calibri"/>
        </w:rPr>
        <w:t>(</w:t>
      </w:r>
      <w:r w:rsidRPr="002B27DA">
        <w:rPr>
          <w:rFonts w:ascii="Calibri" w:hAnsi="Calibri" w:cs="Calibri"/>
        </w:rPr>
        <w:t>EELS</w:t>
      </w:r>
      <w:r w:rsidR="003D50EA" w:rsidRPr="002B27DA">
        <w:rPr>
          <w:rFonts w:ascii="Calibri" w:hAnsi="Calibri" w:cs="Calibri"/>
        </w:rPr>
        <w:t>)</w:t>
      </w:r>
      <w:r w:rsidRPr="002B27DA">
        <w:rPr>
          <w:rFonts w:ascii="Calibri" w:hAnsi="Calibri" w:cs="Calibri"/>
        </w:rPr>
        <w:t xml:space="preserve"> </w:t>
      </w:r>
      <w:r w:rsidR="00903987" w:rsidRPr="002B27DA">
        <w:rPr>
          <w:rFonts w:ascii="Calibri" w:hAnsi="Calibri" w:cs="Calibri"/>
        </w:rPr>
        <w:t>instead of</w:t>
      </w:r>
      <w:r w:rsidRPr="002B27DA">
        <w:rPr>
          <w:rFonts w:ascii="Calibri" w:hAnsi="Calibri" w:cs="Calibri"/>
        </w:rPr>
        <w:t xml:space="preserve"> EDX</w:t>
      </w:r>
      <w:r w:rsidR="0076211E" w:rsidRPr="002B27DA">
        <w:rPr>
          <w:rFonts w:ascii="Calibri" w:hAnsi="Calibri" w:cs="Calibri"/>
          <w:vertAlign w:val="superscript"/>
        </w:rPr>
        <w:t>8</w:t>
      </w:r>
      <w:r w:rsidR="003E7794" w:rsidRPr="002B27DA">
        <w:rPr>
          <w:rFonts w:ascii="Calibri" w:hAnsi="Calibri" w:cs="Calibri"/>
        </w:rPr>
        <w:t>.</w:t>
      </w:r>
      <w:r w:rsidR="001A05E0" w:rsidRPr="002B27DA">
        <w:rPr>
          <w:rFonts w:ascii="Calibri" w:hAnsi="Calibri" w:cs="Calibri"/>
        </w:rPr>
        <w:t xml:space="preserve"> </w:t>
      </w:r>
      <w:r w:rsidR="003E7794" w:rsidRPr="002B27DA">
        <w:rPr>
          <w:rFonts w:ascii="Calibri" w:hAnsi="Calibri" w:cs="Calibri"/>
        </w:rPr>
        <w:t xml:space="preserve">This </w:t>
      </w:r>
      <w:r w:rsidR="00903987" w:rsidRPr="002B27DA">
        <w:rPr>
          <w:rFonts w:ascii="Calibri" w:hAnsi="Calibri" w:cs="Calibri"/>
        </w:rPr>
        <w:t>provides information on</w:t>
      </w:r>
      <w:r w:rsidRPr="002B27DA">
        <w:rPr>
          <w:rFonts w:ascii="Calibri" w:hAnsi="Calibri" w:cs="Calibri"/>
        </w:rPr>
        <w:t xml:space="preserve"> the</w:t>
      </w:r>
      <w:r w:rsidR="007761FC" w:rsidRPr="002B27DA">
        <w:rPr>
          <w:rFonts w:ascii="Calibri" w:hAnsi="Calibri" w:cs="Calibri"/>
        </w:rPr>
        <w:t xml:space="preserve"> site-specific</w:t>
      </w:r>
      <w:r w:rsidRPr="002B27DA">
        <w:rPr>
          <w:rFonts w:ascii="Calibri" w:hAnsi="Calibri" w:cs="Calibri"/>
        </w:rPr>
        <w:t xml:space="preserve"> local chemical states of a given element in different atomic environments</w:t>
      </w:r>
      <w:r w:rsidR="0076211E" w:rsidRPr="002B27DA">
        <w:rPr>
          <w:rFonts w:ascii="Calibri" w:hAnsi="Calibri" w:cs="Calibri"/>
          <w:vertAlign w:val="superscript"/>
        </w:rPr>
        <w:t>9-11</w:t>
      </w:r>
      <w:r w:rsidRPr="002B27DA">
        <w:rPr>
          <w:rFonts w:ascii="Calibri" w:hAnsi="Calibri" w:cs="Calibri"/>
        </w:rPr>
        <w:t>.</w:t>
      </w:r>
      <w:r w:rsidR="00C458B8" w:rsidRPr="002B27DA">
        <w:rPr>
          <w:rFonts w:ascii="Calibri" w:hAnsi="Calibri" w:cs="Calibri"/>
        </w:rPr>
        <w:t xml:space="preserve"> In cases where </w:t>
      </w:r>
      <w:r w:rsidR="00677E4D" w:rsidRPr="002B27DA">
        <w:rPr>
          <w:rFonts w:ascii="Calibri" w:hAnsi="Calibri" w:cs="Calibri"/>
        </w:rPr>
        <w:t xml:space="preserve">each host element occupies a single crystallographic site, a simple linear regression </w:t>
      </w:r>
      <w:r w:rsidR="00C1600C" w:rsidRPr="002B27DA">
        <w:rPr>
          <w:rFonts w:ascii="Calibri" w:hAnsi="Calibri" w:cs="Calibri"/>
        </w:rPr>
        <w:t xml:space="preserve">and application of several formulae to the experimental dataset </w:t>
      </w:r>
      <w:r w:rsidR="005F5650" w:rsidRPr="002B27DA">
        <w:rPr>
          <w:rFonts w:ascii="Calibri" w:hAnsi="Calibri" w:cs="Calibri"/>
        </w:rPr>
        <w:t xml:space="preserve">quantitatively </w:t>
      </w:r>
      <w:r w:rsidR="003D50EA" w:rsidRPr="002B27DA">
        <w:rPr>
          <w:rFonts w:ascii="Calibri" w:hAnsi="Calibri" w:cs="Calibri"/>
        </w:rPr>
        <w:t>determines</w:t>
      </w:r>
      <w:r w:rsidR="00677E4D" w:rsidRPr="002B27DA">
        <w:rPr>
          <w:rFonts w:ascii="Calibri" w:hAnsi="Calibri" w:cs="Calibri"/>
        </w:rPr>
        <w:t xml:space="preserve"> the site occupancies of doped impurities</w:t>
      </w:r>
      <w:r w:rsidR="005F5650" w:rsidRPr="002B27DA">
        <w:rPr>
          <w:rFonts w:ascii="Calibri" w:hAnsi="Calibri" w:cs="Calibri"/>
        </w:rPr>
        <w:t xml:space="preserve"> without any theoretical simulations</w:t>
      </w:r>
      <w:r w:rsidR="00677E4D" w:rsidRPr="002B27DA">
        <w:rPr>
          <w:rFonts w:ascii="Calibri" w:hAnsi="Calibri" w:cs="Calibri"/>
        </w:rPr>
        <w:t>.</w:t>
      </w:r>
    </w:p>
    <w:p w14:paraId="3BC86CD0" w14:textId="77777777" w:rsidR="00D60A37" w:rsidRPr="002B27DA" w:rsidRDefault="00D60A37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</w:p>
    <w:p w14:paraId="13032BD3" w14:textId="0C24408A" w:rsidR="00D60A37" w:rsidRPr="002B27DA" w:rsidRDefault="00663A76" w:rsidP="002B27DA">
      <w:pPr>
        <w:pStyle w:val="NormalWeb"/>
        <w:spacing w:before="0" w:beforeAutospacing="0" w:after="0" w:afterAutospacing="0"/>
        <w:contextualSpacing/>
        <w:jc w:val="both"/>
        <w:rPr>
          <w:rFonts w:ascii="Calibri" w:hAnsi="Calibri" w:cs="Calibri"/>
        </w:rPr>
      </w:pPr>
      <w:r w:rsidRPr="002B27DA">
        <w:rPr>
          <w:rFonts w:ascii="Calibri" w:hAnsi="Calibri" w:cs="Calibri"/>
        </w:rPr>
        <w:t xml:space="preserve">In the following sections, we provide detailed procedures of the method </w:t>
      </w:r>
      <w:r w:rsidR="0073574E" w:rsidRPr="002B27DA">
        <w:rPr>
          <w:rFonts w:ascii="Calibri" w:hAnsi="Calibri" w:cs="Calibri"/>
        </w:rPr>
        <w:t>specific to</w:t>
      </w:r>
      <w:r w:rsidRPr="002B27DA">
        <w:rPr>
          <w:rFonts w:ascii="Calibri" w:hAnsi="Calibri" w:cs="Calibri"/>
        </w:rPr>
        <w:t xml:space="preserve"> the </w:t>
      </w:r>
      <w:proofErr w:type="spellStart"/>
      <w:r w:rsidRPr="002B27DA">
        <w:rPr>
          <w:rFonts w:ascii="Calibri" w:hAnsi="Calibri" w:cs="Calibri"/>
        </w:rPr>
        <w:t>Jeol</w:t>
      </w:r>
      <w:proofErr w:type="spellEnd"/>
      <w:r w:rsidRPr="002B27DA">
        <w:rPr>
          <w:rFonts w:ascii="Calibri" w:hAnsi="Calibri" w:cs="Calibri"/>
        </w:rPr>
        <w:t xml:space="preserve"> JEM2100 STEM system </w:t>
      </w:r>
      <w:r w:rsidR="0073574E" w:rsidRPr="002B27DA">
        <w:rPr>
          <w:rFonts w:ascii="Calibri" w:hAnsi="Calibri" w:cs="Calibri"/>
        </w:rPr>
        <w:t xml:space="preserve">because it is </w:t>
      </w:r>
      <w:r w:rsidRPr="002B27DA">
        <w:rPr>
          <w:rFonts w:ascii="Calibri" w:hAnsi="Calibri" w:cs="Calibri"/>
        </w:rPr>
        <w:t>explicitly equipped with the beam-rocking mode in the STEM operation menu. For users of other microscopes,</w:t>
      </w:r>
      <w:r w:rsidR="008A1AD2" w:rsidRPr="002B27DA">
        <w:rPr>
          <w:rFonts w:ascii="Calibri" w:hAnsi="Calibri" w:cs="Calibri"/>
        </w:rPr>
        <w:t xml:space="preserve"> please refer to the descriptions in the final paragraph of </w:t>
      </w:r>
      <w:r w:rsidRPr="002B27DA">
        <w:rPr>
          <w:rFonts w:ascii="Calibri" w:hAnsi="Calibri" w:cs="Calibri"/>
        </w:rPr>
        <w:t>the Discussion section of this article.</w:t>
      </w:r>
    </w:p>
    <w:p w14:paraId="7BB50355" w14:textId="77777777" w:rsidR="00593C2D" w:rsidRPr="002B27DA" w:rsidRDefault="00593C2D" w:rsidP="002B27DA">
      <w:pPr>
        <w:contextualSpacing/>
        <w:rPr>
          <w:b/>
        </w:rPr>
      </w:pPr>
    </w:p>
    <w:p w14:paraId="6A4DD13B" w14:textId="12998FAC" w:rsidR="00593C2D" w:rsidRPr="002B27DA" w:rsidRDefault="00663A76" w:rsidP="002B27DA">
      <w:pPr>
        <w:contextualSpacing/>
        <w:rPr>
          <w:rFonts w:eastAsia="Calibri"/>
        </w:rPr>
      </w:pPr>
      <w:r w:rsidRPr="002B27DA">
        <w:rPr>
          <w:rFonts w:eastAsia="Calibri"/>
          <w:b/>
        </w:rPr>
        <w:t>PROTOCOL:</w:t>
      </w:r>
      <w:r w:rsidRPr="002B27DA">
        <w:rPr>
          <w:rFonts w:eastAsia="Calibri"/>
        </w:rPr>
        <w:t xml:space="preserve"> </w:t>
      </w:r>
    </w:p>
    <w:p w14:paraId="28297282" w14:textId="77777777" w:rsidR="00633EEA" w:rsidRPr="002B27DA" w:rsidRDefault="00633EEA" w:rsidP="002B27DA">
      <w:pPr>
        <w:contextualSpacing/>
      </w:pPr>
    </w:p>
    <w:p w14:paraId="4660C04A" w14:textId="309EDCC2" w:rsidR="00962C94" w:rsidRPr="000E4ECA" w:rsidRDefault="00663A76" w:rsidP="002B27DA">
      <w:pPr>
        <w:pStyle w:val="ListParagraph"/>
        <w:numPr>
          <w:ilvl w:val="0"/>
          <w:numId w:val="13"/>
        </w:numPr>
        <w:ind w:leftChars="0" w:left="0" w:firstLine="0"/>
        <w:contextualSpacing/>
        <w:rPr>
          <w:b/>
          <w:bCs/>
        </w:rPr>
      </w:pPr>
      <w:r w:rsidRPr="000E4ECA">
        <w:rPr>
          <w:b/>
          <w:bCs/>
        </w:rPr>
        <w:t>Sample preprocess</w:t>
      </w:r>
    </w:p>
    <w:p w14:paraId="5987DB89" w14:textId="77777777" w:rsidR="00633EEA" w:rsidRPr="002B27DA" w:rsidRDefault="00633EEA" w:rsidP="002B27DA">
      <w:pPr>
        <w:pStyle w:val="ListParagraph"/>
        <w:ind w:leftChars="0" w:left="0"/>
        <w:contextualSpacing/>
      </w:pPr>
    </w:p>
    <w:p w14:paraId="08BDBA64" w14:textId="1FD574A7" w:rsidR="003B4F93" w:rsidRPr="002B27DA" w:rsidRDefault="00663A76" w:rsidP="002B27DA">
      <w:pPr>
        <w:pStyle w:val="ListParagraph"/>
        <w:numPr>
          <w:ilvl w:val="1"/>
          <w:numId w:val="15"/>
        </w:numPr>
        <w:ind w:leftChars="0" w:left="0" w:firstLine="0"/>
        <w:contextualSpacing/>
      </w:pPr>
      <w:r w:rsidRPr="002B27DA">
        <w:t>Thin film preparation for TEM</w:t>
      </w:r>
    </w:p>
    <w:p w14:paraId="099C2815" w14:textId="77777777" w:rsidR="00633EEA" w:rsidRPr="002B27DA" w:rsidRDefault="00633EEA" w:rsidP="002B27DA">
      <w:pPr>
        <w:pStyle w:val="ListParagraph"/>
        <w:ind w:leftChars="0" w:left="0"/>
        <w:contextualSpacing/>
      </w:pPr>
    </w:p>
    <w:p w14:paraId="71A44A31" w14:textId="25283B4E" w:rsidR="0040693D" w:rsidRPr="002B27DA" w:rsidRDefault="00663A76" w:rsidP="002B27DA">
      <w:pPr>
        <w:pStyle w:val="ListParagraph"/>
        <w:numPr>
          <w:ilvl w:val="2"/>
          <w:numId w:val="15"/>
        </w:numPr>
        <w:ind w:leftChars="0" w:left="0" w:firstLine="0"/>
        <w:contextualSpacing/>
      </w:pPr>
      <w:r w:rsidRPr="002B27DA">
        <w:t>Prepare a</w:t>
      </w:r>
      <w:r w:rsidR="00267FDB" w:rsidRPr="002B27DA">
        <w:t xml:space="preserve"> </w:t>
      </w:r>
      <w:r w:rsidR="0035488F" w:rsidRPr="002B27DA">
        <w:t xml:space="preserve">sample for the present analysis method </w:t>
      </w:r>
      <w:r w:rsidR="003B4F93" w:rsidRPr="002B27DA">
        <w:t>using</w:t>
      </w:r>
      <w:r w:rsidR="0035488F" w:rsidRPr="002B27DA">
        <w:t xml:space="preserve"> standard </w:t>
      </w:r>
      <w:r w:rsidR="00DF18E4" w:rsidRPr="002B27DA">
        <w:t>transmission electron microscopy (TEM)</w:t>
      </w:r>
      <w:r w:rsidR="0035488F" w:rsidRPr="002B27DA">
        <w:t xml:space="preserve"> sample preparation techniques, such as electropolishing for metal materials, ion milling for semiconductors or ceramics, </w:t>
      </w:r>
      <w:r w:rsidR="00C528FF" w:rsidRPr="002B27DA">
        <w:t>typically less than</w:t>
      </w:r>
      <w:r w:rsidR="0035488F" w:rsidRPr="002B27DA">
        <w:t xml:space="preserve"> 100–200</w:t>
      </w:r>
      <w:r w:rsidR="000D1F0E" w:rsidRPr="002B27DA">
        <w:t> nm</w:t>
      </w:r>
      <w:r w:rsidR="00C15FE5" w:rsidRPr="002B27DA">
        <w:t xml:space="preserve"> for HARECXS</w:t>
      </w:r>
      <w:r w:rsidR="0035488F" w:rsidRPr="002B27DA">
        <w:t xml:space="preserve">, </w:t>
      </w:r>
      <w:r w:rsidR="00DF18E4" w:rsidRPr="002B27DA">
        <w:t>uniformly flat</w:t>
      </w:r>
      <w:r w:rsidR="0035488F" w:rsidRPr="002B27DA">
        <w:t xml:space="preserve"> over the area of ~1 </w:t>
      </w:r>
      <w:r w:rsidR="0035488F" w:rsidRPr="002B27DA">
        <w:sym w:font="Symbol" w:char="F06D"/>
      </w:r>
      <w:r w:rsidR="0035488F" w:rsidRPr="002B27DA">
        <w:t>m.</w:t>
      </w:r>
      <w:r w:rsidR="00C15FE5" w:rsidRPr="002B27DA">
        <w:t xml:space="preserve"> </w:t>
      </w:r>
      <w:r w:rsidRPr="002B27DA">
        <w:t xml:space="preserve">Prepare </w:t>
      </w:r>
      <w:r w:rsidR="00C15FE5" w:rsidRPr="002B27DA">
        <w:t xml:space="preserve">thinner </w:t>
      </w:r>
      <w:r w:rsidR="00C528FF" w:rsidRPr="002B27DA">
        <w:t>(50–100</w:t>
      </w:r>
      <w:r w:rsidR="000D1F0E" w:rsidRPr="002B27DA">
        <w:t> nm</w:t>
      </w:r>
      <w:r w:rsidR="00C528FF" w:rsidRPr="002B27DA">
        <w:t xml:space="preserve">) </w:t>
      </w:r>
      <w:r w:rsidR="00C15FE5" w:rsidRPr="002B27DA">
        <w:t>samples</w:t>
      </w:r>
      <w:r w:rsidRPr="002B27DA">
        <w:t xml:space="preserve"> for HARECES in general</w:t>
      </w:r>
      <w:r w:rsidR="00C15FE5" w:rsidRPr="002B27DA">
        <w:t>.</w:t>
      </w:r>
    </w:p>
    <w:p w14:paraId="46BF3F06" w14:textId="77777777" w:rsidR="00CC0A97" w:rsidRPr="002B27DA" w:rsidRDefault="00CC0A97" w:rsidP="002B27DA">
      <w:pPr>
        <w:contextualSpacing/>
      </w:pPr>
    </w:p>
    <w:p w14:paraId="31E1A185" w14:textId="6FEF1C80" w:rsidR="003B4F93" w:rsidRPr="003F3B3B" w:rsidRDefault="00663A76" w:rsidP="002B27DA">
      <w:pPr>
        <w:pStyle w:val="ListParagraph"/>
        <w:numPr>
          <w:ilvl w:val="1"/>
          <w:numId w:val="15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Sample mounting to TEM</w:t>
      </w:r>
    </w:p>
    <w:p w14:paraId="3EFEAF58" w14:textId="77777777" w:rsidR="00633EEA" w:rsidRPr="003F3B3B" w:rsidRDefault="00633EEA" w:rsidP="002B27DA">
      <w:pPr>
        <w:pStyle w:val="ListParagraph"/>
        <w:ind w:leftChars="0" w:left="0"/>
        <w:contextualSpacing/>
        <w:rPr>
          <w:highlight w:val="yellow"/>
        </w:rPr>
      </w:pPr>
    </w:p>
    <w:p w14:paraId="37FE4B13" w14:textId="07070F82" w:rsidR="00CC0A97" w:rsidRPr="003F3B3B" w:rsidRDefault="002868AA" w:rsidP="002B27DA">
      <w:pPr>
        <w:pStyle w:val="ListParagraph"/>
        <w:numPr>
          <w:ilvl w:val="2"/>
          <w:numId w:val="15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Mount t</w:t>
      </w:r>
      <w:r w:rsidR="00663A76" w:rsidRPr="003F3B3B">
        <w:rPr>
          <w:highlight w:val="yellow"/>
        </w:rPr>
        <w:t>he</w:t>
      </w:r>
      <w:r w:rsidR="00267FDB" w:rsidRPr="003F3B3B">
        <w:rPr>
          <w:highlight w:val="yellow"/>
        </w:rPr>
        <w:t xml:space="preserve"> thin film </w:t>
      </w:r>
      <w:r w:rsidRPr="003F3B3B">
        <w:rPr>
          <w:highlight w:val="yellow"/>
        </w:rPr>
        <w:t>prepared</w:t>
      </w:r>
      <w:r w:rsidR="00267FDB" w:rsidRPr="003F3B3B">
        <w:rPr>
          <w:highlight w:val="yellow"/>
        </w:rPr>
        <w:t xml:space="preserve"> </w:t>
      </w:r>
      <w:r w:rsidR="00663A76" w:rsidRPr="003F3B3B">
        <w:rPr>
          <w:highlight w:val="yellow"/>
        </w:rPr>
        <w:t>o</w:t>
      </w:r>
      <w:r w:rsidR="00267FDB" w:rsidRPr="003F3B3B">
        <w:rPr>
          <w:highlight w:val="yellow"/>
        </w:rPr>
        <w:t xml:space="preserve">n a </w:t>
      </w:r>
      <w:proofErr w:type="gramStart"/>
      <w:r w:rsidR="00267FDB" w:rsidRPr="003F3B3B">
        <w:rPr>
          <w:highlight w:val="yellow"/>
        </w:rPr>
        <w:t>double-tilting</w:t>
      </w:r>
      <w:proofErr w:type="gramEnd"/>
      <w:r w:rsidR="00267FDB" w:rsidRPr="003F3B3B">
        <w:rPr>
          <w:highlight w:val="yellow"/>
        </w:rPr>
        <w:t xml:space="preserve"> TEM sample holder, followed by inserting the holder into a TEM equipped with </w:t>
      </w:r>
      <w:r w:rsidR="00B77E4D" w:rsidRPr="003F3B3B">
        <w:rPr>
          <w:highlight w:val="yellow"/>
        </w:rPr>
        <w:t xml:space="preserve">a scanning mode and </w:t>
      </w:r>
      <w:r w:rsidR="00267FDB" w:rsidRPr="003F3B3B">
        <w:rPr>
          <w:highlight w:val="yellow"/>
        </w:rPr>
        <w:t xml:space="preserve">an </w:t>
      </w:r>
      <w:r w:rsidR="003853FA" w:rsidRPr="003F3B3B">
        <w:rPr>
          <w:highlight w:val="yellow"/>
        </w:rPr>
        <w:t>EDX</w:t>
      </w:r>
      <w:r w:rsidR="00267FDB" w:rsidRPr="003F3B3B">
        <w:rPr>
          <w:highlight w:val="yellow"/>
        </w:rPr>
        <w:t xml:space="preserve"> detector</w:t>
      </w:r>
      <w:r w:rsidR="00A101FE" w:rsidRPr="003F3B3B">
        <w:rPr>
          <w:highlight w:val="yellow"/>
        </w:rPr>
        <w:t xml:space="preserve"> (</w:t>
      </w:r>
      <w:r w:rsidR="00A101FE" w:rsidRPr="003F3B3B">
        <w:rPr>
          <w:b/>
          <w:bCs/>
          <w:highlight w:val="yellow"/>
        </w:rPr>
        <w:t>Figure 1</w:t>
      </w:r>
      <w:r w:rsidR="00A101FE" w:rsidRPr="003F3B3B">
        <w:rPr>
          <w:highlight w:val="yellow"/>
        </w:rPr>
        <w:t>)</w:t>
      </w:r>
      <w:r w:rsidR="00267FDB" w:rsidRPr="003F3B3B">
        <w:rPr>
          <w:highlight w:val="yellow"/>
        </w:rPr>
        <w:t>.</w:t>
      </w:r>
    </w:p>
    <w:p w14:paraId="3192F6FD" w14:textId="77777777" w:rsidR="0040693D" w:rsidRPr="003F3B3B" w:rsidRDefault="0040693D" w:rsidP="002B27DA">
      <w:pPr>
        <w:contextualSpacing/>
        <w:rPr>
          <w:b/>
          <w:bCs/>
          <w:highlight w:val="yellow"/>
        </w:rPr>
      </w:pPr>
    </w:p>
    <w:p w14:paraId="6E1A0EA4" w14:textId="4FE94E2D" w:rsidR="00A101FE" w:rsidRPr="003F3B3B" w:rsidRDefault="00663A76" w:rsidP="002B27DA">
      <w:pPr>
        <w:pStyle w:val="ListParagraph"/>
        <w:numPr>
          <w:ilvl w:val="0"/>
          <w:numId w:val="13"/>
        </w:numPr>
        <w:ind w:leftChars="0" w:left="0" w:firstLine="0"/>
        <w:contextualSpacing/>
        <w:rPr>
          <w:b/>
          <w:bCs/>
          <w:highlight w:val="yellow"/>
        </w:rPr>
      </w:pPr>
      <w:r w:rsidRPr="003F3B3B">
        <w:rPr>
          <w:b/>
          <w:bCs/>
          <w:highlight w:val="yellow"/>
        </w:rPr>
        <w:t>TEM operation</w:t>
      </w:r>
      <w:r w:rsidR="003853FA" w:rsidRPr="003F3B3B">
        <w:rPr>
          <w:b/>
          <w:bCs/>
          <w:highlight w:val="yellow"/>
        </w:rPr>
        <w:t xml:space="preserve"> (specific to JEM2100 TEM with beam</w:t>
      </w:r>
      <w:r w:rsidR="001A61C5" w:rsidRPr="003F3B3B">
        <w:rPr>
          <w:b/>
          <w:bCs/>
          <w:highlight w:val="yellow"/>
        </w:rPr>
        <w:t>-</w:t>
      </w:r>
      <w:r w:rsidR="003853FA" w:rsidRPr="003F3B3B">
        <w:rPr>
          <w:b/>
          <w:bCs/>
          <w:highlight w:val="yellow"/>
        </w:rPr>
        <w:t>rocking option attached)</w:t>
      </w:r>
    </w:p>
    <w:p w14:paraId="44690065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14D7D6D3" w14:textId="4F39B5B3" w:rsidR="002B27DA" w:rsidRPr="003F3B3B" w:rsidRDefault="00DC1AC2" w:rsidP="002B27DA">
      <w:pPr>
        <w:pStyle w:val="ListParagraph"/>
        <w:numPr>
          <w:ilvl w:val="1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TEM alignment</w:t>
      </w:r>
      <w:r w:rsidR="0075474F" w:rsidRPr="003F3B3B">
        <w:rPr>
          <w:highlight w:val="yellow"/>
        </w:rPr>
        <w:t xml:space="preserve"> for beam</w:t>
      </w:r>
      <w:r w:rsidR="001A61C5" w:rsidRPr="003F3B3B">
        <w:rPr>
          <w:highlight w:val="yellow"/>
        </w:rPr>
        <w:t>-</w:t>
      </w:r>
      <w:r w:rsidR="0075474F" w:rsidRPr="003F3B3B">
        <w:rPr>
          <w:highlight w:val="yellow"/>
        </w:rPr>
        <w:t>rocking</w:t>
      </w:r>
    </w:p>
    <w:p w14:paraId="73FC7821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44AC9226" w14:textId="16B3FF51" w:rsidR="002B27DA" w:rsidRPr="003F3B3B" w:rsidRDefault="00663A7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Start </w:t>
      </w:r>
      <w:r w:rsidR="002B27DA" w:rsidRPr="003F3B3B">
        <w:rPr>
          <w:highlight w:val="yellow"/>
        </w:rPr>
        <w:t xml:space="preserve">the </w:t>
      </w:r>
      <w:r w:rsidRPr="003F3B3B">
        <w:rPr>
          <w:highlight w:val="yellow"/>
        </w:rPr>
        <w:t xml:space="preserve">TEM operation. </w:t>
      </w:r>
      <w:r w:rsidR="002A1262" w:rsidRPr="003F3B3B">
        <w:rPr>
          <w:highlight w:val="yellow"/>
        </w:rPr>
        <w:t xml:space="preserve">After the routine TEM beam alignment procedure, go to STEM mode by </w:t>
      </w:r>
      <w:r w:rsidR="00B57FB8" w:rsidRPr="003F3B3B">
        <w:rPr>
          <w:highlight w:val="yellow"/>
        </w:rPr>
        <w:t>checking</w:t>
      </w:r>
      <w:r w:rsidR="002A1262" w:rsidRPr="003F3B3B">
        <w:rPr>
          <w:highlight w:val="yellow"/>
        </w:rPr>
        <w:t xml:space="preserve"> </w:t>
      </w:r>
      <w:r w:rsidR="000D1F0E" w:rsidRPr="003F3B3B">
        <w:rPr>
          <w:b/>
          <w:bCs/>
          <w:highlight w:val="yellow"/>
        </w:rPr>
        <w:t>Attachment Scanning Image Display (</w:t>
      </w:r>
      <w:r w:rsidR="000D2A7A" w:rsidRPr="003F3B3B">
        <w:rPr>
          <w:b/>
          <w:bCs/>
          <w:highlight w:val="yellow"/>
        </w:rPr>
        <w:t>ASID</w:t>
      </w:r>
      <w:r w:rsidR="000D1F0E" w:rsidRPr="003F3B3B">
        <w:rPr>
          <w:b/>
          <w:bCs/>
          <w:highlight w:val="yellow"/>
        </w:rPr>
        <w:t>)</w:t>
      </w:r>
      <w:r w:rsidR="002A1262" w:rsidRPr="003F3B3B">
        <w:rPr>
          <w:highlight w:val="yellow"/>
        </w:rPr>
        <w:t xml:space="preserve"> in </w:t>
      </w:r>
      <w:r w:rsidRPr="003F3B3B">
        <w:rPr>
          <w:rFonts w:eastAsia="MS Mincho"/>
          <w:highlight w:val="yellow"/>
        </w:rPr>
        <w:t>the ASID window</w:t>
      </w:r>
      <w:r w:rsidR="00A101FE" w:rsidRPr="003F3B3B">
        <w:rPr>
          <w:highlight w:val="yellow"/>
        </w:rPr>
        <w:t xml:space="preserve"> in </w:t>
      </w:r>
      <w:r w:rsidRPr="003F3B3B">
        <w:rPr>
          <w:rFonts w:eastAsia="MS Mincho"/>
          <w:highlight w:val="yellow"/>
        </w:rPr>
        <w:t>the TEM control monitor (</w:t>
      </w:r>
      <w:r w:rsidRPr="003F3B3B">
        <w:rPr>
          <w:rFonts w:eastAsia="MS Mincho"/>
          <w:b/>
          <w:bCs/>
          <w:highlight w:val="yellow"/>
        </w:rPr>
        <w:t>Figure</w:t>
      </w:r>
      <w:r w:rsidR="000E4ECA" w:rsidRPr="003F3B3B">
        <w:rPr>
          <w:rFonts w:eastAsia="MS Mincho"/>
          <w:b/>
          <w:bCs/>
          <w:highlight w:val="yellow"/>
        </w:rPr>
        <w:t xml:space="preserve"> </w:t>
      </w:r>
      <w:r w:rsidR="00D1110A" w:rsidRPr="003F3B3B">
        <w:rPr>
          <w:b/>
          <w:bCs/>
          <w:highlight w:val="yellow"/>
        </w:rPr>
        <w:t>1</w:t>
      </w:r>
      <w:r w:rsidR="00D43A4C" w:rsidRPr="003F3B3B">
        <w:rPr>
          <w:b/>
          <w:bCs/>
          <w:highlight w:val="yellow"/>
        </w:rPr>
        <w:t xml:space="preserve"> &amp; </w:t>
      </w:r>
      <w:r w:rsidR="000E4ECA" w:rsidRPr="003F3B3B">
        <w:rPr>
          <w:rFonts w:eastAsia="MS Mincho"/>
          <w:b/>
          <w:bCs/>
          <w:highlight w:val="yellow"/>
        </w:rPr>
        <w:t xml:space="preserve">Figure </w:t>
      </w:r>
      <w:r w:rsidR="00D43A4C" w:rsidRPr="003F3B3B">
        <w:rPr>
          <w:b/>
          <w:bCs/>
          <w:highlight w:val="yellow"/>
        </w:rPr>
        <w:t>2</w:t>
      </w:r>
      <w:r w:rsidR="00A101FE" w:rsidRPr="003F3B3B">
        <w:rPr>
          <w:highlight w:val="yellow"/>
        </w:rPr>
        <w:t>)</w:t>
      </w:r>
      <w:r w:rsidR="002A1262" w:rsidRPr="003F3B3B">
        <w:rPr>
          <w:highlight w:val="yellow"/>
        </w:rPr>
        <w:t xml:space="preserve">. </w:t>
      </w:r>
    </w:p>
    <w:p w14:paraId="6F4CE096" w14:textId="77777777" w:rsidR="002A4F79" w:rsidRPr="003F3B3B" w:rsidRDefault="002A4F79" w:rsidP="002B27DA">
      <w:pPr>
        <w:contextualSpacing/>
        <w:rPr>
          <w:highlight w:val="yellow"/>
        </w:rPr>
      </w:pPr>
    </w:p>
    <w:p w14:paraId="7350DF1D" w14:textId="2D3BB2BE" w:rsidR="00F81F83" w:rsidRPr="003F3B3B" w:rsidRDefault="000E4ECA" w:rsidP="002B27DA">
      <w:pPr>
        <w:pStyle w:val="ListParagraph"/>
        <w:numPr>
          <w:ilvl w:val="1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O</w:t>
      </w:r>
      <w:r w:rsidR="009567E3" w:rsidRPr="003F3B3B">
        <w:rPr>
          <w:highlight w:val="yellow"/>
        </w:rPr>
        <w:t xml:space="preserve">ptical axis alignment </w:t>
      </w:r>
    </w:p>
    <w:p w14:paraId="2AC78B30" w14:textId="77777777" w:rsidR="002B27DA" w:rsidRPr="003F3B3B" w:rsidRDefault="002B27DA" w:rsidP="002B27DA">
      <w:pPr>
        <w:contextualSpacing/>
        <w:rPr>
          <w:highlight w:val="yellow"/>
        </w:rPr>
      </w:pPr>
    </w:p>
    <w:p w14:paraId="008C48DC" w14:textId="3D0D3A3C" w:rsidR="001A7D7F" w:rsidRPr="003F3B3B" w:rsidRDefault="00B649D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rFonts w:eastAsia="MS Mincho"/>
          <w:highlight w:val="yellow"/>
        </w:rPr>
        <w:t>C</w:t>
      </w:r>
      <w:r w:rsidR="00663A76" w:rsidRPr="003F3B3B">
        <w:rPr>
          <w:highlight w:val="yellow"/>
        </w:rPr>
        <w:t>lick</w:t>
      </w:r>
      <w:r w:rsidR="00B57FB8" w:rsidRPr="003F3B3B">
        <w:rPr>
          <w:highlight w:val="yellow"/>
        </w:rPr>
        <w:t xml:space="preserve"> </w:t>
      </w:r>
      <w:r w:rsidR="000E4ECA" w:rsidRPr="003F3B3B">
        <w:rPr>
          <w:highlight w:val="yellow"/>
        </w:rPr>
        <w:t xml:space="preserve">the </w:t>
      </w:r>
      <w:r w:rsidRPr="003F3B3B">
        <w:rPr>
          <w:b/>
          <w:bCs/>
          <w:highlight w:val="yellow"/>
        </w:rPr>
        <w:t>R</w:t>
      </w:r>
      <w:r w:rsidR="00B57FB8" w:rsidRPr="003F3B3B">
        <w:rPr>
          <w:b/>
          <w:bCs/>
          <w:highlight w:val="yellow"/>
        </w:rPr>
        <w:t>ocking</w:t>
      </w:r>
      <w:r w:rsidR="00B57FB8" w:rsidRPr="003F3B3B">
        <w:rPr>
          <w:highlight w:val="yellow"/>
        </w:rPr>
        <w:t xml:space="preserve"> button in </w:t>
      </w:r>
      <w:r w:rsidR="00663A76" w:rsidRPr="003F3B3B">
        <w:rPr>
          <w:rFonts w:eastAsia="MS Mincho"/>
          <w:highlight w:val="yellow"/>
        </w:rPr>
        <w:t xml:space="preserve">the ASID window </w:t>
      </w:r>
      <w:r w:rsidR="008F4F3C" w:rsidRPr="003F3B3B">
        <w:rPr>
          <w:highlight w:val="yellow"/>
        </w:rPr>
        <w:t>of</w:t>
      </w:r>
      <w:r w:rsidRPr="003F3B3B">
        <w:rPr>
          <w:highlight w:val="yellow"/>
        </w:rPr>
        <w:t xml:space="preserve"> the</w:t>
      </w:r>
      <w:r w:rsidR="00A101FE" w:rsidRPr="003F3B3B">
        <w:rPr>
          <w:highlight w:val="yellow"/>
        </w:rPr>
        <w:t xml:space="preserve"> TCM</w:t>
      </w:r>
      <w:r w:rsidR="00056D54" w:rsidRPr="003F3B3B">
        <w:rPr>
          <w:highlight w:val="yellow"/>
        </w:rPr>
        <w:t xml:space="preserve"> </w:t>
      </w:r>
      <w:r w:rsidR="00B57FB8" w:rsidRPr="003F3B3B">
        <w:rPr>
          <w:highlight w:val="yellow"/>
        </w:rPr>
        <w:t xml:space="preserve">and </w:t>
      </w:r>
      <w:r w:rsidR="00DB2554" w:rsidRPr="003F3B3B">
        <w:rPr>
          <w:highlight w:val="yellow"/>
        </w:rPr>
        <w:t xml:space="preserve">then </w:t>
      </w:r>
      <w:r w:rsidR="00663A76" w:rsidRPr="003F3B3B">
        <w:rPr>
          <w:highlight w:val="yellow"/>
        </w:rPr>
        <w:t>click</w:t>
      </w:r>
      <w:r w:rsidR="00DB2554" w:rsidRPr="003F3B3B">
        <w:rPr>
          <w:highlight w:val="yellow"/>
        </w:rPr>
        <w:t xml:space="preserve"> </w:t>
      </w:r>
      <w:r w:rsidR="00663A76" w:rsidRPr="003F3B3B">
        <w:rPr>
          <w:rFonts w:eastAsia="MS Mincho"/>
          <w:highlight w:val="yellow"/>
        </w:rPr>
        <w:t xml:space="preserve">the </w:t>
      </w:r>
      <w:r w:rsidR="00B57FB8" w:rsidRPr="003F3B3B">
        <w:rPr>
          <w:b/>
          <w:bCs/>
          <w:highlight w:val="yellow"/>
        </w:rPr>
        <w:t>Spot</w:t>
      </w:r>
      <w:r w:rsidR="00B57FB8" w:rsidRPr="003F3B3B">
        <w:rPr>
          <w:highlight w:val="yellow"/>
        </w:rPr>
        <w:t xml:space="preserve"> button</w:t>
      </w:r>
      <w:r w:rsidR="00DB2554" w:rsidRPr="003F3B3B">
        <w:rPr>
          <w:highlight w:val="yellow"/>
        </w:rPr>
        <w:t xml:space="preserve"> in </w:t>
      </w:r>
      <w:r w:rsidR="003F3B3B">
        <w:rPr>
          <w:highlight w:val="yellow"/>
        </w:rPr>
        <w:t xml:space="preserve">the </w:t>
      </w:r>
      <w:r w:rsidR="001A61C5" w:rsidRPr="003F3B3B">
        <w:rPr>
          <w:rFonts w:eastAsia="MS Mincho"/>
          <w:highlight w:val="yellow"/>
        </w:rPr>
        <w:t>S</w:t>
      </w:r>
      <w:r w:rsidR="00DB2554" w:rsidRPr="003F3B3B">
        <w:rPr>
          <w:highlight w:val="yellow"/>
        </w:rPr>
        <w:t xml:space="preserve">imple </w:t>
      </w:r>
      <w:r w:rsidR="001A61C5" w:rsidRPr="003F3B3B">
        <w:rPr>
          <w:highlight w:val="yellow"/>
        </w:rPr>
        <w:t>I</w:t>
      </w:r>
      <w:r w:rsidR="00DB2554" w:rsidRPr="003F3B3B">
        <w:rPr>
          <w:highlight w:val="yellow"/>
        </w:rPr>
        <w:t xml:space="preserve">mage </w:t>
      </w:r>
      <w:r w:rsidR="001A61C5" w:rsidRPr="003F3B3B">
        <w:rPr>
          <w:highlight w:val="yellow"/>
        </w:rPr>
        <w:t>V</w:t>
      </w:r>
      <w:r w:rsidR="00DB2554" w:rsidRPr="003F3B3B">
        <w:rPr>
          <w:highlight w:val="yellow"/>
        </w:rPr>
        <w:t xml:space="preserve">iewer </w:t>
      </w:r>
      <w:r w:rsidR="00B037AA" w:rsidRPr="003F3B3B">
        <w:rPr>
          <w:highlight w:val="yellow"/>
        </w:rPr>
        <w:t>(SIV)</w:t>
      </w:r>
      <w:r w:rsidR="00B57FB8" w:rsidRPr="003F3B3B">
        <w:rPr>
          <w:highlight w:val="yellow"/>
        </w:rPr>
        <w:t xml:space="preserve"> to s</w:t>
      </w:r>
      <w:r w:rsidR="009567E3" w:rsidRPr="003F3B3B">
        <w:rPr>
          <w:highlight w:val="yellow"/>
        </w:rPr>
        <w:t xml:space="preserve">top </w:t>
      </w:r>
      <w:r w:rsidR="00B57FB8" w:rsidRPr="003F3B3B">
        <w:rPr>
          <w:highlight w:val="yellow"/>
        </w:rPr>
        <w:t>beam</w:t>
      </w:r>
      <w:r w:rsidR="001A61C5" w:rsidRPr="003F3B3B">
        <w:rPr>
          <w:highlight w:val="yellow"/>
        </w:rPr>
        <w:t>-</w:t>
      </w:r>
      <w:r w:rsidR="009567E3" w:rsidRPr="003F3B3B">
        <w:rPr>
          <w:highlight w:val="yellow"/>
        </w:rPr>
        <w:t>rocking</w:t>
      </w:r>
      <w:r w:rsidR="00D43A4C" w:rsidRPr="003F3B3B">
        <w:rPr>
          <w:highlight w:val="yellow"/>
        </w:rPr>
        <w:t xml:space="preserve"> (</w:t>
      </w:r>
      <w:r w:rsidR="00D43A4C" w:rsidRPr="003F3B3B">
        <w:rPr>
          <w:b/>
          <w:bCs/>
          <w:highlight w:val="yellow"/>
        </w:rPr>
        <w:t>Figure 2</w:t>
      </w:r>
      <w:r w:rsidR="00D43A4C" w:rsidRPr="003F3B3B">
        <w:rPr>
          <w:highlight w:val="yellow"/>
        </w:rPr>
        <w:t>)</w:t>
      </w:r>
      <w:r w:rsidR="009567E3" w:rsidRPr="003F3B3B">
        <w:rPr>
          <w:highlight w:val="yellow"/>
        </w:rPr>
        <w:t xml:space="preserve">. </w:t>
      </w:r>
      <w:r w:rsidR="00663A76" w:rsidRPr="003F3B3B">
        <w:rPr>
          <w:highlight w:val="yellow"/>
        </w:rPr>
        <w:t>R</w:t>
      </w:r>
      <w:r w:rsidR="009567E3" w:rsidRPr="003F3B3B">
        <w:rPr>
          <w:highlight w:val="yellow"/>
        </w:rPr>
        <w:t>emove</w:t>
      </w:r>
      <w:r w:rsidR="00663A76" w:rsidRPr="003F3B3B">
        <w:rPr>
          <w:highlight w:val="yellow"/>
        </w:rPr>
        <w:t xml:space="preserve"> the sample</w:t>
      </w:r>
      <w:r w:rsidR="009567E3" w:rsidRPr="003F3B3B">
        <w:rPr>
          <w:highlight w:val="yellow"/>
        </w:rPr>
        <w:t xml:space="preserve"> from the field of view</w:t>
      </w:r>
      <w:r w:rsidR="00663A76" w:rsidRPr="003F3B3B">
        <w:rPr>
          <w:highlight w:val="yellow"/>
        </w:rPr>
        <w:t>.</w:t>
      </w:r>
      <w:r w:rsidR="009567E3" w:rsidRPr="003F3B3B">
        <w:rPr>
          <w:highlight w:val="yellow"/>
        </w:rPr>
        <w:t xml:space="preserve"> </w:t>
      </w:r>
      <w:r w:rsidR="00663A76" w:rsidRPr="003F3B3B">
        <w:rPr>
          <w:highlight w:val="yellow"/>
        </w:rPr>
        <w:t>Set t</w:t>
      </w:r>
      <w:r w:rsidR="009567E3" w:rsidRPr="003F3B3B">
        <w:rPr>
          <w:highlight w:val="yellow"/>
        </w:rPr>
        <w:t xml:space="preserve">he beam-rocking range smaller than </w:t>
      </w:r>
      <w:r w:rsidR="002B27DA" w:rsidRPr="003F3B3B">
        <w:rPr>
          <w:highlight w:val="yellow"/>
        </w:rPr>
        <w:t>±</w:t>
      </w:r>
      <w:r w:rsidR="009567E3" w:rsidRPr="003F3B3B">
        <w:rPr>
          <w:highlight w:val="yellow"/>
        </w:rPr>
        <w:t xml:space="preserve">2° </w:t>
      </w:r>
      <w:r w:rsidR="00DB2554" w:rsidRPr="003F3B3B">
        <w:rPr>
          <w:highlight w:val="yellow"/>
        </w:rPr>
        <w:t xml:space="preserve">by clicking </w:t>
      </w:r>
      <w:r w:rsidR="00663A76" w:rsidRPr="003F3B3B">
        <w:rPr>
          <w:rFonts w:eastAsia="MS Mincho"/>
          <w:highlight w:val="yellow"/>
        </w:rPr>
        <w:t xml:space="preserve">the </w:t>
      </w:r>
      <w:r w:rsidR="00663A76" w:rsidRPr="003F3B3B">
        <w:rPr>
          <w:rFonts w:eastAsia="MS Mincho"/>
          <w:b/>
          <w:bCs/>
          <w:highlight w:val="yellow"/>
        </w:rPr>
        <w:t>Mag</w:t>
      </w:r>
      <w:r w:rsidR="00663A76" w:rsidRPr="003F3B3B">
        <w:rPr>
          <w:rFonts w:eastAsia="MS Mincho"/>
          <w:highlight w:val="yellow"/>
        </w:rPr>
        <w:t xml:space="preserve"> </w:t>
      </w:r>
      <w:r w:rsidR="00663A76" w:rsidRPr="003F3B3B">
        <w:rPr>
          <w:rFonts w:eastAsia="MS Mincho"/>
          <w:b/>
          <w:bCs/>
          <w:highlight w:val="yellow"/>
        </w:rPr>
        <w:t>increment/decrement</w:t>
      </w:r>
      <w:r w:rsidR="00663A76" w:rsidRPr="003F3B3B">
        <w:rPr>
          <w:rFonts w:eastAsia="MS Mincho"/>
          <w:highlight w:val="yellow"/>
        </w:rPr>
        <w:t xml:space="preserve"> buttons</w:t>
      </w:r>
      <w:r w:rsidR="009567E3" w:rsidRPr="003F3B3B">
        <w:rPr>
          <w:highlight w:val="yellow"/>
        </w:rPr>
        <w:t xml:space="preserve">. </w:t>
      </w:r>
    </w:p>
    <w:p w14:paraId="6AED9667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20D3D400" w14:textId="553D6945" w:rsidR="00342BD5" w:rsidRPr="003F3B3B" w:rsidRDefault="00AE4865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T</w:t>
      </w:r>
      <w:r w:rsidR="00663A76" w:rsidRPr="003F3B3B">
        <w:rPr>
          <w:highlight w:val="yellow"/>
        </w:rPr>
        <w:t xml:space="preserve">urn </w:t>
      </w:r>
      <w:r w:rsidR="000E4ECA" w:rsidRPr="003F3B3B">
        <w:rPr>
          <w:highlight w:val="yellow"/>
        </w:rPr>
        <w:t xml:space="preserve">the </w:t>
      </w:r>
      <w:r w:rsidR="00B649D6" w:rsidRPr="003F3B3B">
        <w:rPr>
          <w:b/>
          <w:bCs/>
          <w:highlight w:val="yellow"/>
        </w:rPr>
        <w:t>B</w:t>
      </w:r>
      <w:r w:rsidRPr="003F3B3B">
        <w:rPr>
          <w:b/>
          <w:bCs/>
          <w:highlight w:val="yellow"/>
        </w:rPr>
        <w:t>rightness</w:t>
      </w:r>
      <w:r w:rsidR="00663A76" w:rsidRPr="003F3B3B">
        <w:rPr>
          <w:highlight w:val="yellow"/>
        </w:rPr>
        <w:t xml:space="preserve"> </w:t>
      </w:r>
      <w:r w:rsidR="0041650F" w:rsidRPr="003F3B3B">
        <w:rPr>
          <w:highlight w:val="yellow"/>
        </w:rPr>
        <w:t>k</w:t>
      </w:r>
      <w:r w:rsidR="00663A76" w:rsidRPr="003F3B3B">
        <w:rPr>
          <w:highlight w:val="yellow"/>
        </w:rPr>
        <w:t xml:space="preserve">nob </w:t>
      </w:r>
      <w:r w:rsidR="008F4F3C" w:rsidRPr="003F3B3B">
        <w:rPr>
          <w:highlight w:val="yellow"/>
        </w:rPr>
        <w:t>o</w:t>
      </w:r>
      <w:r w:rsidR="00B649D6" w:rsidRPr="003F3B3B">
        <w:rPr>
          <w:highlight w:val="yellow"/>
        </w:rPr>
        <w:t>n</w:t>
      </w:r>
      <w:r w:rsidR="008F4F3C" w:rsidRPr="003F3B3B">
        <w:rPr>
          <w:highlight w:val="yellow"/>
        </w:rPr>
        <w:t xml:space="preserve"> left operation panel (LOP</w:t>
      </w:r>
      <w:r w:rsidR="00A101FE" w:rsidRPr="003F3B3B">
        <w:rPr>
          <w:highlight w:val="yellow"/>
        </w:rPr>
        <w:t xml:space="preserve">: </w:t>
      </w:r>
      <w:r w:rsidR="00A101FE" w:rsidRPr="003F3B3B">
        <w:rPr>
          <w:b/>
          <w:bCs/>
          <w:highlight w:val="yellow"/>
        </w:rPr>
        <w:t xml:space="preserve">Figure </w:t>
      </w:r>
      <w:r w:rsidR="00D43A4C" w:rsidRPr="003F3B3B">
        <w:rPr>
          <w:b/>
          <w:bCs/>
          <w:highlight w:val="yellow"/>
        </w:rPr>
        <w:t>3</w:t>
      </w:r>
      <w:r w:rsidR="008F4F3C" w:rsidRPr="003F3B3B">
        <w:rPr>
          <w:highlight w:val="yellow"/>
        </w:rPr>
        <w:t xml:space="preserve">) </w:t>
      </w:r>
      <w:r w:rsidR="00663A76" w:rsidRPr="003F3B3B">
        <w:rPr>
          <w:highlight w:val="yellow"/>
        </w:rPr>
        <w:t>clockwise</w:t>
      </w:r>
      <w:r w:rsidRPr="003F3B3B">
        <w:rPr>
          <w:highlight w:val="yellow"/>
        </w:rPr>
        <w:t xml:space="preserve"> to the limit</w:t>
      </w:r>
      <w:r w:rsidR="009567E3" w:rsidRPr="003F3B3B">
        <w:rPr>
          <w:highlight w:val="yellow"/>
        </w:rPr>
        <w:t xml:space="preserve">, </w:t>
      </w:r>
      <w:r w:rsidR="009567E3" w:rsidRPr="003F3B3B">
        <w:rPr>
          <w:highlight w:val="yellow"/>
        </w:rPr>
        <w:lastRenderedPageBreak/>
        <w:t xml:space="preserve">followed by </w:t>
      </w:r>
      <w:r w:rsidR="00663A76" w:rsidRPr="003F3B3B">
        <w:rPr>
          <w:highlight w:val="yellow"/>
        </w:rPr>
        <w:t xml:space="preserve">turning </w:t>
      </w:r>
      <w:r w:rsidR="00663A76" w:rsidRPr="003F3B3B">
        <w:rPr>
          <w:rFonts w:eastAsia="MS Mincho"/>
          <w:highlight w:val="yellow"/>
        </w:rPr>
        <w:t xml:space="preserve">the </w:t>
      </w:r>
      <w:r w:rsidR="008F4F3C" w:rsidRPr="003F3B3B">
        <w:rPr>
          <w:b/>
          <w:bCs/>
          <w:highlight w:val="yellow"/>
        </w:rPr>
        <w:t>O</w:t>
      </w:r>
      <w:r w:rsidR="00A101FE" w:rsidRPr="003F3B3B">
        <w:rPr>
          <w:b/>
          <w:bCs/>
          <w:highlight w:val="yellow"/>
        </w:rPr>
        <w:t>BJ</w:t>
      </w:r>
      <w:r w:rsidR="008F4F3C" w:rsidRPr="003F3B3B">
        <w:rPr>
          <w:b/>
          <w:bCs/>
          <w:highlight w:val="yellow"/>
        </w:rPr>
        <w:t xml:space="preserve"> </w:t>
      </w:r>
      <w:r w:rsidRPr="003F3B3B">
        <w:rPr>
          <w:b/>
          <w:bCs/>
          <w:highlight w:val="yellow"/>
        </w:rPr>
        <w:t>F</w:t>
      </w:r>
      <w:r w:rsidR="00D53BCF" w:rsidRPr="003F3B3B">
        <w:rPr>
          <w:b/>
          <w:bCs/>
          <w:highlight w:val="yellow"/>
        </w:rPr>
        <w:t>OCUS</w:t>
      </w:r>
      <w:r w:rsidR="00663A76" w:rsidRPr="003F3B3B">
        <w:rPr>
          <w:b/>
          <w:bCs/>
          <w:highlight w:val="yellow"/>
        </w:rPr>
        <w:t xml:space="preserve"> </w:t>
      </w:r>
      <w:r w:rsidRPr="003F3B3B">
        <w:rPr>
          <w:b/>
          <w:bCs/>
          <w:highlight w:val="yellow"/>
        </w:rPr>
        <w:t>C</w:t>
      </w:r>
      <w:r w:rsidR="00D53BCF" w:rsidRPr="003F3B3B">
        <w:rPr>
          <w:b/>
          <w:bCs/>
          <w:highlight w:val="yellow"/>
        </w:rPr>
        <w:t>OARSE</w:t>
      </w:r>
      <w:r w:rsidR="00663A76" w:rsidRPr="003F3B3B">
        <w:rPr>
          <w:highlight w:val="yellow"/>
        </w:rPr>
        <w:t xml:space="preserve"> </w:t>
      </w:r>
      <w:r w:rsidR="006D6524" w:rsidRPr="003F3B3B">
        <w:rPr>
          <w:highlight w:val="yellow"/>
        </w:rPr>
        <w:t>k</w:t>
      </w:r>
      <w:r w:rsidR="00663A76" w:rsidRPr="003F3B3B">
        <w:rPr>
          <w:highlight w:val="yellow"/>
        </w:rPr>
        <w:t xml:space="preserve">nob </w:t>
      </w:r>
      <w:r w:rsidR="008F4F3C" w:rsidRPr="003F3B3B">
        <w:rPr>
          <w:highlight w:val="yellow"/>
        </w:rPr>
        <w:t>of Right Operation Panel (ROP</w:t>
      </w:r>
      <w:r w:rsidR="004374F8" w:rsidRPr="003F3B3B">
        <w:rPr>
          <w:highlight w:val="yellow"/>
        </w:rPr>
        <w:t xml:space="preserve">: </w:t>
      </w:r>
      <w:r w:rsidR="004374F8" w:rsidRPr="003F3B3B">
        <w:rPr>
          <w:b/>
          <w:bCs/>
          <w:highlight w:val="yellow"/>
        </w:rPr>
        <w:t xml:space="preserve">Figure </w:t>
      </w:r>
      <w:r w:rsidR="00D43A4C" w:rsidRPr="003F3B3B">
        <w:rPr>
          <w:b/>
          <w:bCs/>
          <w:highlight w:val="yellow"/>
        </w:rPr>
        <w:t>3</w:t>
      </w:r>
      <w:r w:rsidR="008F4F3C" w:rsidRPr="003F3B3B">
        <w:rPr>
          <w:highlight w:val="yellow"/>
        </w:rPr>
        <w:t xml:space="preserve">) </w:t>
      </w:r>
      <w:r w:rsidR="00663A76" w:rsidRPr="003F3B3B">
        <w:rPr>
          <w:highlight w:val="yellow"/>
        </w:rPr>
        <w:t>counterclockwise to an</w:t>
      </w:r>
      <w:r w:rsidR="009567E3" w:rsidRPr="003F3B3B">
        <w:rPr>
          <w:highlight w:val="yellow"/>
        </w:rPr>
        <w:t xml:space="preserve"> underfocus</w:t>
      </w:r>
      <w:r w:rsidR="00663A76" w:rsidRPr="003F3B3B">
        <w:rPr>
          <w:highlight w:val="yellow"/>
        </w:rPr>
        <w:t>ed</w:t>
      </w:r>
      <w:r w:rsidR="009567E3" w:rsidRPr="003F3B3B">
        <w:rPr>
          <w:highlight w:val="yellow"/>
        </w:rPr>
        <w:t xml:space="preserve"> condition</w:t>
      </w:r>
      <w:r w:rsidR="00663A76" w:rsidRPr="003F3B3B">
        <w:rPr>
          <w:highlight w:val="yellow"/>
        </w:rPr>
        <w:t>:</w:t>
      </w:r>
      <w:r w:rsidR="009567E3" w:rsidRPr="003F3B3B">
        <w:rPr>
          <w:highlight w:val="yellow"/>
        </w:rPr>
        <w:t xml:space="preserve"> a caustic spot </w:t>
      </w:r>
      <w:r w:rsidR="00AD3CD1" w:rsidRPr="003F3B3B">
        <w:rPr>
          <w:highlight w:val="yellow"/>
        </w:rPr>
        <w:t>(</w:t>
      </w:r>
      <w:r w:rsidR="00AD3CD1" w:rsidRPr="003F3B3B">
        <w:rPr>
          <w:b/>
          <w:bCs/>
          <w:highlight w:val="yellow"/>
        </w:rPr>
        <w:t>Figure 4</w:t>
      </w:r>
      <w:r w:rsidR="00AD3CD1" w:rsidRPr="003F3B3B">
        <w:rPr>
          <w:highlight w:val="yellow"/>
        </w:rPr>
        <w:t xml:space="preserve">) </w:t>
      </w:r>
      <w:r w:rsidR="009567E3" w:rsidRPr="003F3B3B">
        <w:rPr>
          <w:highlight w:val="yellow"/>
        </w:rPr>
        <w:t>appear</w:t>
      </w:r>
      <w:r w:rsidR="00663A76" w:rsidRPr="003F3B3B">
        <w:rPr>
          <w:highlight w:val="yellow"/>
        </w:rPr>
        <w:t>s</w:t>
      </w:r>
      <w:r w:rsidR="009567E3" w:rsidRPr="003F3B3B">
        <w:rPr>
          <w:highlight w:val="yellow"/>
        </w:rPr>
        <w:t xml:space="preserve"> on the fluorescent viewing screen. </w:t>
      </w:r>
    </w:p>
    <w:p w14:paraId="353551D4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7978C0B1" w14:textId="2ADA8DEC" w:rsidR="008F4F3C" w:rsidRPr="003F3B3B" w:rsidRDefault="006D6524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Press </w:t>
      </w:r>
      <w:r w:rsidR="000E4ECA" w:rsidRPr="003F3B3B">
        <w:rPr>
          <w:highlight w:val="yellow"/>
        </w:rPr>
        <w:t xml:space="preserve">the </w:t>
      </w:r>
      <w:r w:rsidRPr="003F3B3B">
        <w:rPr>
          <w:b/>
          <w:bCs/>
          <w:highlight w:val="yellow"/>
        </w:rPr>
        <w:t>B</w:t>
      </w:r>
      <w:r w:rsidR="00D53BCF" w:rsidRPr="003F3B3B">
        <w:rPr>
          <w:b/>
          <w:bCs/>
          <w:highlight w:val="yellow"/>
        </w:rPr>
        <w:t>RIGHT TILT</w:t>
      </w:r>
      <w:r w:rsidRPr="003F3B3B">
        <w:rPr>
          <w:highlight w:val="yellow"/>
        </w:rPr>
        <w:t xml:space="preserve"> function key </w:t>
      </w:r>
      <w:r w:rsidR="00663A76" w:rsidRPr="003F3B3B">
        <w:rPr>
          <w:highlight w:val="yellow"/>
        </w:rPr>
        <w:t xml:space="preserve">(LOP) </w:t>
      </w:r>
      <w:r w:rsidRPr="003F3B3B">
        <w:rPr>
          <w:highlight w:val="yellow"/>
        </w:rPr>
        <w:t>and m</w:t>
      </w:r>
      <w:r w:rsidR="009567E3" w:rsidRPr="003F3B3B">
        <w:rPr>
          <w:highlight w:val="yellow"/>
        </w:rPr>
        <w:t xml:space="preserve">ove the caustic spot to the center of </w:t>
      </w:r>
      <w:r w:rsidR="00663A76" w:rsidRPr="003F3B3B">
        <w:rPr>
          <w:rFonts w:eastAsia="MS Mincho"/>
          <w:highlight w:val="yellow"/>
        </w:rPr>
        <w:t xml:space="preserve">the fluorescent screen </w:t>
      </w:r>
      <w:r w:rsidR="00777F75" w:rsidRPr="003F3B3B">
        <w:rPr>
          <w:highlight w:val="yellow"/>
        </w:rPr>
        <w:t xml:space="preserve">using </w:t>
      </w:r>
      <w:r w:rsidRPr="003F3B3B">
        <w:rPr>
          <w:highlight w:val="yellow"/>
        </w:rPr>
        <w:t xml:space="preserve">a pair of </w:t>
      </w:r>
      <w:r w:rsidR="00663A76" w:rsidRPr="003F3B3B">
        <w:rPr>
          <w:b/>
          <w:bCs/>
          <w:highlight w:val="yellow"/>
        </w:rPr>
        <w:t>DEF</w:t>
      </w:r>
      <w:r w:rsidR="0041590A" w:rsidRPr="003F3B3B">
        <w:rPr>
          <w:b/>
          <w:bCs/>
          <w:highlight w:val="yellow"/>
        </w:rPr>
        <w:t>/STIG</w:t>
      </w:r>
      <w:r w:rsidR="00663A76" w:rsidRPr="003F3B3B">
        <w:rPr>
          <w:b/>
          <w:bCs/>
          <w:highlight w:val="yellow"/>
        </w:rPr>
        <w:t xml:space="preserve"> X/Y</w:t>
      </w:r>
      <w:r w:rsidRPr="003F3B3B">
        <w:rPr>
          <w:highlight w:val="yellow"/>
        </w:rPr>
        <w:t xml:space="preserve"> knobs</w:t>
      </w:r>
      <w:r w:rsidR="00663A76" w:rsidRPr="003F3B3B">
        <w:rPr>
          <w:highlight w:val="yellow"/>
        </w:rPr>
        <w:t xml:space="preserve"> (L/ROP)</w:t>
      </w:r>
      <w:r w:rsidR="009567E3" w:rsidRPr="003F3B3B">
        <w:rPr>
          <w:highlight w:val="yellow"/>
        </w:rPr>
        <w:t xml:space="preserve">. </w:t>
      </w:r>
    </w:p>
    <w:p w14:paraId="260CA0CD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28853097" w14:textId="5223F0AE" w:rsidR="00C15FE5" w:rsidRPr="003F3B3B" w:rsidRDefault="006D6524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Press </w:t>
      </w:r>
      <w:r w:rsidR="000E4ECA" w:rsidRPr="003F3B3B">
        <w:rPr>
          <w:highlight w:val="yellow"/>
        </w:rPr>
        <w:t xml:space="preserve">the </w:t>
      </w:r>
      <w:r w:rsidR="00AE4865" w:rsidRPr="003F3B3B">
        <w:rPr>
          <w:b/>
          <w:bCs/>
          <w:highlight w:val="yellow"/>
        </w:rPr>
        <w:t>S</w:t>
      </w:r>
      <w:r w:rsidR="009567E3" w:rsidRPr="003F3B3B">
        <w:rPr>
          <w:b/>
          <w:bCs/>
          <w:highlight w:val="yellow"/>
        </w:rPr>
        <w:t xml:space="preserve">tandard </w:t>
      </w:r>
      <w:r w:rsidR="00AE4865" w:rsidRPr="003F3B3B">
        <w:rPr>
          <w:b/>
          <w:bCs/>
          <w:highlight w:val="yellow"/>
        </w:rPr>
        <w:t>F</w:t>
      </w:r>
      <w:r w:rsidR="009567E3" w:rsidRPr="003F3B3B">
        <w:rPr>
          <w:b/>
          <w:bCs/>
          <w:highlight w:val="yellow"/>
        </w:rPr>
        <w:t>ocus</w:t>
      </w:r>
      <w:r w:rsidR="009567E3" w:rsidRPr="003F3B3B">
        <w:rPr>
          <w:highlight w:val="yellow"/>
        </w:rPr>
        <w:t xml:space="preserve"> </w:t>
      </w:r>
      <w:r w:rsidRPr="003F3B3B">
        <w:rPr>
          <w:highlight w:val="yellow"/>
        </w:rPr>
        <w:t>button</w:t>
      </w:r>
      <w:r w:rsidR="00663A76" w:rsidRPr="003F3B3B">
        <w:rPr>
          <w:highlight w:val="yellow"/>
        </w:rPr>
        <w:t xml:space="preserve"> (ROP)</w:t>
      </w:r>
      <w:r w:rsidR="009567E3" w:rsidRPr="003F3B3B">
        <w:rPr>
          <w:highlight w:val="yellow"/>
        </w:rPr>
        <w:t xml:space="preserve">, and </w:t>
      </w:r>
      <w:r w:rsidRPr="003F3B3B">
        <w:rPr>
          <w:highlight w:val="yellow"/>
        </w:rPr>
        <w:t xml:space="preserve">then turn </w:t>
      </w:r>
      <w:r w:rsidR="000E4ECA" w:rsidRPr="003F3B3B">
        <w:rPr>
          <w:highlight w:val="yellow"/>
        </w:rPr>
        <w:t xml:space="preserve">the </w:t>
      </w:r>
      <w:r w:rsidR="00AE4865" w:rsidRPr="003F3B3B">
        <w:rPr>
          <w:b/>
          <w:bCs/>
          <w:highlight w:val="yellow"/>
        </w:rPr>
        <w:t>B</w:t>
      </w:r>
      <w:r w:rsidR="00F26A16" w:rsidRPr="003F3B3B">
        <w:rPr>
          <w:b/>
          <w:bCs/>
          <w:highlight w:val="yellow"/>
        </w:rPr>
        <w:t>RIGHTNESS</w:t>
      </w:r>
      <w:r w:rsidRPr="003F3B3B">
        <w:rPr>
          <w:highlight w:val="yellow"/>
        </w:rPr>
        <w:t xml:space="preserve"> kno</w:t>
      </w:r>
      <w:r w:rsidR="00AE4865" w:rsidRPr="003F3B3B">
        <w:rPr>
          <w:highlight w:val="yellow"/>
        </w:rPr>
        <w:t>b</w:t>
      </w:r>
      <w:r w:rsidRPr="003F3B3B">
        <w:rPr>
          <w:highlight w:val="yellow"/>
        </w:rPr>
        <w:t xml:space="preserve"> back counterclockwise so </w:t>
      </w:r>
      <w:r w:rsidR="006F1EB7" w:rsidRPr="003F3B3B">
        <w:rPr>
          <w:highlight w:val="yellow"/>
        </w:rPr>
        <w:t xml:space="preserve">that </w:t>
      </w:r>
      <w:r w:rsidR="00663A76" w:rsidRPr="003F3B3B">
        <w:rPr>
          <w:highlight w:val="yellow"/>
        </w:rPr>
        <w:t>an alternative</w:t>
      </w:r>
      <w:r w:rsidR="006F1EB7" w:rsidRPr="003F3B3B">
        <w:rPr>
          <w:highlight w:val="yellow"/>
        </w:rPr>
        <w:t xml:space="preserve"> caustic spot appears</w:t>
      </w:r>
      <w:r w:rsidR="009567E3" w:rsidRPr="003F3B3B">
        <w:rPr>
          <w:highlight w:val="yellow"/>
        </w:rPr>
        <w:t xml:space="preserve"> on the fluorescent screen. </w:t>
      </w:r>
    </w:p>
    <w:p w14:paraId="3C5C19AD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18A5CA7A" w14:textId="24BE012A" w:rsidR="001D141C" w:rsidRPr="003F3B3B" w:rsidRDefault="008F4F3C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Press </w:t>
      </w:r>
      <w:r w:rsidR="000E4ECA" w:rsidRPr="003F3B3B">
        <w:rPr>
          <w:highlight w:val="yellow"/>
        </w:rPr>
        <w:t xml:space="preserve">the </w:t>
      </w:r>
      <w:r w:rsidRPr="003F3B3B">
        <w:rPr>
          <w:b/>
          <w:bCs/>
          <w:highlight w:val="yellow"/>
        </w:rPr>
        <w:t>F3</w:t>
      </w:r>
      <w:r w:rsidRPr="003F3B3B">
        <w:rPr>
          <w:highlight w:val="yellow"/>
        </w:rPr>
        <w:t xml:space="preserve"> </w:t>
      </w:r>
      <w:r w:rsidR="00F26A16" w:rsidRPr="003F3B3B">
        <w:rPr>
          <w:highlight w:val="yellow"/>
        </w:rPr>
        <w:t xml:space="preserve">function </w:t>
      </w:r>
      <w:r w:rsidRPr="003F3B3B">
        <w:rPr>
          <w:highlight w:val="yellow"/>
        </w:rPr>
        <w:t xml:space="preserve">key (ROP) </w:t>
      </w:r>
      <w:r w:rsidR="00F26A16" w:rsidRPr="003F3B3B">
        <w:rPr>
          <w:highlight w:val="yellow"/>
        </w:rPr>
        <w:t xml:space="preserve">(or click </w:t>
      </w:r>
      <w:r w:rsidR="000E4ECA" w:rsidRPr="003F3B3B">
        <w:rPr>
          <w:highlight w:val="yellow"/>
        </w:rPr>
        <w:t xml:space="preserve">the </w:t>
      </w:r>
      <w:r w:rsidR="00F26A16" w:rsidRPr="003F3B3B">
        <w:rPr>
          <w:b/>
          <w:bCs/>
          <w:highlight w:val="yellow"/>
        </w:rPr>
        <w:t>Spot</w:t>
      </w:r>
      <w:r w:rsidR="00F26A16" w:rsidRPr="003F3B3B">
        <w:rPr>
          <w:highlight w:val="yellow"/>
        </w:rPr>
        <w:t xml:space="preserve"> button in ‘Alignment Panel for Maintenance’ window on TCM) </w:t>
      </w:r>
      <w:r w:rsidRPr="003F3B3B">
        <w:rPr>
          <w:highlight w:val="yellow"/>
        </w:rPr>
        <w:t>and m</w:t>
      </w:r>
      <w:r w:rsidR="00663A76" w:rsidRPr="003F3B3B">
        <w:rPr>
          <w:highlight w:val="yellow"/>
        </w:rPr>
        <w:t>ove the beam spot</w:t>
      </w:r>
      <w:r w:rsidR="009567E3" w:rsidRPr="003F3B3B">
        <w:rPr>
          <w:highlight w:val="yellow"/>
        </w:rPr>
        <w:t xml:space="preserve"> to the center </w:t>
      </w:r>
      <w:r w:rsidR="00663A76" w:rsidRPr="003F3B3B">
        <w:rPr>
          <w:highlight w:val="yellow"/>
        </w:rPr>
        <w:t xml:space="preserve">using a pair of </w:t>
      </w:r>
      <w:r w:rsidRPr="003F3B3B">
        <w:rPr>
          <w:b/>
          <w:bCs/>
          <w:highlight w:val="yellow"/>
        </w:rPr>
        <w:t>DEF</w:t>
      </w:r>
      <w:r w:rsidR="0041590A" w:rsidRPr="003F3B3B">
        <w:rPr>
          <w:b/>
          <w:bCs/>
          <w:highlight w:val="yellow"/>
        </w:rPr>
        <w:t>/STIG</w:t>
      </w:r>
      <w:r w:rsidRPr="003F3B3B">
        <w:rPr>
          <w:highlight w:val="yellow"/>
        </w:rPr>
        <w:t xml:space="preserve"> X/Y</w:t>
      </w:r>
      <w:r w:rsidR="00663A76" w:rsidRPr="003F3B3B">
        <w:rPr>
          <w:highlight w:val="yellow"/>
        </w:rPr>
        <w:t xml:space="preserve"> knobs</w:t>
      </w:r>
      <w:r w:rsidR="009567E3" w:rsidRPr="003F3B3B">
        <w:rPr>
          <w:highlight w:val="yellow"/>
        </w:rPr>
        <w:t xml:space="preserve">. </w:t>
      </w:r>
    </w:p>
    <w:p w14:paraId="09EEB3AB" w14:textId="695FDE3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2B5577F3" w14:textId="1B179C44" w:rsidR="001D141C" w:rsidRPr="003F3B3B" w:rsidRDefault="00663A7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Repeat </w:t>
      </w:r>
      <w:r w:rsidR="000E4ECA" w:rsidRPr="003F3B3B">
        <w:rPr>
          <w:highlight w:val="yellow"/>
        </w:rPr>
        <w:t>steps</w:t>
      </w:r>
      <w:r w:rsidRPr="003F3B3B">
        <w:rPr>
          <w:highlight w:val="yellow"/>
        </w:rPr>
        <w:t xml:space="preserve"> 2.</w:t>
      </w:r>
      <w:r w:rsidR="002B27DA" w:rsidRPr="003F3B3B">
        <w:rPr>
          <w:highlight w:val="yellow"/>
        </w:rPr>
        <w:t>2.2</w:t>
      </w:r>
      <w:r w:rsidRPr="003F3B3B">
        <w:rPr>
          <w:highlight w:val="yellow"/>
        </w:rPr>
        <w:t>-2.</w:t>
      </w:r>
      <w:r w:rsidR="002B27DA" w:rsidRPr="003F3B3B">
        <w:rPr>
          <w:highlight w:val="yellow"/>
        </w:rPr>
        <w:t>2.5</w:t>
      </w:r>
      <w:r w:rsidRPr="003F3B3B">
        <w:rPr>
          <w:highlight w:val="yellow"/>
        </w:rPr>
        <w:t xml:space="preserve"> until</w:t>
      </w:r>
      <w:r w:rsidR="009567E3" w:rsidRPr="003F3B3B">
        <w:rPr>
          <w:highlight w:val="yellow"/>
        </w:rPr>
        <w:t xml:space="preserve"> the beam position stays </w:t>
      </w:r>
      <w:r w:rsidRPr="003F3B3B">
        <w:rPr>
          <w:highlight w:val="yellow"/>
        </w:rPr>
        <w:t xml:space="preserve">at </w:t>
      </w:r>
      <w:r w:rsidRPr="003F3B3B">
        <w:rPr>
          <w:rFonts w:eastAsia="MS Mincho"/>
          <w:highlight w:val="yellow"/>
        </w:rPr>
        <w:t>center</w:t>
      </w:r>
      <w:r w:rsidR="009567E3" w:rsidRPr="003F3B3B">
        <w:rPr>
          <w:highlight w:val="yellow"/>
        </w:rPr>
        <w:t xml:space="preserve"> even if </w:t>
      </w:r>
      <w:r w:rsidR="000E4ECA" w:rsidRPr="003F3B3B">
        <w:rPr>
          <w:highlight w:val="yellow"/>
        </w:rPr>
        <w:t xml:space="preserve">the </w:t>
      </w:r>
      <w:r w:rsidRPr="003F3B3B">
        <w:rPr>
          <w:rFonts w:eastAsia="MS Mincho"/>
          <w:highlight w:val="yellow"/>
        </w:rPr>
        <w:t xml:space="preserve">lens </w:t>
      </w:r>
      <w:r w:rsidR="009567E3" w:rsidRPr="003F3B3B">
        <w:rPr>
          <w:highlight w:val="yellow"/>
        </w:rPr>
        <w:t xml:space="preserve">condition </w:t>
      </w:r>
      <w:r w:rsidRPr="003F3B3B">
        <w:rPr>
          <w:highlight w:val="yellow"/>
        </w:rPr>
        <w:t>is</w:t>
      </w:r>
      <w:r w:rsidR="009567E3" w:rsidRPr="003F3B3B">
        <w:rPr>
          <w:highlight w:val="yellow"/>
        </w:rPr>
        <w:t xml:space="preserve"> switched</w:t>
      </w:r>
      <w:r w:rsidR="008F4F3C" w:rsidRPr="003F3B3B">
        <w:rPr>
          <w:highlight w:val="yellow"/>
        </w:rPr>
        <w:t xml:space="preserve"> at</w:t>
      </w:r>
      <w:r w:rsidR="000E4ECA" w:rsidRPr="003F3B3B">
        <w:rPr>
          <w:highlight w:val="yellow"/>
        </w:rPr>
        <w:t xml:space="preserve"> step</w:t>
      </w:r>
      <w:r w:rsidR="008F4F3C" w:rsidRPr="003F3B3B">
        <w:rPr>
          <w:highlight w:val="yellow"/>
        </w:rPr>
        <w:t xml:space="preserve"> 2.</w:t>
      </w:r>
      <w:r w:rsidR="002B27DA" w:rsidRPr="003F3B3B">
        <w:rPr>
          <w:highlight w:val="yellow"/>
        </w:rPr>
        <w:t>2.2</w:t>
      </w:r>
      <w:r w:rsidR="008F4F3C" w:rsidRPr="003F3B3B">
        <w:rPr>
          <w:highlight w:val="yellow"/>
        </w:rPr>
        <w:t xml:space="preserve"> and 2.</w:t>
      </w:r>
      <w:r w:rsidR="002B27DA" w:rsidRPr="003F3B3B">
        <w:rPr>
          <w:highlight w:val="yellow"/>
        </w:rPr>
        <w:t>2.4.</w:t>
      </w:r>
    </w:p>
    <w:p w14:paraId="08E75FA6" w14:textId="77777777" w:rsidR="001D141C" w:rsidRPr="003F3B3B" w:rsidRDefault="001D141C" w:rsidP="002B27DA">
      <w:pPr>
        <w:contextualSpacing/>
        <w:rPr>
          <w:highlight w:val="yellow"/>
        </w:rPr>
      </w:pPr>
    </w:p>
    <w:p w14:paraId="2F4D29E3" w14:textId="52BCB2ED" w:rsidR="006F1EB7" w:rsidRPr="003F3B3B" w:rsidRDefault="00663A76" w:rsidP="002B27DA">
      <w:pPr>
        <w:pStyle w:val="ListParagraph"/>
        <w:numPr>
          <w:ilvl w:val="1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Incident beam c</w:t>
      </w:r>
      <w:r w:rsidR="009567E3" w:rsidRPr="003F3B3B">
        <w:rPr>
          <w:highlight w:val="yellow"/>
        </w:rPr>
        <w:t xml:space="preserve">ollimation and </w:t>
      </w:r>
      <w:r w:rsidR="000E4ECA" w:rsidRPr="003F3B3B">
        <w:rPr>
          <w:highlight w:val="yellow"/>
        </w:rPr>
        <w:t>setting</w:t>
      </w:r>
      <w:r w:rsidRPr="003F3B3B">
        <w:rPr>
          <w:highlight w:val="yellow"/>
        </w:rPr>
        <w:t xml:space="preserve"> its </w:t>
      </w:r>
      <w:r w:rsidR="009567E3" w:rsidRPr="003F3B3B">
        <w:rPr>
          <w:highlight w:val="yellow"/>
        </w:rPr>
        <w:t>pivot point</w:t>
      </w:r>
    </w:p>
    <w:p w14:paraId="195FA675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3E4CC75A" w14:textId="69FF1EE1" w:rsidR="00D5341A" w:rsidRPr="003F3B3B" w:rsidRDefault="00663A7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Introduce</w:t>
      </w:r>
      <w:r w:rsidR="009567E3" w:rsidRPr="003F3B3B">
        <w:rPr>
          <w:highlight w:val="yellow"/>
        </w:rPr>
        <w:t xml:space="preserve"> </w:t>
      </w:r>
      <w:r w:rsidRPr="003F3B3B">
        <w:rPr>
          <w:highlight w:val="yellow"/>
        </w:rPr>
        <w:t>the</w:t>
      </w:r>
      <w:r w:rsidR="009567E3" w:rsidRPr="003F3B3B">
        <w:rPr>
          <w:highlight w:val="yellow"/>
        </w:rPr>
        <w:t xml:space="preserve"> </w:t>
      </w:r>
      <w:r w:rsidR="008514E2" w:rsidRPr="003F3B3B">
        <w:rPr>
          <w:highlight w:val="yellow"/>
        </w:rPr>
        <w:t xml:space="preserve">third </w:t>
      </w:r>
      <w:r w:rsidR="008B4944" w:rsidRPr="003F3B3B">
        <w:rPr>
          <w:highlight w:val="yellow"/>
        </w:rPr>
        <w:t xml:space="preserve">largest </w:t>
      </w:r>
      <w:r w:rsidR="009567E3" w:rsidRPr="003F3B3B">
        <w:rPr>
          <w:highlight w:val="yellow"/>
        </w:rPr>
        <w:t>condenser aperture</w:t>
      </w:r>
      <w:r w:rsidR="008B4944" w:rsidRPr="003F3B3B">
        <w:rPr>
          <w:highlight w:val="yellow"/>
        </w:rPr>
        <w:t xml:space="preserve"> at</w:t>
      </w:r>
      <w:r w:rsidR="009567E3" w:rsidRPr="003F3B3B">
        <w:rPr>
          <w:highlight w:val="yellow"/>
        </w:rPr>
        <w:t xml:space="preserve"> the center of </w:t>
      </w:r>
      <w:r w:rsidRPr="003F3B3B">
        <w:rPr>
          <w:rFonts w:eastAsia="MS Mincho"/>
          <w:highlight w:val="yellow"/>
        </w:rPr>
        <w:t xml:space="preserve">the optical axis </w:t>
      </w:r>
      <w:r w:rsidR="00A27EAD" w:rsidRPr="003F3B3B">
        <w:rPr>
          <w:highlight w:val="yellow"/>
        </w:rPr>
        <w:t xml:space="preserve">by </w:t>
      </w:r>
      <w:r w:rsidR="000E4ECA" w:rsidRPr="003F3B3B">
        <w:rPr>
          <w:highlight w:val="yellow"/>
        </w:rPr>
        <w:t xml:space="preserve">turning </w:t>
      </w:r>
      <w:r w:rsidR="00A27EAD" w:rsidRPr="003F3B3B">
        <w:rPr>
          <w:highlight w:val="yellow"/>
        </w:rPr>
        <w:t xml:space="preserve">the aperture knob </w:t>
      </w:r>
      <w:r w:rsidR="000E4ECA" w:rsidRPr="003F3B3B">
        <w:rPr>
          <w:highlight w:val="yellow"/>
        </w:rPr>
        <w:t xml:space="preserve">clockwise </w:t>
      </w:r>
      <w:r w:rsidR="00A27EAD" w:rsidRPr="003F3B3B">
        <w:rPr>
          <w:highlight w:val="yellow"/>
        </w:rPr>
        <w:t>with its position manually adjusted with two attached screws (</w:t>
      </w:r>
      <w:r w:rsidR="00A27EAD" w:rsidRPr="003F3B3B">
        <w:rPr>
          <w:b/>
          <w:bCs/>
          <w:highlight w:val="yellow"/>
        </w:rPr>
        <w:t>Figure 1</w:t>
      </w:r>
      <w:r w:rsidR="00A27EAD" w:rsidRPr="003F3B3B">
        <w:rPr>
          <w:highlight w:val="yellow"/>
        </w:rPr>
        <w:t>). Then,</w:t>
      </w:r>
      <w:r w:rsidR="000E4ECA" w:rsidRPr="003F3B3B">
        <w:rPr>
          <w:highlight w:val="yellow"/>
        </w:rPr>
        <w:t xml:space="preserve"> adjust</w:t>
      </w:r>
      <w:r w:rsidRPr="003F3B3B">
        <w:rPr>
          <w:rFonts w:eastAsia="MS Mincho"/>
          <w:highlight w:val="yellow"/>
        </w:rPr>
        <w:t xml:space="preserve"> the condenser lens </w:t>
      </w:r>
      <w:proofErr w:type="spellStart"/>
      <w:r w:rsidR="008B4944" w:rsidRPr="003F3B3B">
        <w:rPr>
          <w:highlight w:val="yellow"/>
        </w:rPr>
        <w:t>stigmator</w:t>
      </w:r>
      <w:proofErr w:type="spellEnd"/>
      <w:r w:rsidR="009567E3" w:rsidRPr="003F3B3B">
        <w:rPr>
          <w:highlight w:val="yellow"/>
        </w:rPr>
        <w:t xml:space="preserve"> </w:t>
      </w:r>
      <w:r w:rsidRPr="003F3B3B">
        <w:rPr>
          <w:rFonts w:eastAsia="MS Mincho"/>
          <w:highlight w:val="yellow"/>
        </w:rPr>
        <w:t xml:space="preserve">to </w:t>
      </w:r>
      <w:r w:rsidR="008B4944" w:rsidRPr="003F3B3B">
        <w:rPr>
          <w:highlight w:val="yellow"/>
        </w:rPr>
        <w:t>correct</w:t>
      </w:r>
      <w:r w:rsidR="009567E3" w:rsidRPr="003F3B3B">
        <w:rPr>
          <w:highlight w:val="yellow"/>
        </w:rPr>
        <w:t xml:space="preserve"> the beam </w:t>
      </w:r>
      <w:r w:rsidR="008B4944" w:rsidRPr="003F3B3B">
        <w:rPr>
          <w:highlight w:val="yellow"/>
        </w:rPr>
        <w:t xml:space="preserve">shape to be coaxially defocused </w:t>
      </w:r>
      <w:r w:rsidR="000E4ECA" w:rsidRPr="003F3B3B">
        <w:rPr>
          <w:highlight w:val="yellow"/>
        </w:rPr>
        <w:t>by</w:t>
      </w:r>
      <w:r w:rsidR="008B4944" w:rsidRPr="003F3B3B">
        <w:rPr>
          <w:highlight w:val="yellow"/>
        </w:rPr>
        <w:t xml:space="preserve"> </w:t>
      </w:r>
      <w:r w:rsidR="00B6793A" w:rsidRPr="003F3B3B">
        <w:rPr>
          <w:highlight w:val="yellow"/>
        </w:rPr>
        <w:t>turning</w:t>
      </w:r>
      <w:r w:rsidR="008B4944" w:rsidRPr="003F3B3B">
        <w:rPr>
          <w:highlight w:val="yellow"/>
        </w:rPr>
        <w:t xml:space="preserve"> </w:t>
      </w:r>
      <w:r w:rsidRPr="003F3B3B">
        <w:rPr>
          <w:rFonts w:eastAsia="MS Mincho"/>
          <w:highlight w:val="yellow"/>
        </w:rPr>
        <w:t xml:space="preserve">the </w:t>
      </w:r>
      <w:r w:rsidR="00D43A4C" w:rsidRPr="003F3B3B">
        <w:rPr>
          <w:b/>
          <w:bCs/>
          <w:highlight w:val="yellow"/>
        </w:rPr>
        <w:t>BRIGHTNESS</w:t>
      </w:r>
      <w:r w:rsidR="008B4944" w:rsidRPr="003F3B3B">
        <w:rPr>
          <w:highlight w:val="yellow"/>
        </w:rPr>
        <w:t xml:space="preserve"> </w:t>
      </w:r>
      <w:r w:rsidR="00B6793A" w:rsidRPr="003F3B3B">
        <w:rPr>
          <w:highlight w:val="yellow"/>
        </w:rPr>
        <w:t xml:space="preserve">knob </w:t>
      </w:r>
      <w:r w:rsidR="008B4944" w:rsidRPr="003F3B3B">
        <w:rPr>
          <w:highlight w:val="yellow"/>
        </w:rPr>
        <w:t>both ways</w:t>
      </w:r>
      <w:r w:rsidR="00CD4DE4" w:rsidRPr="003F3B3B">
        <w:rPr>
          <w:highlight w:val="yellow"/>
        </w:rPr>
        <w:t xml:space="preserve">, using a pair of </w:t>
      </w:r>
      <w:r w:rsidR="00CD4DE4" w:rsidRPr="003F3B3B">
        <w:rPr>
          <w:b/>
          <w:bCs/>
          <w:highlight w:val="yellow"/>
        </w:rPr>
        <w:t>DEF/STIG</w:t>
      </w:r>
      <w:r w:rsidR="00CD4DE4" w:rsidRPr="003F3B3B">
        <w:rPr>
          <w:highlight w:val="yellow"/>
        </w:rPr>
        <w:t xml:space="preserve"> knobs with </w:t>
      </w:r>
      <w:r w:rsidR="00CD4DE4" w:rsidRPr="003F3B3B">
        <w:rPr>
          <w:b/>
          <w:bCs/>
          <w:highlight w:val="yellow"/>
        </w:rPr>
        <w:t>COND STIG</w:t>
      </w:r>
      <w:r w:rsidR="00CD4DE4" w:rsidRPr="003F3B3B">
        <w:rPr>
          <w:highlight w:val="yellow"/>
        </w:rPr>
        <w:t xml:space="preserve"> key on</w:t>
      </w:r>
      <w:r w:rsidR="009567E3" w:rsidRPr="003F3B3B">
        <w:rPr>
          <w:highlight w:val="yellow"/>
        </w:rPr>
        <w:t xml:space="preserve">. </w:t>
      </w:r>
    </w:p>
    <w:p w14:paraId="62ED5AB3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22889207" w14:textId="3751F76C" w:rsidR="0042525B" w:rsidRPr="003F3B3B" w:rsidRDefault="00663A76" w:rsidP="000E4EC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Press</w:t>
      </w:r>
      <w:r w:rsidR="000E4ECA" w:rsidRPr="003F3B3B">
        <w:rPr>
          <w:highlight w:val="yellow"/>
        </w:rPr>
        <w:t xml:space="preserve"> the</w:t>
      </w:r>
      <w:r w:rsidRPr="003F3B3B">
        <w:rPr>
          <w:highlight w:val="yellow"/>
        </w:rPr>
        <w:t xml:space="preserve"> </w:t>
      </w:r>
      <w:r w:rsidRPr="003F3B3B">
        <w:rPr>
          <w:b/>
          <w:bCs/>
          <w:highlight w:val="yellow"/>
        </w:rPr>
        <w:t xml:space="preserve">HT </w:t>
      </w:r>
      <w:r w:rsidR="00AE4865" w:rsidRPr="003F3B3B">
        <w:rPr>
          <w:b/>
          <w:bCs/>
          <w:highlight w:val="yellow"/>
        </w:rPr>
        <w:t>W</w:t>
      </w:r>
      <w:r w:rsidR="00ED67C4" w:rsidRPr="003F3B3B">
        <w:rPr>
          <w:b/>
          <w:bCs/>
          <w:highlight w:val="yellow"/>
        </w:rPr>
        <w:t>OBB</w:t>
      </w:r>
      <w:r w:rsidR="00323632" w:rsidRPr="003F3B3B">
        <w:rPr>
          <w:highlight w:val="yellow"/>
        </w:rPr>
        <w:t xml:space="preserve"> key (ROP)</w:t>
      </w:r>
      <w:r w:rsidRPr="003F3B3B">
        <w:rPr>
          <w:highlight w:val="yellow"/>
        </w:rPr>
        <w:t xml:space="preserve"> </w:t>
      </w:r>
      <w:r w:rsidR="005E46A2" w:rsidRPr="003F3B3B">
        <w:rPr>
          <w:highlight w:val="yellow"/>
        </w:rPr>
        <w:t xml:space="preserve">and adjust </w:t>
      </w:r>
      <w:r w:rsidRPr="003F3B3B">
        <w:rPr>
          <w:rFonts w:eastAsia="MS Mincho"/>
          <w:highlight w:val="yellow"/>
        </w:rPr>
        <w:t xml:space="preserve">the </w:t>
      </w:r>
      <w:r w:rsidR="00AE4865" w:rsidRPr="003F3B3B">
        <w:rPr>
          <w:b/>
          <w:bCs/>
          <w:highlight w:val="yellow"/>
        </w:rPr>
        <w:t>B</w:t>
      </w:r>
      <w:r w:rsidR="00D53BCF" w:rsidRPr="003F3B3B">
        <w:rPr>
          <w:b/>
          <w:bCs/>
          <w:highlight w:val="yellow"/>
        </w:rPr>
        <w:t>RIGHT TILT</w:t>
      </w:r>
      <w:r w:rsidR="005E46A2" w:rsidRPr="003F3B3B">
        <w:rPr>
          <w:highlight w:val="yellow"/>
        </w:rPr>
        <w:t xml:space="preserve"> knob to minimize the</w:t>
      </w:r>
      <w:r w:rsidR="009567E3" w:rsidRPr="003F3B3B">
        <w:rPr>
          <w:highlight w:val="yellow"/>
        </w:rPr>
        <w:t xml:space="preserve"> beam size</w:t>
      </w:r>
      <w:r w:rsidR="005E46A2" w:rsidRPr="003F3B3B">
        <w:rPr>
          <w:highlight w:val="yellow"/>
        </w:rPr>
        <w:t xml:space="preserve"> fluctuation</w:t>
      </w:r>
      <w:r w:rsidR="009567E3" w:rsidRPr="003F3B3B">
        <w:rPr>
          <w:highlight w:val="yellow"/>
        </w:rPr>
        <w:t xml:space="preserve"> </w:t>
      </w:r>
      <w:r w:rsidR="00CD4DE4" w:rsidRPr="003F3B3B">
        <w:rPr>
          <w:highlight w:val="yellow"/>
        </w:rPr>
        <w:t>with</w:t>
      </w:r>
      <w:r w:rsidRPr="003F3B3B">
        <w:rPr>
          <w:highlight w:val="yellow"/>
        </w:rPr>
        <w:t xml:space="preserve"> the</w:t>
      </w:r>
      <w:r w:rsidR="009567E3" w:rsidRPr="003F3B3B">
        <w:rPr>
          <w:highlight w:val="yellow"/>
        </w:rPr>
        <w:t xml:space="preserve"> </w:t>
      </w:r>
      <w:r w:rsidRPr="003F3B3B">
        <w:rPr>
          <w:highlight w:val="yellow"/>
        </w:rPr>
        <w:t xml:space="preserve">change in </w:t>
      </w:r>
      <w:r w:rsidR="009567E3" w:rsidRPr="003F3B3B">
        <w:rPr>
          <w:highlight w:val="yellow"/>
        </w:rPr>
        <w:t>acceleration voltage</w:t>
      </w:r>
      <w:r w:rsidR="000E4ECA" w:rsidRPr="003F3B3B">
        <w:rPr>
          <w:highlight w:val="yellow"/>
        </w:rPr>
        <w:t xml:space="preserve">. </w:t>
      </w:r>
      <w:r w:rsidR="009567E3" w:rsidRPr="003F3B3B">
        <w:rPr>
          <w:highlight w:val="yellow"/>
        </w:rPr>
        <w:t>This process adjust</w:t>
      </w:r>
      <w:r w:rsidRPr="003F3B3B">
        <w:rPr>
          <w:highlight w:val="yellow"/>
        </w:rPr>
        <w:t>s</w:t>
      </w:r>
      <w:r w:rsidR="009567E3" w:rsidRPr="003F3B3B">
        <w:rPr>
          <w:highlight w:val="yellow"/>
        </w:rPr>
        <w:t xml:space="preserve"> the beam convergence angle </w:t>
      </w:r>
      <w:r w:rsidR="00052545" w:rsidRPr="003F3B3B">
        <w:rPr>
          <w:highlight w:val="yellow"/>
        </w:rPr>
        <w:t>minimum</w:t>
      </w:r>
      <w:r w:rsidR="00563B45" w:rsidRPr="003F3B3B">
        <w:rPr>
          <w:highlight w:val="yellow"/>
        </w:rPr>
        <w:t>.</w:t>
      </w:r>
      <w:r w:rsidR="009567E3" w:rsidRPr="003F3B3B">
        <w:rPr>
          <w:highlight w:val="yellow"/>
        </w:rPr>
        <w:t xml:space="preserve"> </w:t>
      </w:r>
      <w:r w:rsidR="00B037AA" w:rsidRPr="003F3B3B">
        <w:rPr>
          <w:highlight w:val="yellow"/>
        </w:rPr>
        <w:t xml:space="preserve">Press </w:t>
      </w:r>
      <w:r w:rsidR="000E4ECA" w:rsidRPr="003F3B3B">
        <w:rPr>
          <w:highlight w:val="yellow"/>
        </w:rPr>
        <w:t xml:space="preserve">the </w:t>
      </w:r>
      <w:r w:rsidR="00B037AA" w:rsidRPr="003F3B3B">
        <w:rPr>
          <w:b/>
          <w:bCs/>
          <w:highlight w:val="yellow"/>
        </w:rPr>
        <w:t>HT W</w:t>
      </w:r>
      <w:r w:rsidR="00D53BCF" w:rsidRPr="003F3B3B">
        <w:rPr>
          <w:b/>
          <w:bCs/>
          <w:highlight w:val="yellow"/>
        </w:rPr>
        <w:t>OBB</w:t>
      </w:r>
      <w:r w:rsidR="00B037AA" w:rsidRPr="003F3B3B">
        <w:rPr>
          <w:highlight w:val="yellow"/>
        </w:rPr>
        <w:t xml:space="preserve"> key again</w:t>
      </w:r>
      <w:r w:rsidR="00563B45" w:rsidRPr="003F3B3B">
        <w:rPr>
          <w:highlight w:val="yellow"/>
        </w:rPr>
        <w:t xml:space="preserve"> to stop HT wobbler</w:t>
      </w:r>
      <w:r w:rsidR="00B037AA" w:rsidRPr="003F3B3B">
        <w:rPr>
          <w:highlight w:val="yellow"/>
        </w:rPr>
        <w:t>.</w:t>
      </w:r>
    </w:p>
    <w:p w14:paraId="2092F2DE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11787DC1" w14:textId="08E57ED2" w:rsidR="000E4ECA" w:rsidRPr="003F3B3B" w:rsidRDefault="00056D54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Activate </w:t>
      </w:r>
      <w:r w:rsidR="000E4ECA" w:rsidRPr="003F3B3B">
        <w:rPr>
          <w:highlight w:val="yellow"/>
        </w:rPr>
        <w:t>m</w:t>
      </w:r>
      <w:r w:rsidRPr="003F3B3B">
        <w:rPr>
          <w:highlight w:val="yellow"/>
        </w:rPr>
        <w:t>aintenance mode</w:t>
      </w:r>
      <w:r w:rsidR="00B037AA" w:rsidRPr="003F3B3B">
        <w:rPr>
          <w:highlight w:val="yellow"/>
        </w:rPr>
        <w:t xml:space="preserve"> (</w:t>
      </w:r>
      <w:r w:rsidR="000E4ECA" w:rsidRPr="003F3B3B">
        <w:rPr>
          <w:highlight w:val="yellow"/>
        </w:rPr>
        <w:t>consult the manufacturer’s manual</w:t>
      </w:r>
      <w:r w:rsidR="00663A76" w:rsidRPr="003F3B3B">
        <w:rPr>
          <w:rFonts w:eastAsia="MS Mincho"/>
          <w:highlight w:val="yellow"/>
        </w:rPr>
        <w:t>)</w:t>
      </w:r>
      <w:r w:rsidRPr="003F3B3B">
        <w:rPr>
          <w:highlight w:val="yellow"/>
        </w:rPr>
        <w:t xml:space="preserve">. Select </w:t>
      </w:r>
      <w:r w:rsidRPr="003F3B3B">
        <w:rPr>
          <w:b/>
          <w:bCs/>
          <w:highlight w:val="yellow"/>
        </w:rPr>
        <w:t>JEOL</w:t>
      </w:r>
      <w:r w:rsidRPr="003F3B3B">
        <w:rPr>
          <w:highlight w:val="yellow"/>
        </w:rPr>
        <w:t xml:space="preserve"> from </w:t>
      </w:r>
      <w:r w:rsidR="00663A76" w:rsidRPr="003F3B3B">
        <w:rPr>
          <w:rFonts w:eastAsia="MS Mincho"/>
          <w:highlight w:val="yellow"/>
        </w:rPr>
        <w:t>the menu bar</w:t>
      </w:r>
      <w:r w:rsidR="00F83685" w:rsidRPr="003F3B3B">
        <w:rPr>
          <w:rFonts w:eastAsia="MS Mincho"/>
          <w:highlight w:val="yellow"/>
        </w:rPr>
        <w:t xml:space="preserve"> </w:t>
      </w:r>
      <w:r w:rsidRPr="003F3B3B">
        <w:rPr>
          <w:highlight w:val="yellow"/>
        </w:rPr>
        <w:sym w:font="Wingdings" w:char="F0E0"/>
      </w:r>
      <w:r w:rsidRPr="003F3B3B">
        <w:rPr>
          <w:highlight w:val="yellow"/>
        </w:rPr>
        <w:t xml:space="preserve"> </w:t>
      </w:r>
      <w:r w:rsidRPr="003F3B3B">
        <w:rPr>
          <w:b/>
          <w:bCs/>
          <w:highlight w:val="yellow"/>
        </w:rPr>
        <w:t>Scan/Focus window</w:t>
      </w:r>
      <w:r w:rsidRPr="003F3B3B">
        <w:rPr>
          <w:highlight w:val="yellow"/>
        </w:rPr>
        <w:t xml:space="preserve"> </w:t>
      </w:r>
      <w:r w:rsidRPr="003F3B3B">
        <w:rPr>
          <w:highlight w:val="yellow"/>
        </w:rPr>
        <w:sym w:font="Wingdings" w:char="F0E0"/>
      </w:r>
      <w:r w:rsidRPr="003F3B3B">
        <w:rPr>
          <w:highlight w:val="yellow"/>
        </w:rPr>
        <w:t xml:space="preserve"> </w:t>
      </w:r>
      <w:r w:rsidRPr="003F3B3B">
        <w:rPr>
          <w:b/>
          <w:bCs/>
          <w:highlight w:val="yellow"/>
        </w:rPr>
        <w:t>Scan Control tab in TCM</w:t>
      </w:r>
      <w:r w:rsidRPr="003F3B3B">
        <w:rPr>
          <w:highlight w:val="yellow"/>
        </w:rPr>
        <w:t>. Then</w:t>
      </w:r>
      <w:r w:rsidR="00663A76" w:rsidRPr="003F3B3B">
        <w:rPr>
          <w:rFonts w:eastAsia="MS Mincho"/>
          <w:highlight w:val="yellow"/>
        </w:rPr>
        <w:t xml:space="preserve">, </w:t>
      </w:r>
      <w:r w:rsidR="006F39CD" w:rsidRPr="003F3B3B">
        <w:rPr>
          <w:highlight w:val="yellow"/>
        </w:rPr>
        <w:t>click</w:t>
      </w:r>
      <w:r w:rsidR="004E34B0" w:rsidRPr="003F3B3B">
        <w:rPr>
          <w:highlight w:val="yellow"/>
        </w:rPr>
        <w:t xml:space="preserve"> </w:t>
      </w:r>
      <w:r w:rsidR="00663A76" w:rsidRPr="003F3B3B">
        <w:rPr>
          <w:rFonts w:eastAsia="MS Mincho"/>
          <w:highlight w:val="yellow"/>
        </w:rPr>
        <w:t xml:space="preserve">the </w:t>
      </w:r>
      <w:r w:rsidR="00663A76" w:rsidRPr="003F3B3B">
        <w:rPr>
          <w:rFonts w:eastAsia="MS Mincho"/>
          <w:b/>
          <w:bCs/>
          <w:highlight w:val="yellow"/>
        </w:rPr>
        <w:t>Cor</w:t>
      </w:r>
      <w:r w:rsidR="00663A76" w:rsidRPr="003F3B3B">
        <w:rPr>
          <w:rFonts w:eastAsia="MS Mincho"/>
          <w:highlight w:val="yellow"/>
        </w:rPr>
        <w:t xml:space="preserve"> button</w:t>
      </w:r>
      <w:r w:rsidR="00B037AA" w:rsidRPr="003F3B3B">
        <w:rPr>
          <w:highlight w:val="yellow"/>
        </w:rPr>
        <w:t xml:space="preserve"> and </w:t>
      </w:r>
      <w:r w:rsidR="006F39CD" w:rsidRPr="003F3B3B">
        <w:rPr>
          <w:highlight w:val="yellow"/>
        </w:rPr>
        <w:t>click</w:t>
      </w:r>
      <w:r w:rsidR="00B037AA" w:rsidRPr="003F3B3B">
        <w:rPr>
          <w:highlight w:val="yellow"/>
        </w:rPr>
        <w:t xml:space="preserve"> </w:t>
      </w:r>
      <w:r w:rsidR="00663A76" w:rsidRPr="003F3B3B">
        <w:rPr>
          <w:rFonts w:eastAsia="MS Mincho"/>
          <w:highlight w:val="yellow"/>
        </w:rPr>
        <w:t xml:space="preserve">the </w:t>
      </w:r>
      <w:r w:rsidR="00663A76" w:rsidRPr="003F3B3B">
        <w:rPr>
          <w:rFonts w:eastAsia="MS Mincho"/>
          <w:b/>
          <w:bCs/>
          <w:highlight w:val="yellow"/>
        </w:rPr>
        <w:t>S</w:t>
      </w:r>
      <w:r w:rsidR="00B037AA" w:rsidRPr="003F3B3B">
        <w:rPr>
          <w:b/>
          <w:bCs/>
          <w:highlight w:val="yellow"/>
        </w:rPr>
        <w:t>can</w:t>
      </w:r>
      <w:r w:rsidR="006F39CD" w:rsidRPr="003F3B3B">
        <w:rPr>
          <w:highlight w:val="yellow"/>
        </w:rPr>
        <w:t xml:space="preserve"> button</w:t>
      </w:r>
      <w:r w:rsidR="00B037AA" w:rsidRPr="003F3B3B">
        <w:rPr>
          <w:highlight w:val="yellow"/>
        </w:rPr>
        <w:t xml:space="preserve"> instead of </w:t>
      </w:r>
      <w:r w:rsidR="00B037AA" w:rsidRPr="003F3B3B">
        <w:rPr>
          <w:b/>
          <w:bCs/>
          <w:highlight w:val="yellow"/>
        </w:rPr>
        <w:t>Spot</w:t>
      </w:r>
      <w:r w:rsidR="00B037AA" w:rsidRPr="003F3B3B">
        <w:rPr>
          <w:highlight w:val="yellow"/>
        </w:rPr>
        <w:t xml:space="preserve"> in </w:t>
      </w:r>
      <w:r w:rsidR="00663A76" w:rsidRPr="003F3B3B">
        <w:rPr>
          <w:rFonts w:eastAsia="MS Mincho"/>
          <w:highlight w:val="yellow"/>
        </w:rPr>
        <w:t>the Image control panel of SIV</w:t>
      </w:r>
      <w:r w:rsidR="004E34B0" w:rsidRPr="003F3B3B">
        <w:rPr>
          <w:highlight w:val="yellow"/>
        </w:rPr>
        <w:t xml:space="preserve">. </w:t>
      </w:r>
    </w:p>
    <w:p w14:paraId="07ACFA65" w14:textId="77777777" w:rsidR="000E4ECA" w:rsidRPr="003F3B3B" w:rsidRDefault="000E4ECA" w:rsidP="000E4ECA">
      <w:pPr>
        <w:pStyle w:val="ListParagraph"/>
        <w:ind w:left="960"/>
        <w:rPr>
          <w:highlight w:val="yellow"/>
        </w:rPr>
      </w:pPr>
    </w:p>
    <w:p w14:paraId="6C56D136" w14:textId="65E15B4D" w:rsidR="009567E3" w:rsidRPr="003F3B3B" w:rsidRDefault="004E34B0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To minimize the beam </w:t>
      </w:r>
      <w:r w:rsidR="00B037AA" w:rsidRPr="003F3B3B">
        <w:rPr>
          <w:highlight w:val="yellow"/>
        </w:rPr>
        <w:t>shift</w:t>
      </w:r>
      <w:r w:rsidRPr="003F3B3B">
        <w:rPr>
          <w:highlight w:val="yellow"/>
        </w:rPr>
        <w:t xml:space="preserve"> with beam-rocking, adjust a pair of </w:t>
      </w:r>
      <w:r w:rsidR="00056D54" w:rsidRPr="003F3B3B">
        <w:rPr>
          <w:b/>
          <w:bCs/>
          <w:highlight w:val="yellow"/>
        </w:rPr>
        <w:t>DEF/STIG</w:t>
      </w:r>
      <w:r w:rsidRPr="003F3B3B">
        <w:rPr>
          <w:highlight w:val="yellow"/>
        </w:rPr>
        <w:t xml:space="preserve"> knobs, followed by turning </w:t>
      </w:r>
      <w:r w:rsidR="00663A76" w:rsidRPr="003F3B3B">
        <w:rPr>
          <w:rFonts w:eastAsia="MS Mincho"/>
          <w:highlight w:val="yellow"/>
        </w:rPr>
        <w:t xml:space="preserve">the </w:t>
      </w:r>
      <w:r w:rsidR="00663A76" w:rsidRPr="003F3B3B">
        <w:rPr>
          <w:rFonts w:eastAsia="MS Mincho"/>
          <w:b/>
          <w:bCs/>
          <w:highlight w:val="yellow"/>
        </w:rPr>
        <w:t>O</w:t>
      </w:r>
      <w:r w:rsidR="0049439A" w:rsidRPr="003F3B3B">
        <w:rPr>
          <w:b/>
          <w:bCs/>
          <w:highlight w:val="yellow"/>
        </w:rPr>
        <w:t>BJ</w:t>
      </w:r>
      <w:r w:rsidRPr="003F3B3B">
        <w:rPr>
          <w:b/>
          <w:bCs/>
          <w:highlight w:val="yellow"/>
        </w:rPr>
        <w:t xml:space="preserve"> F</w:t>
      </w:r>
      <w:r w:rsidR="0049439A" w:rsidRPr="003F3B3B">
        <w:rPr>
          <w:b/>
          <w:bCs/>
          <w:highlight w:val="yellow"/>
        </w:rPr>
        <w:t>OCUS</w:t>
      </w:r>
      <w:r w:rsidRPr="003F3B3B">
        <w:rPr>
          <w:b/>
          <w:bCs/>
          <w:highlight w:val="yellow"/>
        </w:rPr>
        <w:t xml:space="preserve"> F</w:t>
      </w:r>
      <w:r w:rsidR="0049439A" w:rsidRPr="003F3B3B">
        <w:rPr>
          <w:b/>
          <w:bCs/>
          <w:highlight w:val="yellow"/>
        </w:rPr>
        <w:t>INE</w:t>
      </w:r>
      <w:r w:rsidRPr="003F3B3B">
        <w:rPr>
          <w:highlight w:val="yellow"/>
        </w:rPr>
        <w:t xml:space="preserve"> knob slightly counterclockwise. Finally, </w:t>
      </w:r>
      <w:r w:rsidR="00B037AA" w:rsidRPr="003F3B3B">
        <w:rPr>
          <w:highlight w:val="yellow"/>
        </w:rPr>
        <w:t>match t</w:t>
      </w:r>
      <w:r w:rsidRPr="003F3B3B">
        <w:rPr>
          <w:highlight w:val="yellow"/>
        </w:rPr>
        <w:t xml:space="preserve">he </w:t>
      </w:r>
      <w:r w:rsidR="00B037AA" w:rsidRPr="003F3B3B">
        <w:rPr>
          <w:highlight w:val="yellow"/>
        </w:rPr>
        <w:t>sample and</w:t>
      </w:r>
      <w:r w:rsidRPr="003F3B3B">
        <w:rPr>
          <w:highlight w:val="yellow"/>
        </w:rPr>
        <w:t xml:space="preserve"> pivot point </w:t>
      </w:r>
      <w:r w:rsidR="00B037AA" w:rsidRPr="003F3B3B">
        <w:rPr>
          <w:highlight w:val="yellow"/>
        </w:rPr>
        <w:t xml:space="preserve">height </w:t>
      </w:r>
      <w:r w:rsidRPr="003F3B3B">
        <w:rPr>
          <w:highlight w:val="yellow"/>
        </w:rPr>
        <w:t xml:space="preserve">using Z </w:t>
      </w:r>
      <w:r w:rsidR="00B037AA" w:rsidRPr="003F3B3B">
        <w:rPr>
          <w:highlight w:val="yellow"/>
        </w:rPr>
        <w:t xml:space="preserve">control </w:t>
      </w:r>
      <w:r w:rsidR="00056D54" w:rsidRPr="003F3B3B">
        <w:rPr>
          <w:highlight w:val="yellow"/>
        </w:rPr>
        <w:t>key</w:t>
      </w:r>
      <w:r w:rsidRPr="003F3B3B">
        <w:rPr>
          <w:highlight w:val="yellow"/>
        </w:rPr>
        <w:t>s</w:t>
      </w:r>
      <w:r w:rsidR="00056D54" w:rsidRPr="003F3B3B">
        <w:rPr>
          <w:highlight w:val="yellow"/>
        </w:rPr>
        <w:t xml:space="preserve"> (ROP)</w:t>
      </w:r>
      <w:r w:rsidR="000D0BCD" w:rsidRPr="003F3B3B">
        <w:rPr>
          <w:highlight w:val="yellow"/>
        </w:rPr>
        <w:t xml:space="preserve"> so that the sample is focused on the fluorescent screen</w:t>
      </w:r>
      <w:r w:rsidRPr="003F3B3B">
        <w:rPr>
          <w:highlight w:val="yellow"/>
        </w:rPr>
        <w:t xml:space="preserve">. </w:t>
      </w:r>
    </w:p>
    <w:p w14:paraId="59A4E712" w14:textId="77777777" w:rsidR="0042525B" w:rsidRPr="003F3B3B" w:rsidRDefault="0042525B" w:rsidP="002B27DA">
      <w:pPr>
        <w:contextualSpacing/>
        <w:rPr>
          <w:highlight w:val="yellow"/>
        </w:rPr>
      </w:pPr>
    </w:p>
    <w:p w14:paraId="26419174" w14:textId="1F4B6B08" w:rsidR="00F26A16" w:rsidRPr="003F3B3B" w:rsidRDefault="00663A76" w:rsidP="002B27DA">
      <w:pPr>
        <w:pStyle w:val="ListParagraph"/>
        <w:numPr>
          <w:ilvl w:val="1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Final beam alignment to obtain </w:t>
      </w:r>
      <w:r w:rsidR="000D1F0E" w:rsidRPr="003F3B3B">
        <w:rPr>
          <w:highlight w:val="yellow"/>
        </w:rPr>
        <w:t>electron-channeling pattern</w:t>
      </w:r>
      <w:r w:rsidR="000D1F0E" w:rsidRPr="003F3B3B" w:rsidDel="000D1F0E">
        <w:rPr>
          <w:highlight w:val="yellow"/>
        </w:rPr>
        <w:t xml:space="preserve"> </w:t>
      </w:r>
      <w:r w:rsidRPr="003F3B3B">
        <w:rPr>
          <w:highlight w:val="yellow"/>
        </w:rPr>
        <w:t>of sample</w:t>
      </w:r>
    </w:p>
    <w:p w14:paraId="0FB489F5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1ACE3982" w14:textId="4EF35C46" w:rsidR="002B27DA" w:rsidRPr="003F3B3B" w:rsidRDefault="00663A7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Move </w:t>
      </w:r>
      <w:r w:rsidR="000D3281" w:rsidRPr="003F3B3B">
        <w:rPr>
          <w:highlight w:val="yellow"/>
        </w:rPr>
        <w:t>the</w:t>
      </w:r>
      <w:r w:rsidRPr="003F3B3B">
        <w:rPr>
          <w:highlight w:val="yellow"/>
        </w:rPr>
        <w:t xml:space="preserve"> sample area of interest back to </w:t>
      </w:r>
      <w:r w:rsidR="007F6EAF" w:rsidRPr="003F3B3B">
        <w:rPr>
          <w:highlight w:val="yellow"/>
        </w:rPr>
        <w:t xml:space="preserve">the </w:t>
      </w:r>
      <w:proofErr w:type="gramStart"/>
      <w:r w:rsidRPr="003F3B3B">
        <w:rPr>
          <w:highlight w:val="yellow"/>
        </w:rPr>
        <w:t>center, and</w:t>
      </w:r>
      <w:proofErr w:type="gramEnd"/>
      <w:r w:rsidRPr="003F3B3B">
        <w:rPr>
          <w:highlight w:val="yellow"/>
        </w:rPr>
        <w:t xml:space="preserve"> start beam-rocking</w:t>
      </w:r>
      <w:r w:rsidR="00BF585F" w:rsidRPr="003F3B3B">
        <w:rPr>
          <w:highlight w:val="yellow"/>
        </w:rPr>
        <w:t xml:space="preserve"> by clicking </w:t>
      </w:r>
      <w:r w:rsidRPr="003F3B3B">
        <w:rPr>
          <w:rFonts w:eastAsia="MS Mincho"/>
          <w:highlight w:val="yellow"/>
        </w:rPr>
        <w:t xml:space="preserve">the </w:t>
      </w:r>
      <w:r w:rsidRPr="003F3B3B">
        <w:rPr>
          <w:rFonts w:eastAsia="MS Mincho"/>
          <w:b/>
          <w:bCs/>
          <w:highlight w:val="yellow"/>
        </w:rPr>
        <w:t>Scan</w:t>
      </w:r>
      <w:r w:rsidRPr="003F3B3B">
        <w:rPr>
          <w:rFonts w:eastAsia="MS Mincho"/>
          <w:highlight w:val="yellow"/>
        </w:rPr>
        <w:t xml:space="preserve"> button in the SIV window</w:t>
      </w:r>
      <w:r w:rsidRPr="003F3B3B">
        <w:rPr>
          <w:highlight w:val="yellow"/>
        </w:rPr>
        <w:t xml:space="preserve">. </w:t>
      </w:r>
      <w:r w:rsidR="000D0BCD" w:rsidRPr="003F3B3B">
        <w:rPr>
          <w:highlight w:val="yellow"/>
        </w:rPr>
        <w:t xml:space="preserve">Manually turn clockwise </w:t>
      </w:r>
      <w:r w:rsidR="000E4ECA" w:rsidRPr="003F3B3B">
        <w:rPr>
          <w:highlight w:val="yellow"/>
        </w:rPr>
        <w:t>the</w:t>
      </w:r>
      <w:r w:rsidR="000D0BCD" w:rsidRPr="003F3B3B">
        <w:rPr>
          <w:highlight w:val="yellow"/>
        </w:rPr>
        <w:t xml:space="preserve"> annular dark field (ADF) detector cylinder (</w:t>
      </w:r>
      <w:r w:rsidR="000D0BCD" w:rsidRPr="003F3B3B">
        <w:rPr>
          <w:b/>
          <w:bCs/>
          <w:highlight w:val="yellow"/>
        </w:rPr>
        <w:t>Figure 1</w:t>
      </w:r>
      <w:r w:rsidR="000D0BCD" w:rsidRPr="003F3B3B">
        <w:rPr>
          <w:highlight w:val="yellow"/>
        </w:rPr>
        <w:t>) and i</w:t>
      </w:r>
      <w:r w:rsidRPr="003F3B3B">
        <w:rPr>
          <w:highlight w:val="yellow"/>
        </w:rPr>
        <w:t xml:space="preserve">nsert </w:t>
      </w:r>
      <w:r w:rsidR="000D0BCD" w:rsidRPr="003F3B3B">
        <w:rPr>
          <w:highlight w:val="yellow"/>
        </w:rPr>
        <w:t>the</w:t>
      </w:r>
      <w:r w:rsidRPr="003F3B3B">
        <w:rPr>
          <w:highlight w:val="yellow"/>
        </w:rPr>
        <w:t xml:space="preserve"> detector</w:t>
      </w:r>
      <w:r w:rsidR="000D0BCD" w:rsidRPr="003F3B3B">
        <w:rPr>
          <w:highlight w:val="yellow"/>
        </w:rPr>
        <w:t xml:space="preserve">. </w:t>
      </w:r>
    </w:p>
    <w:p w14:paraId="20DC4DF3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3C75E8E8" w14:textId="02B36A78" w:rsidR="009567E3" w:rsidRPr="003F3B3B" w:rsidRDefault="00BF585F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lastRenderedPageBreak/>
        <w:t xml:space="preserve">Set the ADF detector position at the center of </w:t>
      </w:r>
      <w:r w:rsidR="00663A76" w:rsidRPr="003F3B3B">
        <w:rPr>
          <w:highlight w:val="yellow"/>
        </w:rPr>
        <w:t>the beam position</w:t>
      </w:r>
      <w:r w:rsidR="000D0BCD" w:rsidRPr="003F3B3B">
        <w:rPr>
          <w:highlight w:val="yellow"/>
        </w:rPr>
        <w:t xml:space="preserve"> </w:t>
      </w:r>
      <w:r w:rsidRPr="003F3B3B">
        <w:rPr>
          <w:highlight w:val="yellow"/>
        </w:rPr>
        <w:t xml:space="preserve">by adjusting a pair of </w:t>
      </w:r>
      <w:r w:rsidRPr="003F3B3B">
        <w:rPr>
          <w:b/>
          <w:bCs/>
          <w:highlight w:val="yellow"/>
        </w:rPr>
        <w:t>DEF/STIG</w:t>
      </w:r>
      <w:r w:rsidRPr="003F3B3B">
        <w:rPr>
          <w:highlight w:val="yellow"/>
        </w:rPr>
        <w:t xml:space="preserve"> knobs with </w:t>
      </w:r>
      <w:r w:rsidRPr="003F3B3B">
        <w:rPr>
          <w:b/>
          <w:bCs/>
          <w:highlight w:val="yellow"/>
        </w:rPr>
        <w:t>PLA</w:t>
      </w:r>
      <w:r w:rsidRPr="003F3B3B">
        <w:rPr>
          <w:highlight w:val="yellow"/>
        </w:rPr>
        <w:t xml:space="preserve"> key on (LOP: </w:t>
      </w:r>
      <w:r w:rsidR="000E4ECA" w:rsidRPr="003F3B3B">
        <w:rPr>
          <w:b/>
          <w:bCs/>
          <w:highlight w:val="yellow"/>
        </w:rPr>
        <w:t>F</w:t>
      </w:r>
      <w:r w:rsidRPr="003F3B3B">
        <w:rPr>
          <w:b/>
          <w:bCs/>
          <w:highlight w:val="yellow"/>
        </w:rPr>
        <w:t>igure 3</w:t>
      </w:r>
      <w:r w:rsidRPr="003F3B3B">
        <w:rPr>
          <w:highlight w:val="yellow"/>
        </w:rPr>
        <w:t xml:space="preserve">). Check </w:t>
      </w:r>
      <w:r w:rsidR="00663A76" w:rsidRPr="003F3B3B">
        <w:rPr>
          <w:rFonts w:eastAsia="MS Mincho"/>
          <w:highlight w:val="yellow"/>
        </w:rPr>
        <w:t xml:space="preserve">the </w:t>
      </w:r>
      <w:r w:rsidR="00663A76" w:rsidRPr="003F3B3B">
        <w:rPr>
          <w:rFonts w:eastAsia="MS Mincho"/>
          <w:b/>
          <w:bCs/>
          <w:highlight w:val="yellow"/>
        </w:rPr>
        <w:t>STEI-DF</w:t>
      </w:r>
      <w:r w:rsidR="00663A76" w:rsidRPr="003F3B3B">
        <w:rPr>
          <w:rFonts w:eastAsia="MS Mincho"/>
          <w:highlight w:val="yellow"/>
        </w:rPr>
        <w:t xml:space="preserve"> button in the </w:t>
      </w:r>
      <w:r w:rsidR="00663A76" w:rsidRPr="003F3B3B">
        <w:rPr>
          <w:rFonts w:eastAsia="MS Mincho"/>
          <w:b/>
          <w:bCs/>
          <w:highlight w:val="yellow"/>
        </w:rPr>
        <w:t>Image Select</w:t>
      </w:r>
      <w:r w:rsidR="00663A76" w:rsidRPr="003F3B3B">
        <w:rPr>
          <w:rFonts w:eastAsia="MS Mincho"/>
          <w:highlight w:val="yellow"/>
        </w:rPr>
        <w:t xml:space="preserve"> menu of the </w:t>
      </w:r>
      <w:r w:rsidR="00663A76" w:rsidRPr="003F3B3B">
        <w:rPr>
          <w:rFonts w:eastAsia="MS Mincho"/>
          <w:b/>
          <w:bCs/>
          <w:highlight w:val="yellow"/>
        </w:rPr>
        <w:t>ASID</w:t>
      </w:r>
      <w:r w:rsidR="00663A76" w:rsidRPr="003F3B3B">
        <w:rPr>
          <w:rFonts w:eastAsia="MS Mincho"/>
          <w:highlight w:val="yellow"/>
        </w:rPr>
        <w:t xml:space="preserve"> window and the</w:t>
      </w:r>
      <w:r w:rsidR="000D0BCD" w:rsidRPr="003F3B3B">
        <w:rPr>
          <w:highlight w:val="yellow"/>
        </w:rPr>
        <w:t xml:space="preserve"> </w:t>
      </w:r>
      <w:r w:rsidR="007F6EAF" w:rsidRPr="003F3B3B">
        <w:rPr>
          <w:b/>
          <w:bCs/>
          <w:highlight w:val="yellow"/>
        </w:rPr>
        <w:t>STEM</w:t>
      </w:r>
      <w:r w:rsidR="007F6EAF" w:rsidRPr="003F3B3B">
        <w:rPr>
          <w:highlight w:val="yellow"/>
        </w:rPr>
        <w:t xml:space="preserve"> monitor </w:t>
      </w:r>
      <w:r w:rsidR="00C13B76" w:rsidRPr="003F3B3B">
        <w:rPr>
          <w:highlight w:val="yellow"/>
        </w:rPr>
        <w:t xml:space="preserve">in </w:t>
      </w:r>
      <w:r w:rsidR="00663A76" w:rsidRPr="003F3B3B">
        <w:rPr>
          <w:rFonts w:eastAsia="MS Mincho"/>
          <w:highlight w:val="yellow"/>
        </w:rPr>
        <w:t xml:space="preserve">the </w:t>
      </w:r>
      <w:r w:rsidR="00663A76" w:rsidRPr="003F3B3B">
        <w:rPr>
          <w:rFonts w:eastAsia="MS Mincho"/>
          <w:b/>
          <w:bCs/>
          <w:highlight w:val="yellow"/>
        </w:rPr>
        <w:t>SIV</w:t>
      </w:r>
      <w:r w:rsidR="00663A76" w:rsidRPr="003F3B3B">
        <w:rPr>
          <w:rFonts w:eastAsia="MS Mincho"/>
          <w:highlight w:val="yellow"/>
        </w:rPr>
        <w:t xml:space="preserve"> window </w:t>
      </w:r>
      <w:r w:rsidR="007F6EAF" w:rsidRPr="003F3B3B">
        <w:rPr>
          <w:highlight w:val="yellow"/>
        </w:rPr>
        <w:t>displays an</w:t>
      </w:r>
      <w:r w:rsidR="00663A76" w:rsidRPr="003F3B3B">
        <w:rPr>
          <w:highlight w:val="yellow"/>
        </w:rPr>
        <w:t xml:space="preserve"> electron</w:t>
      </w:r>
      <w:r w:rsidR="000D1F0E" w:rsidRPr="003F3B3B">
        <w:rPr>
          <w:highlight w:val="yellow"/>
        </w:rPr>
        <w:t>-</w:t>
      </w:r>
      <w:r w:rsidR="00663A76" w:rsidRPr="003F3B3B">
        <w:rPr>
          <w:highlight w:val="yellow"/>
        </w:rPr>
        <w:t>channeling pattern (ECP)</w:t>
      </w:r>
      <w:r w:rsidR="007F6EAF" w:rsidRPr="003F3B3B">
        <w:rPr>
          <w:highlight w:val="yellow"/>
        </w:rPr>
        <w:t>.</w:t>
      </w:r>
      <w:r w:rsidR="00663A76" w:rsidRPr="003F3B3B">
        <w:rPr>
          <w:highlight w:val="yellow"/>
        </w:rPr>
        <w:t xml:space="preserve"> </w:t>
      </w:r>
      <w:r w:rsidR="00B649D6" w:rsidRPr="003F3B3B">
        <w:rPr>
          <w:highlight w:val="yellow"/>
        </w:rPr>
        <w:t xml:space="preserve">Adjust </w:t>
      </w:r>
      <w:r w:rsidR="000E4ECA" w:rsidRPr="003F3B3B">
        <w:rPr>
          <w:highlight w:val="yellow"/>
        </w:rPr>
        <w:t xml:space="preserve">the </w:t>
      </w:r>
      <w:r w:rsidR="00D5624F" w:rsidRPr="003F3B3B">
        <w:rPr>
          <w:b/>
          <w:bCs/>
          <w:highlight w:val="yellow"/>
        </w:rPr>
        <w:t>Brightness/Contrast</w:t>
      </w:r>
      <w:r w:rsidR="00D5624F" w:rsidRPr="003F3B3B">
        <w:rPr>
          <w:highlight w:val="yellow"/>
        </w:rPr>
        <w:t xml:space="preserve"> in</w:t>
      </w:r>
      <w:r w:rsidR="00B649D6" w:rsidRPr="003F3B3B">
        <w:rPr>
          <w:highlight w:val="yellow"/>
        </w:rPr>
        <w:t xml:space="preserve"> the</w:t>
      </w:r>
      <w:r w:rsidR="00D5624F" w:rsidRPr="003F3B3B">
        <w:rPr>
          <w:highlight w:val="yellow"/>
        </w:rPr>
        <w:t xml:space="preserve"> </w:t>
      </w:r>
      <w:r w:rsidR="00D5624F" w:rsidRPr="003F3B3B">
        <w:rPr>
          <w:b/>
          <w:bCs/>
          <w:highlight w:val="yellow"/>
        </w:rPr>
        <w:t>ASID</w:t>
      </w:r>
      <w:r w:rsidR="00D5624F" w:rsidRPr="003F3B3B">
        <w:rPr>
          <w:highlight w:val="yellow"/>
        </w:rPr>
        <w:t xml:space="preserve"> window to best see ECP. </w:t>
      </w:r>
      <w:r w:rsidR="007F6EAF" w:rsidRPr="003F3B3B">
        <w:rPr>
          <w:highlight w:val="yellow"/>
        </w:rPr>
        <w:t>S</w:t>
      </w:r>
      <w:r w:rsidR="00663A76" w:rsidRPr="003F3B3B">
        <w:rPr>
          <w:highlight w:val="yellow"/>
        </w:rPr>
        <w:t xml:space="preserve">lightly </w:t>
      </w:r>
      <w:r w:rsidR="00D5624F" w:rsidRPr="003F3B3B">
        <w:rPr>
          <w:highlight w:val="yellow"/>
        </w:rPr>
        <w:t>turn</w:t>
      </w:r>
      <w:r w:rsidR="00663A76" w:rsidRPr="003F3B3B">
        <w:rPr>
          <w:highlight w:val="yellow"/>
        </w:rPr>
        <w:t xml:space="preserve"> </w:t>
      </w:r>
      <w:r w:rsidR="000E4ECA" w:rsidRPr="003F3B3B">
        <w:rPr>
          <w:highlight w:val="yellow"/>
        </w:rPr>
        <w:t xml:space="preserve">the </w:t>
      </w:r>
      <w:r w:rsidR="007F6EAF" w:rsidRPr="003F3B3B">
        <w:rPr>
          <w:b/>
          <w:bCs/>
          <w:highlight w:val="yellow"/>
        </w:rPr>
        <w:t>B</w:t>
      </w:r>
      <w:r w:rsidR="00D5624F" w:rsidRPr="003F3B3B">
        <w:rPr>
          <w:b/>
          <w:bCs/>
          <w:highlight w:val="yellow"/>
        </w:rPr>
        <w:t>RIGHTNESS</w:t>
      </w:r>
      <w:r w:rsidR="007F6EAF" w:rsidRPr="003F3B3B">
        <w:rPr>
          <w:highlight w:val="yellow"/>
        </w:rPr>
        <w:t xml:space="preserve"> knob</w:t>
      </w:r>
      <w:r w:rsidR="00663A76" w:rsidRPr="003F3B3B">
        <w:rPr>
          <w:highlight w:val="yellow"/>
        </w:rPr>
        <w:t xml:space="preserve"> to </w:t>
      </w:r>
      <w:r w:rsidR="007F6EAF" w:rsidRPr="003F3B3B">
        <w:rPr>
          <w:highlight w:val="yellow"/>
        </w:rPr>
        <w:t>see</w:t>
      </w:r>
      <w:r w:rsidR="00663A76" w:rsidRPr="003F3B3B">
        <w:rPr>
          <w:highlight w:val="yellow"/>
        </w:rPr>
        <w:t xml:space="preserve"> the ECP contrast sharpe</w:t>
      </w:r>
      <w:r w:rsidR="007F6EAF" w:rsidRPr="003F3B3B">
        <w:rPr>
          <w:highlight w:val="yellow"/>
        </w:rPr>
        <w:t>st</w:t>
      </w:r>
      <w:r w:rsidR="00663A76" w:rsidRPr="003F3B3B">
        <w:rPr>
          <w:highlight w:val="yellow"/>
        </w:rPr>
        <w:t xml:space="preserve">. </w:t>
      </w:r>
    </w:p>
    <w:p w14:paraId="1274D6FD" w14:textId="77777777" w:rsidR="00F81F83" w:rsidRPr="003F3B3B" w:rsidRDefault="00F81F83" w:rsidP="002B27DA">
      <w:pPr>
        <w:contextualSpacing/>
        <w:rPr>
          <w:highlight w:val="yellow"/>
        </w:rPr>
      </w:pPr>
    </w:p>
    <w:p w14:paraId="27685F0F" w14:textId="75E31E77" w:rsidR="005447F8" w:rsidRPr="003F3B3B" w:rsidRDefault="00663A76" w:rsidP="002B27DA">
      <w:pPr>
        <w:pStyle w:val="ListParagraph"/>
        <w:numPr>
          <w:ilvl w:val="1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>Data acquisition</w:t>
      </w:r>
      <w:r w:rsidR="000A2DD0" w:rsidRPr="003F3B3B">
        <w:rPr>
          <w:highlight w:val="yellow"/>
        </w:rPr>
        <w:t xml:space="preserve"> for HARECXS by EDX</w:t>
      </w:r>
    </w:p>
    <w:p w14:paraId="350EA6F6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604EC4F8" w14:textId="77777777" w:rsidR="000E4ECA" w:rsidRPr="003F3B3B" w:rsidRDefault="00663A7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By operating the STEM in beam-rocking mode, </w:t>
      </w:r>
      <w:r w:rsidR="000E4ECA" w:rsidRPr="003F3B3B">
        <w:rPr>
          <w:highlight w:val="yellow"/>
        </w:rPr>
        <w:t xml:space="preserve">collect </w:t>
      </w:r>
      <w:r w:rsidR="00E65EE6" w:rsidRPr="003F3B3B">
        <w:rPr>
          <w:highlight w:val="yellow"/>
        </w:rPr>
        <w:t xml:space="preserve">the </w:t>
      </w:r>
      <w:r w:rsidRPr="003F3B3B">
        <w:rPr>
          <w:highlight w:val="yellow"/>
        </w:rPr>
        <w:t>EDX spectra</w:t>
      </w:r>
      <w:r w:rsidR="00E65EE6" w:rsidRPr="003F3B3B">
        <w:rPr>
          <w:highlight w:val="yellow"/>
        </w:rPr>
        <w:t xml:space="preserve"> by following the conventional spectral image method</w:t>
      </w:r>
      <w:r w:rsidR="00AD3CD1" w:rsidRPr="003F3B3B">
        <w:rPr>
          <w:highlight w:val="yellow"/>
        </w:rPr>
        <w:t xml:space="preserve"> (using </w:t>
      </w:r>
      <w:r w:rsidRPr="003F3B3B">
        <w:rPr>
          <w:rFonts w:eastAsia="MS Mincho"/>
          <w:highlight w:val="yellow"/>
        </w:rPr>
        <w:t xml:space="preserve">the </w:t>
      </w:r>
      <w:r w:rsidR="00AD3CD1" w:rsidRPr="003F3B3B">
        <w:rPr>
          <w:highlight w:val="yellow"/>
        </w:rPr>
        <w:t xml:space="preserve">spectral imaging function in </w:t>
      </w:r>
      <w:r w:rsidR="00AD3CD1" w:rsidRPr="003F3B3B">
        <w:rPr>
          <w:b/>
          <w:bCs/>
          <w:highlight w:val="yellow"/>
        </w:rPr>
        <w:t>Figure 5</w:t>
      </w:r>
      <w:r w:rsidR="00AD3CD1" w:rsidRPr="003F3B3B">
        <w:rPr>
          <w:highlight w:val="yellow"/>
        </w:rPr>
        <w:t>)</w:t>
      </w:r>
      <w:r w:rsidR="00E65EE6" w:rsidRPr="003F3B3B">
        <w:rPr>
          <w:highlight w:val="yellow"/>
        </w:rPr>
        <w:t xml:space="preserve"> </w:t>
      </w:r>
      <w:r w:rsidRPr="003F3B3B">
        <w:rPr>
          <w:highlight w:val="yellow"/>
        </w:rPr>
        <w:t xml:space="preserve">as a function of beam tilting angles in the </w:t>
      </w:r>
      <w:r w:rsidRPr="003F3B3B">
        <w:rPr>
          <w:i/>
          <w:highlight w:val="yellow"/>
        </w:rPr>
        <w:t>x</w:t>
      </w:r>
      <w:r w:rsidRPr="003F3B3B">
        <w:rPr>
          <w:highlight w:val="yellow"/>
        </w:rPr>
        <w:t xml:space="preserve"> and </w:t>
      </w:r>
      <w:r w:rsidRPr="003F3B3B">
        <w:rPr>
          <w:i/>
          <w:highlight w:val="yellow"/>
        </w:rPr>
        <w:t>y</w:t>
      </w:r>
      <w:r w:rsidR="00B649D6" w:rsidRPr="003F3B3B">
        <w:rPr>
          <w:highlight w:val="yellow"/>
        </w:rPr>
        <w:t xml:space="preserve"> </w:t>
      </w:r>
      <w:r w:rsidRPr="003F3B3B">
        <w:rPr>
          <w:highlight w:val="yellow"/>
        </w:rPr>
        <w:t xml:space="preserve">directions and display </w:t>
      </w:r>
      <w:r w:rsidRPr="003F3B3B">
        <w:rPr>
          <w:rFonts w:eastAsia="MS Mincho"/>
          <w:highlight w:val="yellow"/>
        </w:rPr>
        <w:t>elemental intensity distribution for specified element</w:t>
      </w:r>
      <w:r w:rsidR="00A857A4" w:rsidRPr="003F3B3B">
        <w:rPr>
          <w:highlight w:val="yellow"/>
        </w:rPr>
        <w:t>s</w:t>
      </w:r>
      <w:r w:rsidR="0037469D" w:rsidRPr="003F3B3B">
        <w:rPr>
          <w:highlight w:val="yellow"/>
        </w:rPr>
        <w:t xml:space="preserve">, as shown in </w:t>
      </w:r>
      <w:r w:rsidR="0037469D" w:rsidRPr="003F3B3B">
        <w:rPr>
          <w:b/>
          <w:bCs/>
          <w:highlight w:val="yellow"/>
        </w:rPr>
        <w:t xml:space="preserve">Figure </w:t>
      </w:r>
      <w:r w:rsidR="00AD3CD1" w:rsidRPr="003F3B3B">
        <w:rPr>
          <w:b/>
          <w:bCs/>
          <w:highlight w:val="yellow"/>
        </w:rPr>
        <w:t>5</w:t>
      </w:r>
      <w:r w:rsidR="000E4ECA" w:rsidRPr="003F3B3B">
        <w:rPr>
          <w:highlight w:val="yellow"/>
        </w:rPr>
        <w:t>.</w:t>
      </w:r>
    </w:p>
    <w:p w14:paraId="7061B6FF" w14:textId="77777777" w:rsidR="000E4ECA" w:rsidRPr="003F3B3B" w:rsidRDefault="000E4ECA" w:rsidP="000E4ECA">
      <w:pPr>
        <w:pStyle w:val="ListParagraph"/>
        <w:ind w:leftChars="0" w:left="0"/>
        <w:contextualSpacing/>
        <w:rPr>
          <w:highlight w:val="yellow"/>
        </w:rPr>
      </w:pPr>
    </w:p>
    <w:p w14:paraId="6410C71D" w14:textId="4D85C03F" w:rsidR="002B27DA" w:rsidRPr="003F3B3B" w:rsidRDefault="000E4ECA" w:rsidP="000E4ECA">
      <w:pPr>
        <w:pStyle w:val="ListParagraph"/>
        <w:ind w:leftChars="0" w:left="0"/>
        <w:contextualSpacing/>
        <w:rPr>
          <w:highlight w:val="yellow"/>
        </w:rPr>
      </w:pPr>
      <w:r w:rsidRPr="003F3B3B">
        <w:rPr>
          <w:highlight w:val="yellow"/>
        </w:rPr>
        <w:t>NOTE</w:t>
      </w:r>
      <w:r w:rsidR="00E65EE6" w:rsidRPr="003F3B3B">
        <w:rPr>
          <w:highlight w:val="yellow"/>
        </w:rPr>
        <w:t xml:space="preserve">: </w:t>
      </w:r>
      <w:r w:rsidR="00663A76" w:rsidRPr="003F3B3B">
        <w:rPr>
          <w:highlight w:val="yellow"/>
        </w:rPr>
        <w:t>The intensity distribution pattern is called an ionization channeling pattern (ICP)</w:t>
      </w:r>
      <w:r w:rsidR="00AD3CD1" w:rsidRPr="003F3B3B">
        <w:rPr>
          <w:highlight w:val="yellow"/>
        </w:rPr>
        <w:t>.</w:t>
      </w:r>
      <w:r w:rsidR="00663A76" w:rsidRPr="003F3B3B">
        <w:rPr>
          <w:highlight w:val="yellow"/>
        </w:rPr>
        <w:t xml:space="preserve"> </w:t>
      </w:r>
    </w:p>
    <w:p w14:paraId="187B58CA" w14:textId="77777777" w:rsidR="002B27DA" w:rsidRPr="003F3B3B" w:rsidRDefault="002B27DA" w:rsidP="002B27DA">
      <w:pPr>
        <w:pStyle w:val="ListParagraph"/>
        <w:ind w:leftChars="0" w:left="0"/>
        <w:contextualSpacing/>
        <w:rPr>
          <w:highlight w:val="yellow"/>
        </w:rPr>
      </w:pPr>
    </w:p>
    <w:p w14:paraId="6A13904C" w14:textId="33D33EFD" w:rsidR="00086B22" w:rsidRPr="003F3B3B" w:rsidRDefault="00E65EE6" w:rsidP="002B27DA">
      <w:pPr>
        <w:pStyle w:val="ListParagraph"/>
        <w:numPr>
          <w:ilvl w:val="2"/>
          <w:numId w:val="16"/>
        </w:numPr>
        <w:ind w:leftChars="0" w:left="0" w:firstLine="0"/>
        <w:contextualSpacing/>
        <w:rPr>
          <w:highlight w:val="yellow"/>
        </w:rPr>
      </w:pPr>
      <w:r w:rsidRPr="003F3B3B">
        <w:rPr>
          <w:highlight w:val="yellow"/>
        </w:rPr>
        <w:t xml:space="preserve">Use </w:t>
      </w:r>
      <w:r w:rsidR="000E4ECA" w:rsidRPr="003F3B3B">
        <w:rPr>
          <w:highlight w:val="yellow"/>
        </w:rPr>
        <w:t xml:space="preserve">the </w:t>
      </w:r>
      <w:r w:rsidR="009E5268" w:rsidRPr="003F3B3B">
        <w:rPr>
          <w:b/>
          <w:bCs/>
          <w:highlight w:val="yellow"/>
        </w:rPr>
        <w:t xml:space="preserve">Line </w:t>
      </w:r>
      <w:r w:rsidR="000344EB" w:rsidRPr="003F3B3B">
        <w:rPr>
          <w:b/>
          <w:bCs/>
          <w:highlight w:val="yellow"/>
        </w:rPr>
        <w:t>S</w:t>
      </w:r>
      <w:r w:rsidR="009E5268" w:rsidRPr="003F3B3B">
        <w:rPr>
          <w:b/>
          <w:bCs/>
          <w:highlight w:val="yellow"/>
        </w:rPr>
        <w:t>can</w:t>
      </w:r>
      <w:r w:rsidR="009E5268" w:rsidRPr="003F3B3B">
        <w:rPr>
          <w:highlight w:val="yellow"/>
        </w:rPr>
        <w:t xml:space="preserve"> function</w:t>
      </w:r>
      <w:r w:rsidR="00AD3CD1" w:rsidRPr="003F3B3B">
        <w:rPr>
          <w:highlight w:val="yellow"/>
        </w:rPr>
        <w:t xml:space="preserve"> in </w:t>
      </w:r>
      <w:r w:rsidR="00B338CE" w:rsidRPr="003F3B3B">
        <w:rPr>
          <w:b/>
          <w:bCs/>
          <w:highlight w:val="yellow"/>
        </w:rPr>
        <w:t xml:space="preserve">Figure </w:t>
      </w:r>
      <w:r w:rsidR="00AD3CD1" w:rsidRPr="003F3B3B">
        <w:rPr>
          <w:b/>
          <w:bCs/>
          <w:highlight w:val="yellow"/>
        </w:rPr>
        <w:t>5</w:t>
      </w:r>
      <w:r w:rsidR="001A05E0" w:rsidRPr="003F3B3B">
        <w:rPr>
          <w:highlight w:val="yellow"/>
        </w:rPr>
        <w:t xml:space="preserve"> </w:t>
      </w:r>
      <w:r w:rsidRPr="003F3B3B">
        <w:rPr>
          <w:highlight w:val="yellow"/>
        </w:rPr>
        <w:t>for</w:t>
      </w:r>
      <w:r w:rsidR="009E5268" w:rsidRPr="003F3B3B">
        <w:rPr>
          <w:highlight w:val="yellow"/>
        </w:rPr>
        <w:t xml:space="preserve"> </w:t>
      </w:r>
      <w:r w:rsidR="00663A76" w:rsidRPr="003F3B3B">
        <w:rPr>
          <w:rFonts w:eastAsia="MS Mincho"/>
          <w:highlight w:val="yellow"/>
        </w:rPr>
        <w:t>the 1D tilting measurement of a systematic row of reflections.</w:t>
      </w:r>
      <w:r w:rsidR="00700B28" w:rsidRPr="003F3B3B">
        <w:rPr>
          <w:highlight w:val="yellow"/>
        </w:rPr>
        <w:t xml:space="preserve"> </w:t>
      </w:r>
      <w:r w:rsidR="00F7536D" w:rsidRPr="003F3B3B">
        <w:rPr>
          <w:highlight w:val="yellow"/>
        </w:rPr>
        <w:t>Yellow arrow appears in</w:t>
      </w:r>
      <w:r w:rsidR="00663A76" w:rsidRPr="003F3B3B">
        <w:rPr>
          <w:highlight w:val="yellow"/>
        </w:rPr>
        <w:t xml:space="preserve"> the</w:t>
      </w:r>
      <w:r w:rsidR="00F7536D" w:rsidRPr="003F3B3B">
        <w:rPr>
          <w:highlight w:val="yellow"/>
        </w:rPr>
        <w:t xml:space="preserve"> ECP preview to specify the measuring range, as shown in </w:t>
      </w:r>
      <w:r w:rsidR="00663A76" w:rsidRPr="003F3B3B">
        <w:rPr>
          <w:rFonts w:eastAsia="MS Mincho"/>
          <w:highlight w:val="yellow"/>
        </w:rPr>
        <w:t xml:space="preserve">the upper left panel in </w:t>
      </w:r>
      <w:r w:rsidR="00663A76" w:rsidRPr="003F3B3B">
        <w:rPr>
          <w:rFonts w:eastAsia="MS Mincho"/>
          <w:b/>
          <w:bCs/>
          <w:highlight w:val="yellow"/>
        </w:rPr>
        <w:t xml:space="preserve">Figure </w:t>
      </w:r>
      <w:r w:rsidR="00AD3CD1" w:rsidRPr="003F3B3B">
        <w:rPr>
          <w:b/>
          <w:bCs/>
          <w:highlight w:val="yellow"/>
        </w:rPr>
        <w:t>5</w:t>
      </w:r>
      <w:r w:rsidR="00663A76" w:rsidRPr="003F3B3B">
        <w:rPr>
          <w:highlight w:val="yellow"/>
        </w:rPr>
        <w:t>.</w:t>
      </w:r>
      <w:r w:rsidR="00F7536D" w:rsidRPr="003F3B3B">
        <w:rPr>
          <w:highlight w:val="yellow"/>
        </w:rPr>
        <w:t xml:space="preserve"> </w:t>
      </w:r>
      <w:r w:rsidR="000E4ECA" w:rsidRPr="003F3B3B">
        <w:rPr>
          <w:highlight w:val="yellow"/>
        </w:rPr>
        <w:t>Stop</w:t>
      </w:r>
      <w:r w:rsidR="00700B28" w:rsidRPr="003F3B3B">
        <w:rPr>
          <w:highlight w:val="yellow"/>
        </w:rPr>
        <w:t xml:space="preserve"> measurement</w:t>
      </w:r>
      <w:r w:rsidR="000E4ECA" w:rsidRPr="003F3B3B">
        <w:rPr>
          <w:highlight w:val="yellow"/>
        </w:rPr>
        <w:t>s</w:t>
      </w:r>
      <w:r w:rsidR="00700B28" w:rsidRPr="003F3B3B">
        <w:rPr>
          <w:highlight w:val="yellow"/>
        </w:rPr>
        <w:t xml:space="preserve"> </w:t>
      </w:r>
      <w:r w:rsidR="000E4ECA" w:rsidRPr="003F3B3B">
        <w:rPr>
          <w:highlight w:val="yellow"/>
        </w:rPr>
        <w:t>when</w:t>
      </w:r>
      <w:r w:rsidR="00700B28" w:rsidRPr="003F3B3B">
        <w:rPr>
          <w:highlight w:val="yellow"/>
        </w:rPr>
        <w:t xml:space="preserve"> sufficient data statistics are obtained for ICPs.</w:t>
      </w:r>
    </w:p>
    <w:p w14:paraId="0B93A940" w14:textId="77777777" w:rsidR="006677FC" w:rsidRPr="000E4ECA" w:rsidRDefault="006677FC" w:rsidP="002B27DA">
      <w:pPr>
        <w:contextualSpacing/>
        <w:rPr>
          <w:b/>
          <w:bCs/>
        </w:rPr>
      </w:pPr>
    </w:p>
    <w:p w14:paraId="3AD0B678" w14:textId="0E4F6BE3" w:rsidR="00894515" w:rsidRPr="000E4ECA" w:rsidRDefault="00663A76" w:rsidP="002B27DA">
      <w:pPr>
        <w:pStyle w:val="ListParagraph"/>
        <w:numPr>
          <w:ilvl w:val="0"/>
          <w:numId w:val="13"/>
        </w:numPr>
        <w:ind w:leftChars="0" w:left="0" w:firstLine="0"/>
        <w:contextualSpacing/>
        <w:rPr>
          <w:b/>
          <w:bCs/>
        </w:rPr>
      </w:pPr>
      <w:r w:rsidRPr="000E4ECA">
        <w:rPr>
          <w:b/>
          <w:bCs/>
        </w:rPr>
        <w:t>Data analysis for quantification</w:t>
      </w:r>
    </w:p>
    <w:p w14:paraId="1E6C0A87" w14:textId="77777777" w:rsidR="002B27DA" w:rsidRPr="002B27DA" w:rsidRDefault="002B27DA" w:rsidP="002B27DA">
      <w:pPr>
        <w:adjustRightInd w:val="0"/>
        <w:contextualSpacing/>
      </w:pPr>
    </w:p>
    <w:p w14:paraId="197B56CF" w14:textId="37393594" w:rsidR="002B27DA" w:rsidRPr="002B27DA" w:rsidRDefault="002B27DA" w:rsidP="002B27DA">
      <w:pPr>
        <w:adjustRightInd w:val="0"/>
        <w:contextualSpacing/>
        <w:rPr>
          <w:vertAlign w:val="superscript"/>
        </w:rPr>
      </w:pPr>
      <w:r w:rsidRPr="002B27DA">
        <w:t xml:space="preserve">3.1. </w:t>
      </w:r>
      <w:r>
        <w:t>Express</w:t>
      </w:r>
      <w:r w:rsidR="00663A76" w:rsidRPr="002B27DA">
        <w:t xml:space="preserve"> X-ray intensity </w:t>
      </w:r>
      <w:proofErr w:type="spellStart"/>
      <w:r w:rsidR="00663A76" w:rsidRPr="002B27DA">
        <w:rPr>
          <w:i/>
        </w:rPr>
        <w:t>I</w:t>
      </w:r>
      <w:r w:rsidR="00663A76" w:rsidRPr="002B27DA">
        <w:rPr>
          <w:i/>
          <w:vertAlign w:val="subscript"/>
        </w:rPr>
        <w:t>x</w:t>
      </w:r>
      <w:proofErr w:type="spellEnd"/>
      <w:r w:rsidR="00663A76" w:rsidRPr="002B27DA">
        <w:t xml:space="preserve"> for impurity </w:t>
      </w:r>
      <w:r w:rsidR="00663A76" w:rsidRPr="002B27DA">
        <w:rPr>
          <w:i/>
        </w:rPr>
        <w:t>x</w:t>
      </w:r>
      <w:r w:rsidR="00663A76" w:rsidRPr="002B27DA">
        <w:t xml:space="preserve"> in the following form as a function of X-ray intensity </w:t>
      </w:r>
      <w:r w:rsidR="00663A76" w:rsidRPr="002B27DA">
        <w:rPr>
          <w:i/>
        </w:rPr>
        <w:t>I</w:t>
      </w:r>
      <w:r w:rsidR="00663A76" w:rsidRPr="002B27DA">
        <w:rPr>
          <w:i/>
          <w:vertAlign w:val="subscript"/>
        </w:rPr>
        <w:t>i</w:t>
      </w:r>
      <w:r w:rsidR="00663A76" w:rsidRPr="002B27DA">
        <w:t xml:space="preserve"> of host element </w:t>
      </w:r>
      <w:r w:rsidR="00663A76" w:rsidRPr="002B27DA">
        <w:rPr>
          <w:i/>
        </w:rPr>
        <w:t>i</w:t>
      </w:r>
      <w:r w:rsidR="00663A76" w:rsidRPr="002B27DA">
        <w:t>,</w:t>
      </w:r>
      <w:r w:rsidR="001362F1" w:rsidRPr="002B27DA">
        <w:rPr>
          <w:vertAlign w:val="superscript"/>
        </w:rPr>
        <w:t>12</w:t>
      </w:r>
    </w:p>
    <w:p w14:paraId="17F21213" w14:textId="77777777" w:rsidR="001248BA" w:rsidRPr="002B27DA" w:rsidRDefault="001248BA" w:rsidP="002B27DA">
      <w:pPr>
        <w:contextualSpacing/>
      </w:pPr>
    </w:p>
    <w:p w14:paraId="3CAC2C8F" w14:textId="77777777" w:rsidR="003E3AE2" w:rsidRPr="002B27DA" w:rsidRDefault="00163796" w:rsidP="002B27DA">
      <w:pPr>
        <w:adjustRightInd w:val="0"/>
        <w:contextualSpacing/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sub>
                          </m:sSub>
                        </m:e>
                      </m:nary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β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                          (1)</m:t>
          </m:r>
        </m:oMath>
      </m:oMathPara>
    </w:p>
    <w:p w14:paraId="343632A1" w14:textId="77777777" w:rsidR="001248BA" w:rsidRPr="002B27DA" w:rsidRDefault="00663A76" w:rsidP="002B27DA">
      <w:pPr>
        <w:adjustRightInd w:val="0"/>
        <w:contextualSpacing/>
      </w:pPr>
      <w:r w:rsidRPr="002B27DA">
        <w:t xml:space="preserve">where </w:t>
      </w:r>
    </w:p>
    <w:p w14:paraId="1E412BAC" w14:textId="77777777" w:rsidR="008C501E" w:rsidRPr="002B27DA" w:rsidRDefault="00163796" w:rsidP="002B27DA">
      <w:pPr>
        <w:adjustRightInd w:val="0"/>
        <w:contextualSpacing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α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</m:e>
                  </m:nary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                                                               (2)</m:t>
          </m:r>
        </m:oMath>
      </m:oMathPara>
    </w:p>
    <w:p w14:paraId="6B0BADF3" w14:textId="77777777" w:rsidR="002B27DA" w:rsidRDefault="002B27DA" w:rsidP="002B27DA">
      <w:pPr>
        <w:adjustRightInd w:val="0"/>
        <w:contextualSpacing/>
      </w:pPr>
    </w:p>
    <w:p w14:paraId="45352F83" w14:textId="4C682728" w:rsidR="00EA1E4B" w:rsidRPr="002B27DA" w:rsidRDefault="002B27DA" w:rsidP="002B27DA">
      <w:pPr>
        <w:adjustRightInd w:val="0"/>
        <w:contextualSpacing/>
      </w:pPr>
      <w:r>
        <w:t xml:space="preserve">NOTE: </w:t>
      </w:r>
      <w:r w:rsidR="00663A76" w:rsidRPr="002B27DA">
        <w:t>Here</w:t>
      </w:r>
      <w:r w:rsidR="00663A76" w:rsidRPr="002B27DA">
        <w:rPr>
          <w:rFonts w:eastAsia="MS Mincho"/>
          <w:i/>
        </w:rPr>
        <w:t xml:space="preserve">, </w:t>
      </w:r>
      <w:r w:rsidR="00663A76" w:rsidRPr="002B27DA">
        <w:rPr>
          <w:i/>
        </w:rPr>
        <w:t>f</w:t>
      </w:r>
      <w:r w:rsidR="00663A76" w:rsidRPr="002B27DA">
        <w:rPr>
          <w:i/>
          <w:vertAlign w:val="subscript"/>
        </w:rPr>
        <w:t>ix</w:t>
      </w:r>
      <w:r w:rsidR="00663A76" w:rsidRPr="002B27DA">
        <w:t xml:space="preserve"> is the fractional occupancy of impurity </w:t>
      </w:r>
      <w:r w:rsidR="00663A76" w:rsidRPr="002B27DA">
        <w:rPr>
          <w:i/>
        </w:rPr>
        <w:t>x</w:t>
      </w:r>
      <w:r w:rsidR="00663A76" w:rsidRPr="002B27DA">
        <w:t xml:space="preserve"> on the type </w:t>
      </w:r>
      <w:r w:rsidR="00663A76" w:rsidRPr="002B27DA">
        <w:rPr>
          <w:i/>
        </w:rPr>
        <w:t>i</w:t>
      </w:r>
      <w:r w:rsidR="00663A76" w:rsidRPr="002B27DA">
        <w:t xml:space="preserve"> host site, </w:t>
      </w:r>
      <w:r w:rsidR="00663A76" w:rsidRPr="002B27DA">
        <w:rPr>
          <w:i/>
        </w:rPr>
        <w:t>c</w:t>
      </w:r>
      <w:r w:rsidR="00663A76" w:rsidRPr="002B27DA">
        <w:rPr>
          <w:i/>
          <w:vertAlign w:val="subscript"/>
        </w:rPr>
        <w:t>x</w:t>
      </w:r>
      <w:r w:rsidR="00663A76" w:rsidRPr="002B27DA">
        <w:t xml:space="preserve"> is the concentration of impurity </w:t>
      </w:r>
      <w:r w:rsidR="00663A76" w:rsidRPr="002B27DA">
        <w:rPr>
          <w:i/>
        </w:rPr>
        <w:t>x</w:t>
      </w:r>
      <w:r w:rsidR="00663A76" w:rsidRPr="002B27DA">
        <w:t xml:space="preserve">, </w:t>
      </w:r>
      <w:r w:rsidR="00663A76" w:rsidRPr="002B27DA">
        <w:rPr>
          <w:rFonts w:eastAsia="MS Mincho"/>
          <w:i/>
        </w:rPr>
        <w:t xml:space="preserve">and </w:t>
      </w:r>
      <w:r w:rsidR="00663A76" w:rsidRPr="002B27DA">
        <w:rPr>
          <w:i/>
        </w:rPr>
        <w:t>n</w:t>
      </w:r>
      <w:r w:rsidR="00663A76" w:rsidRPr="002B27DA">
        <w:rPr>
          <w:i/>
          <w:vertAlign w:val="subscript"/>
        </w:rPr>
        <w:t>i</w:t>
      </w:r>
      <w:r w:rsidR="00663A76" w:rsidRPr="002B27DA">
        <w:t xml:space="preserve"> is the fractional concentration of the type </w:t>
      </w:r>
      <w:r w:rsidR="00663A76" w:rsidRPr="002B27DA">
        <w:rPr>
          <w:i/>
        </w:rPr>
        <w:t>i</w:t>
      </w:r>
      <w:r w:rsidR="00663A76" w:rsidRPr="002B27DA">
        <w:t xml:space="preserve"> host element</w:t>
      </w:r>
      <w:r w:rsidR="00663A76" w:rsidRPr="002B27DA">
        <w:rPr>
          <w:i/>
        </w:rPr>
        <w:t xml:space="preserve"> </w:t>
      </w:r>
      <w:r w:rsidR="00663A76" w:rsidRPr="002B27DA">
        <w:t xml:space="preserve">among the total host sites prior to </w:t>
      </w:r>
      <w:r w:rsidR="00663A76" w:rsidRPr="002B27DA">
        <w:rPr>
          <w:rFonts w:eastAsia="MS Mincho"/>
        </w:rPr>
        <w:t xml:space="preserve">the accommodation of impurity atoms of type </w:t>
      </w:r>
      <w:r w:rsidR="00663A76" w:rsidRPr="002B27DA">
        <w:rPr>
          <w:i/>
        </w:rPr>
        <w:t>x</w:t>
      </w:r>
      <w:r w:rsidR="00663A76" w:rsidRPr="002B27DA">
        <w:t xml:space="preserve">. </w:t>
      </w:r>
      <w:r w:rsidR="00663A76" w:rsidRPr="002B27DA">
        <w:rPr>
          <w:i/>
        </w:rPr>
        <w:t>k</w:t>
      </w:r>
      <w:r w:rsidR="00663A76" w:rsidRPr="002B27DA">
        <w:rPr>
          <w:i/>
          <w:vertAlign w:val="subscript"/>
        </w:rPr>
        <w:t>i</w:t>
      </w:r>
      <w:r w:rsidR="00663A76" w:rsidRPr="002B27DA">
        <w:t xml:space="preserve"> is the k-factor of the type </w:t>
      </w:r>
      <w:r w:rsidR="00663A76" w:rsidRPr="002B27DA">
        <w:rPr>
          <w:i/>
        </w:rPr>
        <w:t>i</w:t>
      </w:r>
      <w:r w:rsidR="00663A76" w:rsidRPr="002B27DA">
        <w:t xml:space="preserve"> host element</w:t>
      </w:r>
      <w:r w:rsidR="00663A76" w:rsidRPr="002B27DA">
        <w:rPr>
          <w:rFonts w:eastAsia="MS Mincho"/>
          <w:i/>
        </w:rPr>
        <w:t xml:space="preserve">, and </w:t>
      </w:r>
      <w:r w:rsidR="00663A76" w:rsidRPr="002B27DA">
        <w:rPr>
          <w:i/>
        </w:rPr>
        <w:t>F</w:t>
      </w:r>
      <w:r w:rsidR="00663A76" w:rsidRPr="002B27DA">
        <w:rPr>
          <w:i/>
          <w:vertAlign w:val="subscript"/>
        </w:rPr>
        <w:t>i</w:t>
      </w:r>
      <w:r w:rsidR="00663A76" w:rsidRPr="002B27DA">
        <w:t xml:space="preserve"> is the multiplicative factor per atom to scale the ionization cross-section under kinematic diffraction conditions to that observed under dynamic</w:t>
      </w:r>
      <w:r w:rsidR="007F69B5" w:rsidRPr="002B27DA">
        <w:t>al diffraction</w:t>
      </w:r>
      <w:r w:rsidR="00663A76" w:rsidRPr="002B27DA">
        <w:t xml:space="preserve"> conditions</w:t>
      </w:r>
      <w:r w:rsidR="008C6B7D" w:rsidRPr="002B27DA">
        <w:t>.</w:t>
      </w:r>
      <w:r w:rsidR="002514B4" w:rsidRPr="002B27DA">
        <w:t xml:space="preserve"> The additional constant offset </w:t>
      </w:r>
      <w:r w:rsidR="002514B4" w:rsidRPr="002B27DA">
        <w:rPr>
          <w:i/>
        </w:rPr>
        <w:sym w:font="Symbol" w:char="F062"/>
      </w:r>
      <w:r w:rsidR="002514B4" w:rsidRPr="002B27DA">
        <w:rPr>
          <w:i/>
          <w:vertAlign w:val="subscript"/>
        </w:rPr>
        <w:t>x</w:t>
      </w:r>
      <w:r w:rsidR="002514B4" w:rsidRPr="002B27DA">
        <w:t xml:space="preserve"> has been introduced as an extra fitted parameter to account for differences in interaction delocalization and errors in background subtractions. </w:t>
      </w:r>
      <w:r w:rsidR="002514B4" w:rsidRPr="002B27DA">
        <w:rPr>
          <w:i/>
        </w:rPr>
        <w:sym w:font="Symbol" w:char="F061"/>
      </w:r>
      <w:r w:rsidR="002514B4" w:rsidRPr="002B27DA">
        <w:rPr>
          <w:i/>
          <w:vertAlign w:val="subscript"/>
        </w:rPr>
        <w:t>ix</w:t>
      </w:r>
      <w:r w:rsidR="002514B4" w:rsidRPr="002B27DA">
        <w:t xml:space="preserve"> can be derived from Eq. (1) by multivariate linear regression</w:t>
      </w:r>
      <w:r w:rsidR="001362F1" w:rsidRPr="002B27DA">
        <w:t xml:space="preserve"> for many </w:t>
      </w:r>
      <w:r w:rsidR="007F69B5" w:rsidRPr="002B27DA">
        <w:t xml:space="preserve">sampling points </w:t>
      </w:r>
      <w:r w:rsidR="001362F1" w:rsidRPr="002B27DA">
        <w:t>of the ICP</w:t>
      </w:r>
      <w:r w:rsidR="00663A76" w:rsidRPr="002B27DA">
        <w:rPr>
          <w:rFonts w:eastAsia="MS Mincho"/>
        </w:rPr>
        <w:t xml:space="preserve"> X-ray intensities</w:t>
      </w:r>
      <w:r w:rsidR="002514B4" w:rsidRPr="002B27DA">
        <w:t>.</w:t>
      </w:r>
    </w:p>
    <w:p w14:paraId="246CA01D" w14:textId="77777777" w:rsidR="001362F1" w:rsidRPr="002B27DA" w:rsidRDefault="001362F1" w:rsidP="002B27DA">
      <w:pPr>
        <w:autoSpaceDE w:val="0"/>
        <w:autoSpaceDN w:val="0"/>
        <w:adjustRightInd w:val="0"/>
        <w:contextualSpacing/>
      </w:pPr>
    </w:p>
    <w:p w14:paraId="7647451C" w14:textId="43945DF0" w:rsidR="001248BA" w:rsidRPr="002B27DA" w:rsidRDefault="002B27DA" w:rsidP="002B27DA">
      <w:pPr>
        <w:autoSpaceDE w:val="0"/>
        <w:autoSpaceDN w:val="0"/>
        <w:adjustRightInd w:val="0"/>
        <w:contextualSpacing/>
      </w:pPr>
      <w:r>
        <w:t>3.2. Derive</w:t>
      </w:r>
      <w:r w:rsidR="00663A76" w:rsidRPr="002B27DA">
        <w:t xml:space="preserve"> </w:t>
      </w:r>
      <w:r w:rsidR="00663A76" w:rsidRPr="002B27DA">
        <w:rPr>
          <w:i/>
        </w:rPr>
        <w:t>c</w:t>
      </w:r>
      <w:r w:rsidR="00663A76" w:rsidRPr="002B27DA">
        <w:rPr>
          <w:i/>
          <w:vertAlign w:val="subscript"/>
        </w:rPr>
        <w:t>x</w:t>
      </w:r>
      <w:r w:rsidR="00663A76" w:rsidRPr="002B27DA">
        <w:t xml:space="preserve"> and </w:t>
      </w:r>
      <w:r w:rsidR="00663A76" w:rsidRPr="002B27DA">
        <w:rPr>
          <w:i/>
        </w:rPr>
        <w:t>f</w:t>
      </w:r>
      <w:r w:rsidR="00663A76" w:rsidRPr="002B27DA">
        <w:rPr>
          <w:i/>
          <w:vertAlign w:val="subscript"/>
        </w:rPr>
        <w:t>ix</w:t>
      </w:r>
      <w:r w:rsidR="00663A76" w:rsidRPr="002B27DA">
        <w:t xml:space="preserve"> </w:t>
      </w:r>
      <w:r w:rsidR="00663A76" w:rsidRPr="002B27DA">
        <w:rPr>
          <w:rFonts w:eastAsia="MS Mincho"/>
        </w:rPr>
        <w:t>utilizing</w:t>
      </w:r>
      <w:r w:rsidR="002217CB" w:rsidRPr="002B27DA">
        <w:rPr>
          <w:rFonts w:eastAsia="MS Mincho"/>
        </w:rPr>
        <w:t xml:space="preserve"> the condition</w:t>
      </w:r>
      <w:r w:rsidR="00D8422E" w:rsidRPr="002B27DA">
        <w:t xml:space="preserve"> </w:t>
      </w:r>
      <m:oMath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ix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</w:rPr>
          <m:t>=1</m:t>
        </m:r>
      </m:oMath>
      <w:r w:rsidR="00663A76" w:rsidRPr="002B27DA">
        <w:t xml:space="preserve"> as</w:t>
      </w:r>
      <w:r w:rsidR="00EA1E4B" w:rsidRPr="002B27DA">
        <w:rPr>
          <w:vertAlign w:val="superscript"/>
        </w:rPr>
        <w:t>12</w:t>
      </w:r>
    </w:p>
    <w:p w14:paraId="27333570" w14:textId="77777777" w:rsidR="00E45D69" w:rsidRPr="002B27DA" w:rsidRDefault="00163796" w:rsidP="002B27DA">
      <w:pPr>
        <w:autoSpaceDE w:val="0"/>
        <w:autoSpaceDN w:val="0"/>
        <w:adjustRightInd w:val="0"/>
        <w:contextualSpacing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ix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chr m:val="∑"/>
                          <m:limLoc m:val="undOvr"/>
                          <m:supHide m:val="1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α</m:t>
                  </m:r>
                </m:e>
                <m:sub>
                  <m:r>
                    <w:rPr>
                      <w:rFonts w:ascii="Cambria Math" w:hAnsi="Cambria Math"/>
                    </w:rPr>
                    <m:t>ix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den>
                  </m:f>
                </m:e>
              </m:d>
            </m:den>
          </m:f>
          <m:r>
            <w:rPr>
              <w:rFonts w:ascii="Cambria Math" w:hAnsi="Cambria Math"/>
            </w:rPr>
            <m:t>.          (3)</m:t>
          </m:r>
        </m:oMath>
      </m:oMathPara>
    </w:p>
    <w:p w14:paraId="7295E3AC" w14:textId="77777777" w:rsidR="001248BA" w:rsidRPr="002B27DA" w:rsidRDefault="00663A76" w:rsidP="002B27DA">
      <w:pPr>
        <w:adjustRightInd w:val="0"/>
        <w:contextualSpacing/>
      </w:pPr>
      <w:r w:rsidRPr="002B27DA">
        <w:t xml:space="preserve">The uncertainties in </w:t>
      </w:r>
      <w:r w:rsidRPr="002B27DA">
        <w:rPr>
          <w:i/>
        </w:rPr>
        <w:t>c</w:t>
      </w:r>
      <w:r w:rsidRPr="002B27DA">
        <w:rPr>
          <w:i/>
          <w:vertAlign w:val="subscript"/>
        </w:rPr>
        <w:t>x</w:t>
      </w:r>
      <w:r w:rsidRPr="002B27DA">
        <w:t xml:space="preserve"> and </w:t>
      </w:r>
      <w:r w:rsidRPr="002B27DA">
        <w:rPr>
          <w:i/>
        </w:rPr>
        <w:t>f</w:t>
      </w:r>
      <w:r w:rsidRPr="002B27DA">
        <w:rPr>
          <w:i/>
          <w:vertAlign w:val="subscript"/>
        </w:rPr>
        <w:t>ix</w:t>
      </w:r>
      <w:r w:rsidRPr="002B27DA">
        <w:t xml:space="preserve"> for multiple impurities are readily </w:t>
      </w:r>
      <w:r w:rsidR="00AB0230" w:rsidRPr="002B27DA">
        <w:t>deriv</w:t>
      </w:r>
      <w:r w:rsidRPr="002B27DA">
        <w:t>ed from the error propagation principle:</w:t>
      </w:r>
    </w:p>
    <w:p w14:paraId="7B4C4374" w14:textId="77777777" w:rsidR="00CB4278" w:rsidRPr="002B27DA" w:rsidRDefault="00163796" w:rsidP="002B27DA">
      <w:pPr>
        <w:adjustRightInd w:val="0"/>
        <w:contextualSpacing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α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ix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nary>
                                    <m:naryPr>
                                      <m:chr m:val="∑"/>
                                      <m:limLoc m:val="undOvr"/>
                                      <m:supHide m:val="1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naryPr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sub>
                                    <m:sup/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α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ix</m:t>
                                          </m:r>
                                        </m:sub>
                                      </m:sSub>
                                    </m:e>
                                  </m:nary>
                                  <m: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f>
                                    <m:fPr>
                                      <m:type m:val="lin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fPr>
                                    <m:num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</m:num>
                                    <m:den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k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sub>
                                      </m:sSub>
                                    </m:den>
                                  </m:f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  <m:sup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ix</m:t>
                                      </m:r>
                                    </m:sub>
                                  </m:sSub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,   (4)</m:t>
          </m:r>
        </m:oMath>
      </m:oMathPara>
    </w:p>
    <w:p w14:paraId="37C4B0A7" w14:textId="77777777" w:rsidR="009D2164" w:rsidRPr="002B27DA" w:rsidRDefault="00663A76" w:rsidP="002B27DA">
      <w:pPr>
        <w:adjustRightInd w:val="0"/>
        <w:contextualSpacing/>
      </w:pPr>
      <w:r w:rsidRPr="002B27DA">
        <w:t>and</w:t>
      </w:r>
    </w:p>
    <w:p w14:paraId="0FB9C5B8" w14:textId="77777777" w:rsidR="009D2164" w:rsidRPr="002B27DA" w:rsidRDefault="00163796" w:rsidP="002B27DA">
      <w:pPr>
        <w:adjustRightInd w:val="0"/>
        <w:contextualSpacing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x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nary>
                                <m:naryPr>
                                  <m:chr m:val="∑"/>
                                  <m:limLoc m:val="undOvr"/>
                                  <m:sup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  <m:sup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α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ix</m:t>
                                      </m:r>
                                    </m:sub>
                                  </m:sSub>
                                </m:e>
                              </m:nary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ix</m:t>
                                  </m:r>
                                </m:sub>
                              </m:sSub>
                            </m:e>
                          </m:nary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δ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ix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ix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limLoc m:val="undOvr"/>
                              <m:sup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sub>
                            <m:sup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α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ix</m:t>
                                  </m:r>
                                </m:sub>
                              </m:sSub>
                            </m:e>
                          </m:nary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                              (5)</m:t>
          </m:r>
        </m:oMath>
      </m:oMathPara>
    </w:p>
    <w:p w14:paraId="64E2EF85" w14:textId="77777777" w:rsidR="001248BA" w:rsidRPr="002B27DA" w:rsidRDefault="00663A76" w:rsidP="002B27DA">
      <w:pPr>
        <w:contextualSpacing/>
      </w:pPr>
      <w:r w:rsidRPr="002B27DA">
        <w:t xml:space="preserve">where </w:t>
      </w:r>
      <m:oMath>
        <m: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ix</m:t>
            </m:r>
          </m:sub>
        </m:sSub>
      </m:oMath>
      <w:r w:rsidRPr="002B27DA">
        <w:t xml:space="preserve"> is</w:t>
      </w:r>
      <w:r w:rsidR="001362F1" w:rsidRPr="002B27DA">
        <w:t xml:space="preserve"> the statistical error obtained in the linear regression from Eq. (1</w:t>
      </w:r>
      <w:proofErr w:type="gramStart"/>
      <w:r w:rsidR="001362F1" w:rsidRPr="002B27DA">
        <w:t>).</w:t>
      </w:r>
      <w:proofErr w:type="gramEnd"/>
    </w:p>
    <w:p w14:paraId="710BACB0" w14:textId="77777777" w:rsidR="009D2164" w:rsidRPr="002B27DA" w:rsidRDefault="009D2164" w:rsidP="002B27DA">
      <w:pPr>
        <w:contextualSpacing/>
      </w:pPr>
    </w:p>
    <w:p w14:paraId="67ECC0F0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 xml:space="preserve">REPRESENTATIVE RESULTS: </w:t>
      </w:r>
    </w:p>
    <w:p w14:paraId="00B2B1B3" w14:textId="1AE981EF" w:rsidR="00455C78" w:rsidRDefault="00663A76" w:rsidP="002B27DA">
      <w:pPr>
        <w:adjustRightInd w:val="0"/>
        <w:contextualSpacing/>
      </w:pPr>
      <w:r w:rsidRPr="002B27DA">
        <w:t>The experimental ECP for BaTiO</w:t>
      </w:r>
      <w:r w:rsidRPr="002B27DA">
        <w:rPr>
          <w:vertAlign w:val="subscript"/>
        </w:rPr>
        <w:t>3</w:t>
      </w:r>
      <w:r w:rsidRPr="002B27DA">
        <w:t xml:space="preserve"> and ICPs of Ba-L, Ti-K</w:t>
      </w:r>
      <w:r w:rsidRPr="002B27DA">
        <w:rPr>
          <w:vertAlign w:val="subscript"/>
        </w:rPr>
        <w:sym w:font="Symbol" w:char="F061"/>
      </w:r>
      <w:r w:rsidRPr="002B27DA">
        <w:t>, and O-K</w:t>
      </w:r>
      <w:r w:rsidRPr="002B27DA">
        <w:rPr>
          <w:vertAlign w:val="subscript"/>
        </w:rPr>
        <w:sym w:font="Symbol" w:char="F061"/>
      </w:r>
      <w:r w:rsidRPr="002B27DA">
        <w:t xml:space="preserve"> </w:t>
      </w:r>
      <w:r w:rsidR="008C7E2F" w:rsidRPr="002B27DA">
        <w:t xml:space="preserve">near </w:t>
      </w:r>
      <w:r w:rsidRPr="002B27DA">
        <w:t xml:space="preserve">the [100] and [110] zone axes are shown in </w:t>
      </w:r>
      <w:r w:rsidRPr="003F3B3B">
        <w:rPr>
          <w:b/>
          <w:bCs/>
        </w:rPr>
        <w:t>Fig</w:t>
      </w:r>
      <w:r w:rsidR="004F6351" w:rsidRPr="003F3B3B">
        <w:rPr>
          <w:b/>
          <w:bCs/>
        </w:rPr>
        <w:t>ure</w:t>
      </w:r>
      <w:r w:rsidR="003F3B3B">
        <w:rPr>
          <w:b/>
          <w:bCs/>
        </w:rPr>
        <w:t xml:space="preserve"> </w:t>
      </w:r>
      <w:r w:rsidR="00AD3CD1" w:rsidRPr="003F3B3B">
        <w:rPr>
          <w:b/>
          <w:bCs/>
        </w:rPr>
        <w:t>6</w:t>
      </w:r>
      <w:r w:rsidR="003F3B3B" w:rsidRPr="003F3B3B">
        <w:rPr>
          <w:b/>
          <w:bCs/>
        </w:rPr>
        <w:t>A</w:t>
      </w:r>
      <w:r w:rsidRPr="003F3B3B">
        <w:rPr>
          <w:b/>
          <w:bCs/>
        </w:rPr>
        <w:t xml:space="preserve"> </w:t>
      </w:r>
      <w:r w:rsidRPr="003F3B3B">
        <w:t>and</w:t>
      </w:r>
      <w:r w:rsidRPr="003F3B3B">
        <w:rPr>
          <w:b/>
          <w:bCs/>
        </w:rPr>
        <w:t xml:space="preserve"> </w:t>
      </w:r>
      <w:r w:rsidR="003F3B3B" w:rsidRPr="003F3B3B">
        <w:rPr>
          <w:b/>
          <w:bCs/>
        </w:rPr>
        <w:t>Figure</w:t>
      </w:r>
      <w:r w:rsidR="003F3B3B">
        <w:rPr>
          <w:b/>
          <w:bCs/>
        </w:rPr>
        <w:t xml:space="preserve"> </w:t>
      </w:r>
      <w:r w:rsidR="003F3B3B" w:rsidRPr="003F3B3B">
        <w:rPr>
          <w:b/>
          <w:bCs/>
        </w:rPr>
        <w:t>6B</w:t>
      </w:r>
      <w:r w:rsidRPr="002B27DA">
        <w:t>, respectively.</w:t>
      </w:r>
      <w:r w:rsidR="004F6351" w:rsidRPr="002B27DA">
        <w:t xml:space="preserve"> </w:t>
      </w:r>
      <w:r w:rsidR="008C7E2F" w:rsidRPr="002B27DA">
        <w:t>E</w:t>
      </w:r>
      <w:r w:rsidR="006B50A1" w:rsidRPr="002B27DA">
        <w:t xml:space="preserve">ach constituent </w:t>
      </w:r>
      <w:r w:rsidR="00253D55" w:rsidRPr="002B27DA">
        <w:t xml:space="preserve">element </w:t>
      </w:r>
      <w:r w:rsidR="006B50A1" w:rsidRPr="002B27DA">
        <w:t>exhibit</w:t>
      </w:r>
      <w:r w:rsidR="00E30105" w:rsidRPr="002B27DA">
        <w:t>s</w:t>
      </w:r>
      <w:r w:rsidR="006B50A1" w:rsidRPr="002B27DA">
        <w:t xml:space="preserve"> a specific ICP</w:t>
      </w:r>
      <w:r w:rsidR="00E30105" w:rsidRPr="002B27DA">
        <w:t xml:space="preserve">, </w:t>
      </w:r>
      <w:r w:rsidR="008C7E2F" w:rsidRPr="002B27DA">
        <w:t xml:space="preserve">indicating </w:t>
      </w:r>
      <w:r w:rsidR="00E30105" w:rsidRPr="002B27DA">
        <w:t>that the ICP is atomic site-specific</w:t>
      </w:r>
      <w:r w:rsidR="002905B3" w:rsidRPr="002B27DA">
        <w:rPr>
          <w:vertAlign w:val="superscript"/>
        </w:rPr>
        <w:t>12</w:t>
      </w:r>
      <w:r w:rsidR="00E30105" w:rsidRPr="002B27DA">
        <w:t>.</w:t>
      </w:r>
    </w:p>
    <w:p w14:paraId="788B0C9A" w14:textId="77777777" w:rsidR="002B27DA" w:rsidRPr="002B27DA" w:rsidRDefault="002B27DA" w:rsidP="002B27DA">
      <w:pPr>
        <w:adjustRightInd w:val="0"/>
        <w:contextualSpacing/>
      </w:pPr>
    </w:p>
    <w:p w14:paraId="6257D2D4" w14:textId="214BB064" w:rsidR="00455C78" w:rsidRDefault="00663A76" w:rsidP="002B27DA">
      <w:pPr>
        <w:adjustRightInd w:val="0"/>
        <w:contextualSpacing/>
      </w:pPr>
      <w:r w:rsidRPr="002B27DA">
        <w:t>As a</w:t>
      </w:r>
      <w:r w:rsidR="00AB0230" w:rsidRPr="002B27DA">
        <w:t xml:space="preserve"> fundamental application example</w:t>
      </w:r>
      <w:r w:rsidRPr="002B27DA">
        <w:t xml:space="preserve">, </w:t>
      </w:r>
      <w:r w:rsidR="00C45CED" w:rsidRPr="002B27DA">
        <w:t>we examined</w:t>
      </w:r>
      <w:r w:rsidRPr="002B27DA">
        <w:t xml:space="preserve"> </w:t>
      </w:r>
      <w:r w:rsidR="00370DC3" w:rsidRPr="002B27DA">
        <w:t>Eu</w:t>
      </w:r>
      <w:r w:rsidR="00370DC3" w:rsidRPr="002B27DA">
        <w:rPr>
          <w:vertAlign w:val="superscript"/>
        </w:rPr>
        <w:t>3+</w:t>
      </w:r>
      <w:r w:rsidR="00370DC3" w:rsidRPr="002B27DA">
        <w:t>-doped Ca</w:t>
      </w:r>
      <w:r w:rsidR="00370DC3" w:rsidRPr="002B27DA">
        <w:rPr>
          <w:vertAlign w:val="subscript"/>
        </w:rPr>
        <w:t>2</w:t>
      </w:r>
      <w:r w:rsidR="00370DC3" w:rsidRPr="002B27DA">
        <w:t>SnO</w:t>
      </w:r>
      <w:r w:rsidR="00370DC3" w:rsidRPr="002B27DA">
        <w:rPr>
          <w:vertAlign w:val="subscript"/>
        </w:rPr>
        <w:t>4</w:t>
      </w:r>
      <w:r w:rsidRPr="002B27DA">
        <w:rPr>
          <w:rFonts w:eastAsia="MS Mincho"/>
        </w:rPr>
        <w:t>,</w:t>
      </w:r>
      <w:r w:rsidR="008C7E2F" w:rsidRPr="002B27DA">
        <w:t xml:space="preserve"> which</w:t>
      </w:r>
      <w:r w:rsidR="00370DC3" w:rsidRPr="002B27DA">
        <w:t xml:space="preserve"> exhibits strong </w:t>
      </w:r>
      <w:r w:rsidR="00894EB4" w:rsidRPr="002B27DA">
        <w:t xml:space="preserve">red </w:t>
      </w:r>
      <w:r w:rsidR="00A271C9" w:rsidRPr="002B27DA">
        <w:t>emission</w:t>
      </w:r>
      <w:r w:rsidR="00370DC3" w:rsidRPr="002B27DA">
        <w:t xml:space="preserve"> derived from the </w:t>
      </w:r>
      <w:r w:rsidR="00370DC3" w:rsidRPr="002B27DA">
        <w:rPr>
          <w:vertAlign w:val="superscript"/>
        </w:rPr>
        <w:t>5</w:t>
      </w:r>
      <w:r w:rsidR="00370DC3" w:rsidRPr="002B27DA">
        <w:t>D</w:t>
      </w:r>
      <w:r w:rsidR="00370DC3" w:rsidRPr="002B27DA">
        <w:rPr>
          <w:vertAlign w:val="subscript"/>
        </w:rPr>
        <w:t>0</w:t>
      </w:r>
      <w:r w:rsidR="00370DC3" w:rsidRPr="002B27DA">
        <w:t>–</w:t>
      </w:r>
      <w:r w:rsidR="00370DC3" w:rsidRPr="002B27DA">
        <w:rPr>
          <w:vertAlign w:val="superscript"/>
        </w:rPr>
        <w:t>7</w:t>
      </w:r>
      <w:r w:rsidR="00370DC3" w:rsidRPr="002B27DA">
        <w:t>F</w:t>
      </w:r>
      <w:r w:rsidR="00370DC3" w:rsidRPr="002B27DA">
        <w:rPr>
          <w:vertAlign w:val="subscript"/>
        </w:rPr>
        <w:t>2</w:t>
      </w:r>
      <w:r w:rsidR="00370DC3" w:rsidRPr="002B27DA">
        <w:t xml:space="preserve"> electric dipole transition of </w:t>
      </w:r>
      <w:r w:rsidR="00A271C9" w:rsidRPr="002B27DA">
        <w:t xml:space="preserve">trivalent Eu </w:t>
      </w:r>
      <w:r w:rsidR="00370DC3" w:rsidRPr="002B27DA">
        <w:t>ions</w:t>
      </w:r>
      <w:r w:rsidR="00A271C9" w:rsidRPr="002B27DA">
        <w:t xml:space="preserve"> (Eu</w:t>
      </w:r>
      <w:r w:rsidR="00A271C9" w:rsidRPr="002B27DA">
        <w:rPr>
          <w:vertAlign w:val="superscript"/>
        </w:rPr>
        <w:t>3+</w:t>
      </w:r>
      <w:r w:rsidR="00A271C9" w:rsidRPr="002B27DA">
        <w:t>)</w:t>
      </w:r>
      <w:r w:rsidR="00370DC3" w:rsidRPr="002B27DA">
        <w:t xml:space="preserve">. Considering </w:t>
      </w:r>
      <w:r w:rsidRPr="002B27DA">
        <w:rPr>
          <w:rFonts w:eastAsia="MS Mincho"/>
        </w:rPr>
        <w:t>the ionic radii</w:t>
      </w:r>
      <w:r w:rsidR="00C45CED" w:rsidRPr="002B27DA">
        <w:rPr>
          <w:rFonts w:eastAsia="MS Mincho"/>
        </w:rPr>
        <w:t xml:space="preserve"> similarity criterion</w:t>
      </w:r>
      <w:r w:rsidRPr="002B27DA">
        <w:rPr>
          <w:rFonts w:eastAsia="MS Mincho"/>
        </w:rPr>
        <w:t xml:space="preserve">, it </w:t>
      </w:r>
      <w:r w:rsidR="00C45CED" w:rsidRPr="002B27DA">
        <w:rPr>
          <w:rFonts w:eastAsia="MS Mincho"/>
        </w:rPr>
        <w:t>would be</w:t>
      </w:r>
      <w:r w:rsidRPr="002B27DA">
        <w:rPr>
          <w:rFonts w:eastAsia="MS Mincho"/>
        </w:rPr>
        <w:t xml:space="preserve"> </w:t>
      </w:r>
      <w:r w:rsidR="00AA5054" w:rsidRPr="002B27DA">
        <w:rPr>
          <w:rFonts w:eastAsia="MS Mincho"/>
        </w:rPr>
        <w:t>more relevant</w:t>
      </w:r>
      <w:r w:rsidR="0040492B" w:rsidRPr="002B27DA">
        <w:rPr>
          <w:rFonts w:eastAsia="MS Mincho"/>
        </w:rPr>
        <w:t xml:space="preserve"> </w:t>
      </w:r>
      <w:r w:rsidRPr="002B27DA">
        <w:rPr>
          <w:rFonts w:eastAsia="MS Mincho"/>
        </w:rPr>
        <w:t xml:space="preserve">to assume that </w:t>
      </w:r>
      <w:r w:rsidR="00370DC3" w:rsidRPr="002B27DA">
        <w:t>Eu</w:t>
      </w:r>
      <w:r w:rsidR="00370DC3" w:rsidRPr="002B27DA">
        <w:rPr>
          <w:vertAlign w:val="superscript"/>
        </w:rPr>
        <w:t>3+</w:t>
      </w:r>
      <w:r w:rsidR="00370DC3" w:rsidRPr="002B27DA">
        <w:t xml:space="preserve"> </w:t>
      </w:r>
      <w:r w:rsidR="00C45CED" w:rsidRPr="002B27DA">
        <w:t>occupies</w:t>
      </w:r>
      <w:r w:rsidR="00370DC3" w:rsidRPr="002B27DA">
        <w:t xml:space="preserve"> the Ca</w:t>
      </w:r>
      <w:r w:rsidR="00370DC3" w:rsidRPr="002B27DA">
        <w:rPr>
          <w:vertAlign w:val="superscript"/>
        </w:rPr>
        <w:t>2+</w:t>
      </w:r>
      <w:r w:rsidR="00370DC3" w:rsidRPr="002B27DA">
        <w:t xml:space="preserve"> sites because Eu</w:t>
      </w:r>
      <w:r w:rsidR="00370DC3" w:rsidRPr="002B27DA">
        <w:rPr>
          <w:vertAlign w:val="superscript"/>
        </w:rPr>
        <w:t>3+</w:t>
      </w:r>
      <w:r w:rsidR="00370DC3" w:rsidRPr="002B27DA">
        <w:t xml:space="preserve"> is </w:t>
      </w:r>
      <w:r w:rsidR="0040492B" w:rsidRPr="002B27DA">
        <w:t xml:space="preserve">significantly </w:t>
      </w:r>
      <w:r w:rsidR="00370DC3" w:rsidRPr="002B27DA">
        <w:t>close in size to Ca</w:t>
      </w:r>
      <w:r w:rsidR="00370DC3" w:rsidRPr="002B27DA">
        <w:rPr>
          <w:vertAlign w:val="superscript"/>
        </w:rPr>
        <w:t>2+</w:t>
      </w:r>
      <w:r w:rsidR="00370DC3" w:rsidRPr="002B27DA">
        <w:t xml:space="preserve"> than to Sn</w:t>
      </w:r>
      <w:r w:rsidR="00370DC3" w:rsidRPr="002B27DA">
        <w:rPr>
          <w:vertAlign w:val="superscript"/>
        </w:rPr>
        <w:t>4+</w:t>
      </w:r>
      <w:r w:rsidR="00370DC3" w:rsidRPr="002B27DA">
        <w:t>. However, Rietveld analysis of powder X-ray diffraction data revealed that Eu</w:t>
      </w:r>
      <w:r w:rsidR="00370DC3" w:rsidRPr="002B27DA">
        <w:rPr>
          <w:vertAlign w:val="superscript"/>
        </w:rPr>
        <w:t>3+</w:t>
      </w:r>
      <w:r w:rsidR="00370DC3" w:rsidRPr="002B27DA">
        <w:t xml:space="preserve"> equally occupied the Ca</w:t>
      </w:r>
      <w:r w:rsidR="00370DC3" w:rsidRPr="002B27DA">
        <w:rPr>
          <w:vertAlign w:val="superscript"/>
        </w:rPr>
        <w:t>2+</w:t>
      </w:r>
      <w:r w:rsidR="00370DC3" w:rsidRPr="002B27DA">
        <w:t xml:space="preserve"> and Sn</w:t>
      </w:r>
      <w:r w:rsidR="00370DC3" w:rsidRPr="002B27DA">
        <w:rPr>
          <w:vertAlign w:val="superscript"/>
        </w:rPr>
        <w:t>4+</w:t>
      </w:r>
      <w:r w:rsidR="00370DC3" w:rsidRPr="002B27DA">
        <w:t xml:space="preserve"> sites</w:t>
      </w:r>
      <w:r w:rsidR="00AA5054" w:rsidRPr="002B27DA">
        <w:t xml:space="preserve">, </w:t>
      </w:r>
      <w:r w:rsidR="00C45CED" w:rsidRPr="002B27DA">
        <w:t>presumably</w:t>
      </w:r>
      <w:r w:rsidR="00AA5054" w:rsidRPr="002B27DA">
        <w:t xml:space="preserve"> </w:t>
      </w:r>
      <w:r w:rsidR="00C45CED" w:rsidRPr="002B27DA">
        <w:t>because</w:t>
      </w:r>
      <w:r w:rsidR="002B1D5C" w:rsidRPr="002B27DA">
        <w:t xml:space="preserve"> </w:t>
      </w:r>
      <w:r w:rsidR="00AA5054" w:rsidRPr="002B27DA">
        <w:t>the local charge neutrality</w:t>
      </w:r>
      <w:r w:rsidR="00C45CED" w:rsidRPr="002B27DA">
        <w:t xml:space="preserve"> criterion dominates in this case</w:t>
      </w:r>
      <w:r w:rsidR="00370DC3" w:rsidRPr="002B27DA">
        <w:t xml:space="preserve">. </w:t>
      </w:r>
      <w:r w:rsidRPr="002B27DA">
        <w:t>An</w:t>
      </w:r>
      <w:r w:rsidR="00370DC3" w:rsidRPr="002B27DA">
        <w:t xml:space="preserve"> Eu and Y co-doped sample Ca</w:t>
      </w:r>
      <w:r w:rsidR="00370DC3" w:rsidRPr="002B27DA">
        <w:rPr>
          <w:vertAlign w:val="subscript"/>
        </w:rPr>
        <w:t>1.8</w:t>
      </w:r>
      <w:r w:rsidR="00370DC3" w:rsidRPr="002B27DA">
        <w:t>Y</w:t>
      </w:r>
      <w:r w:rsidR="00370DC3" w:rsidRPr="002B27DA">
        <w:rPr>
          <w:vertAlign w:val="subscript"/>
        </w:rPr>
        <w:t>0.2</w:t>
      </w:r>
      <w:r w:rsidR="00370DC3" w:rsidRPr="002B27DA">
        <w:t>Eu</w:t>
      </w:r>
      <w:r w:rsidR="00370DC3" w:rsidRPr="002B27DA">
        <w:rPr>
          <w:vertAlign w:val="subscript"/>
        </w:rPr>
        <w:t>0.2</w:t>
      </w:r>
      <w:r w:rsidR="00370DC3" w:rsidRPr="002B27DA">
        <w:t>Sn</w:t>
      </w:r>
      <w:r w:rsidR="00370DC3" w:rsidRPr="002B27DA">
        <w:rPr>
          <w:vertAlign w:val="subscript"/>
        </w:rPr>
        <w:t>0.8</w:t>
      </w:r>
      <w:r w:rsidR="00370DC3" w:rsidRPr="002B27DA">
        <w:t>O</w:t>
      </w:r>
      <w:r w:rsidR="00370DC3" w:rsidRPr="002B27DA">
        <w:rPr>
          <w:vertAlign w:val="subscript"/>
        </w:rPr>
        <w:t>4</w:t>
      </w:r>
      <w:r w:rsidR="00370DC3" w:rsidRPr="002B27DA">
        <w:t xml:space="preserve"> </w:t>
      </w:r>
      <w:r w:rsidRPr="002B27DA">
        <w:t xml:space="preserve">was </w:t>
      </w:r>
      <w:r w:rsidR="00AA5054" w:rsidRPr="002B27DA">
        <w:t xml:space="preserve">then </w:t>
      </w:r>
      <w:r w:rsidRPr="002B27DA">
        <w:t xml:space="preserve">synthesized </w:t>
      </w:r>
      <w:r w:rsidR="00F84720" w:rsidRPr="002B27DA">
        <w:t>because</w:t>
      </w:r>
      <w:r w:rsidR="00370DC3" w:rsidRPr="002B27DA">
        <w:t xml:space="preserve"> Y</w:t>
      </w:r>
      <w:r w:rsidR="00370DC3" w:rsidRPr="002B27DA">
        <w:rPr>
          <w:vertAlign w:val="superscript"/>
        </w:rPr>
        <w:t>3+</w:t>
      </w:r>
      <w:r w:rsidR="00370DC3" w:rsidRPr="002B27DA">
        <w:t xml:space="preserve"> ions with a smaller ionic radius preferentially occupy smaller cation (Sn</w:t>
      </w:r>
      <w:r w:rsidR="00370DC3" w:rsidRPr="002B27DA">
        <w:rPr>
          <w:vertAlign w:val="superscript"/>
        </w:rPr>
        <w:t>4+</w:t>
      </w:r>
      <w:r w:rsidR="00370DC3" w:rsidRPr="002B27DA">
        <w:t xml:space="preserve">) sites, </w:t>
      </w:r>
      <w:r w:rsidR="0040492B" w:rsidRPr="002B27DA">
        <w:t xml:space="preserve">expelling </w:t>
      </w:r>
      <w:r w:rsidR="00370DC3" w:rsidRPr="002B27DA">
        <w:t>larger Eu</w:t>
      </w:r>
      <w:r w:rsidR="00370DC3" w:rsidRPr="002B27DA">
        <w:rPr>
          <w:vertAlign w:val="superscript"/>
        </w:rPr>
        <w:t>3+</w:t>
      </w:r>
      <w:r w:rsidR="00370DC3" w:rsidRPr="002B27DA">
        <w:t xml:space="preserve"> ions out of the Sn</w:t>
      </w:r>
      <w:r w:rsidR="00370DC3" w:rsidRPr="002B27DA">
        <w:rPr>
          <w:vertAlign w:val="superscript"/>
        </w:rPr>
        <w:t>4+</w:t>
      </w:r>
      <w:r w:rsidR="00370DC3" w:rsidRPr="002B27DA">
        <w:t xml:space="preserve"> site into the larger Ca</w:t>
      </w:r>
      <w:r w:rsidR="00370DC3" w:rsidRPr="002B27DA">
        <w:rPr>
          <w:vertAlign w:val="superscript"/>
        </w:rPr>
        <w:t>2+</w:t>
      </w:r>
      <w:r w:rsidR="00370DC3" w:rsidRPr="002B27DA">
        <w:t xml:space="preserve"> site</w:t>
      </w:r>
      <w:r w:rsidR="00C45CED" w:rsidRPr="002B27DA">
        <w:t xml:space="preserve"> without changing the charge balance</w:t>
      </w:r>
      <w:r w:rsidR="00370DC3" w:rsidRPr="002B27DA">
        <w:t xml:space="preserve">. </w:t>
      </w:r>
      <w:r w:rsidR="0040492B" w:rsidRPr="002B27DA">
        <w:t xml:space="preserve">As expected, </w:t>
      </w:r>
      <w:r w:rsidR="00370DC3" w:rsidRPr="002B27DA">
        <w:t>Ca</w:t>
      </w:r>
      <w:r w:rsidR="00370DC3" w:rsidRPr="002B27DA">
        <w:rPr>
          <w:vertAlign w:val="subscript"/>
        </w:rPr>
        <w:t>1.8</w:t>
      </w:r>
      <w:r w:rsidR="00370DC3" w:rsidRPr="002B27DA">
        <w:t>Y</w:t>
      </w:r>
      <w:r w:rsidR="00370DC3" w:rsidRPr="002B27DA">
        <w:rPr>
          <w:vertAlign w:val="subscript"/>
        </w:rPr>
        <w:t>0.2</w:t>
      </w:r>
      <w:r w:rsidR="00370DC3" w:rsidRPr="002B27DA">
        <w:t>Eu</w:t>
      </w:r>
      <w:r w:rsidR="00370DC3" w:rsidRPr="002B27DA">
        <w:rPr>
          <w:vertAlign w:val="subscript"/>
        </w:rPr>
        <w:t>0.2</w:t>
      </w:r>
      <w:r w:rsidR="00370DC3" w:rsidRPr="002B27DA">
        <w:t>Sn</w:t>
      </w:r>
      <w:r w:rsidR="00370DC3" w:rsidRPr="002B27DA">
        <w:rPr>
          <w:vertAlign w:val="subscript"/>
        </w:rPr>
        <w:t>0.8</w:t>
      </w:r>
      <w:r w:rsidR="00370DC3" w:rsidRPr="002B27DA">
        <w:t>O</w:t>
      </w:r>
      <w:r w:rsidR="00370DC3" w:rsidRPr="002B27DA">
        <w:rPr>
          <w:vertAlign w:val="subscript"/>
        </w:rPr>
        <w:t>4</w:t>
      </w:r>
      <w:r w:rsidR="00370DC3" w:rsidRPr="002B27DA">
        <w:t xml:space="preserve"> </w:t>
      </w:r>
      <w:r w:rsidR="00AA5054" w:rsidRPr="002B27DA">
        <w:t>exhibited</w:t>
      </w:r>
      <w:r w:rsidR="00370DC3" w:rsidRPr="002B27DA">
        <w:t xml:space="preserve"> a stronger </w:t>
      </w:r>
      <w:r w:rsidR="00AA5054" w:rsidRPr="002B27DA">
        <w:t>emission</w:t>
      </w:r>
      <w:r w:rsidR="00370DC3" w:rsidRPr="002B27DA">
        <w:t xml:space="preserve"> than the Ca</w:t>
      </w:r>
      <w:r w:rsidR="00370DC3" w:rsidRPr="002B27DA">
        <w:rPr>
          <w:vertAlign w:val="subscript"/>
        </w:rPr>
        <w:t>1.9</w:t>
      </w:r>
      <w:r w:rsidR="00370DC3" w:rsidRPr="002B27DA">
        <w:t>Eu</w:t>
      </w:r>
      <w:r w:rsidR="00370DC3" w:rsidRPr="002B27DA">
        <w:rPr>
          <w:vertAlign w:val="subscript"/>
        </w:rPr>
        <w:t>0.2</w:t>
      </w:r>
      <w:r w:rsidR="00370DC3" w:rsidRPr="002B27DA">
        <w:t>Sn</w:t>
      </w:r>
      <w:r w:rsidR="00370DC3" w:rsidRPr="002B27DA">
        <w:rPr>
          <w:vertAlign w:val="subscript"/>
        </w:rPr>
        <w:t>0.9</w:t>
      </w:r>
      <w:r w:rsidR="00370DC3" w:rsidRPr="002B27DA">
        <w:t>O</w:t>
      </w:r>
      <w:r w:rsidR="00370DC3" w:rsidRPr="002B27DA">
        <w:rPr>
          <w:vertAlign w:val="subscript"/>
        </w:rPr>
        <w:t>4</w:t>
      </w:r>
      <w:r w:rsidRPr="002B27DA">
        <w:rPr>
          <w:rFonts w:eastAsia="MS Mincho"/>
        </w:rPr>
        <w:t xml:space="preserve"> sample</w:t>
      </w:r>
      <w:r w:rsidR="00370DC3" w:rsidRPr="002B27DA">
        <w:t xml:space="preserve">. The stronger </w:t>
      </w:r>
      <w:r w:rsidR="00AA5054" w:rsidRPr="002B27DA">
        <w:t>red emission</w:t>
      </w:r>
      <w:r w:rsidR="00370DC3" w:rsidRPr="002B27DA">
        <w:t xml:space="preserve"> in the co-doped sample is explained by the increased fraction of Eu</w:t>
      </w:r>
      <w:r w:rsidR="00370DC3" w:rsidRPr="002B27DA">
        <w:rPr>
          <w:vertAlign w:val="superscript"/>
        </w:rPr>
        <w:t>3+</w:t>
      </w:r>
      <w:r w:rsidR="00370DC3" w:rsidRPr="002B27DA">
        <w:t xml:space="preserve"> ions occupying the </w:t>
      </w:r>
      <w:r w:rsidR="00CA5E8B" w:rsidRPr="002B27DA">
        <w:t xml:space="preserve">asymmetric </w:t>
      </w:r>
      <w:r w:rsidR="00370DC3" w:rsidRPr="002B27DA">
        <w:t>Ca site</w:t>
      </w:r>
      <w:r w:rsidR="00CA5E8B" w:rsidRPr="002B27DA">
        <w:t xml:space="preserve">, </w:t>
      </w:r>
      <w:r w:rsidR="00370DC3" w:rsidRPr="002B27DA">
        <w:t>coordinated by seven oxygen atoms</w:t>
      </w:r>
      <w:r w:rsidR="00AA5054" w:rsidRPr="002B27DA">
        <w:t>, which</w:t>
      </w:r>
      <w:r w:rsidR="00370DC3" w:rsidRPr="002B27DA">
        <w:t xml:space="preserve"> enhances the electric dipole moment compared </w:t>
      </w:r>
      <w:r w:rsidR="0040492B" w:rsidRPr="002B27DA">
        <w:t xml:space="preserve">to </w:t>
      </w:r>
      <w:r w:rsidR="00792C5E" w:rsidRPr="002B27DA">
        <w:t xml:space="preserve">that of </w:t>
      </w:r>
      <w:r w:rsidR="00370DC3" w:rsidRPr="002B27DA">
        <w:t xml:space="preserve">the symmetric six-coordinated Sn site. </w:t>
      </w:r>
    </w:p>
    <w:p w14:paraId="6FBAA1C0" w14:textId="77777777" w:rsidR="002B27DA" w:rsidRPr="002B27DA" w:rsidRDefault="002B27DA" w:rsidP="002B27DA">
      <w:pPr>
        <w:adjustRightInd w:val="0"/>
        <w:contextualSpacing/>
      </w:pPr>
    </w:p>
    <w:p w14:paraId="5E3FEEB3" w14:textId="36893E14" w:rsidR="00455C78" w:rsidRDefault="00663A76" w:rsidP="002B27DA">
      <w:pPr>
        <w:adjustRightInd w:val="0"/>
        <w:contextualSpacing/>
      </w:pPr>
      <w:r w:rsidRPr="002B27DA">
        <w:t xml:space="preserve">A series of Eu and Y co-doped </w:t>
      </w:r>
      <w:r w:rsidR="00B3266F" w:rsidRPr="002B27DA">
        <w:t xml:space="preserve">polycrystalline </w:t>
      </w:r>
      <w:r w:rsidRPr="002B27DA">
        <w:t xml:space="preserve">samples with </w:t>
      </w:r>
      <w:r w:rsidR="00B3266F" w:rsidRPr="002B27DA">
        <w:t>nominal compositions of Ca</w:t>
      </w:r>
      <w:r w:rsidR="00B3266F" w:rsidRPr="002B27DA">
        <w:rPr>
          <w:vertAlign w:val="subscript"/>
        </w:rPr>
        <w:t>1.9</w:t>
      </w:r>
      <w:r w:rsidR="00B3266F" w:rsidRPr="002B27DA">
        <w:t>Eu</w:t>
      </w:r>
      <w:r w:rsidR="00B3266F" w:rsidRPr="002B27DA">
        <w:rPr>
          <w:vertAlign w:val="subscript"/>
        </w:rPr>
        <w:t>0.2</w:t>
      </w:r>
      <w:r w:rsidR="00B3266F" w:rsidRPr="002B27DA">
        <w:t>Sn</w:t>
      </w:r>
      <w:r w:rsidR="00B3266F" w:rsidRPr="002B27DA">
        <w:rPr>
          <w:vertAlign w:val="subscript"/>
        </w:rPr>
        <w:t>0.9</w:t>
      </w:r>
      <w:r w:rsidR="00B3266F" w:rsidRPr="002B27DA">
        <w:t>O</w:t>
      </w:r>
      <w:r w:rsidR="00B3266F" w:rsidRPr="002B27DA">
        <w:rPr>
          <w:vertAlign w:val="subscript"/>
        </w:rPr>
        <w:t>4</w:t>
      </w:r>
      <w:r w:rsidR="00B3266F" w:rsidRPr="002B27DA">
        <w:t xml:space="preserve"> and Ca</w:t>
      </w:r>
      <w:r w:rsidR="00B3266F" w:rsidRPr="002B27DA">
        <w:rPr>
          <w:vertAlign w:val="subscript"/>
        </w:rPr>
        <w:t>1.8</w:t>
      </w:r>
      <w:r w:rsidR="00B3266F" w:rsidRPr="002B27DA">
        <w:t>Eu</w:t>
      </w:r>
      <w:r w:rsidR="00B3266F" w:rsidRPr="002B27DA">
        <w:rPr>
          <w:vertAlign w:val="subscript"/>
        </w:rPr>
        <w:t>0.2</w:t>
      </w:r>
      <w:r w:rsidR="00B3266F" w:rsidRPr="002B27DA">
        <w:t>Y</w:t>
      </w:r>
      <w:r w:rsidR="00B3266F" w:rsidRPr="002B27DA">
        <w:rPr>
          <w:vertAlign w:val="subscript"/>
        </w:rPr>
        <w:t>0.2</w:t>
      </w:r>
      <w:r w:rsidR="00B3266F" w:rsidRPr="002B27DA">
        <w:t>Sn</w:t>
      </w:r>
      <w:r w:rsidR="00B3266F" w:rsidRPr="002B27DA">
        <w:rPr>
          <w:vertAlign w:val="subscript"/>
        </w:rPr>
        <w:t>0.8</w:t>
      </w:r>
      <w:r w:rsidR="00B3266F" w:rsidRPr="002B27DA">
        <w:t>O</w:t>
      </w:r>
      <w:r w:rsidR="00B3266F" w:rsidRPr="002B27DA">
        <w:rPr>
          <w:vertAlign w:val="subscript"/>
        </w:rPr>
        <w:t>4</w:t>
      </w:r>
      <w:r w:rsidR="00B3266F" w:rsidRPr="002B27DA">
        <w:t xml:space="preserve"> </w:t>
      </w:r>
      <w:r w:rsidRPr="002B27DA">
        <w:t xml:space="preserve">were </w:t>
      </w:r>
      <w:r w:rsidR="00B3266F" w:rsidRPr="002B27DA">
        <w:t>prepar</w:t>
      </w:r>
      <w:r w:rsidRPr="002B27DA">
        <w:t>ed</w:t>
      </w:r>
      <w:r w:rsidR="00792C5E" w:rsidRPr="002B27DA">
        <w:t>,</w:t>
      </w:r>
      <w:r w:rsidRPr="002B27DA">
        <w:rPr>
          <w:rFonts w:eastAsia="MS Mincho"/>
        </w:rPr>
        <w:t xml:space="preserve"> and the site occupancies</w:t>
      </w:r>
      <w:r w:rsidR="002B1D5C" w:rsidRPr="002B27DA">
        <w:rPr>
          <w:rFonts w:eastAsia="MS Mincho"/>
        </w:rPr>
        <w:t xml:space="preserve"> of </w:t>
      </w:r>
      <w:r w:rsidRPr="002B27DA">
        <w:rPr>
          <w:rFonts w:eastAsia="MS Mincho"/>
        </w:rPr>
        <w:t xml:space="preserve">the dopants were determined by </w:t>
      </w:r>
      <w:r w:rsidRPr="002B27DA">
        <w:t xml:space="preserve">the </w:t>
      </w:r>
      <w:r w:rsidR="0040492B" w:rsidRPr="002B27DA">
        <w:t>pr</w:t>
      </w:r>
      <w:r w:rsidR="002B1D5C" w:rsidRPr="002B27DA">
        <w:t>esent</w:t>
      </w:r>
      <w:r w:rsidR="0040492B" w:rsidRPr="002B27DA">
        <w:t xml:space="preserve"> </w:t>
      </w:r>
      <w:r w:rsidRPr="002B27DA">
        <w:t xml:space="preserve">method. </w:t>
      </w:r>
    </w:p>
    <w:p w14:paraId="4A1F5510" w14:textId="77777777" w:rsidR="002B27DA" w:rsidRPr="002B27DA" w:rsidRDefault="002B27DA" w:rsidP="002B27DA">
      <w:pPr>
        <w:adjustRightInd w:val="0"/>
        <w:contextualSpacing/>
      </w:pPr>
    </w:p>
    <w:p w14:paraId="55B52C9B" w14:textId="0BD32F54" w:rsidR="00455C78" w:rsidRDefault="00663A76" w:rsidP="002B27DA">
      <w:pPr>
        <w:adjustRightInd w:val="0"/>
        <w:contextualSpacing/>
      </w:pPr>
      <w:r w:rsidRPr="003F3B3B">
        <w:rPr>
          <w:b/>
          <w:bCs/>
        </w:rPr>
        <w:t xml:space="preserve">Figure </w:t>
      </w:r>
      <w:r w:rsidR="00AD3CD1" w:rsidRPr="003F3B3B">
        <w:rPr>
          <w:b/>
          <w:bCs/>
        </w:rPr>
        <w:t>7</w:t>
      </w:r>
      <w:r w:rsidRPr="002B27DA">
        <w:t xml:space="preserve"> shows the ECP and ICPs of Ca-K, Sn-L, O-K, Eu-L, and Y-L for the </w:t>
      </w:r>
      <w:r w:rsidR="00C45CED" w:rsidRPr="002B27DA">
        <w:t>Ca</w:t>
      </w:r>
      <w:r w:rsidR="00C45CED" w:rsidRPr="002B27DA">
        <w:rPr>
          <w:vertAlign w:val="subscript"/>
        </w:rPr>
        <w:t>1.8</w:t>
      </w:r>
      <w:r w:rsidR="00C45CED" w:rsidRPr="002B27DA">
        <w:t>Eu</w:t>
      </w:r>
      <w:r w:rsidR="00C45CED" w:rsidRPr="002B27DA">
        <w:rPr>
          <w:vertAlign w:val="subscript"/>
        </w:rPr>
        <w:t>0.2</w:t>
      </w:r>
      <w:r w:rsidR="00C45CED" w:rsidRPr="002B27DA">
        <w:t>Y</w:t>
      </w:r>
      <w:r w:rsidR="00C45CED" w:rsidRPr="002B27DA">
        <w:rPr>
          <w:vertAlign w:val="subscript"/>
        </w:rPr>
        <w:t>0.2</w:t>
      </w:r>
      <w:r w:rsidR="00C45CED" w:rsidRPr="002B27DA">
        <w:t>Sn</w:t>
      </w:r>
      <w:r w:rsidR="00C45CED" w:rsidRPr="002B27DA">
        <w:rPr>
          <w:vertAlign w:val="subscript"/>
        </w:rPr>
        <w:t>0.8</w:t>
      </w:r>
      <w:r w:rsidR="00C45CED" w:rsidRPr="002B27DA">
        <w:t>O</w:t>
      </w:r>
      <w:r w:rsidR="00C45CED" w:rsidRPr="002B27DA">
        <w:rPr>
          <w:vertAlign w:val="subscript"/>
        </w:rPr>
        <w:t>4</w:t>
      </w:r>
      <w:r w:rsidRPr="002B27DA">
        <w:t xml:space="preserve"> sample </w:t>
      </w:r>
      <w:r w:rsidR="0040492B" w:rsidRPr="002B27DA">
        <w:t xml:space="preserve">near </w:t>
      </w:r>
      <w:r w:rsidRPr="002B27DA">
        <w:t xml:space="preserve">the [100] zone. </w:t>
      </w:r>
      <w:r w:rsidR="00DA55AE" w:rsidRPr="002B27DA">
        <w:t>T</w:t>
      </w:r>
      <w:r w:rsidRPr="002B27DA">
        <w:t>he Eu-L ICP was closer to the Ca-K ICP, wh</w:t>
      </w:r>
      <w:r w:rsidR="0040492B" w:rsidRPr="002B27DA">
        <w:t>ereas</w:t>
      </w:r>
      <w:r w:rsidRPr="002B27DA">
        <w:t xml:space="preserve"> the Y-L ICP </w:t>
      </w:r>
      <w:r w:rsidRPr="002B27DA">
        <w:rPr>
          <w:rFonts w:eastAsia="MS Mincho"/>
          <w:lang w:val="en-GB"/>
        </w:rPr>
        <w:t xml:space="preserve">was closer </w:t>
      </w:r>
      <w:r w:rsidR="00631F38" w:rsidRPr="002B27DA">
        <w:rPr>
          <w:lang w:val="en-GB"/>
        </w:rPr>
        <w:t xml:space="preserve">to Sn-L ICP. This suggests that </w:t>
      </w:r>
      <w:r w:rsidRPr="002B27DA">
        <w:rPr>
          <w:rFonts w:eastAsia="MS Mincho"/>
          <w:lang w:val="en-GB"/>
        </w:rPr>
        <w:t>the Eu and Y occupation sites could be biased, as expected. The coefficients</w:t>
      </w:r>
      <w:r w:rsidRPr="002B27DA">
        <w:t xml:space="preserve">, </w:t>
      </w:r>
      <w:r w:rsidR="00631F38" w:rsidRPr="002B27DA">
        <w:rPr>
          <w:i/>
          <w:lang w:val="en-GB"/>
        </w:rPr>
        <w:sym w:font="Symbol" w:char="F061"/>
      </w:r>
      <w:r w:rsidR="00631F38" w:rsidRPr="002B27DA">
        <w:rPr>
          <w:i/>
          <w:vertAlign w:val="subscript"/>
          <w:lang w:val="en-GB"/>
        </w:rPr>
        <w:t>ix</w:t>
      </w:r>
      <w:r w:rsidR="00631F38" w:rsidRPr="002B27DA">
        <w:rPr>
          <w:lang w:val="en-GB"/>
        </w:rPr>
        <w:t xml:space="preserve"> </w:t>
      </w:r>
      <w:r w:rsidR="0011524C" w:rsidRPr="002B27DA">
        <w:rPr>
          <w:lang w:val="en-GB"/>
        </w:rPr>
        <w:t xml:space="preserve">for </w:t>
      </w:r>
      <w:r w:rsidR="00631F38" w:rsidRPr="002B27DA">
        <w:rPr>
          <w:i/>
          <w:lang w:val="en-GB"/>
        </w:rPr>
        <w:t>i</w:t>
      </w:r>
      <w:r w:rsidR="00631F38" w:rsidRPr="002B27DA">
        <w:rPr>
          <w:lang w:val="en-GB"/>
        </w:rPr>
        <w:t xml:space="preserve"> = Ca, Sn</w:t>
      </w:r>
      <w:r w:rsidRPr="002B27DA">
        <w:rPr>
          <w:rFonts w:eastAsia="MS Mincho"/>
          <w:lang w:val="en-GB"/>
        </w:rPr>
        <w:t>,</w:t>
      </w:r>
      <w:r w:rsidR="0011524C" w:rsidRPr="002B27DA">
        <w:rPr>
          <w:lang w:val="en-GB"/>
        </w:rPr>
        <w:t xml:space="preserve"> and </w:t>
      </w:r>
      <w:r w:rsidRPr="002B27DA">
        <w:rPr>
          <w:i/>
        </w:rPr>
        <w:t>x</w:t>
      </w:r>
      <w:r w:rsidRPr="002B27DA">
        <w:t xml:space="preserve"> = Eu, Y derived using Eq.</w:t>
      </w:r>
      <w:r w:rsidR="00ED16F2" w:rsidRPr="002B27DA">
        <w:t xml:space="preserve"> </w:t>
      </w:r>
      <w:r w:rsidRPr="002B27DA">
        <w:t>(</w:t>
      </w:r>
      <w:r w:rsidR="0083136E" w:rsidRPr="002B27DA">
        <w:t>1</w:t>
      </w:r>
      <w:r w:rsidRPr="002B27DA">
        <w:t>),</w:t>
      </w:r>
      <w:r w:rsidR="008747BC" w:rsidRPr="002B27DA">
        <w:t xml:space="preserve"> where </w:t>
      </w:r>
      <w:r w:rsidR="008747BC" w:rsidRPr="002B27DA">
        <w:rPr>
          <w:i/>
        </w:rPr>
        <w:t>n</w:t>
      </w:r>
      <w:r w:rsidR="008747BC" w:rsidRPr="002B27DA">
        <w:rPr>
          <w:vertAlign w:val="subscript"/>
        </w:rPr>
        <w:t>Ca</w:t>
      </w:r>
      <w:r w:rsidR="008747BC" w:rsidRPr="002B27DA">
        <w:t xml:space="preserve"> = 2/3 and </w:t>
      </w:r>
      <w:r w:rsidR="008747BC" w:rsidRPr="002B27DA">
        <w:rPr>
          <w:i/>
        </w:rPr>
        <w:t>n</w:t>
      </w:r>
      <w:r w:rsidR="008747BC" w:rsidRPr="002B27DA">
        <w:rPr>
          <w:vertAlign w:val="subscript"/>
        </w:rPr>
        <w:t>Sn</w:t>
      </w:r>
      <w:r w:rsidR="008747BC" w:rsidRPr="002B27DA">
        <w:t xml:space="preserve"> = 1/3.</w:t>
      </w:r>
      <w:r w:rsidR="001C2190" w:rsidRPr="002B27DA">
        <w:t xml:space="preserve"> The k-factors of the constituent elements are calibrated in advance using a reference material with a known composition, the detail</w:t>
      </w:r>
      <w:r w:rsidR="00C46178" w:rsidRPr="002B27DA">
        <w:t>ed discussion</w:t>
      </w:r>
      <w:r w:rsidR="001C2190" w:rsidRPr="002B27DA">
        <w:t xml:space="preserve"> of which is </w:t>
      </w:r>
      <w:r w:rsidR="00C46178" w:rsidRPr="002B27DA">
        <w:t>found</w:t>
      </w:r>
      <w:r w:rsidR="001C2190" w:rsidRPr="002B27DA">
        <w:t xml:space="preserve"> in </w:t>
      </w:r>
      <w:r w:rsidR="00AD3CD1" w:rsidRPr="002B27DA">
        <w:t>[</w:t>
      </w:r>
      <w:r w:rsidR="001C2190" w:rsidRPr="002B27DA">
        <w:t>12</w:t>
      </w:r>
      <w:r w:rsidR="00AD3CD1" w:rsidRPr="002B27DA">
        <w:t>]</w:t>
      </w:r>
      <w:r w:rsidR="001C2190" w:rsidRPr="002B27DA">
        <w:t>.</w:t>
      </w:r>
      <w:r w:rsidRPr="002B27DA">
        <w:t xml:space="preserve"> </w:t>
      </w:r>
      <w:r w:rsidR="008747BC" w:rsidRPr="002B27DA">
        <w:t>T</w:t>
      </w:r>
      <w:r w:rsidRPr="002B27DA">
        <w:t xml:space="preserve">he site occupancies </w:t>
      </w:r>
      <w:r w:rsidRPr="002B27DA">
        <w:rPr>
          <w:i/>
        </w:rPr>
        <w:t>f</w:t>
      </w:r>
      <w:r w:rsidRPr="002B27DA">
        <w:rPr>
          <w:i/>
          <w:vertAlign w:val="subscript"/>
        </w:rPr>
        <w:t>ix</w:t>
      </w:r>
      <w:r w:rsidRPr="002B27DA">
        <w:t xml:space="preserve"> (Eq.</w:t>
      </w:r>
      <w:r w:rsidR="00AA0308" w:rsidRPr="002B27DA">
        <w:t xml:space="preserve"> (3)</w:t>
      </w:r>
      <w:r w:rsidRPr="002B27DA">
        <w:t xml:space="preserve">) of the impurities, and the impurity concentrations </w:t>
      </w:r>
      <w:r w:rsidRPr="002B27DA">
        <w:rPr>
          <w:i/>
        </w:rPr>
        <w:t>c</w:t>
      </w:r>
      <w:r w:rsidRPr="002B27DA">
        <w:t xml:space="preserve"> of all the samples are </w:t>
      </w:r>
      <w:r w:rsidR="0011524C" w:rsidRPr="002B27DA">
        <w:lastRenderedPageBreak/>
        <w:t>tabulated</w:t>
      </w:r>
      <w:r w:rsidRPr="002B27DA">
        <w:t xml:space="preserve"> in </w:t>
      </w:r>
      <w:r w:rsidRPr="003F3B3B">
        <w:rPr>
          <w:b/>
          <w:bCs/>
        </w:rPr>
        <w:t>Table 1</w:t>
      </w:r>
      <w:r w:rsidRPr="002B27DA">
        <w:t xml:space="preserve">. </w:t>
      </w:r>
    </w:p>
    <w:p w14:paraId="3FCB4F34" w14:textId="77777777" w:rsidR="002B27DA" w:rsidRPr="002B27DA" w:rsidRDefault="002B27DA" w:rsidP="002B27DA">
      <w:pPr>
        <w:adjustRightInd w:val="0"/>
        <w:contextualSpacing/>
      </w:pPr>
    </w:p>
    <w:p w14:paraId="227D1F83" w14:textId="1219230A" w:rsidR="00370DC3" w:rsidRPr="002B27DA" w:rsidRDefault="00663A76" w:rsidP="002B27DA">
      <w:pPr>
        <w:adjustRightInd w:val="0"/>
        <w:contextualSpacing/>
      </w:pPr>
      <w:r w:rsidRPr="002B27DA">
        <w:t xml:space="preserve">In </w:t>
      </w:r>
      <w:r w:rsidR="00C45CED" w:rsidRPr="002B27DA">
        <w:t>Ca</w:t>
      </w:r>
      <w:r w:rsidR="00C45CED" w:rsidRPr="002B27DA">
        <w:rPr>
          <w:vertAlign w:val="subscript"/>
        </w:rPr>
        <w:t>1.9</w:t>
      </w:r>
      <w:r w:rsidR="00C45CED" w:rsidRPr="002B27DA">
        <w:t>Eu</w:t>
      </w:r>
      <w:r w:rsidR="00C45CED" w:rsidRPr="002B27DA">
        <w:rPr>
          <w:vertAlign w:val="subscript"/>
        </w:rPr>
        <w:t>0.2</w:t>
      </w:r>
      <w:r w:rsidR="00C45CED" w:rsidRPr="002B27DA">
        <w:t>Sn</w:t>
      </w:r>
      <w:r w:rsidR="00C45CED" w:rsidRPr="002B27DA">
        <w:rPr>
          <w:vertAlign w:val="subscript"/>
        </w:rPr>
        <w:t>0.9</w:t>
      </w:r>
      <w:r w:rsidR="00C45CED" w:rsidRPr="002B27DA">
        <w:t>O</w:t>
      </w:r>
      <w:r w:rsidR="00C45CED" w:rsidRPr="002B27DA">
        <w:rPr>
          <w:vertAlign w:val="subscript"/>
        </w:rPr>
        <w:t>4</w:t>
      </w:r>
      <w:r w:rsidRPr="002B27DA">
        <w:t>, Eu</w:t>
      </w:r>
      <w:r w:rsidRPr="002B27DA">
        <w:rPr>
          <w:vertAlign w:val="superscript"/>
        </w:rPr>
        <w:t>3+</w:t>
      </w:r>
      <w:r w:rsidRPr="002B27DA">
        <w:t xml:space="preserve"> occupied the Ca</w:t>
      </w:r>
      <w:r w:rsidRPr="002B27DA">
        <w:rPr>
          <w:vertAlign w:val="superscript"/>
        </w:rPr>
        <w:t>2+</w:t>
      </w:r>
      <w:r w:rsidRPr="002B27DA">
        <w:t xml:space="preserve"> and Sn</w:t>
      </w:r>
      <w:r w:rsidRPr="002B27DA">
        <w:rPr>
          <w:vertAlign w:val="superscript"/>
        </w:rPr>
        <w:t>4+</w:t>
      </w:r>
      <w:r w:rsidRPr="002B27DA">
        <w:t xml:space="preserve"> sites </w:t>
      </w:r>
      <w:r w:rsidRPr="002B27DA">
        <w:rPr>
          <w:rFonts w:eastAsia="MS Mincho"/>
        </w:rPr>
        <w:t xml:space="preserve">equally, </w:t>
      </w:r>
      <w:r w:rsidRPr="002B27DA">
        <w:t xml:space="preserve">consistent with the results of </w:t>
      </w:r>
      <w:r w:rsidR="0040492B" w:rsidRPr="002B27DA">
        <w:t xml:space="preserve">the </w:t>
      </w:r>
      <w:r w:rsidRPr="002B27DA">
        <w:t xml:space="preserve">XRD-Rietveld analysis. </w:t>
      </w:r>
      <w:r w:rsidR="000D1F0E" w:rsidRPr="002B27DA">
        <w:t>In contrast</w:t>
      </w:r>
      <w:r w:rsidRPr="002B27DA">
        <w:t>, Eu</w:t>
      </w:r>
      <w:r w:rsidRPr="002B27DA">
        <w:rPr>
          <w:vertAlign w:val="superscript"/>
        </w:rPr>
        <w:t>3+</w:t>
      </w:r>
      <w:r w:rsidRPr="002B27DA">
        <w:t xml:space="preserve"> and Y</w:t>
      </w:r>
      <w:r w:rsidRPr="002B27DA">
        <w:rPr>
          <w:vertAlign w:val="superscript"/>
        </w:rPr>
        <w:t>3+</w:t>
      </w:r>
      <w:r w:rsidRPr="002B27DA">
        <w:t xml:space="preserve"> occupied the Ca</w:t>
      </w:r>
      <w:r w:rsidRPr="002B27DA">
        <w:rPr>
          <w:vertAlign w:val="superscript"/>
        </w:rPr>
        <w:t>2+</w:t>
      </w:r>
      <w:r w:rsidRPr="002B27DA">
        <w:t xml:space="preserve"> and Sn</w:t>
      </w:r>
      <w:r w:rsidRPr="002B27DA">
        <w:rPr>
          <w:vertAlign w:val="superscript"/>
        </w:rPr>
        <w:t>4+</w:t>
      </w:r>
      <w:r w:rsidRPr="002B27DA">
        <w:t xml:space="preserve"> sites at </w:t>
      </w:r>
      <w:r w:rsidR="00885B48" w:rsidRPr="002B27DA">
        <w:t xml:space="preserve">ratios </w:t>
      </w:r>
      <w:r w:rsidRPr="002B27DA">
        <w:t>of approximately 7:3 and 4:6, respectively</w:t>
      </w:r>
      <w:r w:rsidRPr="002B27DA">
        <w:rPr>
          <w:rFonts w:eastAsia="MS Mincho"/>
        </w:rPr>
        <w:t>,</w:t>
      </w:r>
      <w:r w:rsidR="00CA5E8B" w:rsidRPr="002B27DA">
        <w:t xml:space="preserve"> in the co-doped samples</w:t>
      </w:r>
      <w:r w:rsidRPr="002B27DA">
        <w:t xml:space="preserve">, </w:t>
      </w:r>
      <w:r w:rsidR="00CA5E8B" w:rsidRPr="002B27DA">
        <w:t>significantly biased as expected, but also maintaining the charge neutrality condition with</w:t>
      </w:r>
      <w:r w:rsidRPr="002B27DA">
        <w:t>in the present experimental accuracies</w:t>
      </w:r>
      <w:r w:rsidR="002905B3" w:rsidRPr="002B27DA">
        <w:rPr>
          <w:vertAlign w:val="superscript"/>
        </w:rPr>
        <w:t>12</w:t>
      </w:r>
      <w:r w:rsidRPr="002B27DA">
        <w:t>.</w:t>
      </w:r>
    </w:p>
    <w:p w14:paraId="352E98F7" w14:textId="77777777" w:rsidR="00370DC3" w:rsidRPr="002B27DA" w:rsidRDefault="00370DC3" w:rsidP="002B27DA">
      <w:pPr>
        <w:contextualSpacing/>
      </w:pPr>
    </w:p>
    <w:p w14:paraId="57AF144B" w14:textId="77777777" w:rsidR="00593C2D" w:rsidRPr="002B27DA" w:rsidRDefault="00663A76" w:rsidP="002B27DA">
      <w:pPr>
        <w:contextualSpacing/>
      </w:pPr>
      <w:r w:rsidRPr="002B27DA">
        <w:rPr>
          <w:rFonts w:eastAsia="Calibri"/>
          <w:b/>
        </w:rPr>
        <w:t>FIGURE AND TABLE LEGENDS:</w:t>
      </w:r>
      <w:r w:rsidRPr="002B27DA">
        <w:rPr>
          <w:rFonts w:eastAsia="Calibri"/>
        </w:rPr>
        <w:t xml:space="preserve"> </w:t>
      </w:r>
    </w:p>
    <w:p w14:paraId="72AA75E8" w14:textId="77777777" w:rsidR="00E65BEC" w:rsidRPr="002B27DA" w:rsidRDefault="00663A76" w:rsidP="002B27DA">
      <w:pPr>
        <w:contextualSpacing/>
      </w:pPr>
      <w:r w:rsidRPr="003F3B3B">
        <w:rPr>
          <w:b/>
          <w:bCs/>
        </w:rPr>
        <w:t>Figure 1</w:t>
      </w:r>
      <w:r w:rsidR="009074BA" w:rsidRPr="003F3B3B">
        <w:rPr>
          <w:b/>
          <w:bCs/>
        </w:rPr>
        <w:t>:</w:t>
      </w:r>
      <w:r w:rsidRPr="003F3B3B">
        <w:rPr>
          <w:b/>
          <w:bCs/>
        </w:rPr>
        <w:t xml:space="preserve"> Instrumental outloo</w:t>
      </w:r>
      <w:r w:rsidR="009F5582" w:rsidRPr="003F3B3B">
        <w:rPr>
          <w:b/>
          <w:bCs/>
        </w:rPr>
        <w:t>k.</w:t>
      </w:r>
      <w:r w:rsidR="009F5582" w:rsidRPr="002B27DA">
        <w:t xml:space="preserve"> Jeol JEM2100 S</w:t>
      </w:r>
      <w:r w:rsidR="000D23F1" w:rsidRPr="002B27DA">
        <w:t>/</w:t>
      </w:r>
      <w:r w:rsidR="009F5582" w:rsidRPr="002B27DA">
        <w:t>TEM and its associated monitors, detectors, and operation panel configurations.</w:t>
      </w:r>
    </w:p>
    <w:p w14:paraId="107A3E5E" w14:textId="77777777" w:rsidR="000D23F1" w:rsidRPr="002B27DA" w:rsidRDefault="000D23F1" w:rsidP="002B27DA">
      <w:pPr>
        <w:contextualSpacing/>
      </w:pPr>
    </w:p>
    <w:p w14:paraId="3CB76401" w14:textId="6961E443" w:rsidR="000D23F1" w:rsidRPr="002B27DA" w:rsidRDefault="00663A76" w:rsidP="002B27DA">
      <w:pPr>
        <w:contextualSpacing/>
      </w:pPr>
      <w:r w:rsidRPr="003F3B3B">
        <w:rPr>
          <w:b/>
          <w:bCs/>
        </w:rPr>
        <w:t>Figure 2: Layout of TEM control monitor</w:t>
      </w:r>
      <w:r w:rsidR="006B1B2C" w:rsidRPr="003F3B3B">
        <w:rPr>
          <w:b/>
          <w:bCs/>
        </w:rPr>
        <w:t xml:space="preserve"> (TCM)</w:t>
      </w:r>
      <w:r w:rsidR="00EA22CD" w:rsidRPr="003F3B3B">
        <w:rPr>
          <w:b/>
          <w:bCs/>
        </w:rPr>
        <w:t xml:space="preserve">. </w:t>
      </w:r>
      <w:r w:rsidR="006B1B2C" w:rsidRPr="002B27DA">
        <w:t>Control windows necessary for the present method are displayed and key functions and buttons are labeled.</w:t>
      </w:r>
    </w:p>
    <w:p w14:paraId="62845B9E" w14:textId="77777777" w:rsidR="00E65BEC" w:rsidRPr="002B27DA" w:rsidRDefault="00E65BEC" w:rsidP="002B27DA">
      <w:pPr>
        <w:contextualSpacing/>
      </w:pPr>
    </w:p>
    <w:p w14:paraId="0ABBB3C3" w14:textId="50DFE043" w:rsidR="00E65BEC" w:rsidRPr="002B27DA" w:rsidRDefault="00663A76" w:rsidP="002B27DA">
      <w:pPr>
        <w:contextualSpacing/>
      </w:pPr>
      <w:r w:rsidRPr="003F3B3B">
        <w:rPr>
          <w:b/>
          <w:bCs/>
        </w:rPr>
        <w:t xml:space="preserve">Figure </w:t>
      </w:r>
      <w:r w:rsidR="000D23F1" w:rsidRPr="003F3B3B">
        <w:rPr>
          <w:b/>
          <w:bCs/>
        </w:rPr>
        <w:t>3</w:t>
      </w:r>
      <w:r w:rsidR="009F5582" w:rsidRPr="003F3B3B">
        <w:rPr>
          <w:b/>
          <w:bCs/>
        </w:rPr>
        <w:t>:</w:t>
      </w:r>
      <w:r w:rsidRPr="003F3B3B">
        <w:rPr>
          <w:b/>
          <w:bCs/>
        </w:rPr>
        <w:t xml:space="preserve"> Left/right operation panels</w:t>
      </w:r>
      <w:r w:rsidR="005A3F77" w:rsidRPr="003F3B3B">
        <w:rPr>
          <w:b/>
          <w:bCs/>
        </w:rPr>
        <w:t xml:space="preserve"> of </w:t>
      </w:r>
      <w:r w:rsidR="003F3B3B">
        <w:rPr>
          <w:b/>
          <w:bCs/>
        </w:rPr>
        <w:t>the</w:t>
      </w:r>
      <w:r w:rsidR="005A3F77" w:rsidRPr="003F3B3B">
        <w:rPr>
          <w:b/>
          <w:bCs/>
        </w:rPr>
        <w:t xml:space="preserve"> S/TEM</w:t>
      </w:r>
      <w:r w:rsidR="000D23F1" w:rsidRPr="003F3B3B">
        <w:rPr>
          <w:b/>
          <w:bCs/>
        </w:rPr>
        <w:t>.</w:t>
      </w:r>
      <w:r w:rsidR="000D23F1" w:rsidRPr="002B27DA">
        <w:t xml:space="preserve"> (Left) Left operation panel (LOP). (Right) Right operation panel. The function keys and operation knobs necessary for the present method are labeled.</w:t>
      </w:r>
    </w:p>
    <w:p w14:paraId="5DEC00E0" w14:textId="77777777" w:rsidR="00E65BEC" w:rsidRPr="002B27DA" w:rsidRDefault="00E65BEC" w:rsidP="002B27DA">
      <w:pPr>
        <w:contextualSpacing/>
      </w:pPr>
    </w:p>
    <w:p w14:paraId="41EA84B1" w14:textId="77777777" w:rsidR="00AD3CD1" w:rsidRPr="002B27DA" w:rsidRDefault="00663A76" w:rsidP="002B27DA">
      <w:pPr>
        <w:contextualSpacing/>
      </w:pPr>
      <w:r w:rsidRPr="003F3B3B">
        <w:rPr>
          <w:b/>
          <w:bCs/>
        </w:rPr>
        <w:t>Figure 4:</w:t>
      </w:r>
      <w:r w:rsidR="00C31F7A" w:rsidRPr="003F3B3B">
        <w:rPr>
          <w:b/>
          <w:bCs/>
        </w:rPr>
        <w:t xml:space="preserve"> Caustic spot image on the fluorescent screen.</w:t>
      </w:r>
      <w:r w:rsidR="00C31F7A" w:rsidRPr="002B27DA">
        <w:t xml:space="preserve"> The diameter of the spot ranges a few centimeters on the screen, depending on the defocus value.</w:t>
      </w:r>
    </w:p>
    <w:p w14:paraId="5CF142AE" w14:textId="77777777" w:rsidR="00AD3CD1" w:rsidRPr="002B27DA" w:rsidRDefault="00AD3CD1" w:rsidP="002B27DA">
      <w:pPr>
        <w:contextualSpacing/>
      </w:pPr>
    </w:p>
    <w:p w14:paraId="2E97F8E2" w14:textId="02EEE5CE" w:rsidR="00E65BEC" w:rsidRPr="002B27DA" w:rsidRDefault="00663A76" w:rsidP="002B27DA">
      <w:pPr>
        <w:contextualSpacing/>
      </w:pPr>
      <w:r w:rsidRPr="003F3B3B">
        <w:rPr>
          <w:b/>
          <w:bCs/>
        </w:rPr>
        <w:t xml:space="preserve">Figure </w:t>
      </w:r>
      <w:r w:rsidR="00AD3CD1" w:rsidRPr="003F3B3B">
        <w:rPr>
          <w:b/>
          <w:bCs/>
        </w:rPr>
        <w:t>5</w:t>
      </w:r>
      <w:r w:rsidR="000D23F1" w:rsidRPr="003F3B3B">
        <w:rPr>
          <w:b/>
          <w:bCs/>
        </w:rPr>
        <w:t>:</w:t>
      </w:r>
      <w:r w:rsidRPr="003F3B3B">
        <w:rPr>
          <w:b/>
          <w:bCs/>
        </w:rPr>
        <w:t xml:space="preserve"> Appearance of ED</w:t>
      </w:r>
      <w:r w:rsidR="00CF7AF5" w:rsidRPr="003F3B3B">
        <w:rPr>
          <w:b/>
          <w:bCs/>
        </w:rPr>
        <w:t>X</w:t>
      </w:r>
      <w:r w:rsidRPr="003F3B3B">
        <w:rPr>
          <w:b/>
          <w:bCs/>
        </w:rPr>
        <w:t xml:space="preserve"> control monitor.</w:t>
      </w:r>
      <w:r w:rsidR="009857D3" w:rsidRPr="002B27DA">
        <w:t xml:space="preserve"> </w:t>
      </w:r>
      <w:r w:rsidR="004A0C9F" w:rsidRPr="002B27DA">
        <w:t>Electron</w:t>
      </w:r>
      <w:r w:rsidR="000D1F0E" w:rsidRPr="002B27DA">
        <w:t>-channeling</w:t>
      </w:r>
      <w:r w:rsidR="004A0C9F" w:rsidRPr="002B27DA">
        <w:t xml:space="preserve"> pattern (</w:t>
      </w:r>
      <w:r w:rsidR="009857D3" w:rsidRPr="002B27DA">
        <w:t>ECP</w:t>
      </w:r>
      <w:r w:rsidR="004A0C9F" w:rsidRPr="002B27DA">
        <w:t>)</w:t>
      </w:r>
      <w:r w:rsidR="009857D3" w:rsidRPr="002B27DA">
        <w:t xml:space="preserve"> </w:t>
      </w:r>
      <w:r w:rsidR="00F7536D" w:rsidRPr="002B27DA">
        <w:t xml:space="preserve">preview </w:t>
      </w:r>
      <w:r w:rsidR="009857D3" w:rsidRPr="002B27DA">
        <w:t xml:space="preserve">in upper left panel specifies the area of measurement. </w:t>
      </w:r>
      <w:r w:rsidR="00F7536D" w:rsidRPr="002B27DA">
        <w:t>For 1</w:t>
      </w:r>
      <w:r w:rsidR="000D1F0E" w:rsidRPr="002B27DA">
        <w:t>D</w:t>
      </w:r>
      <w:r w:rsidR="00F7536D" w:rsidRPr="002B27DA">
        <w:t xml:space="preserve"> tilting measurements</w:t>
      </w:r>
      <w:r w:rsidR="004A0C9F" w:rsidRPr="002B27DA">
        <w:t>,</w:t>
      </w:r>
      <w:r w:rsidR="00F7536D" w:rsidRPr="002B27DA">
        <w:t xml:space="preserve"> X-ray </w:t>
      </w:r>
      <w:proofErr w:type="spellStart"/>
      <w:r w:rsidR="00F7536D" w:rsidRPr="002B27DA">
        <w:t>Linescan</w:t>
      </w:r>
      <w:proofErr w:type="spellEnd"/>
      <w:r w:rsidR="00F7536D" w:rsidRPr="002B27DA">
        <w:t xml:space="preserve"> </w:t>
      </w:r>
      <w:r w:rsidR="000D1F0E" w:rsidRPr="002B27DA">
        <w:t xml:space="preserve">is selected </w:t>
      </w:r>
      <w:r w:rsidR="00F7536D" w:rsidRPr="002B27DA">
        <w:t xml:space="preserve">in the leftmost panel and the range of measurement </w:t>
      </w:r>
      <w:r w:rsidR="000D1F0E" w:rsidRPr="002B27DA">
        <w:t xml:space="preserve">is indicated </w:t>
      </w:r>
      <w:r w:rsidR="00F7536D" w:rsidRPr="002B27DA">
        <w:t xml:space="preserve">by </w:t>
      </w:r>
      <w:r w:rsidR="004A0C9F" w:rsidRPr="002B27DA">
        <w:t xml:space="preserve">the </w:t>
      </w:r>
      <w:r w:rsidR="00F7536D" w:rsidRPr="002B27DA">
        <w:t xml:space="preserve">yellow arrow </w:t>
      </w:r>
      <w:r w:rsidR="000D1F0E" w:rsidRPr="002B27DA">
        <w:t>i</w:t>
      </w:r>
      <w:r w:rsidR="00F7536D" w:rsidRPr="002B27DA">
        <w:t xml:space="preserve">n the ECP preview. </w:t>
      </w:r>
      <w:r w:rsidR="009857D3" w:rsidRPr="002B27DA">
        <w:t xml:space="preserve">Periodic table in the lower left panel selects </w:t>
      </w:r>
      <w:r w:rsidR="004A0C9F" w:rsidRPr="002B27DA">
        <w:t xml:space="preserve">the </w:t>
      </w:r>
      <w:r w:rsidR="009857D3" w:rsidRPr="002B27DA">
        <w:t xml:space="preserve">elements of </w:t>
      </w:r>
      <w:r w:rsidR="004A0C9F" w:rsidRPr="002B27DA">
        <w:t>the ioniz</w:t>
      </w:r>
      <w:r w:rsidR="000D1F0E" w:rsidRPr="002B27DA">
        <w:t>ation</w:t>
      </w:r>
      <w:r w:rsidR="004A0C9F" w:rsidRPr="002B27DA">
        <w:t xml:space="preserve"> channeling patterns (</w:t>
      </w:r>
      <w:r w:rsidR="009857D3" w:rsidRPr="002B27DA">
        <w:t>ICPs</w:t>
      </w:r>
      <w:r w:rsidR="004A0C9F" w:rsidRPr="002B27DA">
        <w:t>)</w:t>
      </w:r>
      <w:r w:rsidR="009857D3" w:rsidRPr="002B27DA">
        <w:t xml:space="preserve"> </w:t>
      </w:r>
      <w:r w:rsidR="000D1F0E" w:rsidRPr="002B27DA">
        <w:t>to</w:t>
      </w:r>
      <w:r w:rsidR="009857D3" w:rsidRPr="002B27DA">
        <w:t xml:space="preserve"> be displayed in upper right panel. Lower right panel displays the accumulated EDX pattern</w:t>
      </w:r>
      <w:r w:rsidR="004A0C9F" w:rsidRPr="002B27DA">
        <w:t xml:space="preserve"> in real-time</w:t>
      </w:r>
      <w:r w:rsidR="009857D3" w:rsidRPr="002B27DA">
        <w:t>.</w:t>
      </w:r>
    </w:p>
    <w:p w14:paraId="1733D09E" w14:textId="77777777" w:rsidR="00E65BEC" w:rsidRPr="002B27DA" w:rsidRDefault="00E65BEC" w:rsidP="002B27DA">
      <w:pPr>
        <w:contextualSpacing/>
      </w:pPr>
    </w:p>
    <w:p w14:paraId="39D7010F" w14:textId="0E93F29D" w:rsidR="00EB5DB6" w:rsidRPr="002B27DA" w:rsidRDefault="00663A76" w:rsidP="002B27DA">
      <w:pPr>
        <w:contextualSpacing/>
      </w:pPr>
      <w:r w:rsidRPr="003F3B3B">
        <w:rPr>
          <w:b/>
          <w:bCs/>
        </w:rPr>
        <w:t xml:space="preserve">Figure </w:t>
      </w:r>
      <w:r w:rsidR="00AD3CD1" w:rsidRPr="003F3B3B">
        <w:rPr>
          <w:b/>
          <w:bCs/>
        </w:rPr>
        <w:t>6</w:t>
      </w:r>
      <w:r w:rsidR="002F5C22" w:rsidRPr="003F3B3B">
        <w:rPr>
          <w:b/>
          <w:bCs/>
        </w:rPr>
        <w:t>:</w:t>
      </w:r>
      <w:r w:rsidRPr="003F3B3B">
        <w:rPr>
          <w:b/>
          <w:bCs/>
        </w:rPr>
        <w:t xml:space="preserve"> </w:t>
      </w:r>
      <w:r w:rsidR="002F5C22" w:rsidRPr="003F3B3B">
        <w:rPr>
          <w:b/>
          <w:bCs/>
        </w:rPr>
        <w:t xml:space="preserve">Experimental </w:t>
      </w:r>
      <w:r w:rsidRPr="003F3B3B">
        <w:rPr>
          <w:b/>
          <w:bCs/>
        </w:rPr>
        <w:t>ECPs and ICPs</w:t>
      </w:r>
      <w:r w:rsidR="002F5C22" w:rsidRPr="003F3B3B">
        <w:rPr>
          <w:b/>
          <w:bCs/>
        </w:rPr>
        <w:t>.</w:t>
      </w:r>
      <w:r w:rsidR="002F5C22" w:rsidRPr="002B27DA">
        <w:t xml:space="preserve"> </w:t>
      </w:r>
      <w:r w:rsidR="006B1B2C" w:rsidRPr="002B27DA">
        <w:t>(</w:t>
      </w:r>
      <w:r w:rsidR="006B1B2C" w:rsidRPr="003F3B3B">
        <w:rPr>
          <w:b/>
          <w:bCs/>
        </w:rPr>
        <w:t>A</w:t>
      </w:r>
      <w:r w:rsidR="006B1B2C" w:rsidRPr="002B27DA">
        <w:t xml:space="preserve">: from left to right) ECP and ICPs </w:t>
      </w:r>
      <w:r w:rsidRPr="002B27DA">
        <w:t>of Ba-L, T-K</w:t>
      </w:r>
      <w:r w:rsidRPr="002B27DA">
        <w:rPr>
          <w:vertAlign w:val="subscript"/>
        </w:rPr>
        <w:t>a</w:t>
      </w:r>
      <w:r w:rsidRPr="002B27DA">
        <w:t>, and O-K</w:t>
      </w:r>
      <w:r w:rsidRPr="002B27DA">
        <w:rPr>
          <w:vertAlign w:val="subscript"/>
        </w:rPr>
        <w:t>a</w:t>
      </w:r>
      <w:r w:rsidRPr="002B27DA">
        <w:t xml:space="preserve"> emissions from BaTiO</w:t>
      </w:r>
      <w:r w:rsidRPr="002B27DA">
        <w:rPr>
          <w:vertAlign w:val="subscript"/>
        </w:rPr>
        <w:t>3</w:t>
      </w:r>
      <w:r w:rsidRPr="002B27DA">
        <w:t xml:space="preserve"> obtained by beam-rocking </w:t>
      </w:r>
      <w:r w:rsidR="00885B48" w:rsidRPr="002B27DA">
        <w:t xml:space="preserve">near </w:t>
      </w:r>
      <w:r w:rsidRPr="002B27DA">
        <w:t xml:space="preserve">[100] </w:t>
      </w:r>
      <w:r w:rsidR="006B1B2C" w:rsidRPr="002B27DA">
        <w:t xml:space="preserve">zone axis. </w:t>
      </w:r>
      <w:r w:rsidRPr="002B27DA">
        <w:t>(</w:t>
      </w:r>
      <w:r w:rsidR="006B1B2C" w:rsidRPr="003F3B3B">
        <w:rPr>
          <w:b/>
          <w:bCs/>
        </w:rPr>
        <w:t>B</w:t>
      </w:r>
      <w:r w:rsidR="006B1B2C" w:rsidRPr="002B27DA">
        <w:t>: from left to right</w:t>
      </w:r>
      <w:r w:rsidRPr="002B27DA">
        <w:t xml:space="preserve">) </w:t>
      </w:r>
      <w:r w:rsidR="000D1F0E" w:rsidRPr="002B27DA">
        <w:t>S</w:t>
      </w:r>
      <w:r w:rsidR="006B1B2C" w:rsidRPr="002B27DA">
        <w:t xml:space="preserve">ame as (A) near </w:t>
      </w:r>
      <w:r w:rsidRPr="002B27DA">
        <w:t xml:space="preserve">[110] zone axes. </w:t>
      </w:r>
      <w:r w:rsidR="006B1B2C" w:rsidRPr="002B27DA">
        <w:t>This figure has been modified from [12].</w:t>
      </w:r>
    </w:p>
    <w:p w14:paraId="0850771E" w14:textId="77777777" w:rsidR="00EB5DB6" w:rsidRPr="002B27DA" w:rsidRDefault="00EB5DB6" w:rsidP="002B27DA">
      <w:pPr>
        <w:contextualSpacing/>
      </w:pPr>
    </w:p>
    <w:p w14:paraId="11F66523" w14:textId="77777777" w:rsidR="00EB5DB6" w:rsidRPr="002B27DA" w:rsidRDefault="00663A76" w:rsidP="002B27DA">
      <w:pPr>
        <w:contextualSpacing/>
        <w:rPr>
          <w:rFonts w:eastAsia="Calibri"/>
        </w:rPr>
      </w:pPr>
      <w:r w:rsidRPr="003F3B3B">
        <w:rPr>
          <w:rFonts w:eastAsia="Calibri"/>
          <w:b/>
          <w:bCs/>
        </w:rPr>
        <w:t>Figure</w:t>
      </w:r>
      <w:r w:rsidR="00C45713" w:rsidRPr="003F3B3B">
        <w:rPr>
          <w:rFonts w:eastAsia="Calibri"/>
          <w:b/>
          <w:bCs/>
        </w:rPr>
        <w:t xml:space="preserve"> </w:t>
      </w:r>
      <w:r w:rsidR="00AD3CD1" w:rsidRPr="003F3B3B">
        <w:rPr>
          <w:rFonts w:eastAsia="Calibri"/>
          <w:b/>
          <w:bCs/>
        </w:rPr>
        <w:t>7</w:t>
      </w:r>
      <w:r w:rsidR="00B22276" w:rsidRPr="003F3B3B">
        <w:rPr>
          <w:rFonts w:eastAsia="Calibri"/>
          <w:b/>
          <w:bCs/>
        </w:rPr>
        <w:t>.</w:t>
      </w:r>
      <w:r w:rsidRPr="003F3B3B">
        <w:rPr>
          <w:rFonts w:eastAsia="Calibri"/>
          <w:b/>
          <w:bCs/>
        </w:rPr>
        <w:t xml:space="preserve"> ECP and corresponding X-ray ICPs </w:t>
      </w:r>
      <w:r w:rsidR="00D5581B" w:rsidRPr="003F3B3B">
        <w:rPr>
          <w:rFonts w:eastAsia="Calibri"/>
          <w:b/>
          <w:bCs/>
        </w:rPr>
        <w:t>from Ca</w:t>
      </w:r>
      <w:r w:rsidR="00D5581B" w:rsidRPr="003F3B3B">
        <w:rPr>
          <w:rFonts w:eastAsia="Calibri"/>
          <w:b/>
          <w:bCs/>
          <w:vertAlign w:val="subscript"/>
        </w:rPr>
        <w:t>1.8</w:t>
      </w:r>
      <w:r w:rsidR="00D5581B" w:rsidRPr="003F3B3B">
        <w:rPr>
          <w:rFonts w:eastAsia="Calibri"/>
          <w:b/>
          <w:bCs/>
        </w:rPr>
        <w:t>Eu</w:t>
      </w:r>
      <w:r w:rsidR="00D5581B" w:rsidRPr="003F3B3B">
        <w:rPr>
          <w:rFonts w:eastAsia="Calibri"/>
          <w:b/>
          <w:bCs/>
          <w:vertAlign w:val="subscript"/>
        </w:rPr>
        <w:t>0.2</w:t>
      </w:r>
      <w:r w:rsidR="00D5581B" w:rsidRPr="003F3B3B">
        <w:rPr>
          <w:rFonts w:eastAsia="Calibri"/>
          <w:b/>
          <w:bCs/>
        </w:rPr>
        <w:t>Y</w:t>
      </w:r>
      <w:r w:rsidR="00D5581B" w:rsidRPr="003F3B3B">
        <w:rPr>
          <w:rFonts w:eastAsia="Calibri"/>
          <w:b/>
          <w:bCs/>
          <w:vertAlign w:val="subscript"/>
        </w:rPr>
        <w:t>0.2</w:t>
      </w:r>
      <w:r w:rsidR="00D5581B" w:rsidRPr="003F3B3B">
        <w:rPr>
          <w:rFonts w:eastAsia="Calibri"/>
          <w:b/>
          <w:bCs/>
        </w:rPr>
        <w:t>Sn</w:t>
      </w:r>
      <w:r w:rsidR="00D5581B" w:rsidRPr="003F3B3B">
        <w:rPr>
          <w:rFonts w:eastAsia="Calibri"/>
          <w:b/>
          <w:bCs/>
          <w:vertAlign w:val="subscript"/>
        </w:rPr>
        <w:t>0.8</w:t>
      </w:r>
      <w:r w:rsidR="00D5581B" w:rsidRPr="003F3B3B">
        <w:rPr>
          <w:rFonts w:eastAsia="Calibri"/>
          <w:b/>
          <w:bCs/>
        </w:rPr>
        <w:t>O</w:t>
      </w:r>
      <w:r w:rsidR="00D5581B" w:rsidRPr="003F3B3B">
        <w:rPr>
          <w:rFonts w:eastAsia="Calibri"/>
          <w:b/>
          <w:bCs/>
          <w:vertAlign w:val="subscript"/>
        </w:rPr>
        <w:t>4</w:t>
      </w:r>
      <w:r w:rsidR="00D5581B" w:rsidRPr="003F3B3B">
        <w:rPr>
          <w:rFonts w:eastAsia="Calibri"/>
          <w:b/>
          <w:bCs/>
        </w:rPr>
        <w:t xml:space="preserve"> by beam-rocking near the [100] zone axis.</w:t>
      </w:r>
      <w:r w:rsidR="00D5581B" w:rsidRPr="002B27DA">
        <w:rPr>
          <w:rFonts w:eastAsia="Calibri"/>
        </w:rPr>
        <w:t xml:space="preserve"> (</w:t>
      </w:r>
      <w:r w:rsidR="00D5581B" w:rsidRPr="003F3B3B">
        <w:rPr>
          <w:rFonts w:eastAsia="Calibri"/>
          <w:b/>
          <w:bCs/>
        </w:rPr>
        <w:t>A</w:t>
      </w:r>
      <w:r w:rsidR="00D5581B" w:rsidRPr="002B27DA">
        <w:rPr>
          <w:rFonts w:eastAsia="Calibri"/>
        </w:rPr>
        <w:t>)</w:t>
      </w:r>
      <w:r w:rsidR="000D1F0E" w:rsidRPr="002B27DA">
        <w:rPr>
          <w:rFonts w:eastAsia="Calibri"/>
        </w:rPr>
        <w:t xml:space="preserve"> </w:t>
      </w:r>
      <w:r w:rsidR="00D5581B" w:rsidRPr="002B27DA">
        <w:rPr>
          <w:rFonts w:eastAsia="Calibri"/>
        </w:rPr>
        <w:t>ECP. (</w:t>
      </w:r>
      <w:r w:rsidR="00D5581B" w:rsidRPr="003F3B3B">
        <w:rPr>
          <w:rFonts w:eastAsia="Calibri"/>
          <w:b/>
          <w:bCs/>
        </w:rPr>
        <w:t>B-F</w:t>
      </w:r>
      <w:r w:rsidR="00D5581B" w:rsidRPr="002B27DA">
        <w:rPr>
          <w:rFonts w:eastAsia="Calibri"/>
        </w:rPr>
        <w:t xml:space="preserve">) ICPs of </w:t>
      </w:r>
      <w:r w:rsidRPr="002B27DA">
        <w:rPr>
          <w:rFonts w:eastAsia="Calibri"/>
        </w:rPr>
        <w:t>Ca-K</w:t>
      </w:r>
      <w:r w:rsidRPr="002B27DA">
        <w:rPr>
          <w:rFonts w:eastAsia="Calibri"/>
          <w:vertAlign w:val="subscript"/>
        </w:rPr>
        <w:t>a</w:t>
      </w:r>
      <w:r w:rsidRPr="002B27DA">
        <w:rPr>
          <w:rFonts w:eastAsia="Calibri"/>
        </w:rPr>
        <w:t>, Sn-L, O-K</w:t>
      </w:r>
      <w:r w:rsidRPr="002B27DA">
        <w:rPr>
          <w:rFonts w:eastAsia="Calibri"/>
          <w:vertAlign w:val="subscript"/>
        </w:rPr>
        <w:t>a</w:t>
      </w:r>
      <w:r w:rsidRPr="002B27DA">
        <w:rPr>
          <w:rFonts w:eastAsia="Calibri"/>
        </w:rPr>
        <w:t>, O-K</w:t>
      </w:r>
      <w:r w:rsidRPr="002B27DA">
        <w:rPr>
          <w:rFonts w:eastAsia="Calibri"/>
          <w:vertAlign w:val="subscript"/>
        </w:rPr>
        <w:t>a</w:t>
      </w:r>
      <w:r w:rsidRPr="002B27DA">
        <w:rPr>
          <w:rFonts w:eastAsia="Calibri"/>
        </w:rPr>
        <w:t>, Eu-L, and Y-L emissions</w:t>
      </w:r>
      <w:r w:rsidR="00D5581B" w:rsidRPr="002B27DA">
        <w:rPr>
          <w:rFonts w:eastAsia="Calibri"/>
        </w:rPr>
        <w:t>, respectively.</w:t>
      </w:r>
      <w:r w:rsidRPr="002B27DA">
        <w:rPr>
          <w:rFonts w:eastAsia="Calibri"/>
        </w:rPr>
        <w:t xml:space="preserve"> </w:t>
      </w:r>
      <w:r w:rsidR="003158BB" w:rsidRPr="002B27DA">
        <w:t>This figure has been modified from [12].</w:t>
      </w:r>
    </w:p>
    <w:p w14:paraId="34929BC6" w14:textId="77777777" w:rsidR="00EB5DB6" w:rsidRPr="002B27DA" w:rsidRDefault="00EB5DB6" w:rsidP="002B27DA">
      <w:pPr>
        <w:contextualSpacing/>
      </w:pPr>
    </w:p>
    <w:p w14:paraId="776ECD46" w14:textId="1367B3DE" w:rsidR="00EA1E4B" w:rsidRPr="003F3B3B" w:rsidRDefault="00663A76" w:rsidP="002B27DA">
      <w:pPr>
        <w:contextualSpacing/>
        <w:rPr>
          <w:b/>
          <w:bCs/>
        </w:rPr>
      </w:pPr>
      <w:r w:rsidRPr="003F3B3B">
        <w:rPr>
          <w:b/>
          <w:bCs/>
        </w:rPr>
        <w:t xml:space="preserve">Table 1. </w:t>
      </w:r>
      <w:r w:rsidRPr="003F3B3B">
        <w:rPr>
          <w:rFonts w:eastAsia="AdvP4DF60E"/>
          <w:b/>
          <w:bCs/>
        </w:rPr>
        <w:t>Derived parameters (defined in text) of the samples of Ca</w:t>
      </w:r>
      <w:r w:rsidRPr="003F3B3B">
        <w:rPr>
          <w:rFonts w:eastAsia="AdvP4DF60E"/>
          <w:b/>
          <w:bCs/>
          <w:vertAlign w:val="subscript"/>
        </w:rPr>
        <w:t>2-</w:t>
      </w:r>
      <w:r w:rsidRPr="003F3B3B">
        <w:rPr>
          <w:rFonts w:eastAsia="AdvP4DF60F"/>
          <w:b/>
          <w:bCs/>
          <w:i/>
          <w:vertAlign w:val="subscript"/>
        </w:rPr>
        <w:t>x</w:t>
      </w:r>
      <w:r w:rsidRPr="003F3B3B">
        <w:rPr>
          <w:rFonts w:eastAsia="AdvP4DF60E"/>
          <w:b/>
          <w:bCs/>
        </w:rPr>
        <w:t>Eu</w:t>
      </w:r>
      <w:r w:rsidRPr="003F3B3B">
        <w:rPr>
          <w:rFonts w:eastAsia="AdvP4DF60F"/>
          <w:b/>
          <w:bCs/>
          <w:vertAlign w:val="subscript"/>
        </w:rPr>
        <w:t>x</w:t>
      </w:r>
      <w:r w:rsidRPr="003F3B3B">
        <w:rPr>
          <w:rFonts w:eastAsia="AdvP4DF60E"/>
          <w:b/>
          <w:bCs/>
        </w:rPr>
        <w:t>Sn</w:t>
      </w:r>
      <w:r w:rsidRPr="003F3B3B">
        <w:rPr>
          <w:rFonts w:eastAsia="AdvP4DF60E"/>
          <w:b/>
          <w:bCs/>
          <w:vertAlign w:val="subscript"/>
        </w:rPr>
        <w:t>1</w:t>
      </w:r>
      <w:r w:rsidRPr="003F3B3B">
        <w:rPr>
          <w:rFonts w:eastAsia="AdvMacMthSyN"/>
          <w:b/>
          <w:bCs/>
          <w:vertAlign w:val="subscript"/>
        </w:rPr>
        <w:t>-</w:t>
      </w:r>
      <w:r w:rsidRPr="003F3B3B">
        <w:rPr>
          <w:rFonts w:eastAsia="AdvP4DF60F"/>
          <w:b/>
          <w:bCs/>
          <w:i/>
          <w:vertAlign w:val="subscript"/>
        </w:rPr>
        <w:t>y</w:t>
      </w:r>
      <w:r w:rsidRPr="003F3B3B">
        <w:rPr>
          <w:rFonts w:eastAsia="AdvP4DF60E"/>
          <w:b/>
          <w:bCs/>
        </w:rPr>
        <w:t>Y</w:t>
      </w:r>
      <w:r w:rsidRPr="003F3B3B">
        <w:rPr>
          <w:rFonts w:eastAsia="AdvP4DF60F"/>
          <w:b/>
          <w:bCs/>
          <w:i/>
          <w:vertAlign w:val="subscript"/>
        </w:rPr>
        <w:t>y</w:t>
      </w:r>
      <w:r w:rsidRPr="003F3B3B">
        <w:rPr>
          <w:rFonts w:eastAsia="AdvP4DF60E"/>
          <w:b/>
          <w:bCs/>
        </w:rPr>
        <w:t>O</w:t>
      </w:r>
      <w:r w:rsidRPr="003F3B3B">
        <w:rPr>
          <w:rFonts w:eastAsia="AdvP4DF60E"/>
          <w:b/>
          <w:bCs/>
          <w:vertAlign w:val="subscript"/>
        </w:rPr>
        <w:t>4</w:t>
      </w:r>
      <w:r w:rsidRPr="003F3B3B">
        <w:rPr>
          <w:rFonts w:eastAsia="AdvP4DF60E"/>
          <w:b/>
          <w:bCs/>
        </w:rPr>
        <w:t xml:space="preserve"> where (</w:t>
      </w:r>
      <w:r w:rsidRPr="003F3B3B">
        <w:rPr>
          <w:rFonts w:eastAsia="AdvP4DF60F"/>
          <w:b/>
          <w:bCs/>
          <w:i/>
        </w:rPr>
        <w:t>x</w:t>
      </w:r>
      <w:r w:rsidRPr="003F3B3B">
        <w:rPr>
          <w:rFonts w:eastAsia="AdvP4DF60E"/>
          <w:b/>
          <w:bCs/>
        </w:rPr>
        <w:t xml:space="preserve">, </w:t>
      </w:r>
      <w:r w:rsidRPr="003F3B3B">
        <w:rPr>
          <w:rFonts w:eastAsia="AdvP4DF60F"/>
          <w:b/>
          <w:bCs/>
          <w:i/>
        </w:rPr>
        <w:t>y</w:t>
      </w:r>
      <w:r w:rsidRPr="003F3B3B">
        <w:rPr>
          <w:rFonts w:eastAsia="AdvP4DF60E"/>
          <w:b/>
          <w:bCs/>
        </w:rPr>
        <w:t xml:space="preserve">) </w:t>
      </w:r>
      <w:r w:rsidRPr="003F3B3B">
        <w:rPr>
          <w:rFonts w:eastAsia="AdvMacMthSyN"/>
          <w:b/>
          <w:bCs/>
        </w:rPr>
        <w:t xml:space="preserve">= </w:t>
      </w:r>
      <w:r w:rsidRPr="003F3B3B">
        <w:rPr>
          <w:rFonts w:eastAsia="AdvP4DF60E"/>
          <w:b/>
          <w:bCs/>
        </w:rPr>
        <w:t>(0.2, 0.0) and (0.2, 0.2) respectively refer to Eu20 and Eu20Y20</w:t>
      </w:r>
      <w:r w:rsidR="00232224" w:rsidRPr="003F3B3B">
        <w:rPr>
          <w:rFonts w:eastAsia="AdvP4DF60E"/>
          <w:b/>
          <w:bCs/>
        </w:rPr>
        <w:t>.</w:t>
      </w:r>
      <w:r w:rsidR="00D5581B" w:rsidRPr="003F3B3B">
        <w:rPr>
          <w:rFonts w:eastAsia="AdvP4DF60E"/>
          <w:b/>
          <w:bCs/>
        </w:rPr>
        <w:t xml:space="preserve"> </w:t>
      </w:r>
    </w:p>
    <w:p w14:paraId="7368AFA1" w14:textId="77777777" w:rsidR="00593C2D" w:rsidRPr="002B27DA" w:rsidRDefault="00593C2D" w:rsidP="002B27DA">
      <w:pPr>
        <w:contextualSpacing/>
      </w:pPr>
    </w:p>
    <w:p w14:paraId="1226B6FE" w14:textId="77777777" w:rsidR="00593C2D" w:rsidRPr="002B27DA" w:rsidRDefault="00663A76" w:rsidP="002B27DA">
      <w:pPr>
        <w:contextualSpacing/>
        <w:rPr>
          <w:b/>
        </w:rPr>
      </w:pPr>
      <w:r w:rsidRPr="002B27DA">
        <w:rPr>
          <w:rFonts w:eastAsia="Calibri"/>
          <w:b/>
        </w:rPr>
        <w:t xml:space="preserve">DISCUSSION: </w:t>
      </w:r>
    </w:p>
    <w:p w14:paraId="7246D95B" w14:textId="06692C3E" w:rsidR="005E508E" w:rsidRDefault="00663A76" w:rsidP="002B27DA">
      <w:pPr>
        <w:contextualSpacing/>
      </w:pPr>
      <w:r w:rsidRPr="002B27DA">
        <w:rPr>
          <w:rFonts w:eastAsia="Calibri"/>
        </w:rPr>
        <w:t>Critical steps in the protocol</w:t>
      </w:r>
      <w:r w:rsidR="00EA5222" w:rsidRPr="002B27DA">
        <w:rPr>
          <w:rFonts w:eastAsia="Calibri"/>
        </w:rPr>
        <w:t xml:space="preserve"> </w:t>
      </w:r>
      <w:r w:rsidR="00885B48" w:rsidRPr="002B27DA">
        <w:rPr>
          <w:rFonts w:eastAsia="Calibri"/>
        </w:rPr>
        <w:t>are the</w:t>
      </w:r>
      <w:r w:rsidR="00C00953" w:rsidRPr="002B27DA">
        <w:rPr>
          <w:rFonts w:eastAsia="Calibri"/>
        </w:rPr>
        <w:t xml:space="preserve"> ab</w:t>
      </w:r>
      <w:r w:rsidR="00885B48" w:rsidRPr="002B27DA">
        <w:rPr>
          <w:rFonts w:eastAsia="Calibri"/>
        </w:rPr>
        <w:t>ility</w:t>
      </w:r>
      <w:r w:rsidR="00C00953" w:rsidRPr="002B27DA">
        <w:rPr>
          <w:rFonts w:eastAsia="Calibri"/>
        </w:rPr>
        <w:t xml:space="preserve"> to </w:t>
      </w:r>
      <w:r w:rsidR="00885B48" w:rsidRPr="002B27DA">
        <w:rPr>
          <w:rFonts w:eastAsia="Calibri"/>
        </w:rPr>
        <w:t xml:space="preserve">accurately </w:t>
      </w:r>
      <w:r w:rsidR="00A30BE1" w:rsidRPr="002B27DA">
        <w:rPr>
          <w:rFonts w:eastAsia="Calibri"/>
        </w:rPr>
        <w:t>align the incident rocking beam</w:t>
      </w:r>
      <w:r w:rsidR="00885B48" w:rsidRPr="002B27DA">
        <w:rPr>
          <w:rFonts w:eastAsia="Calibri"/>
        </w:rPr>
        <w:t xml:space="preserve"> that</w:t>
      </w:r>
      <w:r w:rsidR="00A30BE1" w:rsidRPr="002B27DA">
        <w:rPr>
          <w:rFonts w:eastAsia="Calibri"/>
        </w:rPr>
        <w:t xml:space="preserve"> has a small convergence angle with the pivot point</w:t>
      </w:r>
      <w:r w:rsidR="00232224" w:rsidRPr="002B27DA">
        <w:rPr>
          <w:rFonts w:eastAsia="Calibri"/>
        </w:rPr>
        <w:t>, which is</w:t>
      </w:r>
      <w:r w:rsidR="00A30BE1" w:rsidRPr="002B27DA">
        <w:rPr>
          <w:rFonts w:eastAsia="Calibri"/>
        </w:rPr>
        <w:t xml:space="preserve"> immobile at the specified area</w:t>
      </w:r>
      <w:r w:rsidR="00232224" w:rsidRPr="002B27DA">
        <w:rPr>
          <w:rFonts w:eastAsia="Calibri"/>
        </w:rPr>
        <w:t xml:space="preserve"> described</w:t>
      </w:r>
      <w:r w:rsidR="00A30BE1" w:rsidRPr="002B27DA">
        <w:rPr>
          <w:rFonts w:eastAsia="Calibri"/>
        </w:rPr>
        <w:t xml:space="preserve"> in </w:t>
      </w:r>
      <w:r w:rsidR="003F3B3B">
        <w:rPr>
          <w:rFonts w:eastAsia="Calibri"/>
        </w:rPr>
        <w:t>s</w:t>
      </w:r>
      <w:r w:rsidR="00A30BE1" w:rsidRPr="002B27DA">
        <w:rPr>
          <w:rFonts w:eastAsia="Calibri"/>
        </w:rPr>
        <w:t>tep</w:t>
      </w:r>
      <w:r w:rsidR="00885B48" w:rsidRPr="002B27DA">
        <w:rPr>
          <w:rFonts w:eastAsia="Calibri"/>
        </w:rPr>
        <w:t>s</w:t>
      </w:r>
      <w:r w:rsidR="00A30BE1" w:rsidRPr="002B27DA">
        <w:rPr>
          <w:rFonts w:eastAsia="Calibri"/>
        </w:rPr>
        <w:t xml:space="preserve"> </w:t>
      </w:r>
      <w:r w:rsidR="00172E2D" w:rsidRPr="002B27DA">
        <w:rPr>
          <w:rFonts w:eastAsia="MS Mincho"/>
        </w:rPr>
        <w:t>2.</w:t>
      </w:r>
      <w:r w:rsidR="002B27DA">
        <w:rPr>
          <w:rFonts w:eastAsia="MS Mincho"/>
        </w:rPr>
        <w:t>2</w:t>
      </w:r>
      <w:r w:rsidRPr="002B27DA">
        <w:rPr>
          <w:rFonts w:eastAsia="MS Mincho"/>
        </w:rPr>
        <w:t>–</w:t>
      </w:r>
      <w:r w:rsidR="00172E2D" w:rsidRPr="002B27DA">
        <w:rPr>
          <w:rFonts w:eastAsia="MS Mincho"/>
        </w:rPr>
        <w:t>2.</w:t>
      </w:r>
      <w:r w:rsidR="002B27DA">
        <w:rPr>
          <w:rFonts w:eastAsia="MS Mincho"/>
        </w:rPr>
        <w:t>3</w:t>
      </w:r>
      <w:r w:rsidR="00A30BE1" w:rsidRPr="002B27DA">
        <w:rPr>
          <w:rFonts w:eastAsia="Calibri"/>
        </w:rPr>
        <w:t>.</w:t>
      </w:r>
      <w:r w:rsidRPr="002B27DA">
        <w:rPr>
          <w:rFonts w:eastAsia="Calibri"/>
        </w:rPr>
        <w:t xml:space="preserve"> </w:t>
      </w:r>
      <w:r w:rsidRPr="002B27DA">
        <w:t xml:space="preserve">A collimated incident beam with a convergence semi-angle of approximately </w:t>
      </w:r>
      <w:r w:rsidR="00190868" w:rsidRPr="002B27DA">
        <w:t xml:space="preserve">no larger than </w:t>
      </w:r>
      <w:r w:rsidRPr="002B27DA">
        <w:t>2</w:t>
      </w:r>
      <w:r w:rsidR="001A05E0" w:rsidRPr="002B27DA">
        <w:t xml:space="preserve"> </w:t>
      </w:r>
      <w:proofErr w:type="spellStart"/>
      <w:r w:rsidRPr="002B27DA">
        <w:t>mrad</w:t>
      </w:r>
      <w:proofErr w:type="spellEnd"/>
      <w:r w:rsidRPr="002B27DA">
        <w:t xml:space="preserve"> was used</w:t>
      </w:r>
      <w:r w:rsidR="00335BC6" w:rsidRPr="002B27DA">
        <w:t>.</w:t>
      </w:r>
      <w:r w:rsidRPr="002B27DA">
        <w:t xml:space="preserve"> </w:t>
      </w:r>
      <w:r w:rsidR="00335BC6" w:rsidRPr="002B27DA">
        <w:t>A</w:t>
      </w:r>
      <w:r w:rsidRPr="002B27DA">
        <w:t xml:space="preserve"> beam size </w:t>
      </w:r>
      <w:r w:rsidR="000B024F" w:rsidRPr="002B27DA">
        <w:rPr>
          <w:rFonts w:eastAsia="MS Mincho"/>
        </w:rPr>
        <w:t>of</w:t>
      </w:r>
      <w:r w:rsidRPr="002B27DA">
        <w:t xml:space="preserve"> 300</w:t>
      </w:r>
      <w:r w:rsidR="000D1F0E" w:rsidRPr="002B27DA">
        <w:t> </w:t>
      </w:r>
      <w:r w:rsidRPr="002B27DA">
        <w:t xml:space="preserve">nm and </w:t>
      </w:r>
      <w:r w:rsidRPr="002B27DA">
        <w:rPr>
          <w:rFonts w:eastAsia="MS Mincho"/>
        </w:rPr>
        <w:t>diameter of 1</w:t>
      </w:r>
      <w:r w:rsidR="001A05E0" w:rsidRPr="002B27DA">
        <w:t xml:space="preserve"> </w:t>
      </w:r>
      <w:r w:rsidRPr="002B27DA">
        <w:t xml:space="preserve">μm </w:t>
      </w:r>
      <w:r w:rsidR="00335BC6" w:rsidRPr="002B27DA">
        <w:t xml:space="preserve">can be </w:t>
      </w:r>
      <w:r w:rsidR="000B024F" w:rsidRPr="002B27DA">
        <w:t>selected</w:t>
      </w:r>
      <w:r w:rsidR="00335BC6" w:rsidRPr="002B27DA">
        <w:t xml:space="preserve"> by </w:t>
      </w:r>
      <w:r w:rsidR="00335BC6" w:rsidRPr="002B27DA">
        <w:lastRenderedPageBreak/>
        <w:t>se</w:t>
      </w:r>
      <w:r w:rsidR="000B024F" w:rsidRPr="002B27DA">
        <w:t>tting</w:t>
      </w:r>
      <w:r w:rsidR="00335BC6" w:rsidRPr="002B27DA">
        <w:t xml:space="preserve"> the </w:t>
      </w:r>
      <w:r w:rsidR="00335BC6" w:rsidRPr="002B27DA">
        <w:rPr>
          <w:rFonts w:eastAsia="MS Mincho"/>
        </w:rPr>
        <w:t>condenser aperture</w:t>
      </w:r>
      <w:r w:rsidR="00335BC6" w:rsidRPr="002B27DA">
        <w:t xml:space="preserve"> </w:t>
      </w:r>
      <w:r w:rsidR="000B024F" w:rsidRPr="002B27DA">
        <w:t xml:space="preserve">#4 (10 </w:t>
      </w:r>
      <w:r w:rsidR="000B024F" w:rsidRPr="002B27DA">
        <w:sym w:font="Symbol" w:char="F06D"/>
      </w:r>
      <w:r w:rsidR="000B024F" w:rsidRPr="002B27DA">
        <w:t xml:space="preserve">m in diameter) and #3 (30 </w:t>
      </w:r>
      <w:r w:rsidR="000B024F" w:rsidRPr="002B27DA">
        <w:sym w:font="Symbol" w:char="F06D"/>
      </w:r>
      <w:r w:rsidR="000B024F" w:rsidRPr="002B27DA">
        <w:t xml:space="preserve">m) </w:t>
      </w:r>
      <w:r w:rsidRPr="002B27DA">
        <w:t xml:space="preserve">in the present hardware system. </w:t>
      </w:r>
    </w:p>
    <w:p w14:paraId="6F33A64C" w14:textId="77777777" w:rsidR="002B27DA" w:rsidRPr="002B27DA" w:rsidRDefault="002B27DA" w:rsidP="002B27DA">
      <w:pPr>
        <w:contextualSpacing/>
      </w:pPr>
    </w:p>
    <w:p w14:paraId="230D62E9" w14:textId="6C333329" w:rsidR="00E64730" w:rsidRDefault="00663A76" w:rsidP="002B27DA">
      <w:pPr>
        <w:adjustRightInd w:val="0"/>
        <w:snapToGrid w:val="0"/>
        <w:contextualSpacing/>
      </w:pPr>
      <w:r w:rsidRPr="002B27DA">
        <w:t>The advantage</w:t>
      </w:r>
      <w:r w:rsidR="00232224" w:rsidRPr="002B27DA">
        <w:t>s</w:t>
      </w:r>
      <w:r w:rsidRPr="002B27DA">
        <w:t xml:space="preserve"> of </w:t>
      </w:r>
      <w:r w:rsidR="003444D6" w:rsidRPr="002B27DA">
        <w:t>the present method</w:t>
      </w:r>
      <w:r w:rsidRPr="002B27DA">
        <w:t xml:space="preserve"> </w:t>
      </w:r>
      <w:r w:rsidR="00232224" w:rsidRPr="002B27DA">
        <w:t>are</w:t>
      </w:r>
      <w:r w:rsidRPr="002B27DA">
        <w:t xml:space="preserve"> that (i) no </w:t>
      </w:r>
      <w:r w:rsidR="003444D6" w:rsidRPr="002B27DA">
        <w:t xml:space="preserve">advanced STEM </w:t>
      </w:r>
      <w:r w:rsidR="006873AA" w:rsidRPr="002B27DA">
        <w:t>instruments</w:t>
      </w:r>
      <w:r w:rsidR="003444D6" w:rsidRPr="002B27DA">
        <w:t xml:space="preserve"> such as aberration-corrected STEM</w:t>
      </w:r>
      <w:r w:rsidRPr="002B27DA">
        <w:t xml:space="preserve"> </w:t>
      </w:r>
      <w:r w:rsidR="001F231C" w:rsidRPr="002B27DA">
        <w:t>or even field</w:t>
      </w:r>
      <w:r w:rsidR="000D1F0E" w:rsidRPr="002B27DA">
        <w:t xml:space="preserve"> </w:t>
      </w:r>
      <w:r w:rsidR="001F231C" w:rsidRPr="002B27DA">
        <w:t>emission electron gun is necessary</w:t>
      </w:r>
      <w:r w:rsidR="00232224" w:rsidRPr="002B27DA">
        <w:t>;</w:t>
      </w:r>
      <w:r w:rsidRPr="002B27DA">
        <w:t xml:space="preserve"> (ii) </w:t>
      </w:r>
      <w:r w:rsidR="001811DF" w:rsidRPr="002B27DA">
        <w:t>many</w:t>
      </w:r>
      <w:r w:rsidRPr="002B27DA">
        <w:t xml:space="preserve"> sampling points (</w:t>
      </w:r>
      <w:r w:rsidR="001811DF" w:rsidRPr="002B27DA">
        <w:t>e.g., ~</w:t>
      </w:r>
      <w:r w:rsidRPr="002B27DA">
        <w:t>4,000</w:t>
      </w:r>
      <w:r w:rsidR="001F231C" w:rsidRPr="002B27DA">
        <w:t xml:space="preserve"> points</w:t>
      </w:r>
      <w:r w:rsidR="001811DF" w:rsidRPr="002B27DA">
        <w:t xml:space="preserve"> for </w:t>
      </w:r>
      <w:r w:rsidRPr="002B27DA">
        <w:rPr>
          <w:rFonts w:eastAsia="MS Mincho"/>
        </w:rPr>
        <w:t xml:space="preserve">a scan area of 64 </w:t>
      </w:r>
      <w:r w:rsidR="001811DF" w:rsidRPr="002B27DA">
        <w:t>× 64 pixels</w:t>
      </w:r>
      <w:r w:rsidR="001811DF" w:rsidRPr="002B27DA">
        <w:rPr>
          <w:vertAlign w:val="superscript"/>
        </w:rPr>
        <w:t>2</w:t>
      </w:r>
      <w:r w:rsidRPr="002B27DA">
        <w:t xml:space="preserve">) can be </w:t>
      </w:r>
      <w:r w:rsidR="001F231C" w:rsidRPr="002B27DA">
        <w:t xml:space="preserve">automatically </w:t>
      </w:r>
      <w:r w:rsidRPr="002B27DA">
        <w:t>collected with high efficiency</w:t>
      </w:r>
      <w:r w:rsidR="001F231C" w:rsidRPr="002B27DA">
        <w:t xml:space="preserve">, while operating </w:t>
      </w:r>
      <w:r w:rsidRPr="002B27DA">
        <w:t xml:space="preserve">the </w:t>
      </w:r>
      <w:r w:rsidR="001F231C" w:rsidRPr="002B27DA">
        <w:t xml:space="preserve">conventional </w:t>
      </w:r>
      <w:r w:rsidRPr="002B27DA">
        <w:t>STEM spectral imaging</w:t>
      </w:r>
      <w:r w:rsidR="001F231C" w:rsidRPr="002B27DA">
        <w:t xml:space="preserve"> procedure on the analyzer side</w:t>
      </w:r>
      <w:r w:rsidRPr="002B27DA">
        <w:t>, and (</w:t>
      </w:r>
      <w:r w:rsidR="00EA5222" w:rsidRPr="002B27DA">
        <w:t>iii</w:t>
      </w:r>
      <w:r w:rsidRPr="002B27DA">
        <w:t xml:space="preserve">) multiple </w:t>
      </w:r>
      <w:r w:rsidR="00536369" w:rsidRPr="002B27DA">
        <w:t>spectroscopic methods</w:t>
      </w:r>
      <w:r w:rsidRPr="002B27DA">
        <w:t xml:space="preserve"> such as EDX, EELS, and </w:t>
      </w:r>
      <w:r w:rsidR="00CF7AF5" w:rsidRPr="002B27DA">
        <w:t>cathodoluminescence</w:t>
      </w:r>
      <w:r w:rsidRPr="002B27DA">
        <w:t xml:space="preserve"> can be </w:t>
      </w:r>
      <w:r w:rsidR="00536369" w:rsidRPr="002B27DA">
        <w:t>concurrently operated</w:t>
      </w:r>
      <w:r w:rsidRPr="002B27DA">
        <w:t xml:space="preserve"> in a</w:t>
      </w:r>
      <w:r w:rsidR="00BA5FEB" w:rsidRPr="002B27DA">
        <w:t xml:space="preserve"> single</w:t>
      </w:r>
      <w:r w:rsidR="00536369" w:rsidRPr="002B27DA">
        <w:t xml:space="preserve"> integrated </w:t>
      </w:r>
      <w:r w:rsidRPr="002B27DA">
        <w:t>system</w:t>
      </w:r>
      <w:r w:rsidR="00BA5FEB" w:rsidRPr="002B27DA">
        <w:t>, which enables multimodal analysis</w:t>
      </w:r>
      <w:r w:rsidR="00242577" w:rsidRPr="002B27DA">
        <w:rPr>
          <w:vertAlign w:val="superscript"/>
        </w:rPr>
        <w:t>13</w:t>
      </w:r>
      <w:r w:rsidRPr="002B27DA">
        <w:t xml:space="preserve">. </w:t>
      </w:r>
    </w:p>
    <w:p w14:paraId="033EA369" w14:textId="77777777" w:rsidR="002B27DA" w:rsidRPr="002B27DA" w:rsidRDefault="002B27DA" w:rsidP="002B27DA">
      <w:pPr>
        <w:adjustRightInd w:val="0"/>
        <w:snapToGrid w:val="0"/>
        <w:contextualSpacing/>
      </w:pPr>
    </w:p>
    <w:p w14:paraId="53983905" w14:textId="5CCE3D4F" w:rsidR="007D7979" w:rsidRDefault="00663A76" w:rsidP="002B27DA">
      <w:pPr>
        <w:adjustRightInd w:val="0"/>
        <w:snapToGrid w:val="0"/>
        <w:contextualSpacing/>
      </w:pPr>
      <w:r w:rsidRPr="002B27DA">
        <w:t>Since</w:t>
      </w:r>
      <w:r w:rsidR="00267FDB" w:rsidRPr="002B27DA">
        <w:t xml:space="preserve"> the </w:t>
      </w:r>
      <w:r w:rsidRPr="002B27DA">
        <w:t xml:space="preserve">experimental </w:t>
      </w:r>
      <w:r w:rsidR="00267FDB" w:rsidRPr="002B27DA">
        <w:t xml:space="preserve">ICPs can be precisely predicted by theoretical simulation, the method can be </w:t>
      </w:r>
      <w:r w:rsidR="00BA5FEB" w:rsidRPr="002B27DA">
        <w:t>applied</w:t>
      </w:r>
      <w:r w:rsidR="00267FDB" w:rsidRPr="002B27DA">
        <w:t xml:space="preserve"> </w:t>
      </w:r>
      <w:r w:rsidR="00F0745F" w:rsidRPr="002B27DA">
        <w:t xml:space="preserve">not only </w:t>
      </w:r>
      <w:r w:rsidR="00267FDB" w:rsidRPr="002B27DA">
        <w:t>to cases where the crystal of interest contains multiple inequivalent atomic sites for a</w:t>
      </w:r>
      <w:r w:rsidR="00113FB4" w:rsidRPr="002B27DA">
        <w:t xml:space="preserve"> </w:t>
      </w:r>
      <w:r w:rsidR="00232224" w:rsidRPr="002B27DA">
        <w:t xml:space="preserve">doped </w:t>
      </w:r>
      <w:r w:rsidR="00267FDB" w:rsidRPr="002B27DA">
        <w:t>element</w:t>
      </w:r>
      <w:r w:rsidR="00BA5FEB" w:rsidRPr="002B27DA">
        <w:rPr>
          <w:vertAlign w:val="superscript"/>
        </w:rPr>
        <w:t>14</w:t>
      </w:r>
      <w:r w:rsidR="00BA5FEB" w:rsidRPr="002B27DA">
        <w:t>.</w:t>
      </w:r>
      <w:r w:rsidR="00267FDB" w:rsidRPr="002B27DA">
        <w:t xml:space="preserve"> </w:t>
      </w:r>
      <w:r w:rsidR="00BA5FEB" w:rsidRPr="002B27DA">
        <w:t xml:space="preserve">Further </w:t>
      </w:r>
      <w:r w:rsidR="00924B3F" w:rsidRPr="002B27DA">
        <w:t>extension</w:t>
      </w:r>
      <w:r w:rsidR="00BA5FEB" w:rsidRPr="002B27DA">
        <w:t xml:space="preserve">s </w:t>
      </w:r>
      <w:r w:rsidR="00924B3F" w:rsidRPr="002B27DA">
        <w:t>are</w:t>
      </w:r>
      <w:r w:rsidR="00BA5FEB" w:rsidRPr="002B27DA">
        <w:t xml:space="preserve"> </w:t>
      </w:r>
      <w:r w:rsidR="00924B3F" w:rsidRPr="002B27DA">
        <w:t>ongoing</w:t>
      </w:r>
      <w:r w:rsidRPr="002B27DA">
        <w:rPr>
          <w:rFonts w:eastAsia="MS Mincho"/>
        </w:rPr>
        <w:t>, such as to</w:t>
      </w:r>
      <w:r w:rsidR="00612FE5" w:rsidRPr="002B27DA">
        <w:t xml:space="preserve"> </w:t>
      </w:r>
      <w:r w:rsidR="00267FDB" w:rsidRPr="002B27DA">
        <w:t xml:space="preserve">detect the vacancy concentrations </w:t>
      </w:r>
      <w:r w:rsidR="00F0745F" w:rsidRPr="002B27DA">
        <w:t xml:space="preserve">and associated displacements </w:t>
      </w:r>
      <w:r w:rsidR="00267FDB" w:rsidRPr="002B27DA">
        <w:t>of host elements</w:t>
      </w:r>
      <w:r w:rsidR="00F0745F" w:rsidRPr="002B27DA">
        <w:t>, and even</w:t>
      </w:r>
      <w:r w:rsidR="00267FDB" w:rsidRPr="002B27DA">
        <w:t xml:space="preserve"> the ordering of dopants </w:t>
      </w:r>
      <w:r w:rsidR="00F0745F" w:rsidRPr="002B27DA">
        <w:t xml:space="preserve">segregated </w:t>
      </w:r>
      <w:r w:rsidR="00267FDB" w:rsidRPr="002B27DA">
        <w:t xml:space="preserve">along </w:t>
      </w:r>
      <w:r w:rsidRPr="002B27DA">
        <w:rPr>
          <w:rFonts w:eastAsia="MS Mincho"/>
        </w:rPr>
        <w:t>the grain boundaries</w:t>
      </w:r>
      <w:r w:rsidR="00924B3F" w:rsidRPr="002B27DA">
        <w:t xml:space="preserve"> of ceramics</w:t>
      </w:r>
      <w:r w:rsidR="00267FDB" w:rsidRPr="002B27DA">
        <w:t>. The</w:t>
      </w:r>
      <w:r w:rsidR="00924B3F" w:rsidRPr="002B27DA">
        <w:t xml:space="preserve"> present method</w:t>
      </w:r>
      <w:r w:rsidR="00267FDB" w:rsidRPr="002B27DA">
        <w:t xml:space="preserve"> </w:t>
      </w:r>
      <w:r w:rsidR="00885B48" w:rsidRPr="002B27DA">
        <w:t xml:space="preserve">can provide </w:t>
      </w:r>
      <w:r w:rsidR="00267FDB" w:rsidRPr="002B27DA">
        <w:t xml:space="preserve">a </w:t>
      </w:r>
      <w:r w:rsidR="00885B48" w:rsidRPr="002B27DA">
        <w:t xml:space="preserve">significant </w:t>
      </w:r>
      <w:r w:rsidR="00267FDB" w:rsidRPr="002B27DA">
        <w:t xml:space="preserve">alternative technique applicable to relatively thick samples </w:t>
      </w:r>
      <w:r w:rsidR="00F0745F" w:rsidRPr="002B27DA">
        <w:t xml:space="preserve">in contrast to </w:t>
      </w:r>
      <w:r w:rsidR="00924B3F" w:rsidRPr="002B27DA">
        <w:t xml:space="preserve">atomic </w:t>
      </w:r>
      <w:r w:rsidR="00267FDB" w:rsidRPr="002B27DA">
        <w:t>column-by-column analysis using aberration-corrected STEM</w:t>
      </w:r>
      <w:r w:rsidRPr="002B27DA">
        <w:rPr>
          <w:rFonts w:eastAsia="MS Mincho"/>
        </w:rPr>
        <w:t xml:space="preserve">, </w:t>
      </w:r>
      <w:r w:rsidR="00924B3F" w:rsidRPr="002B27DA">
        <w:t xml:space="preserve">which </w:t>
      </w:r>
      <w:r w:rsidR="00267FDB" w:rsidRPr="002B27DA">
        <w:t xml:space="preserve">requires the preparation of </w:t>
      </w:r>
      <w:r w:rsidRPr="002B27DA">
        <w:t xml:space="preserve">very </w:t>
      </w:r>
      <w:r w:rsidR="00267FDB" w:rsidRPr="002B27DA">
        <w:t xml:space="preserve">thin </w:t>
      </w:r>
      <w:r w:rsidR="006B1B2C" w:rsidRPr="002B27DA">
        <w:t>high-quality</w:t>
      </w:r>
      <w:r w:rsidR="00924B3F" w:rsidRPr="002B27DA">
        <w:t xml:space="preserve"> </w:t>
      </w:r>
      <w:r w:rsidR="00267FDB" w:rsidRPr="002B27DA">
        <w:t>sample</w:t>
      </w:r>
      <w:r w:rsidR="00885B48" w:rsidRPr="002B27DA">
        <w:t>s</w:t>
      </w:r>
      <w:r w:rsidR="00267FDB" w:rsidRPr="002B27DA">
        <w:t xml:space="preserve"> </w:t>
      </w:r>
      <w:r w:rsidRPr="002B27DA">
        <w:t>(&lt; 10</w:t>
      </w:r>
      <w:r w:rsidR="000D1F0E" w:rsidRPr="002B27DA">
        <w:t> </w:t>
      </w:r>
      <w:r w:rsidRPr="002B27DA">
        <w:t>nm)</w:t>
      </w:r>
      <w:r w:rsidR="00267FDB" w:rsidRPr="002B27DA">
        <w:t xml:space="preserve">. </w:t>
      </w:r>
    </w:p>
    <w:p w14:paraId="6F12D497" w14:textId="77777777" w:rsidR="002B27DA" w:rsidRPr="002B27DA" w:rsidRDefault="002B27DA" w:rsidP="002B27DA">
      <w:pPr>
        <w:adjustRightInd w:val="0"/>
        <w:snapToGrid w:val="0"/>
        <w:contextualSpacing/>
      </w:pPr>
    </w:p>
    <w:p w14:paraId="11D04D63" w14:textId="3111D698" w:rsidR="00273799" w:rsidRPr="002B27DA" w:rsidRDefault="00663A76" w:rsidP="002B27DA">
      <w:pPr>
        <w:contextualSpacing/>
      </w:pPr>
      <w:r w:rsidRPr="002B27DA">
        <w:t xml:space="preserve">Atom site-selective electronic state analysis using TEM-EELS </w:t>
      </w:r>
      <w:r w:rsidR="007428D1" w:rsidRPr="002B27DA">
        <w:t xml:space="preserve">(HARECES) </w:t>
      </w:r>
      <w:r w:rsidR="00232224" w:rsidRPr="002B27DA">
        <w:t>rather than</w:t>
      </w:r>
      <w:r w:rsidRPr="002B27DA">
        <w:t xml:space="preserve"> EDX is feasible</w:t>
      </w:r>
      <w:r w:rsidRPr="002B27DA">
        <w:rPr>
          <w:vertAlign w:val="superscript"/>
        </w:rPr>
        <w:t>8-11</w:t>
      </w:r>
      <w:r w:rsidRPr="002B27DA">
        <w:t xml:space="preserve">. </w:t>
      </w:r>
      <w:r w:rsidR="007428D1" w:rsidRPr="002B27DA">
        <w:t>For automatic measurement it is recommended to use ‘ALCHEMI option’ in a beam controlling software ‘QED</w:t>
      </w:r>
      <w:r w:rsidR="000D1F0E" w:rsidRPr="002B27DA">
        <w:t>,</w:t>
      </w:r>
      <w:r w:rsidR="007428D1" w:rsidRPr="002B27DA">
        <w:t xml:space="preserve">’ running on the </w:t>
      </w:r>
      <w:proofErr w:type="spellStart"/>
      <w:r w:rsidR="007428D1" w:rsidRPr="002B27DA">
        <w:t>Gatan</w:t>
      </w:r>
      <w:proofErr w:type="spellEnd"/>
      <w:r w:rsidR="007428D1" w:rsidRPr="002B27DA">
        <w:t xml:space="preserve"> Microscope Suite, supplied by HREM Research Inc</w:t>
      </w:r>
      <w:r w:rsidR="007428D1" w:rsidRPr="002B27DA">
        <w:rPr>
          <w:vertAlign w:val="superscript"/>
        </w:rPr>
        <w:t>1</w:t>
      </w:r>
      <w:r w:rsidR="00BA5FEB" w:rsidRPr="002B27DA">
        <w:rPr>
          <w:vertAlign w:val="superscript"/>
        </w:rPr>
        <w:t>5</w:t>
      </w:r>
      <w:r w:rsidR="007428D1" w:rsidRPr="002B27DA">
        <w:t>. In HARECES measurement</w:t>
      </w:r>
      <w:r w:rsidRPr="002B27DA">
        <w:rPr>
          <w:rFonts w:eastAsia="MS Mincho"/>
        </w:rPr>
        <w:t xml:space="preserve">, it is necessary to </w:t>
      </w:r>
      <w:r w:rsidR="00885B48" w:rsidRPr="002B27DA">
        <w:rPr>
          <w:rFonts w:eastAsia="MS Mincho"/>
        </w:rPr>
        <w:t>ensure that</w:t>
      </w:r>
      <w:r w:rsidR="00885B48" w:rsidRPr="002B27DA">
        <w:t xml:space="preserve"> </w:t>
      </w:r>
      <w:r w:rsidRPr="002B27DA">
        <w:t xml:space="preserve">the transmitted beam </w:t>
      </w:r>
      <w:r w:rsidR="00885B48" w:rsidRPr="002B27DA">
        <w:t xml:space="preserve">is </w:t>
      </w:r>
      <w:r w:rsidRPr="002B27DA">
        <w:t xml:space="preserve">away from </w:t>
      </w:r>
      <w:r w:rsidR="007428D1" w:rsidRPr="002B27DA">
        <w:t xml:space="preserve">the EELS </w:t>
      </w:r>
      <w:r w:rsidRPr="002B27DA">
        <w:t xml:space="preserve">detector position </w:t>
      </w:r>
      <w:r w:rsidR="00232224" w:rsidRPr="002B27DA">
        <w:t>and</w:t>
      </w:r>
      <w:r w:rsidR="007428D1" w:rsidRPr="002B27DA">
        <w:t xml:space="preserve"> </w:t>
      </w:r>
      <w:r w:rsidRPr="002B27DA">
        <w:t xml:space="preserve">perpendicular to the systematic row </w:t>
      </w:r>
      <w:r w:rsidR="007428D1" w:rsidRPr="002B27DA">
        <w:t>in the beam tilting sequence</w:t>
      </w:r>
      <w:r w:rsidR="007428D1" w:rsidRPr="002B27DA">
        <w:rPr>
          <w:vertAlign w:val="superscript"/>
        </w:rPr>
        <w:t>8</w:t>
      </w:r>
      <w:r w:rsidR="007428D1" w:rsidRPr="002B27DA">
        <w:t>.</w:t>
      </w:r>
    </w:p>
    <w:p w14:paraId="7F3576E6" w14:textId="77777777" w:rsidR="00273799" w:rsidRPr="002B27DA" w:rsidRDefault="00273799" w:rsidP="002B27DA">
      <w:pPr>
        <w:contextualSpacing/>
      </w:pPr>
    </w:p>
    <w:p w14:paraId="411F4EA4" w14:textId="6AB9B642" w:rsidR="00E3025D" w:rsidRDefault="00663A76" w:rsidP="002B27DA">
      <w:pPr>
        <w:adjustRightInd w:val="0"/>
        <w:contextualSpacing/>
        <w:rPr>
          <w:rFonts w:eastAsia="Calibri"/>
        </w:rPr>
      </w:pPr>
      <w:r w:rsidRPr="002B27DA">
        <w:rPr>
          <w:rFonts w:eastAsia="Calibri"/>
        </w:rPr>
        <w:t>A</w:t>
      </w:r>
      <w:r w:rsidR="00267FDB" w:rsidRPr="002B27DA">
        <w:rPr>
          <w:rFonts w:eastAsia="Calibri"/>
        </w:rPr>
        <w:t xml:space="preserve"> </w:t>
      </w:r>
      <w:r w:rsidR="0069594C" w:rsidRPr="002B27DA">
        <w:rPr>
          <w:rFonts w:eastAsia="Calibri"/>
        </w:rPr>
        <w:t>l</w:t>
      </w:r>
      <w:r w:rsidR="00267FDB" w:rsidRPr="002B27DA">
        <w:rPr>
          <w:rFonts w:eastAsia="Calibri"/>
        </w:rPr>
        <w:t>imitation of this method is the minimum beam size</w:t>
      </w:r>
      <w:r w:rsidR="0069594C" w:rsidRPr="002B27DA">
        <w:rPr>
          <w:rFonts w:eastAsia="Calibri"/>
        </w:rPr>
        <w:t xml:space="preserve"> of the incident electron beam</w:t>
      </w:r>
      <w:r w:rsidRPr="002B27DA">
        <w:rPr>
          <w:rFonts w:eastAsia="Calibri"/>
        </w:rPr>
        <w:t xml:space="preserve">, which </w:t>
      </w:r>
      <w:r w:rsidR="0069594C" w:rsidRPr="002B27DA">
        <w:rPr>
          <w:rFonts w:eastAsia="Calibri"/>
        </w:rPr>
        <w:t xml:space="preserve">limits </w:t>
      </w:r>
      <w:r w:rsidR="00C51861" w:rsidRPr="002B27DA">
        <w:rPr>
          <w:rFonts w:eastAsia="Calibri"/>
        </w:rPr>
        <w:t>the minimum</w:t>
      </w:r>
      <w:r w:rsidR="00232224" w:rsidRPr="002B27DA">
        <w:rPr>
          <w:rFonts w:eastAsia="Calibri"/>
        </w:rPr>
        <w:t xml:space="preserve"> measured </w:t>
      </w:r>
      <w:r w:rsidR="0069594C" w:rsidRPr="002B27DA">
        <w:rPr>
          <w:rFonts w:eastAsia="Calibri"/>
        </w:rPr>
        <w:t>area</w:t>
      </w:r>
      <w:r w:rsidR="00E63DDD" w:rsidRPr="002B27DA">
        <w:rPr>
          <w:rFonts w:eastAsia="Calibri"/>
        </w:rPr>
        <w:t xml:space="preserve"> </w:t>
      </w:r>
      <w:r w:rsidRPr="002B27DA">
        <w:rPr>
          <w:rFonts w:eastAsia="Calibri"/>
        </w:rPr>
        <w:t xml:space="preserve">to </w:t>
      </w:r>
      <w:r w:rsidR="009A16AD" w:rsidRPr="002B27DA">
        <w:rPr>
          <w:rFonts w:eastAsia="Calibri"/>
        </w:rPr>
        <w:t xml:space="preserve">approximately </w:t>
      </w:r>
      <w:r w:rsidR="00E63DDD" w:rsidRPr="002B27DA">
        <w:rPr>
          <w:rFonts w:eastAsia="Calibri"/>
        </w:rPr>
        <w:t>300</w:t>
      </w:r>
      <w:r w:rsidR="000D1F0E" w:rsidRPr="002B27DA">
        <w:rPr>
          <w:rFonts w:eastAsia="Calibri"/>
        </w:rPr>
        <w:t> </w:t>
      </w:r>
      <w:r w:rsidR="00E63DDD" w:rsidRPr="002B27DA">
        <w:rPr>
          <w:rFonts w:eastAsia="Calibri"/>
        </w:rPr>
        <w:t>nm</w:t>
      </w:r>
      <w:r w:rsidR="0069594C" w:rsidRPr="002B27DA">
        <w:rPr>
          <w:rFonts w:eastAsia="Calibri"/>
        </w:rPr>
        <w:t xml:space="preserve">. This is </w:t>
      </w:r>
      <w:r w:rsidRPr="002B27DA">
        <w:rPr>
          <w:rFonts w:eastAsia="Calibri"/>
        </w:rPr>
        <w:t xml:space="preserve">due </w:t>
      </w:r>
      <w:r w:rsidR="0069594C" w:rsidRPr="002B27DA">
        <w:rPr>
          <w:rFonts w:eastAsia="Calibri"/>
        </w:rPr>
        <w:t>to the aberration of the TEM lens system</w:t>
      </w:r>
      <w:r w:rsidRPr="002B27DA">
        <w:rPr>
          <w:rFonts w:eastAsia="Calibri"/>
        </w:rPr>
        <w:t xml:space="preserve"> wherein</w:t>
      </w:r>
      <w:r w:rsidR="0069594C" w:rsidRPr="002B27DA">
        <w:rPr>
          <w:rFonts w:eastAsia="Calibri"/>
        </w:rPr>
        <w:t xml:space="preserve"> the pivot </w:t>
      </w:r>
      <w:r w:rsidR="00E925ED" w:rsidRPr="002B27DA">
        <w:rPr>
          <w:rFonts w:eastAsia="Calibri"/>
        </w:rPr>
        <w:t>center</w:t>
      </w:r>
      <w:r w:rsidR="0069594C" w:rsidRPr="002B27DA">
        <w:rPr>
          <w:rFonts w:eastAsia="Calibri"/>
        </w:rPr>
        <w:t xml:space="preserve"> </w:t>
      </w:r>
      <w:r w:rsidRPr="002B27DA">
        <w:rPr>
          <w:rFonts w:eastAsia="Calibri"/>
        </w:rPr>
        <w:t xml:space="preserve">moves </w:t>
      </w:r>
      <w:r w:rsidR="00F44ABF" w:rsidRPr="002B27DA">
        <w:rPr>
          <w:rFonts w:eastAsia="Calibri"/>
        </w:rPr>
        <w:t>farther than the beam radius for a smaller beam size</w:t>
      </w:r>
      <w:r w:rsidR="0014719A" w:rsidRPr="002B27DA">
        <w:rPr>
          <w:rFonts w:eastAsia="Calibri"/>
        </w:rPr>
        <w:t xml:space="preserve">, which </w:t>
      </w:r>
      <w:r w:rsidR="009A16AD" w:rsidRPr="002B27DA">
        <w:rPr>
          <w:rFonts w:eastAsia="Calibri"/>
        </w:rPr>
        <w:t xml:space="preserve">could be amended in </w:t>
      </w:r>
      <w:r w:rsidRPr="002B27DA">
        <w:rPr>
          <w:rFonts w:eastAsia="Calibri"/>
        </w:rPr>
        <w:t xml:space="preserve">the future by modifying the TEM deflector lens current setting to compensate for the beam wandering. </w:t>
      </w:r>
    </w:p>
    <w:p w14:paraId="7191ED6C" w14:textId="77777777" w:rsidR="002B27DA" w:rsidRPr="002B27DA" w:rsidRDefault="002B27DA" w:rsidP="002B27DA">
      <w:pPr>
        <w:adjustRightInd w:val="0"/>
        <w:contextualSpacing/>
      </w:pPr>
    </w:p>
    <w:p w14:paraId="6918B16F" w14:textId="36A5F61E" w:rsidR="00991DB5" w:rsidRPr="002B27DA" w:rsidRDefault="00663A76" w:rsidP="002B27DA">
      <w:pPr>
        <w:adjustRightInd w:val="0"/>
        <w:snapToGrid w:val="0"/>
        <w:contextualSpacing/>
      </w:pPr>
      <w:r w:rsidRPr="002B27DA">
        <w:t>If</w:t>
      </w:r>
      <w:r w:rsidR="00267FDB" w:rsidRPr="002B27DA">
        <w:t xml:space="preserve"> the microscope used does not have beam-rocking mode, </w:t>
      </w:r>
      <w:r w:rsidR="009D31DE" w:rsidRPr="002B27DA">
        <w:t>a very similar operation</w:t>
      </w:r>
      <w:r w:rsidR="00267FDB" w:rsidRPr="002B27DA">
        <w:t xml:space="preserve"> is </w:t>
      </w:r>
      <w:r w:rsidRPr="002B27DA">
        <w:t>achieved</w:t>
      </w:r>
      <w:r w:rsidR="00267FDB" w:rsidRPr="002B27DA">
        <w:t xml:space="preserve"> using QED</w:t>
      </w:r>
      <w:r w:rsidR="007428D1" w:rsidRPr="002B27DA">
        <w:t xml:space="preserve"> software</w:t>
      </w:r>
      <w:r w:rsidR="00F67B25" w:rsidRPr="002B27DA">
        <w:t xml:space="preserve">, which also </w:t>
      </w:r>
      <w:r w:rsidRPr="002B27DA">
        <w:t xml:space="preserve">addresses </w:t>
      </w:r>
      <w:r w:rsidR="00F67B25" w:rsidRPr="002B27DA">
        <w:t>the limitation</w:t>
      </w:r>
      <w:r w:rsidRPr="002B27DA">
        <w:t>,</w:t>
      </w:r>
      <w:r w:rsidR="00F67B25" w:rsidRPr="002B27DA">
        <w:t xml:space="preserve"> </w:t>
      </w:r>
      <w:r w:rsidRPr="002B27DA">
        <w:t xml:space="preserve">as </w:t>
      </w:r>
      <w:r w:rsidR="00F67B25" w:rsidRPr="002B27DA">
        <w:t xml:space="preserve">the software can </w:t>
      </w:r>
      <w:r w:rsidRPr="002B27DA">
        <w:t xml:space="preserve">rectify </w:t>
      </w:r>
      <w:r w:rsidR="00F67B25" w:rsidRPr="002B27DA">
        <w:t xml:space="preserve">the pivot point </w:t>
      </w:r>
      <w:r w:rsidRPr="002B27DA">
        <w:t xml:space="preserve">moving </w:t>
      </w:r>
      <w:r w:rsidR="00F67B25" w:rsidRPr="002B27DA">
        <w:t>even in the nano-beam mode</w:t>
      </w:r>
      <w:r w:rsidR="00267FDB" w:rsidRPr="002B27DA">
        <w:t>. For S/TEMs manufactured by FEI Company</w:t>
      </w:r>
      <w:r w:rsidR="000F5B20" w:rsidRPr="002B27DA">
        <w:t xml:space="preserve"> (now part of Thermo</w:t>
      </w:r>
      <w:r w:rsidR="00DC66EC" w:rsidRPr="002B27DA">
        <w:t xml:space="preserve"> </w:t>
      </w:r>
      <w:r w:rsidR="000F5B20" w:rsidRPr="002B27DA">
        <w:t>Fisher</w:t>
      </w:r>
      <w:r w:rsidR="00DC66EC" w:rsidRPr="002B27DA">
        <w:t xml:space="preserve"> Scientific</w:t>
      </w:r>
      <w:r w:rsidR="000F5B20" w:rsidRPr="002B27DA">
        <w:t>)</w:t>
      </w:r>
      <w:r w:rsidR="00267FDB" w:rsidRPr="002B27DA">
        <w:t xml:space="preserve">, TIA scripting, open-source code can </w:t>
      </w:r>
      <w:r w:rsidRPr="002B27DA">
        <w:t xml:space="preserve">manage </w:t>
      </w:r>
      <w:r w:rsidR="00267FDB" w:rsidRPr="002B27DA">
        <w:t xml:space="preserve">all S/TEM functions </w:t>
      </w:r>
      <w:r w:rsidR="009D31DE" w:rsidRPr="002B27DA">
        <w:t xml:space="preserve">and attached detectors </w:t>
      </w:r>
      <w:r w:rsidR="00267FDB" w:rsidRPr="002B27DA">
        <w:t xml:space="preserve">via a PC. Sequential EDX/EELS data acquisitions with successive incident beam tilting were </w:t>
      </w:r>
      <w:r w:rsidR="00B153E8" w:rsidRPr="002B27DA">
        <w:t>performed</w:t>
      </w:r>
      <w:r w:rsidR="00267FDB" w:rsidRPr="002B27DA">
        <w:t xml:space="preserve"> using the scripting program TIA running on the TEM imaging and analysis platform</w:t>
      </w:r>
      <w:r w:rsidR="008058CF" w:rsidRPr="002B27DA">
        <w:rPr>
          <w:vertAlign w:val="superscript"/>
        </w:rPr>
        <w:t>13</w:t>
      </w:r>
      <w:r w:rsidR="00267FDB" w:rsidRPr="002B27DA">
        <w:t xml:space="preserve">. </w:t>
      </w:r>
    </w:p>
    <w:p w14:paraId="735BD094" w14:textId="77777777" w:rsidR="00593C2D" w:rsidRPr="002B27DA" w:rsidRDefault="00593C2D" w:rsidP="002B27DA">
      <w:pPr>
        <w:contextualSpacing/>
      </w:pPr>
    </w:p>
    <w:p w14:paraId="245DB521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 xml:space="preserve">ACKNOWLEDGMENTS: </w:t>
      </w:r>
    </w:p>
    <w:p w14:paraId="39FA741A" w14:textId="17DF9E77" w:rsidR="00593C2D" w:rsidRPr="002B27DA" w:rsidRDefault="00663A76" w:rsidP="002B27DA">
      <w:pPr>
        <w:contextualSpacing/>
      </w:pPr>
      <w:r w:rsidRPr="002B27DA">
        <w:t xml:space="preserve">This work was </w:t>
      </w:r>
      <w:r w:rsidR="00F84720" w:rsidRPr="002B27DA">
        <w:t>partly</w:t>
      </w:r>
      <w:r w:rsidRPr="002B27DA">
        <w:t xml:space="preserve"> supported by Grants-in-Aid for Scientific Research </w:t>
      </w:r>
      <w:r w:rsidR="003C62CA" w:rsidRPr="002B27DA">
        <w:t xml:space="preserve">on </w:t>
      </w:r>
      <w:r w:rsidRPr="002B27DA">
        <w:t xml:space="preserve">Kiban-kenkyu A (No. 26249096), </w:t>
      </w:r>
      <w:r w:rsidR="00F84720" w:rsidRPr="002B27DA">
        <w:t>Innovative Areas "Nano Informatics" (No. 25106004),</w:t>
      </w:r>
      <w:r w:rsidR="003C62CA" w:rsidRPr="002B27DA">
        <w:t xml:space="preserve"> </w:t>
      </w:r>
      <w:r w:rsidRPr="002B27DA">
        <w:t>and Wakate-kenkyu B (No. 26870271) from the Japan Society of the Promotion of Science.</w:t>
      </w:r>
    </w:p>
    <w:p w14:paraId="5844DD5D" w14:textId="77777777" w:rsidR="00B80494" w:rsidRPr="002B27DA" w:rsidRDefault="00B80494" w:rsidP="002B27DA">
      <w:pPr>
        <w:contextualSpacing/>
        <w:rPr>
          <w:b/>
        </w:rPr>
      </w:pPr>
    </w:p>
    <w:p w14:paraId="64ED2368" w14:textId="77777777" w:rsidR="00593C2D" w:rsidRPr="002B27DA" w:rsidRDefault="00663A76" w:rsidP="002B27DA">
      <w:pPr>
        <w:pBdr>
          <w:top w:val="nil"/>
          <w:left w:val="nil"/>
          <w:bottom w:val="nil"/>
          <w:right w:val="nil"/>
          <w:between w:val="nil"/>
        </w:pBdr>
        <w:contextualSpacing/>
      </w:pPr>
      <w:r w:rsidRPr="002B27DA">
        <w:rPr>
          <w:rFonts w:eastAsia="Calibri"/>
          <w:b/>
        </w:rPr>
        <w:t xml:space="preserve">DISCLOSURES:  </w:t>
      </w:r>
    </w:p>
    <w:p w14:paraId="787438D3" w14:textId="77777777" w:rsidR="00B107B6" w:rsidRPr="002B27DA" w:rsidRDefault="00663A76" w:rsidP="002B27DA">
      <w:pPr>
        <w:pStyle w:val="jovecontent"/>
        <w:spacing w:before="0" w:beforeAutospacing="0" w:after="0" w:afterAutospacing="0"/>
        <w:contextualSpacing/>
        <w:rPr>
          <w:rFonts w:ascii="Calibri" w:hAnsi="Calibri" w:cs="Calibri"/>
        </w:rPr>
      </w:pPr>
      <w:r w:rsidRPr="002B27DA">
        <w:rPr>
          <w:rFonts w:ascii="Calibri" w:hAnsi="Calibri" w:cs="Calibri"/>
        </w:rPr>
        <w:t>The authors have nothing to disclose.</w:t>
      </w:r>
    </w:p>
    <w:p w14:paraId="1DB4F403" w14:textId="77777777" w:rsidR="00593C2D" w:rsidRPr="002B27DA" w:rsidRDefault="00593C2D" w:rsidP="002B27DA">
      <w:pPr>
        <w:contextualSpacing/>
      </w:pPr>
    </w:p>
    <w:p w14:paraId="4201C638" w14:textId="77777777" w:rsidR="00593C2D" w:rsidRPr="002B27DA" w:rsidRDefault="00663A76" w:rsidP="002B27DA">
      <w:pPr>
        <w:contextualSpacing/>
        <w:rPr>
          <w:b/>
        </w:rPr>
      </w:pPr>
      <w:r w:rsidRPr="002B27DA">
        <w:rPr>
          <w:rFonts w:eastAsia="Calibri"/>
          <w:b/>
        </w:rPr>
        <w:t>REFERENCES:</w:t>
      </w:r>
      <w:r w:rsidRPr="002B27DA">
        <w:rPr>
          <w:rFonts w:eastAsia="Calibri"/>
        </w:rPr>
        <w:t xml:space="preserve"> </w:t>
      </w:r>
    </w:p>
    <w:p w14:paraId="591E35D9" w14:textId="78CEEC3B" w:rsidR="008122A5" w:rsidRPr="002B27DA" w:rsidRDefault="00663A76" w:rsidP="002B27DA">
      <w:pPr>
        <w:adjustRightInd w:val="0"/>
        <w:ind w:left="240" w:hangingChars="100" w:hanging="240"/>
        <w:contextualSpacing/>
        <w:rPr>
          <w:rStyle w:val="HTMLCite"/>
          <w:i w:val="0"/>
        </w:rPr>
      </w:pPr>
      <w:r w:rsidRPr="002B27DA">
        <w:rPr>
          <w:rFonts w:eastAsia="Calibri"/>
        </w:rPr>
        <w:t>1.</w:t>
      </w:r>
      <w:r w:rsidRPr="002B27DA">
        <w:t xml:space="preserve"> </w:t>
      </w:r>
      <w:r w:rsidRPr="002B27DA">
        <w:rPr>
          <w:rStyle w:val="HTMLCite"/>
          <w:i w:val="0"/>
        </w:rPr>
        <w:t>Rietveld, H. M.</w:t>
      </w:r>
      <w:r w:rsidRPr="002B27DA">
        <w:rPr>
          <w:rStyle w:val="HTMLCite"/>
        </w:rPr>
        <w:t xml:space="preserve"> </w:t>
      </w:r>
      <w:r w:rsidRPr="002B27DA">
        <w:rPr>
          <w:rStyle w:val="HTMLCite"/>
          <w:i w:val="0"/>
        </w:rPr>
        <w:t>A profile refinement method for nuclear and magnetic structures.</w:t>
      </w:r>
      <w:r w:rsidRPr="002B27DA">
        <w:rPr>
          <w:rStyle w:val="HTMLCite"/>
        </w:rPr>
        <w:t xml:space="preserve"> Journal of Applied Crystallography. </w:t>
      </w:r>
      <w:r w:rsidRPr="002B27DA">
        <w:rPr>
          <w:rStyle w:val="HTMLCite"/>
          <w:b/>
          <w:bCs/>
          <w:i w:val="0"/>
        </w:rPr>
        <w:t>2</w:t>
      </w:r>
      <w:r w:rsidRPr="002B27DA">
        <w:rPr>
          <w:rStyle w:val="HTMLCite"/>
          <w:bCs/>
          <w:i w:val="0"/>
        </w:rPr>
        <w:t>,</w:t>
      </w:r>
      <w:bookmarkStart w:id="0" w:name="_Hlk48909836"/>
      <w:r w:rsidRPr="002B27DA">
        <w:rPr>
          <w:rStyle w:val="HTMLCite"/>
          <w:i w:val="0"/>
        </w:rPr>
        <w:t xml:space="preserve"> </w:t>
      </w:r>
      <w:bookmarkEnd w:id="0"/>
      <w:r w:rsidRPr="002B27DA">
        <w:rPr>
          <w:rStyle w:val="HTMLCite"/>
          <w:i w:val="0"/>
        </w:rPr>
        <w:t>65</w:t>
      </w:r>
      <w:r w:rsidR="00BB0706" w:rsidRPr="002B27DA">
        <w:rPr>
          <w:rStyle w:val="HTMLCite"/>
          <w:i w:val="0"/>
        </w:rPr>
        <w:t>-</w:t>
      </w:r>
      <w:r w:rsidRPr="002B27DA">
        <w:rPr>
          <w:rStyle w:val="HTMLCite"/>
          <w:i w:val="0"/>
        </w:rPr>
        <w:t>71 (1969).</w:t>
      </w:r>
    </w:p>
    <w:p w14:paraId="7704A80F" w14:textId="77777777" w:rsidR="008122A5" w:rsidRPr="002B27DA" w:rsidRDefault="00663A76" w:rsidP="002B27DA">
      <w:pPr>
        <w:adjustRightInd w:val="0"/>
        <w:ind w:left="240" w:hangingChars="100" w:hanging="240"/>
        <w:contextualSpacing/>
      </w:pPr>
      <w:r w:rsidRPr="002B27DA">
        <w:rPr>
          <w:rStyle w:val="HTMLCite"/>
          <w:i w:val="0"/>
        </w:rPr>
        <w:t xml:space="preserve">2. </w:t>
      </w:r>
      <w:r w:rsidRPr="002B27DA">
        <w:t xml:space="preserve">Izumi, F., Ikeda, T. A Rietveld-analysis program RIETAN-98 and its applications to zeolites. </w:t>
      </w:r>
      <w:r w:rsidRPr="002B27DA">
        <w:rPr>
          <w:i/>
        </w:rPr>
        <w:t>Materials Science Forum.</w:t>
      </w:r>
      <w:r w:rsidRPr="002B27DA">
        <w:t xml:space="preserve"> </w:t>
      </w:r>
      <w:r w:rsidRPr="002B27DA">
        <w:rPr>
          <w:b/>
        </w:rPr>
        <w:t>321–324</w:t>
      </w:r>
      <w:r w:rsidRPr="002B27DA">
        <w:t>, 198-203 (2000).</w:t>
      </w:r>
    </w:p>
    <w:p w14:paraId="08B04CAD" w14:textId="35498BB2" w:rsidR="006561C3" w:rsidRPr="002B27DA" w:rsidRDefault="00663A76" w:rsidP="002B27DA">
      <w:pPr>
        <w:adjustRightInd w:val="0"/>
        <w:ind w:left="240" w:hangingChars="100" w:hanging="240"/>
        <w:contextualSpacing/>
        <w:rPr>
          <w:rStyle w:val="HTMLCite"/>
          <w:i w:val="0"/>
          <w:lang w:val="en-GB"/>
        </w:rPr>
      </w:pPr>
      <w:r w:rsidRPr="002B27DA">
        <w:rPr>
          <w:lang w:val="en-GB"/>
        </w:rPr>
        <w:t xml:space="preserve">3. </w:t>
      </w:r>
      <w:r w:rsidRPr="002B27DA">
        <w:rPr>
          <w:rStyle w:val="HTMLCite"/>
          <w:i w:val="0"/>
          <w:lang w:val="en-GB"/>
        </w:rPr>
        <w:t xml:space="preserve">Rose, H. H. Optics of high-performance electron </w:t>
      </w:r>
      <w:r w:rsidR="00BB0706" w:rsidRPr="002B27DA">
        <w:rPr>
          <w:rStyle w:val="HTMLCite"/>
          <w:i w:val="0"/>
          <w:lang w:val="en-GB"/>
        </w:rPr>
        <w:t>m</w:t>
      </w:r>
      <w:r w:rsidRPr="002B27DA">
        <w:rPr>
          <w:rStyle w:val="HTMLCite"/>
          <w:i w:val="0"/>
          <w:lang w:val="en-GB"/>
        </w:rPr>
        <w:t xml:space="preserve">icroscopes. </w:t>
      </w:r>
      <w:r w:rsidRPr="002B27DA">
        <w:rPr>
          <w:rStyle w:val="HTMLCite"/>
          <w:lang w:val="en-GB"/>
        </w:rPr>
        <w:t xml:space="preserve">Science and Technology of Advanced Materials. </w:t>
      </w:r>
      <w:r w:rsidRPr="002B27DA">
        <w:rPr>
          <w:rStyle w:val="HTMLCite"/>
          <w:b/>
          <w:bCs/>
          <w:i w:val="0"/>
          <w:lang w:val="en-GB"/>
        </w:rPr>
        <w:t>9</w:t>
      </w:r>
      <w:r w:rsidRPr="002B27DA">
        <w:rPr>
          <w:rStyle w:val="HTMLCite"/>
          <w:bCs/>
          <w:i w:val="0"/>
          <w:lang w:val="en-GB"/>
        </w:rPr>
        <w:t>, 014107</w:t>
      </w:r>
      <w:r w:rsidRPr="002B27DA">
        <w:rPr>
          <w:rStyle w:val="HTMLCite"/>
          <w:i w:val="0"/>
          <w:lang w:val="en-GB"/>
        </w:rPr>
        <w:t xml:space="preserve"> (2008).</w:t>
      </w:r>
    </w:p>
    <w:p w14:paraId="6E7A3AD3" w14:textId="105F537F" w:rsidR="006561C3" w:rsidRPr="002B27DA" w:rsidRDefault="00663A76" w:rsidP="002B27DA">
      <w:pPr>
        <w:adjustRightInd w:val="0"/>
        <w:ind w:left="240" w:hangingChars="100" w:hanging="240"/>
        <w:contextualSpacing/>
        <w:rPr>
          <w:lang w:val="en-GB"/>
        </w:rPr>
      </w:pPr>
      <w:r w:rsidRPr="002B27DA">
        <w:rPr>
          <w:rStyle w:val="HTMLCite"/>
          <w:i w:val="0"/>
          <w:lang w:val="en-GB"/>
        </w:rPr>
        <w:t>4.</w:t>
      </w:r>
      <w:r w:rsidRPr="002B27DA">
        <w:rPr>
          <w:rStyle w:val="HTMLCite"/>
          <w:lang w:val="en-GB"/>
        </w:rPr>
        <w:t xml:space="preserve"> </w:t>
      </w:r>
      <w:r w:rsidRPr="002B27DA">
        <w:rPr>
          <w:lang w:val="en-GB"/>
        </w:rPr>
        <w:t>Muller, D. A</w:t>
      </w:r>
      <w:r w:rsidR="003F3B3B">
        <w:rPr>
          <w:lang w:val="en-GB"/>
        </w:rPr>
        <w:t>. et al.</w:t>
      </w:r>
      <w:r w:rsidRPr="002B27DA">
        <w:rPr>
          <w:lang w:val="en-GB"/>
        </w:rPr>
        <w:t xml:space="preserve"> Atomic-</w:t>
      </w:r>
      <w:r w:rsidR="00BB0706" w:rsidRPr="002B27DA">
        <w:rPr>
          <w:lang w:val="en-GB"/>
        </w:rPr>
        <w:t>s</w:t>
      </w:r>
      <w:r w:rsidRPr="002B27DA">
        <w:rPr>
          <w:lang w:val="en-GB"/>
        </w:rPr>
        <w:t xml:space="preserve">cale </w:t>
      </w:r>
      <w:r w:rsidR="00BB0706" w:rsidRPr="002B27DA">
        <w:rPr>
          <w:lang w:val="en-GB"/>
        </w:rPr>
        <w:t>c</w:t>
      </w:r>
      <w:r w:rsidRPr="002B27DA">
        <w:rPr>
          <w:lang w:val="en-GB"/>
        </w:rPr>
        <w:t xml:space="preserve">hemical </w:t>
      </w:r>
      <w:r w:rsidR="00BB0706" w:rsidRPr="002B27DA">
        <w:rPr>
          <w:lang w:val="en-GB"/>
        </w:rPr>
        <w:t>i</w:t>
      </w:r>
      <w:r w:rsidRPr="002B27DA">
        <w:rPr>
          <w:lang w:val="en-GB"/>
        </w:rPr>
        <w:t xml:space="preserve">maging of </w:t>
      </w:r>
      <w:r w:rsidR="00BB0706" w:rsidRPr="002B27DA">
        <w:rPr>
          <w:lang w:val="en-GB"/>
        </w:rPr>
        <w:t>c</w:t>
      </w:r>
      <w:r w:rsidRPr="002B27DA">
        <w:rPr>
          <w:lang w:val="en-GB"/>
        </w:rPr>
        <w:t xml:space="preserve">omposition and </w:t>
      </w:r>
      <w:r w:rsidR="00BB0706" w:rsidRPr="002B27DA">
        <w:rPr>
          <w:lang w:val="en-GB"/>
        </w:rPr>
        <w:t>b</w:t>
      </w:r>
      <w:r w:rsidRPr="002B27DA">
        <w:rPr>
          <w:lang w:val="en-GB"/>
        </w:rPr>
        <w:t xml:space="preserve">onding by </w:t>
      </w:r>
      <w:r w:rsidR="00BB0706" w:rsidRPr="002B27DA">
        <w:rPr>
          <w:lang w:val="en-GB"/>
        </w:rPr>
        <w:t>a</w:t>
      </w:r>
      <w:r w:rsidRPr="002B27DA">
        <w:rPr>
          <w:lang w:val="en-GB"/>
        </w:rPr>
        <w:t xml:space="preserve">berration- </w:t>
      </w:r>
      <w:r w:rsidR="00BB0706" w:rsidRPr="002B27DA">
        <w:rPr>
          <w:lang w:val="en-GB"/>
        </w:rPr>
        <w:t>c</w:t>
      </w:r>
      <w:r w:rsidRPr="002B27DA">
        <w:rPr>
          <w:lang w:val="en-GB"/>
        </w:rPr>
        <w:t xml:space="preserve">orrected </w:t>
      </w:r>
      <w:r w:rsidR="00BB0706" w:rsidRPr="002B27DA">
        <w:rPr>
          <w:lang w:val="en-GB"/>
        </w:rPr>
        <w:t>m</w:t>
      </w:r>
      <w:r w:rsidRPr="002B27DA">
        <w:rPr>
          <w:lang w:val="en-GB"/>
        </w:rPr>
        <w:t xml:space="preserve">icroscopy. </w:t>
      </w:r>
      <w:r w:rsidRPr="002B27DA">
        <w:rPr>
          <w:i/>
          <w:lang w:val="en-GB"/>
        </w:rPr>
        <w:t>Science.</w:t>
      </w:r>
      <w:r w:rsidRPr="002B27DA">
        <w:rPr>
          <w:lang w:val="en-GB"/>
        </w:rPr>
        <w:t xml:space="preserve"> </w:t>
      </w:r>
      <w:r w:rsidRPr="002B27DA">
        <w:rPr>
          <w:b/>
          <w:bCs/>
          <w:lang w:val="en-GB"/>
        </w:rPr>
        <w:t>319</w:t>
      </w:r>
      <w:r w:rsidRPr="002B27DA">
        <w:rPr>
          <w:bCs/>
          <w:lang w:val="en-GB"/>
        </w:rPr>
        <w:t>,</w:t>
      </w:r>
      <w:r w:rsidRPr="002B27DA">
        <w:rPr>
          <w:lang w:val="en-GB"/>
        </w:rPr>
        <w:t xml:space="preserve"> 1073-1076 (2008).</w:t>
      </w:r>
    </w:p>
    <w:p w14:paraId="622F9069" w14:textId="02C1E6F9" w:rsidR="008122A5" w:rsidRPr="002B27DA" w:rsidRDefault="00663A76" w:rsidP="002B27DA">
      <w:pPr>
        <w:shd w:val="clear" w:color="auto" w:fill="FFFFFF"/>
        <w:adjustRightInd w:val="0"/>
        <w:ind w:left="240" w:hangingChars="100" w:hanging="240"/>
        <w:contextualSpacing/>
        <w:outlineLvl w:val="1"/>
      </w:pPr>
      <w:r w:rsidRPr="002B27DA">
        <w:t xml:space="preserve">5. Spence, J. C. H., Taftø, J. ALCHEMI: </w:t>
      </w:r>
      <w:r w:rsidR="00BB0706" w:rsidRPr="002B27DA">
        <w:t>A</w:t>
      </w:r>
      <w:r w:rsidRPr="002B27DA">
        <w:t xml:space="preserve"> new technique for locating atoms in small crystals. </w:t>
      </w:r>
      <w:r w:rsidRPr="002B27DA">
        <w:rPr>
          <w:i/>
        </w:rPr>
        <w:t>Journal of Microscopy</w:t>
      </w:r>
      <w:r w:rsidRPr="002B27DA">
        <w:t xml:space="preserve">. </w:t>
      </w:r>
      <w:r w:rsidRPr="002B27DA">
        <w:rPr>
          <w:b/>
        </w:rPr>
        <w:t>130</w:t>
      </w:r>
      <w:r w:rsidRPr="002B27DA">
        <w:t>, 147-154 (1982).</w:t>
      </w:r>
    </w:p>
    <w:p w14:paraId="55C3EB61" w14:textId="77777777" w:rsidR="008122A5" w:rsidRPr="002B27DA" w:rsidRDefault="00663A76" w:rsidP="002B27DA">
      <w:pPr>
        <w:adjustRightInd w:val="0"/>
        <w:ind w:left="360" w:hangingChars="150" w:hanging="360"/>
        <w:contextualSpacing/>
      </w:pPr>
      <w:r w:rsidRPr="002B27DA">
        <w:t xml:space="preserve">6. Taftø, J., Spence, J. C. H. Crystal site location of iron and trace elements in an Mg-Fe olivine using a new crystallographic technique. </w:t>
      </w:r>
      <w:r w:rsidRPr="002B27DA">
        <w:rPr>
          <w:i/>
        </w:rPr>
        <w:t>Science</w:t>
      </w:r>
      <w:r w:rsidRPr="002B27DA">
        <w:t xml:space="preserve">. </w:t>
      </w:r>
      <w:r w:rsidRPr="002B27DA">
        <w:rPr>
          <w:b/>
        </w:rPr>
        <w:t>218</w:t>
      </w:r>
      <w:r w:rsidRPr="002B27DA">
        <w:t>, 49-51 (1982).</w:t>
      </w:r>
    </w:p>
    <w:p w14:paraId="5829BCE8" w14:textId="77777777" w:rsidR="008122A5" w:rsidRPr="002B27DA" w:rsidRDefault="00663A76" w:rsidP="002B27DA">
      <w:pPr>
        <w:ind w:left="360" w:hangingChars="150" w:hanging="360"/>
        <w:contextualSpacing/>
      </w:pPr>
      <w:r w:rsidRPr="002B27DA">
        <w:t xml:space="preserve">7. Yasuda, K., Yamamoto, T., Matsumura, S. The atomic structure of disordered ion tracks in magnesium aluminate spinel. </w:t>
      </w:r>
      <w:r w:rsidRPr="002B27DA">
        <w:rPr>
          <w:i/>
        </w:rPr>
        <w:t>Journal of Microscopy</w:t>
      </w:r>
      <w:r w:rsidRPr="002B27DA">
        <w:t xml:space="preserve">. </w:t>
      </w:r>
      <w:r w:rsidRPr="002B27DA">
        <w:rPr>
          <w:b/>
        </w:rPr>
        <w:t>59</w:t>
      </w:r>
      <w:r w:rsidRPr="002B27DA">
        <w:t>, 27 (2007).</w:t>
      </w:r>
    </w:p>
    <w:p w14:paraId="5440F3DC" w14:textId="77777777" w:rsidR="008122A5" w:rsidRPr="002B27DA" w:rsidRDefault="00663A76" w:rsidP="002B27DA">
      <w:pPr>
        <w:ind w:left="360" w:hangingChars="150" w:hanging="360"/>
        <w:contextualSpacing/>
      </w:pPr>
      <w:r w:rsidRPr="002B27DA">
        <w:t xml:space="preserve">8. Tatsumi, K., Muto, S. </w:t>
      </w:r>
      <w:r w:rsidRPr="002B27DA">
        <w:rPr>
          <w:rStyle w:val="maintitle"/>
        </w:rPr>
        <w:t xml:space="preserve">Local electronic structure analysis by site-selective ELNES using electron channeling and first-principles calculations. </w:t>
      </w:r>
      <w:r w:rsidRPr="002B27DA">
        <w:rPr>
          <w:i/>
        </w:rPr>
        <w:t>Journal of Physics Condensed Matter</w:t>
      </w:r>
      <w:r w:rsidRPr="002B27DA">
        <w:rPr>
          <w:rFonts w:eastAsia="MS Mincho"/>
          <w:kern w:val="2"/>
        </w:rPr>
        <w:t xml:space="preserve">. </w:t>
      </w:r>
      <w:r w:rsidRPr="002B27DA">
        <w:rPr>
          <w:rFonts w:eastAsia="MS Mincho"/>
          <w:b/>
          <w:bCs/>
          <w:kern w:val="2"/>
        </w:rPr>
        <w:t>21</w:t>
      </w:r>
      <w:r w:rsidRPr="002B27DA">
        <w:rPr>
          <w:rFonts w:eastAsia="MS Mincho"/>
          <w:kern w:val="2"/>
        </w:rPr>
        <w:t xml:space="preserve">, 104213-1-14 </w:t>
      </w:r>
      <w:r w:rsidRPr="002B27DA">
        <w:t>(2009).</w:t>
      </w:r>
    </w:p>
    <w:p w14:paraId="5AD8281F" w14:textId="5BDDE9C7" w:rsidR="008122A5" w:rsidRPr="002B27DA" w:rsidRDefault="00663A76" w:rsidP="002B27DA">
      <w:pPr>
        <w:adjustRightInd w:val="0"/>
        <w:ind w:left="360" w:hangingChars="150" w:hanging="360"/>
        <w:contextualSpacing/>
      </w:pPr>
      <w:r w:rsidRPr="002B27DA">
        <w:t xml:space="preserve">9. Yamamoto, Y., Tatsumi, K., </w:t>
      </w:r>
      <w:bookmarkStart w:id="1" w:name="_Hlk48912713"/>
      <w:r w:rsidRPr="002B27DA">
        <w:t>Muto, S</w:t>
      </w:r>
      <w:bookmarkEnd w:id="1"/>
      <w:r w:rsidRPr="002B27DA">
        <w:t>. Site-</w:t>
      </w:r>
      <w:r w:rsidR="00BB0706" w:rsidRPr="002B27DA">
        <w:t>s</w:t>
      </w:r>
      <w:r w:rsidRPr="002B27DA">
        <w:t xml:space="preserve">elective </w:t>
      </w:r>
      <w:r w:rsidR="00BB0706" w:rsidRPr="002B27DA">
        <w:t>e</w:t>
      </w:r>
      <w:r w:rsidRPr="002B27DA">
        <w:t xml:space="preserve">lectronic </w:t>
      </w:r>
      <w:r w:rsidR="00BB0706" w:rsidRPr="002B27DA">
        <w:t>s</w:t>
      </w:r>
      <w:r w:rsidRPr="002B27DA">
        <w:t xml:space="preserve">tructure of </w:t>
      </w:r>
      <w:r w:rsidR="00BB0706" w:rsidRPr="002B27DA">
        <w:t>a</w:t>
      </w:r>
      <w:r w:rsidRPr="002B27DA">
        <w:t xml:space="preserve">luminum in </w:t>
      </w:r>
      <w:r w:rsidR="00BB0706" w:rsidRPr="002B27DA">
        <w:t>o</w:t>
      </w:r>
      <w:r w:rsidRPr="002B27DA">
        <w:t xml:space="preserve">xide </w:t>
      </w:r>
      <w:r w:rsidR="00BB0706" w:rsidRPr="002B27DA">
        <w:t>c</w:t>
      </w:r>
      <w:r w:rsidRPr="002B27DA">
        <w:t xml:space="preserve">eramics </w:t>
      </w:r>
      <w:r w:rsidR="00BB0706" w:rsidRPr="002B27DA">
        <w:t>o</w:t>
      </w:r>
      <w:r w:rsidRPr="002B27DA">
        <w:t xml:space="preserve">btained by TEM-EELS </w:t>
      </w:r>
      <w:r w:rsidR="00BB0706" w:rsidRPr="002B27DA">
        <w:t>a</w:t>
      </w:r>
      <w:r w:rsidRPr="002B27DA">
        <w:t xml:space="preserve">nalysis </w:t>
      </w:r>
      <w:r w:rsidR="00BB0706" w:rsidRPr="002B27DA">
        <w:t>u</w:t>
      </w:r>
      <w:r w:rsidRPr="002B27DA">
        <w:t xml:space="preserve">sing the </w:t>
      </w:r>
      <w:r w:rsidR="00BB0706" w:rsidRPr="002B27DA">
        <w:t>e</w:t>
      </w:r>
      <w:r w:rsidRPr="002B27DA">
        <w:t xml:space="preserve">lectron </w:t>
      </w:r>
      <w:r w:rsidR="00BB0706" w:rsidRPr="002B27DA">
        <w:t>s</w:t>
      </w:r>
      <w:r w:rsidRPr="002B27DA">
        <w:t>tanding-</w:t>
      </w:r>
      <w:r w:rsidR="00BB0706" w:rsidRPr="002B27DA">
        <w:t>w</w:t>
      </w:r>
      <w:r w:rsidRPr="002B27DA">
        <w:t xml:space="preserve">ave </w:t>
      </w:r>
      <w:r w:rsidR="00BB0706" w:rsidRPr="002B27DA">
        <w:t>m</w:t>
      </w:r>
      <w:r w:rsidRPr="002B27DA">
        <w:t xml:space="preserve">ethod. </w:t>
      </w:r>
      <w:r w:rsidRPr="002B27DA">
        <w:rPr>
          <w:i/>
        </w:rPr>
        <w:t>Materials Transactions</w:t>
      </w:r>
      <w:r w:rsidRPr="002B27DA">
        <w:t xml:space="preserve">. </w:t>
      </w:r>
      <w:r w:rsidRPr="002B27DA">
        <w:rPr>
          <w:b/>
        </w:rPr>
        <w:t>48</w:t>
      </w:r>
      <w:r w:rsidRPr="002B27DA">
        <w:t>, 2590-2594 (2007).</w:t>
      </w:r>
    </w:p>
    <w:p w14:paraId="31880800" w14:textId="77777777" w:rsidR="008122A5" w:rsidRPr="002B27DA" w:rsidRDefault="00663A76" w:rsidP="002B27DA">
      <w:pPr>
        <w:adjustRightInd w:val="0"/>
        <w:ind w:left="360" w:hangingChars="150" w:hanging="360"/>
        <w:contextualSpacing/>
      </w:pPr>
      <w:r w:rsidRPr="002B27DA">
        <w:t>10.</w:t>
      </w:r>
      <w:r w:rsidRPr="002B27DA">
        <w:rPr>
          <w:rFonts w:eastAsia="MS PMincho"/>
        </w:rPr>
        <w:t xml:space="preserve"> </w:t>
      </w:r>
      <w:r w:rsidRPr="002B27DA">
        <w:t>Tatsumi, K.,</w:t>
      </w:r>
      <w:r w:rsidRPr="002B27DA">
        <w:rPr>
          <w:rFonts w:eastAsia="MS PMincho"/>
        </w:rPr>
        <w:t xml:space="preserve"> </w:t>
      </w:r>
      <w:r w:rsidRPr="002B27DA">
        <w:t>Muto, S., Nishida, I., Rusz</w:t>
      </w:r>
      <w:r w:rsidRPr="002B27DA">
        <w:rPr>
          <w:rFonts w:eastAsia="MS PMincho"/>
        </w:rPr>
        <w:t xml:space="preserve">, J. Site-specific electronic configurations of Fe 3d states by energy loss by channeled electrons. </w:t>
      </w:r>
      <w:r w:rsidRPr="002B27DA">
        <w:rPr>
          <w:rFonts w:eastAsia="MS PMincho"/>
          <w:i/>
        </w:rPr>
        <w:t>Applied Physics Letters</w:t>
      </w:r>
      <w:r w:rsidRPr="002B27DA">
        <w:rPr>
          <w:rFonts w:eastAsia="MS PMincho"/>
        </w:rPr>
        <w:t xml:space="preserve">. </w:t>
      </w:r>
      <w:r w:rsidRPr="002B27DA">
        <w:rPr>
          <w:rFonts w:eastAsia="MS PMincho"/>
          <w:b/>
        </w:rPr>
        <w:t>96</w:t>
      </w:r>
      <w:r w:rsidRPr="002B27DA">
        <w:rPr>
          <w:rFonts w:eastAsia="MS PMincho"/>
        </w:rPr>
        <w:t>, 201911 (2010).</w:t>
      </w:r>
    </w:p>
    <w:p w14:paraId="4AA7C091" w14:textId="200117F4" w:rsidR="008122A5" w:rsidRPr="002B27DA" w:rsidRDefault="00663A76" w:rsidP="002B27DA">
      <w:pPr>
        <w:adjustRightInd w:val="0"/>
        <w:ind w:left="360" w:hangingChars="150" w:hanging="360"/>
        <w:contextualSpacing/>
        <w:rPr>
          <w:iCs/>
        </w:rPr>
      </w:pPr>
      <w:r w:rsidRPr="002B27DA">
        <w:t>11. Tatsumi, K.,</w:t>
      </w:r>
      <w:r w:rsidRPr="002B27DA">
        <w:rPr>
          <w:rFonts w:eastAsia="MS PMincho"/>
        </w:rPr>
        <w:t xml:space="preserve"> </w:t>
      </w:r>
      <w:r w:rsidRPr="002B27DA">
        <w:t>Muto, S., Rusz</w:t>
      </w:r>
      <w:r w:rsidRPr="002B27DA">
        <w:rPr>
          <w:rFonts w:eastAsia="MS PMincho"/>
        </w:rPr>
        <w:t>, J.</w:t>
      </w:r>
      <w:r w:rsidRPr="002B27DA">
        <w:t xml:space="preserve"> Energy </w:t>
      </w:r>
      <w:r w:rsidR="00BB0706" w:rsidRPr="002B27DA">
        <w:t>l</w:t>
      </w:r>
      <w:r w:rsidRPr="002B27DA">
        <w:t xml:space="preserve">oss by </w:t>
      </w:r>
      <w:r w:rsidR="00BB0706" w:rsidRPr="002B27DA">
        <w:t>c</w:t>
      </w:r>
      <w:r w:rsidRPr="002B27DA">
        <w:t xml:space="preserve">hanneled </w:t>
      </w:r>
      <w:r w:rsidR="00BB0706" w:rsidRPr="002B27DA">
        <w:t>e</w:t>
      </w:r>
      <w:r w:rsidRPr="002B27DA">
        <w:t xml:space="preserve">lectrons: A </w:t>
      </w:r>
      <w:r w:rsidR="00BB0706" w:rsidRPr="002B27DA">
        <w:t>q</w:t>
      </w:r>
      <w:r w:rsidRPr="002B27DA">
        <w:t xml:space="preserve">uantitative </w:t>
      </w:r>
      <w:r w:rsidR="00BB0706" w:rsidRPr="002B27DA">
        <w:t>s</w:t>
      </w:r>
      <w:r w:rsidRPr="002B27DA">
        <w:t xml:space="preserve">tudy on </w:t>
      </w:r>
      <w:r w:rsidR="00BB0706" w:rsidRPr="002B27DA">
        <w:t>t</w:t>
      </w:r>
      <w:r w:rsidRPr="002B27DA">
        <w:t xml:space="preserve">ransition </w:t>
      </w:r>
      <w:r w:rsidR="00BB0706" w:rsidRPr="002B27DA">
        <w:t>m</w:t>
      </w:r>
      <w:r w:rsidRPr="002B27DA">
        <w:t xml:space="preserve">etal </w:t>
      </w:r>
      <w:r w:rsidR="00BB0706" w:rsidRPr="002B27DA">
        <w:t>o</w:t>
      </w:r>
      <w:r w:rsidRPr="002B27DA">
        <w:t xml:space="preserve">xides. </w:t>
      </w:r>
      <w:r w:rsidRPr="002B27DA">
        <w:rPr>
          <w:i/>
          <w:iCs/>
        </w:rPr>
        <w:t xml:space="preserve">Microscopy and </w:t>
      </w:r>
      <w:r w:rsidR="003F3B3B">
        <w:rPr>
          <w:i/>
          <w:iCs/>
        </w:rPr>
        <w:t>M</w:t>
      </w:r>
      <w:r w:rsidRPr="002B27DA">
        <w:rPr>
          <w:i/>
          <w:iCs/>
        </w:rPr>
        <w:t xml:space="preserve">icroanalysis. </w:t>
      </w:r>
      <w:r w:rsidRPr="002B27DA">
        <w:rPr>
          <w:b/>
          <w:iCs/>
        </w:rPr>
        <w:t>19</w:t>
      </w:r>
      <w:r w:rsidRPr="002B27DA">
        <w:rPr>
          <w:iCs/>
        </w:rPr>
        <w:t xml:space="preserve">, 1586-1594 (2013). </w:t>
      </w:r>
    </w:p>
    <w:p w14:paraId="209348FA" w14:textId="77777777" w:rsidR="008122A5" w:rsidRPr="002B27DA" w:rsidRDefault="00663A76" w:rsidP="002B27DA">
      <w:pPr>
        <w:ind w:left="360" w:hangingChars="150" w:hanging="360"/>
        <w:contextualSpacing/>
      </w:pPr>
      <w:r w:rsidRPr="002B27DA">
        <w:t xml:space="preserve">12. Muto, S., Ohtsuka, M. High-precision quantitative atomic-site-analysis of functional dopants in crystalline materials by electron-channelling-enhanced microanalysis. </w:t>
      </w:r>
      <w:r w:rsidRPr="002B27DA">
        <w:rPr>
          <w:i/>
        </w:rPr>
        <w:t>Progress in Crystal Growth and Characterization of Materials.</w:t>
      </w:r>
      <w:r w:rsidRPr="002B27DA">
        <w:t xml:space="preserve"> </w:t>
      </w:r>
      <w:r w:rsidRPr="002B27DA">
        <w:rPr>
          <w:b/>
        </w:rPr>
        <w:t>63</w:t>
      </w:r>
      <w:r w:rsidRPr="002B27DA">
        <w:t>, 40-61 (2017).</w:t>
      </w:r>
    </w:p>
    <w:p w14:paraId="4D63718A" w14:textId="7C4C03ED" w:rsidR="00C7131D" w:rsidRPr="002B27DA" w:rsidRDefault="00663A76" w:rsidP="002B27DA">
      <w:pPr>
        <w:adjustRightInd w:val="0"/>
        <w:ind w:left="360" w:hangingChars="150" w:hanging="360"/>
        <w:contextualSpacing/>
        <w:rPr>
          <w:rFonts w:eastAsia="Meiryo"/>
          <w:bCs/>
        </w:rPr>
      </w:pPr>
      <w:r w:rsidRPr="002B27DA">
        <w:t xml:space="preserve">13. </w:t>
      </w:r>
      <w:r w:rsidRPr="002B27DA">
        <w:rPr>
          <w:rFonts w:eastAsia="Meiryo"/>
          <w:bCs/>
        </w:rPr>
        <w:t>Yamamoto, Y</w:t>
      </w:r>
      <w:r w:rsidR="003F3B3B">
        <w:rPr>
          <w:lang w:val="en-GB"/>
        </w:rPr>
        <w:t>. et al.</w:t>
      </w:r>
      <w:r w:rsidR="003F3B3B" w:rsidRPr="002B27DA">
        <w:rPr>
          <w:lang w:val="en-GB"/>
        </w:rPr>
        <w:t xml:space="preserve"> </w:t>
      </w:r>
      <w:r w:rsidRPr="002B27DA">
        <w:rPr>
          <w:rFonts w:eastAsia="Meiryo"/>
          <w:bCs/>
        </w:rPr>
        <w:t>Quantitative analysis of cation mixing and local valence states in LiNi</w:t>
      </w:r>
      <w:r w:rsidRPr="002B27DA">
        <w:rPr>
          <w:rFonts w:eastAsia="Meiryo"/>
          <w:bCs/>
          <w:vertAlign w:val="subscript"/>
        </w:rPr>
        <w:t>x</w:t>
      </w:r>
      <w:r w:rsidRPr="002B27DA">
        <w:rPr>
          <w:rFonts w:eastAsia="Meiryo"/>
          <w:bCs/>
        </w:rPr>
        <w:t>Mn</w:t>
      </w:r>
      <w:r w:rsidRPr="002B27DA">
        <w:rPr>
          <w:rFonts w:eastAsia="Meiryo"/>
          <w:bCs/>
          <w:vertAlign w:val="subscript"/>
        </w:rPr>
        <w:t>2-x</w:t>
      </w:r>
      <w:r w:rsidRPr="002B27DA">
        <w:rPr>
          <w:rFonts w:eastAsia="Meiryo"/>
          <w:bCs/>
        </w:rPr>
        <w:t>O</w:t>
      </w:r>
      <w:r w:rsidRPr="002B27DA">
        <w:rPr>
          <w:rFonts w:eastAsia="Meiryo"/>
          <w:bCs/>
          <w:vertAlign w:val="subscript"/>
        </w:rPr>
        <w:t>4</w:t>
      </w:r>
      <w:r w:rsidRPr="002B27DA">
        <w:rPr>
          <w:rFonts w:eastAsia="Meiryo"/>
          <w:bCs/>
        </w:rPr>
        <w:t xml:space="preserve"> using concurrent HARECXS and HARECES measurements. </w:t>
      </w:r>
      <w:r w:rsidRPr="002B27DA">
        <w:rPr>
          <w:rFonts w:eastAsia="Meiryo"/>
          <w:bCs/>
          <w:i/>
        </w:rPr>
        <w:t>Microscopy</w:t>
      </w:r>
      <w:r w:rsidR="003F3B3B" w:rsidRPr="003F3B3B">
        <w:rPr>
          <w:rFonts w:eastAsia="Meiryo"/>
          <w:bCs/>
          <w:iCs/>
        </w:rPr>
        <w:t>.</w:t>
      </w:r>
      <w:r w:rsidRPr="002B27DA">
        <w:rPr>
          <w:rFonts w:eastAsia="Meiryo"/>
          <w:bCs/>
        </w:rPr>
        <w:t xml:space="preserve"> </w:t>
      </w:r>
      <w:r w:rsidRPr="002B27DA">
        <w:rPr>
          <w:rFonts w:eastAsia="Meiryo"/>
          <w:b/>
          <w:bCs/>
        </w:rPr>
        <w:t>65</w:t>
      </w:r>
      <w:r w:rsidRPr="002B27DA">
        <w:rPr>
          <w:rFonts w:eastAsia="Meiryo"/>
          <w:bCs/>
        </w:rPr>
        <w:t>, 253-262 (2016).</w:t>
      </w:r>
    </w:p>
    <w:p w14:paraId="7B07A959" w14:textId="5BE3C66B" w:rsidR="00BA5FEB" w:rsidRPr="002B27DA" w:rsidRDefault="00663A76" w:rsidP="002B27DA">
      <w:pPr>
        <w:adjustRightInd w:val="0"/>
        <w:ind w:left="360" w:hangingChars="150" w:hanging="360"/>
        <w:contextualSpacing/>
        <w:rPr>
          <w:rFonts w:eastAsia="Meiryo"/>
          <w:bCs/>
        </w:rPr>
      </w:pPr>
      <w:r w:rsidRPr="002B27DA">
        <w:rPr>
          <w:rFonts w:eastAsia="Meiryo"/>
          <w:bCs/>
        </w:rPr>
        <w:t xml:space="preserve">14. Ohtsuka, M., Muto, S., Tatsumi, K., Kobayashi, Y., </w:t>
      </w:r>
      <w:proofErr w:type="spellStart"/>
      <w:r w:rsidRPr="002B27DA">
        <w:rPr>
          <w:rFonts w:eastAsia="Meiryo"/>
          <w:bCs/>
        </w:rPr>
        <w:t>Kawata</w:t>
      </w:r>
      <w:proofErr w:type="spellEnd"/>
      <w:r w:rsidRPr="002B27DA">
        <w:rPr>
          <w:rFonts w:eastAsia="Meiryo"/>
          <w:bCs/>
        </w:rPr>
        <w:t>, T</w:t>
      </w:r>
      <w:r w:rsidR="003F3B3B">
        <w:rPr>
          <w:rFonts w:eastAsia="Meiryo"/>
          <w:bCs/>
        </w:rPr>
        <w:t xml:space="preserve">. </w:t>
      </w:r>
      <w:r w:rsidRPr="002B27DA">
        <w:rPr>
          <w:rFonts w:eastAsia="Meiryo"/>
          <w:bCs/>
        </w:rPr>
        <w:t xml:space="preserve">Quantitative determination of occupation sites of trace Co substituted for multiple statistical beam-rocking TEM-EDXS analysis. </w:t>
      </w:r>
      <w:r w:rsidRPr="002B27DA">
        <w:rPr>
          <w:rFonts w:eastAsia="Meiryo"/>
          <w:bCs/>
          <w:i/>
        </w:rPr>
        <w:t>Microscop</w:t>
      </w:r>
      <w:r w:rsidRPr="003F3B3B">
        <w:rPr>
          <w:rFonts w:eastAsia="Meiryo"/>
          <w:bCs/>
          <w:i/>
        </w:rPr>
        <w:t>y</w:t>
      </w:r>
      <w:r w:rsidR="003F3B3B" w:rsidRPr="003F3B3B">
        <w:rPr>
          <w:rFonts w:eastAsia="Meiryo"/>
          <w:bCs/>
          <w:iCs/>
        </w:rPr>
        <w:t>.</w:t>
      </w:r>
      <w:r w:rsidRPr="002B27DA">
        <w:rPr>
          <w:rFonts w:eastAsia="Meiryo"/>
          <w:bCs/>
        </w:rPr>
        <w:t xml:space="preserve"> </w:t>
      </w:r>
      <w:r w:rsidRPr="002B27DA">
        <w:rPr>
          <w:rFonts w:eastAsia="Meiryo"/>
          <w:b/>
          <w:bCs/>
        </w:rPr>
        <w:t>65</w:t>
      </w:r>
      <w:r w:rsidRPr="002B27DA">
        <w:rPr>
          <w:rFonts w:eastAsia="Meiryo"/>
          <w:bCs/>
        </w:rPr>
        <w:t>, 127-137 (2016).</w:t>
      </w:r>
    </w:p>
    <w:p w14:paraId="6FF8C2F3" w14:textId="76C39745" w:rsidR="004F4552" w:rsidRPr="002B27DA" w:rsidRDefault="00663A76" w:rsidP="002B27DA">
      <w:pPr>
        <w:adjustRightInd w:val="0"/>
        <w:ind w:left="360" w:hangingChars="150" w:hanging="360"/>
        <w:contextualSpacing/>
        <w:rPr>
          <w:rFonts w:eastAsia="Meiryo"/>
          <w:bCs/>
        </w:rPr>
      </w:pPr>
      <w:r w:rsidRPr="002B27DA">
        <w:rPr>
          <w:rFonts w:eastAsia="Meiryo"/>
          <w:bCs/>
        </w:rPr>
        <w:t>1</w:t>
      </w:r>
      <w:r w:rsidR="00BA5FEB" w:rsidRPr="002B27DA">
        <w:rPr>
          <w:rFonts w:eastAsia="Meiryo"/>
          <w:bCs/>
        </w:rPr>
        <w:t>5</w:t>
      </w:r>
      <w:r w:rsidRPr="002B27DA">
        <w:rPr>
          <w:rFonts w:eastAsia="Meiryo"/>
          <w:bCs/>
        </w:rPr>
        <w:t>.</w:t>
      </w:r>
      <w:r w:rsidR="006A4107" w:rsidRPr="002B27DA">
        <w:rPr>
          <w:rFonts w:eastAsia="Meiryo"/>
          <w:bCs/>
        </w:rPr>
        <w:t xml:space="preserve"> </w:t>
      </w:r>
      <w:hyperlink r:id="rId7" w:history="1">
        <w:r w:rsidR="000E4ECA" w:rsidRPr="00C90F46">
          <w:rPr>
            <w:rStyle w:val="Hyperlink"/>
          </w:rPr>
          <w:t>https://www.hremresearch.com/Eng/plugin/QEDEng.html</w:t>
        </w:r>
      </w:hyperlink>
      <w:r w:rsidR="000E4ECA">
        <w:t xml:space="preserve"> (2020).</w:t>
      </w:r>
    </w:p>
    <w:p w14:paraId="355BDBCA" w14:textId="77777777" w:rsidR="009E40D3" w:rsidRPr="002B27DA" w:rsidRDefault="009E40D3" w:rsidP="002B27DA">
      <w:pPr>
        <w:contextualSpacing/>
      </w:pPr>
    </w:p>
    <w:sectPr w:rsidR="009E40D3" w:rsidRPr="002B27DA" w:rsidSect="0026423B">
      <w:headerReference w:type="even" r:id="rId8"/>
      <w:headerReference w:type="default" r:id="rId9"/>
      <w:footerReference w:type="even" r:id="rId10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90B5A" w14:textId="77777777" w:rsidR="00DB05BB" w:rsidRDefault="00DB05BB">
      <w:r>
        <w:separator/>
      </w:r>
    </w:p>
  </w:endnote>
  <w:endnote w:type="continuationSeparator" w:id="0">
    <w:p w14:paraId="3B86E14C" w14:textId="77777777" w:rsidR="00DB05BB" w:rsidRDefault="00DB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P4DF60E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AdvP4DF60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MacMthSy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BAABD8" w14:textId="77777777" w:rsidR="00163796" w:rsidRDefault="001637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0CDE6" w14:textId="77777777" w:rsidR="00DB05BB" w:rsidRDefault="00DB05BB">
      <w:r>
        <w:separator/>
      </w:r>
    </w:p>
  </w:footnote>
  <w:footnote w:type="continuationSeparator" w:id="0">
    <w:p w14:paraId="58E69CC6" w14:textId="77777777" w:rsidR="00DB05BB" w:rsidRDefault="00DB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B9069" w14:textId="77777777" w:rsidR="00163796" w:rsidRDefault="001637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B8B74" w14:textId="77777777" w:rsidR="00163796" w:rsidRPr="00C51861" w:rsidRDefault="001637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  <w:bookmarkStart w:id="2" w:name="_26in1rg" w:colFirst="0" w:colLast="0"/>
    <w:bookmarkEnd w:id="2"/>
    <w:r w:rsidRPr="00C51861">
      <w:rPr>
        <w:rFonts w:eastAsia="Calibri"/>
        <w:color w:val="000000"/>
        <w:sz w:val="22"/>
        <w:szCs w:val="22"/>
      </w:rPr>
      <w:tab/>
    </w:r>
    <w:r w:rsidRPr="00C51861">
      <w:rPr>
        <w:rFonts w:eastAsia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7798B"/>
    <w:multiLevelType w:val="multilevel"/>
    <w:tmpl w:val="2200D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153140"/>
    <w:multiLevelType w:val="multilevel"/>
    <w:tmpl w:val="291C9E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B96760"/>
    <w:multiLevelType w:val="multilevel"/>
    <w:tmpl w:val="164A6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1D421E"/>
    <w:multiLevelType w:val="multilevel"/>
    <w:tmpl w:val="56F09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9E81EA2"/>
    <w:multiLevelType w:val="multilevel"/>
    <w:tmpl w:val="D6C4E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235C20"/>
    <w:multiLevelType w:val="multilevel"/>
    <w:tmpl w:val="057CB6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7E7C46"/>
    <w:multiLevelType w:val="multilevel"/>
    <w:tmpl w:val="DE0068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3874F7"/>
    <w:multiLevelType w:val="multilevel"/>
    <w:tmpl w:val="F28EF7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5A1D7C"/>
    <w:multiLevelType w:val="multilevel"/>
    <w:tmpl w:val="8528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B85779F"/>
    <w:multiLevelType w:val="multilevel"/>
    <w:tmpl w:val="E654E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E83716"/>
    <w:multiLevelType w:val="multilevel"/>
    <w:tmpl w:val="157EF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1D0420F"/>
    <w:multiLevelType w:val="multilevel"/>
    <w:tmpl w:val="EAFA3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F3D3496"/>
    <w:multiLevelType w:val="multilevel"/>
    <w:tmpl w:val="17741C6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4C04A6"/>
    <w:multiLevelType w:val="multilevel"/>
    <w:tmpl w:val="07E43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5C64B7"/>
    <w:multiLevelType w:val="multilevel"/>
    <w:tmpl w:val="0A8E28A4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5" w15:restartNumberingAfterBreak="0">
    <w:nsid w:val="7E210B7C"/>
    <w:multiLevelType w:val="multilevel"/>
    <w:tmpl w:val="7B701C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2"/>
  </w:num>
  <w:num w:numId="5">
    <w:abstractNumId w:val="2"/>
  </w:num>
  <w:num w:numId="6">
    <w:abstractNumId w:val="8"/>
  </w:num>
  <w:num w:numId="7">
    <w:abstractNumId w:val="14"/>
  </w:num>
  <w:num w:numId="8">
    <w:abstractNumId w:val="6"/>
  </w:num>
  <w:num w:numId="9">
    <w:abstractNumId w:val="3"/>
  </w:num>
  <w:num w:numId="10">
    <w:abstractNumId w:val="15"/>
  </w:num>
  <w:num w:numId="11">
    <w:abstractNumId w:val="11"/>
  </w:num>
  <w:num w:numId="12">
    <w:abstractNumId w:val="4"/>
  </w:num>
  <w:num w:numId="13">
    <w:abstractNumId w:val="0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2D"/>
    <w:rsid w:val="000235F8"/>
    <w:rsid w:val="00027E26"/>
    <w:rsid w:val="000344EB"/>
    <w:rsid w:val="00052286"/>
    <w:rsid w:val="00052545"/>
    <w:rsid w:val="00056D54"/>
    <w:rsid w:val="00057528"/>
    <w:rsid w:val="0006506C"/>
    <w:rsid w:val="00086B22"/>
    <w:rsid w:val="00087367"/>
    <w:rsid w:val="000A2DD0"/>
    <w:rsid w:val="000B024F"/>
    <w:rsid w:val="000B5124"/>
    <w:rsid w:val="000C350D"/>
    <w:rsid w:val="000C4C1F"/>
    <w:rsid w:val="000D0BCD"/>
    <w:rsid w:val="000D1F0E"/>
    <w:rsid w:val="000D23F1"/>
    <w:rsid w:val="000D2A7A"/>
    <w:rsid w:val="000D3281"/>
    <w:rsid w:val="000E4ECA"/>
    <w:rsid w:val="000F5B20"/>
    <w:rsid w:val="0010141E"/>
    <w:rsid w:val="001019BE"/>
    <w:rsid w:val="00111B0B"/>
    <w:rsid w:val="00113FB4"/>
    <w:rsid w:val="0011524C"/>
    <w:rsid w:val="00117FB6"/>
    <w:rsid w:val="001227B7"/>
    <w:rsid w:val="001248BA"/>
    <w:rsid w:val="001362F1"/>
    <w:rsid w:val="001448D1"/>
    <w:rsid w:val="0014575C"/>
    <w:rsid w:val="001466E6"/>
    <w:rsid w:val="0014719A"/>
    <w:rsid w:val="00157C47"/>
    <w:rsid w:val="00161552"/>
    <w:rsid w:val="00163796"/>
    <w:rsid w:val="00163842"/>
    <w:rsid w:val="001725B0"/>
    <w:rsid w:val="001726CD"/>
    <w:rsid w:val="00172E2D"/>
    <w:rsid w:val="001811DF"/>
    <w:rsid w:val="00190868"/>
    <w:rsid w:val="00193303"/>
    <w:rsid w:val="001A05E0"/>
    <w:rsid w:val="001A159D"/>
    <w:rsid w:val="001A61C5"/>
    <w:rsid w:val="001A7D7F"/>
    <w:rsid w:val="001B454B"/>
    <w:rsid w:val="001B6561"/>
    <w:rsid w:val="001C2190"/>
    <w:rsid w:val="001C7D7B"/>
    <w:rsid w:val="001D141C"/>
    <w:rsid w:val="001E7B31"/>
    <w:rsid w:val="001F231C"/>
    <w:rsid w:val="001F3610"/>
    <w:rsid w:val="001F4BD8"/>
    <w:rsid w:val="001F7A56"/>
    <w:rsid w:val="00213E86"/>
    <w:rsid w:val="002217CB"/>
    <w:rsid w:val="00232224"/>
    <w:rsid w:val="00232DB0"/>
    <w:rsid w:val="00233CAC"/>
    <w:rsid w:val="00234D8E"/>
    <w:rsid w:val="00240285"/>
    <w:rsid w:val="00242577"/>
    <w:rsid w:val="00245F0E"/>
    <w:rsid w:val="00250D5C"/>
    <w:rsid w:val="002514B4"/>
    <w:rsid w:val="00251A37"/>
    <w:rsid w:val="00253D55"/>
    <w:rsid w:val="0026423B"/>
    <w:rsid w:val="00267FDB"/>
    <w:rsid w:val="00273799"/>
    <w:rsid w:val="00274AA4"/>
    <w:rsid w:val="00276212"/>
    <w:rsid w:val="0028185B"/>
    <w:rsid w:val="00285BE5"/>
    <w:rsid w:val="0028679B"/>
    <w:rsid w:val="002868AA"/>
    <w:rsid w:val="002905B3"/>
    <w:rsid w:val="0029700A"/>
    <w:rsid w:val="002A1262"/>
    <w:rsid w:val="002A497C"/>
    <w:rsid w:val="002A4F79"/>
    <w:rsid w:val="002B1D5C"/>
    <w:rsid w:val="002B27DA"/>
    <w:rsid w:val="002B638E"/>
    <w:rsid w:val="002C6084"/>
    <w:rsid w:val="002D5211"/>
    <w:rsid w:val="002E077D"/>
    <w:rsid w:val="002E20F0"/>
    <w:rsid w:val="002F5C22"/>
    <w:rsid w:val="002F6636"/>
    <w:rsid w:val="002F76E6"/>
    <w:rsid w:val="00300583"/>
    <w:rsid w:val="00303A9D"/>
    <w:rsid w:val="0031399B"/>
    <w:rsid w:val="003158BB"/>
    <w:rsid w:val="00323632"/>
    <w:rsid w:val="00327803"/>
    <w:rsid w:val="00331FE6"/>
    <w:rsid w:val="00335BC6"/>
    <w:rsid w:val="00342BD5"/>
    <w:rsid w:val="00343F60"/>
    <w:rsid w:val="003444D6"/>
    <w:rsid w:val="0035488F"/>
    <w:rsid w:val="00357315"/>
    <w:rsid w:val="00361BCB"/>
    <w:rsid w:val="00370DC3"/>
    <w:rsid w:val="0037160D"/>
    <w:rsid w:val="0037469D"/>
    <w:rsid w:val="00381DEE"/>
    <w:rsid w:val="003853FA"/>
    <w:rsid w:val="00386D2A"/>
    <w:rsid w:val="003A0652"/>
    <w:rsid w:val="003A55DC"/>
    <w:rsid w:val="003B3557"/>
    <w:rsid w:val="003B4F93"/>
    <w:rsid w:val="003C435E"/>
    <w:rsid w:val="003C62CA"/>
    <w:rsid w:val="003D50EA"/>
    <w:rsid w:val="003E3AE2"/>
    <w:rsid w:val="003E47FB"/>
    <w:rsid w:val="003E7794"/>
    <w:rsid w:val="003F3B3B"/>
    <w:rsid w:val="003F46B2"/>
    <w:rsid w:val="00400D89"/>
    <w:rsid w:val="00400E3E"/>
    <w:rsid w:val="004030E2"/>
    <w:rsid w:val="0040492B"/>
    <w:rsid w:val="0040693D"/>
    <w:rsid w:val="00411234"/>
    <w:rsid w:val="00412203"/>
    <w:rsid w:val="0041590A"/>
    <w:rsid w:val="0041650F"/>
    <w:rsid w:val="00424FA6"/>
    <w:rsid w:val="0042525B"/>
    <w:rsid w:val="0043235C"/>
    <w:rsid w:val="004374F8"/>
    <w:rsid w:val="00455C78"/>
    <w:rsid w:val="0046232C"/>
    <w:rsid w:val="004707FD"/>
    <w:rsid w:val="0049439A"/>
    <w:rsid w:val="004A0C9F"/>
    <w:rsid w:val="004A4004"/>
    <w:rsid w:val="004A5D0B"/>
    <w:rsid w:val="004B03BA"/>
    <w:rsid w:val="004B1DBD"/>
    <w:rsid w:val="004D4476"/>
    <w:rsid w:val="004E34B0"/>
    <w:rsid w:val="004F4552"/>
    <w:rsid w:val="004F6351"/>
    <w:rsid w:val="005147A5"/>
    <w:rsid w:val="00536369"/>
    <w:rsid w:val="00540B6A"/>
    <w:rsid w:val="0054213D"/>
    <w:rsid w:val="005447F8"/>
    <w:rsid w:val="00554E46"/>
    <w:rsid w:val="005575F9"/>
    <w:rsid w:val="005621A0"/>
    <w:rsid w:val="00563B45"/>
    <w:rsid w:val="00575261"/>
    <w:rsid w:val="00575770"/>
    <w:rsid w:val="005758E0"/>
    <w:rsid w:val="00583299"/>
    <w:rsid w:val="00593C2D"/>
    <w:rsid w:val="005944D4"/>
    <w:rsid w:val="005A3F77"/>
    <w:rsid w:val="005B645B"/>
    <w:rsid w:val="005C5D0B"/>
    <w:rsid w:val="005E46A2"/>
    <w:rsid w:val="005E508E"/>
    <w:rsid w:val="005E7C06"/>
    <w:rsid w:val="005F081D"/>
    <w:rsid w:val="005F39F7"/>
    <w:rsid w:val="005F49FC"/>
    <w:rsid w:val="005F5650"/>
    <w:rsid w:val="0060744B"/>
    <w:rsid w:val="0061158D"/>
    <w:rsid w:val="00612FE5"/>
    <w:rsid w:val="00631F38"/>
    <w:rsid w:val="00633EEA"/>
    <w:rsid w:val="00635C77"/>
    <w:rsid w:val="006374A5"/>
    <w:rsid w:val="00650BF5"/>
    <w:rsid w:val="00652844"/>
    <w:rsid w:val="006561C3"/>
    <w:rsid w:val="00662D08"/>
    <w:rsid w:val="00663A76"/>
    <w:rsid w:val="0066471D"/>
    <w:rsid w:val="006677FC"/>
    <w:rsid w:val="00672E34"/>
    <w:rsid w:val="00677E4D"/>
    <w:rsid w:val="006839F3"/>
    <w:rsid w:val="006866F0"/>
    <w:rsid w:val="006873AA"/>
    <w:rsid w:val="00693791"/>
    <w:rsid w:val="0069594C"/>
    <w:rsid w:val="006A4107"/>
    <w:rsid w:val="006A507F"/>
    <w:rsid w:val="006B07FF"/>
    <w:rsid w:val="006B1B2C"/>
    <w:rsid w:val="006B50A1"/>
    <w:rsid w:val="006B71FB"/>
    <w:rsid w:val="006C5AB2"/>
    <w:rsid w:val="006D0E62"/>
    <w:rsid w:val="006D1587"/>
    <w:rsid w:val="006D2535"/>
    <w:rsid w:val="006D4380"/>
    <w:rsid w:val="006D4ACC"/>
    <w:rsid w:val="006D63D6"/>
    <w:rsid w:val="006D6524"/>
    <w:rsid w:val="006D74D6"/>
    <w:rsid w:val="006E27D3"/>
    <w:rsid w:val="006E63A6"/>
    <w:rsid w:val="006F1974"/>
    <w:rsid w:val="006F1EB7"/>
    <w:rsid w:val="006F3899"/>
    <w:rsid w:val="006F39CD"/>
    <w:rsid w:val="00700B28"/>
    <w:rsid w:val="00721D46"/>
    <w:rsid w:val="00725A4A"/>
    <w:rsid w:val="00731F4D"/>
    <w:rsid w:val="0073574E"/>
    <w:rsid w:val="00735FA8"/>
    <w:rsid w:val="007428D1"/>
    <w:rsid w:val="0075474F"/>
    <w:rsid w:val="007601FE"/>
    <w:rsid w:val="0076211E"/>
    <w:rsid w:val="007761FC"/>
    <w:rsid w:val="00777F75"/>
    <w:rsid w:val="00781739"/>
    <w:rsid w:val="007912A8"/>
    <w:rsid w:val="00792667"/>
    <w:rsid w:val="00792C5E"/>
    <w:rsid w:val="007A0D06"/>
    <w:rsid w:val="007A260C"/>
    <w:rsid w:val="007A35AE"/>
    <w:rsid w:val="007B73A0"/>
    <w:rsid w:val="007D18B0"/>
    <w:rsid w:val="007D5A7D"/>
    <w:rsid w:val="007D7979"/>
    <w:rsid w:val="007E0053"/>
    <w:rsid w:val="007E0592"/>
    <w:rsid w:val="007F322F"/>
    <w:rsid w:val="007F69B5"/>
    <w:rsid w:val="007F6EAF"/>
    <w:rsid w:val="008058CF"/>
    <w:rsid w:val="0081080F"/>
    <w:rsid w:val="00812278"/>
    <w:rsid w:val="008122A5"/>
    <w:rsid w:val="008142A5"/>
    <w:rsid w:val="00821063"/>
    <w:rsid w:val="0083136E"/>
    <w:rsid w:val="00850726"/>
    <w:rsid w:val="008514E2"/>
    <w:rsid w:val="008747BC"/>
    <w:rsid w:val="0087634F"/>
    <w:rsid w:val="00876C33"/>
    <w:rsid w:val="00885B48"/>
    <w:rsid w:val="008861C9"/>
    <w:rsid w:val="0089007D"/>
    <w:rsid w:val="00894515"/>
    <w:rsid w:val="00894EB4"/>
    <w:rsid w:val="0089682A"/>
    <w:rsid w:val="008A1AD2"/>
    <w:rsid w:val="008A5A03"/>
    <w:rsid w:val="008A64FB"/>
    <w:rsid w:val="008A7E74"/>
    <w:rsid w:val="008B4551"/>
    <w:rsid w:val="008B4944"/>
    <w:rsid w:val="008B7A78"/>
    <w:rsid w:val="008C501E"/>
    <w:rsid w:val="008C6B7D"/>
    <w:rsid w:val="008C7E2F"/>
    <w:rsid w:val="008F1E3E"/>
    <w:rsid w:val="008F1EDF"/>
    <w:rsid w:val="008F4F3C"/>
    <w:rsid w:val="008F6631"/>
    <w:rsid w:val="008F7F64"/>
    <w:rsid w:val="00900092"/>
    <w:rsid w:val="00903987"/>
    <w:rsid w:val="009074BA"/>
    <w:rsid w:val="0091062B"/>
    <w:rsid w:val="00924B3F"/>
    <w:rsid w:val="00926BF8"/>
    <w:rsid w:val="00931773"/>
    <w:rsid w:val="0095090E"/>
    <w:rsid w:val="00951734"/>
    <w:rsid w:val="0095541F"/>
    <w:rsid w:val="009567E3"/>
    <w:rsid w:val="00956924"/>
    <w:rsid w:val="00962C94"/>
    <w:rsid w:val="00972DD9"/>
    <w:rsid w:val="009857D3"/>
    <w:rsid w:val="00987532"/>
    <w:rsid w:val="00991DB5"/>
    <w:rsid w:val="009A0C22"/>
    <w:rsid w:val="009A16AD"/>
    <w:rsid w:val="009B7FEF"/>
    <w:rsid w:val="009D2164"/>
    <w:rsid w:val="009D28EB"/>
    <w:rsid w:val="009D31DE"/>
    <w:rsid w:val="009D6A1F"/>
    <w:rsid w:val="009E213C"/>
    <w:rsid w:val="009E396C"/>
    <w:rsid w:val="009E40D3"/>
    <w:rsid w:val="009E5268"/>
    <w:rsid w:val="009E61B0"/>
    <w:rsid w:val="009E7D78"/>
    <w:rsid w:val="009F46E6"/>
    <w:rsid w:val="009F5582"/>
    <w:rsid w:val="00A101FE"/>
    <w:rsid w:val="00A271C9"/>
    <w:rsid w:val="00A27EAD"/>
    <w:rsid w:val="00A30BE1"/>
    <w:rsid w:val="00A46CCE"/>
    <w:rsid w:val="00A55B22"/>
    <w:rsid w:val="00A741A0"/>
    <w:rsid w:val="00A857A4"/>
    <w:rsid w:val="00A976E3"/>
    <w:rsid w:val="00AA0308"/>
    <w:rsid w:val="00AA5054"/>
    <w:rsid w:val="00AA77C7"/>
    <w:rsid w:val="00AB0230"/>
    <w:rsid w:val="00AC4099"/>
    <w:rsid w:val="00AD0B0D"/>
    <w:rsid w:val="00AD1C58"/>
    <w:rsid w:val="00AD3CD1"/>
    <w:rsid w:val="00AD5C48"/>
    <w:rsid w:val="00AE4865"/>
    <w:rsid w:val="00AE6833"/>
    <w:rsid w:val="00AF0F2B"/>
    <w:rsid w:val="00AF2350"/>
    <w:rsid w:val="00B037AA"/>
    <w:rsid w:val="00B04A88"/>
    <w:rsid w:val="00B107B6"/>
    <w:rsid w:val="00B140C7"/>
    <w:rsid w:val="00B153E8"/>
    <w:rsid w:val="00B15989"/>
    <w:rsid w:val="00B22276"/>
    <w:rsid w:val="00B30A50"/>
    <w:rsid w:val="00B3266F"/>
    <w:rsid w:val="00B338CE"/>
    <w:rsid w:val="00B43D14"/>
    <w:rsid w:val="00B508E5"/>
    <w:rsid w:val="00B57FB8"/>
    <w:rsid w:val="00B649D6"/>
    <w:rsid w:val="00B6793A"/>
    <w:rsid w:val="00B77E4D"/>
    <w:rsid w:val="00B80494"/>
    <w:rsid w:val="00BA0E50"/>
    <w:rsid w:val="00BA4BA3"/>
    <w:rsid w:val="00BA5FEB"/>
    <w:rsid w:val="00BB0706"/>
    <w:rsid w:val="00BB5CD3"/>
    <w:rsid w:val="00BD23F6"/>
    <w:rsid w:val="00BE54D4"/>
    <w:rsid w:val="00BE5B7C"/>
    <w:rsid w:val="00BE6E28"/>
    <w:rsid w:val="00BF585F"/>
    <w:rsid w:val="00BF5BB3"/>
    <w:rsid w:val="00C0015A"/>
    <w:rsid w:val="00C00953"/>
    <w:rsid w:val="00C00A21"/>
    <w:rsid w:val="00C07DC7"/>
    <w:rsid w:val="00C13B76"/>
    <w:rsid w:val="00C15FE5"/>
    <w:rsid w:val="00C1600C"/>
    <w:rsid w:val="00C1664E"/>
    <w:rsid w:val="00C27481"/>
    <w:rsid w:val="00C30594"/>
    <w:rsid w:val="00C31F7A"/>
    <w:rsid w:val="00C45713"/>
    <w:rsid w:val="00C458B8"/>
    <w:rsid w:val="00C45A41"/>
    <w:rsid w:val="00C45CED"/>
    <w:rsid w:val="00C46178"/>
    <w:rsid w:val="00C51861"/>
    <w:rsid w:val="00C528FF"/>
    <w:rsid w:val="00C7131D"/>
    <w:rsid w:val="00C73E3B"/>
    <w:rsid w:val="00C77001"/>
    <w:rsid w:val="00C77F04"/>
    <w:rsid w:val="00CA14E8"/>
    <w:rsid w:val="00CA32D8"/>
    <w:rsid w:val="00CA57D7"/>
    <w:rsid w:val="00CA5E8B"/>
    <w:rsid w:val="00CA6D47"/>
    <w:rsid w:val="00CB36B1"/>
    <w:rsid w:val="00CB3D68"/>
    <w:rsid w:val="00CB4278"/>
    <w:rsid w:val="00CB4702"/>
    <w:rsid w:val="00CC0A97"/>
    <w:rsid w:val="00CC4C8B"/>
    <w:rsid w:val="00CD4DE4"/>
    <w:rsid w:val="00CE1CE7"/>
    <w:rsid w:val="00CE63B4"/>
    <w:rsid w:val="00CF7AF5"/>
    <w:rsid w:val="00D009FB"/>
    <w:rsid w:val="00D02D57"/>
    <w:rsid w:val="00D05FD3"/>
    <w:rsid w:val="00D1110A"/>
    <w:rsid w:val="00D13185"/>
    <w:rsid w:val="00D2504C"/>
    <w:rsid w:val="00D258A7"/>
    <w:rsid w:val="00D3655E"/>
    <w:rsid w:val="00D43A4C"/>
    <w:rsid w:val="00D4514C"/>
    <w:rsid w:val="00D457BB"/>
    <w:rsid w:val="00D45FAF"/>
    <w:rsid w:val="00D47C76"/>
    <w:rsid w:val="00D5341A"/>
    <w:rsid w:val="00D53BCF"/>
    <w:rsid w:val="00D5581B"/>
    <w:rsid w:val="00D5624F"/>
    <w:rsid w:val="00D57745"/>
    <w:rsid w:val="00D60A37"/>
    <w:rsid w:val="00D62EA5"/>
    <w:rsid w:val="00D8422E"/>
    <w:rsid w:val="00D86A49"/>
    <w:rsid w:val="00D9403A"/>
    <w:rsid w:val="00DA4390"/>
    <w:rsid w:val="00DA55AE"/>
    <w:rsid w:val="00DB05BB"/>
    <w:rsid w:val="00DB1DB5"/>
    <w:rsid w:val="00DB2554"/>
    <w:rsid w:val="00DB649D"/>
    <w:rsid w:val="00DC1AC2"/>
    <w:rsid w:val="00DC66EC"/>
    <w:rsid w:val="00DE394D"/>
    <w:rsid w:val="00DE71B8"/>
    <w:rsid w:val="00DF18E4"/>
    <w:rsid w:val="00DF55FE"/>
    <w:rsid w:val="00DF6332"/>
    <w:rsid w:val="00DF7C66"/>
    <w:rsid w:val="00E15DD6"/>
    <w:rsid w:val="00E24DC9"/>
    <w:rsid w:val="00E30105"/>
    <w:rsid w:val="00E3025D"/>
    <w:rsid w:val="00E30DE9"/>
    <w:rsid w:val="00E33B5B"/>
    <w:rsid w:val="00E33D55"/>
    <w:rsid w:val="00E45D69"/>
    <w:rsid w:val="00E465C1"/>
    <w:rsid w:val="00E63DDD"/>
    <w:rsid w:val="00E64730"/>
    <w:rsid w:val="00E656A4"/>
    <w:rsid w:val="00E65BEC"/>
    <w:rsid w:val="00E65EE6"/>
    <w:rsid w:val="00E740A7"/>
    <w:rsid w:val="00E813B4"/>
    <w:rsid w:val="00E84127"/>
    <w:rsid w:val="00E925ED"/>
    <w:rsid w:val="00E953F0"/>
    <w:rsid w:val="00EA01B2"/>
    <w:rsid w:val="00EA1E4B"/>
    <w:rsid w:val="00EA22CD"/>
    <w:rsid w:val="00EA5222"/>
    <w:rsid w:val="00EB5DB6"/>
    <w:rsid w:val="00EC3B56"/>
    <w:rsid w:val="00EC6035"/>
    <w:rsid w:val="00ED16F2"/>
    <w:rsid w:val="00ED67C4"/>
    <w:rsid w:val="00EE48A9"/>
    <w:rsid w:val="00EE5444"/>
    <w:rsid w:val="00EE640E"/>
    <w:rsid w:val="00EE6F30"/>
    <w:rsid w:val="00EF2173"/>
    <w:rsid w:val="00F00F66"/>
    <w:rsid w:val="00F05758"/>
    <w:rsid w:val="00F0745F"/>
    <w:rsid w:val="00F26A16"/>
    <w:rsid w:val="00F31A5A"/>
    <w:rsid w:val="00F363CF"/>
    <w:rsid w:val="00F373CC"/>
    <w:rsid w:val="00F44ABF"/>
    <w:rsid w:val="00F56F7E"/>
    <w:rsid w:val="00F67B25"/>
    <w:rsid w:val="00F709D7"/>
    <w:rsid w:val="00F7536D"/>
    <w:rsid w:val="00F81F83"/>
    <w:rsid w:val="00F83685"/>
    <w:rsid w:val="00F84720"/>
    <w:rsid w:val="00F87B16"/>
    <w:rsid w:val="00F94C99"/>
    <w:rsid w:val="00F97719"/>
    <w:rsid w:val="00F97912"/>
    <w:rsid w:val="00FB5104"/>
    <w:rsid w:val="00FB7555"/>
    <w:rsid w:val="00FC2C49"/>
    <w:rsid w:val="00FD450B"/>
    <w:rsid w:val="00FF07C5"/>
    <w:rsid w:val="00FF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4E0C86"/>
  <w15:docId w15:val="{B751377D-28C9-422B-B535-D4C96B40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Calibri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-text">
    <w:name w:val="title-text"/>
    <w:basedOn w:val="DefaultParagraphFont"/>
    <w:rsid w:val="00FB5104"/>
  </w:style>
  <w:style w:type="paragraph" w:styleId="NormalWeb">
    <w:name w:val="Normal (Web)"/>
    <w:basedOn w:val="Normal"/>
    <w:uiPriority w:val="99"/>
    <w:unhideWhenUsed/>
    <w:rsid w:val="00F94C99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</w:rPr>
  </w:style>
  <w:style w:type="character" w:styleId="Hyperlink">
    <w:name w:val="Hyperlink"/>
    <w:basedOn w:val="DefaultParagraphFont"/>
    <w:uiPriority w:val="99"/>
    <w:unhideWhenUsed/>
    <w:rsid w:val="00F94C99"/>
    <w:rPr>
      <w:color w:val="0000FF"/>
      <w:u w:val="single"/>
    </w:rPr>
  </w:style>
  <w:style w:type="paragraph" w:customStyle="1" w:styleId="jovecontent">
    <w:name w:val="jove_content"/>
    <w:basedOn w:val="Normal"/>
    <w:rsid w:val="00B107B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</w:rPr>
  </w:style>
  <w:style w:type="paragraph" w:styleId="Footer">
    <w:name w:val="footer"/>
    <w:basedOn w:val="Normal"/>
    <w:link w:val="FooterChar"/>
    <w:uiPriority w:val="99"/>
    <w:unhideWhenUsed/>
    <w:rsid w:val="003E47F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E47FB"/>
  </w:style>
  <w:style w:type="paragraph" w:styleId="ListParagraph">
    <w:name w:val="List Paragraph"/>
    <w:basedOn w:val="Normal"/>
    <w:uiPriority w:val="34"/>
    <w:qFormat/>
    <w:rsid w:val="009E40D3"/>
    <w:pPr>
      <w:ind w:leftChars="400" w:left="840"/>
    </w:pPr>
  </w:style>
  <w:style w:type="character" w:customStyle="1" w:styleId="maintitle">
    <w:name w:val="maintitle"/>
    <w:basedOn w:val="DefaultParagraphFont"/>
    <w:rsid w:val="009E40D3"/>
  </w:style>
  <w:style w:type="paragraph" w:styleId="BalloonText">
    <w:name w:val="Balloon Text"/>
    <w:basedOn w:val="Normal"/>
    <w:link w:val="BalloonTextChar"/>
    <w:uiPriority w:val="99"/>
    <w:semiHidden/>
    <w:unhideWhenUsed/>
    <w:rsid w:val="00274AA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A4"/>
    <w:rPr>
      <w:rFonts w:asciiTheme="majorHAnsi" w:eastAsiaTheme="majorEastAsia" w:hAnsiTheme="majorHAnsi" w:cstheme="majorBid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65284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3AE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E34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E34B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4E34B0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26A16"/>
  </w:style>
  <w:style w:type="character" w:customStyle="1" w:styleId="DateChar">
    <w:name w:val="Date Char"/>
    <w:basedOn w:val="DefaultParagraphFont"/>
    <w:link w:val="Date"/>
    <w:uiPriority w:val="99"/>
    <w:semiHidden/>
    <w:rsid w:val="00F26A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F75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26423B"/>
  </w:style>
  <w:style w:type="paragraph" w:styleId="Header">
    <w:name w:val="header"/>
    <w:basedOn w:val="Normal"/>
    <w:link w:val="HeaderChar"/>
    <w:uiPriority w:val="99"/>
    <w:unhideWhenUsed/>
    <w:rsid w:val="002642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3B"/>
  </w:style>
  <w:style w:type="character" w:styleId="UnresolvedMention">
    <w:name w:val="Unresolved Mention"/>
    <w:basedOn w:val="DefaultParagraphFont"/>
    <w:uiPriority w:val="99"/>
    <w:semiHidden/>
    <w:unhideWhenUsed/>
    <w:rsid w:val="000E4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remresearch.com/Eng/plugin/QEDE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3717</Words>
  <Characters>21191</Characters>
  <Application>Microsoft Office Word</Application>
  <DocSecurity>0</DocSecurity>
  <Lines>176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ShunMUTO</dc:creator>
  <cp:lastModifiedBy>Nam Nguyen</cp:lastModifiedBy>
  <cp:revision>3</cp:revision>
  <cp:lastPrinted>2020-10-26T10:03:00Z</cp:lastPrinted>
  <dcterms:created xsi:type="dcterms:W3CDTF">2020-12-31T15:41:00Z</dcterms:created>
  <dcterms:modified xsi:type="dcterms:W3CDTF">2020-12-31T15:52:00Z</dcterms:modified>
</cp:coreProperties>
</file>