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and Differentiation of Primary White and Brown Preadipocytes from Newborn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Galmozzi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Bernard P. Kok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Enrique Saez</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Scripps Research Institute, Department of Molecular Medicine, La Jolla,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University of Wisconsin-Madison, School of Medicine and Public Health, Madison, WI,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Bernard P. Kok</w:t>
        <w:tab/>
        <w:tab/>
        <w:t xml:space="preserve">(</w:t>
      </w:r>
      <w:r>
        <w:rPr>
          <w:rFonts w:ascii="Calibri" w:hAnsi="Calibri" w:cs="Calibri" w:eastAsia="Calibri"/>
          <w:color w:val="000000"/>
          <w:spacing w:val="0"/>
          <w:position w:val="0"/>
          <w:sz w:val="24"/>
          <w:shd w:fill="auto" w:val="clear"/>
        </w:rPr>
        <w:t xml:space="preserve">bpckok@scripps.edu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Enrique Saez</w:t>
        <w:tab/>
        <w:tab/>
        <w:t xml:space="preserve">(</w:t>
      </w:r>
      <w:r>
        <w:rPr>
          <w:rFonts w:ascii="Calibri" w:hAnsi="Calibri" w:cs="Calibri" w:eastAsia="Calibri"/>
          <w:color w:val="000000"/>
          <w:spacing w:val="0"/>
          <w:position w:val="0"/>
          <w:sz w:val="24"/>
          <w:shd w:fill="auto" w:val="clear"/>
        </w:rPr>
        <w:t xml:space="preserve">esaez@scripps.edu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Galmozzi</w:t>
        <w:tab/>
        <w:t xml:space="preserve">(</w:t>
      </w:r>
      <w:r>
        <w:rPr>
          <w:rFonts w:ascii="Calibri" w:hAnsi="Calibri" w:cs="Calibri" w:eastAsia="Calibri"/>
          <w:color w:val="000000"/>
          <w:spacing w:val="0"/>
          <w:position w:val="0"/>
          <w:sz w:val="24"/>
          <w:shd w:fill="auto" w:val="clear"/>
        </w:rPr>
        <w:t xml:space="preserve">agalmozzi@medicine.wisc.edu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White adipocytes, brown adipocytes, mouse, primary culture, adipogenesis, obesity, diabetes, metabolic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report describes a protocol for the simultaneous isolation of primary brown and white preadipocytes from newborn mice. Isolated cells can be grown in culture and induced to differentiate into fully mature white and brown adipocytes. The method enables genetic, molecular, and functional characterization of primary fat cells in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understanding of the mechanisms underlying adipocyte differentiation and function has greatly benefited from the use of immortalized white preadipocyte cell lines. These cultured cell lines, however, have limitations. They do not fully capture the diverse functional spectrum of the heterogenous adipocyte populations that are now known to exist within white adipose depots. To provide a more physiologically relevant model to study the complexity of white adipose tissue, a protocol has been developed and optimized to enable simultaneous isolation of primary white and brown adipocyte progenitors from newborn mice, their rapid expansion in culture, and their differentiation in vitro into mature, fully functional adipocytes. The primary advantage of isolating primary cells from newborn, rather than adult mice, is that the adipose depots are actively developing and are, therefore, a rich source of proliferating preadipocytes. Primary preadipocytes isolated using this protocol differentiate rapidly upon reaching confluence and become fully mature in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a temporal window that accurately reflects the appearance of developed fat pads in newborn mice. Primary cultures prepared using this strategy can be expanded and studied with high reproducibility, making them suitable for genetic and phenotypic screens and enabling the study of the cell-autonomous adipocyte phenotypes of genetic mouse models. This protocol offers a simple, rapid, and inexpensive approach to study the complexity of adipose tissue in vitro.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Obesity results from a chronic imbalance between energy intake and energy expenditure. As obesity develops, white adipocytes undergo a massive expansion in cell size that results in hypoxia in the microenvironment, cell death, inflammation, and insulin resistance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Dysfunctional, hypertrophied adipocytes cannot properly store excess lipids, which accumulate instead in other tissues where they dampen insulin action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Agents that improve adipocyte function and restore normal lipid partitioning amongst tissues are predicted to be beneficial for the treatment of obesity-associated conditions characterized by insulin resistance such as type 2 diabetes. Phenotypic screens in adipocytes using immortalized cell lines, such as 3T3-L1, F442A, and 10T ½, have proven useful to identify genetic factors that regulate adipogenesis and to isolate pro-adipogenic molecules with anti-diabetic properties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These cell lines, however, do not fully reflect the heterogeneity of cell types present in adipose depots, which includes white, brown, beige, and other adipocyte subtypes with unique characteristics, all of which contribute to systemic homeostasis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Further, cultured cell lines often show a diminished response to external stimuli.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cultures of primary adipocytes recapitulate more accurately the complexity of in vivo adipogenesis, and primary adipocytes show robust functional responses. Primary preadipocytes are typically isolated from the stromal vascular fraction of adipose depots of adult mice</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However, because the adipose depots of adult animals consist primarily of fully mature adipocytes that have a very slow turnover rate</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this approach yields a limited quantity of preadipocytes with a low proliferation rate. Therefore, isolation of preadipocytes from newborn mice is preferable to obtain large quantities of rapidly growing cells that can be differentiated in vitro. Here, a protocol has been described, inspired by the initial work with primary brown adipocytes of Kahn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efficiently isolate both white and brown preadipocytes that can be expanded and differentiated in vitro into fully functional primary adipocytes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advantage of isolating primary cells from newborn, as opposed to adult mice, is that the adipose depots are rapidly growing and are thus a rich source of actively proliferating preadipocytes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Cells isolated using this protocol have high proliferative capacity, enabling rapid scale-up of cultures. In addition, preadipocytes from newborn pups display higher differentiation potential than adult progenitors, which reduces well-to-well variability in the extent of differentiation and thus increases reproducibility.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all IACUC guidelines of The Scripps Research Institute.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1.</w:t>
        <w:tab/>
      </w:r>
      <w:r>
        <w:rPr>
          <w:rFonts w:ascii="Calibri" w:hAnsi="Calibri" w:cs="Calibri" w:eastAsia="Calibri"/>
          <w:b/>
          <w:color w:val="auto"/>
          <w:spacing w:val="0"/>
          <w:position w:val="0"/>
          <w:sz w:val="24"/>
          <w:shd w:fill="FFFF00" w:val="clear"/>
        </w:rPr>
        <w:t xml:space="preserve">Collection and digestion of adipose depots (day 1)</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two 1.5 mL tubes for each pup: one for brown adipose tissue (BAT) and one for white adipose tissue (WAT). Add 250 &amp;#181;L of phosphate-buffered saline (PBS) + 200 &amp;#181;L of 2x isolation buffer (123 mM NaCl, 5 mM KCl, 1.3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mM glucose, 100 mM </w:t>
      </w:r>
      <w:r>
        <w:rPr>
          <w:rFonts w:ascii="Calibri" w:hAnsi="Calibri" w:cs="Calibri" w:eastAsia="Calibri"/>
          <w:color w:val="auto"/>
          <w:spacing w:val="0"/>
          <w:position w:val="0"/>
          <w:sz w:val="24"/>
          <w:shd w:fill="FFFFFF" w:val="clear"/>
        </w:rPr>
        <w:t xml:space="preserve">4-(2-hydroxyethyl)-1-piperazineethanesulfonic acid</w:t>
      </w:r>
      <w:r>
        <w:rPr>
          <w:rFonts w:ascii="Calibri" w:hAnsi="Calibri" w:cs="Calibri" w:eastAsia="Calibri"/>
          <w:color w:val="auto"/>
          <w:spacing w:val="0"/>
          <w:position w:val="0"/>
          <w:sz w:val="24"/>
          <w:shd w:fill="FFFF00" w:val="clear"/>
        </w:rPr>
        <w:t xml:space="preserve"> (HEPES), penicillin-streptomycin, and 4% fatty acid-free bovine serum albumin) to each tube. Keep solutions sterile and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the pups into small chambers (e.g., one well of a 6-well plate), and set them on ice until they become hypothermic. Make sure that there is no direct contact between the pups and the ice. Prick a paw with a tip to assure loss of consciousness, and euthanize the pups by decapitation using sharp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working with different genotypes, prepare an additional tube to collect a tail biopsy (3 mm cut) for genotyping. If genotyping is performed immediately, keep the euthanized pups on ice until the dissection to collect adipose depots.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Calculate and weigh out the amount of collagenase needed to digest all the depots. Add 50 &amp;#181;L of 15 mg/mL collagenase type I in 2x isolation buffer to each tube. Do not resuspend the tissue in isolation buffer until all the tissues have been collected.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To collect subcutaneous WAT, cut the skin around the pup’s abdomen (avoid peritoneal rupture), and gently pull the skin down below the legs. Without taking the skin, carefully collect the fat depot, which will appear as a clear (P1 or younger) or white (P2 and older), thin, elongated tissue attached on the inside or on top of the quadriceps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Rinse the fat depot in PBS, and place it in one of the tubes containing 250 &amp;#181;L of PBS + 200 &amp;#181;L of 2x isolation buffer. Keep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P0 and P1 mice give the best yield. In P0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pups, the subcutaneous WAT depot is nearly transparent. In P2 mice and older, the depot is easier to identify because it is already turning white, indicating the presence of fully mature, lipid-loaded, white adipocytes.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To collect interscapular BAT, pull the skin from the shoulder blades over the head. Lift the BAT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the deep red tissue between the shoulder blades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and carefully make incisions all around it to detach it from the body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Check for consistency and color; rinse with PBS; place it in the other tube containing 250 &amp;#181;L of PBS + 200 &amp;#181;L of 2x isolation buffer; and keep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harvesting BAT from P2 mice and older, carefully remove the white adipose tissue surrounding the BAT. It consists of a thin, soft, white sheet of adipocytes located between the skin and the BAT, which is deeper between the shoulder blades.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Once all depots have been collected, gently mince each depot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times) using small scissors directly inside the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Resuspend collagenase type I in the appropriate volume of 2x isolation buffer to obtain a 10x stock solution at 15 mg/mL. Add 50 &amp;#181;L of 10x collagenase to each tube, keeping the tubes on ice until collagenase has been added to all the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Invert the tubes quickly to mix, and transfer to a temperature-controlled mixer. Incubate the samples for 30 min at 37 &amp;#176;C on a shaker (1,400 rpm frequency for effective sample mixing).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Plating preadipocytes (day 1)</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After digesting the tissues, place the tubes back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step onwards, all work is carried out in sterile conditions in a biosafety cabinet.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Strain the digested tissues through a 100 &amp;#181;m cell strainer into new 50 mL tubes. If working only with WT mice, or if genotypes are known, pool the relevant, dissociated BATs together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repeat this for the WATs. To maximize the cell yield, rinse each tube with 1 mL of isolation medium (Dulbecco’s modified Eagle medium (DMEM) + 20% fetal bovine serum (FBS), 10 mM HEPES, 1% penicillin-streptomycin), and filter it through the cell strainer. If working with unknown genotypes, go to step 2.4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FBS is an essential determinant of both preadipocyte proliferation and differentiation. Rigorously test different lots of FBS to ensure high performance and consistency between lots.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Dilute BAT and WAT suspensions to plate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wells of a 6-well plate for each BAT sample and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wells of a 6-well plate for each WAT sample. For instance, if 6 BATs and 6 WATs were pooled together, dilute the BAT cell suspension up to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36 mL and the WAT cell suspension up to 48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72 mL. Plate 2 mL of the cell suspensions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For samples with unknown genotypes, keep each sample separate; place a 100 &amp;#181;m cell strainer on top of each well of a 6-well plate, and filter one sample per well. Rinse the tube with 1.5 mL of isolation medium, and pass it through the strainer, making up the final volume to 2 mL per well. Discard the cell strainer, place the lid on the plate, and transfer the plate to the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medium in the wells should look turbid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h after plating due to floating blood cells, cell debris, and lipids from lysed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Aspirate the medium, and wash with 2 mL of DMEM without serum. Gently agitate the plate to detach blood cells from the bottom of the wells. After 3 washes, add 2 mL of fresh isolation medium, and transfer the cells to the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cells under the microscope. Floating material (blood cells, cellular debris) should be minimal. Brown preadipocytes will appear as small non-translucent cells, whereas white preadipocytes will display a more elongated form. Both brown and white preadipocytes should be tightly attached to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w:t>
        <w:tab/>
      </w:r>
      <w:r>
        <w:rPr>
          <w:rFonts w:ascii="Calibri" w:hAnsi="Calibri" w:cs="Calibri" w:eastAsia="Calibri"/>
          <w:b/>
          <w:color w:val="auto"/>
          <w:spacing w:val="0"/>
          <w:position w:val="0"/>
          <w:sz w:val="24"/>
          <w:shd w:fill="FFFF00" w:val="clear"/>
        </w:rPr>
        <w:t xml:space="preserve">Expansion of preadipocyte culture (day 2 to day 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On the next day, aspirate the medium, wash the cells with 2 mL of DMEM without serum, and add back 2 mL of the isolation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Repeat step 3.1 once every 2 days until the cells reach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confluence.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primary brown preadipocytes, reaching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confluence can take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For primary white preadipocytes, it usually takes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Once the preadipocytes reach 60% confluence, they can be efficiently infected with viral particles for knockdown or overexpression experiments. Infect preadipocytes with an appropriate viral load for up to 8 h. The use of cationic polymers to increase infection efficiency is discouraged, as it often results in toxicity and in a significant reduction of the adipogenic potential of infected preadipocytes.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To split the cells, coat new destination plates using a sterile solution of 0.1% w/v gelatin (dissolved in distilled water; do not use any heat). Use enough volume to cover the bottom of the well/dish. Incubate plates at 37 &amp;#176;C until the cells are ready to be seeded (at least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optional. Coating of cell culture plates does not affect the yield or differentiation potential, but it substantially simplifies the maintenance and handling of differentiating adipocytes.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When cells reach sub-confluent density (85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95%), aspirate the medium, wash with PBS, and add trypsin for 3 min to detach the cells. Block trypsin activity by adding 2.5x trypsin volume of isolation medium. Pipette the cell suspension up and down to maximize cell recovery, and transfer into a new tube. Wash the wells with 1 mL of isolation medium, and add it to the first collection.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Centrifuge the cells for 5 min at 800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aspirate the supernatant, and resuspend the cells in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 of the isolation medium. Count the cells, and dilute them to the desired final density.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instance, 50,000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80,000 cells/mL (2.5, 1, and 0.5 mL for 6-, 12- and 24-well plates, respectively) will result in fully confluent wells within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h.</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Aspirate the coating solution in step 3.3, and wash off excess gelatin with PBS. Seed the cells, and return the plates to the incubator until fully confluent.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Differentiation of white and brown preadipocytes (days 7</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When preadipocytes become confluent, aspirate the medium, and replace it with differentiation medium consisting of 10% FBS in DMEM containing 170 nM insulin, 1 &amp;#181;M dexamethasone, and 0.5 mM 3-isobuthyl-1-methylxantine. If differentiating BAT preadipocytes, also add 1 nM triiodothyronine (T3). Mark the day on which adipogenic differentiation is induced as day 0 of differentiation.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white and brown preadipocytes can spontaneously differentiate upon reaching confluence. However, to maximize adipocyte differentiation, the traditional pro-adipogenic cocktail described above (plus T3 for BAT preadipocytes) should be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After 48 h (day 2 of differentiation), observe small lipid droplets accumulating in the cells under the microscope using standard bright field. Refresh the medium with maintenance medium consisting of 10% FBS in DMEM and 170 nM insulin (plus 1 nM T3 for BAT).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day 4 or 5 of differentiation, the majority of cells will appear loaded with lipids. Terminally differentiating adipocytes can be kept in culture longer or used at this stage for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Re-plating for bioenergetics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intention is to perform bioenergetics studies in mature adipocytes in the 96-well format, the following steps need to be taken. Ideally, cells that have just fully differentiated (day 4 or 5) should be used. The procedure described below starts from 1 well of a 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Prior to trypsin digestion, prepare coating for 96-well plates. Add 50 &amp;#181;L of 0.1% gelatin to each well. Leave the plate in a tissue culture incubator until the cells are ready to be seeded.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On day 4 or 5 of differentiation, aspirate the medium, wash with 1 mL of PBS, and add 300 &amp;#181;L of 0.25% trypsin-ethylenediamine tetraacetic acid (for 1 well of a 6-well plate). Gently tilt the plate to ensure trypsin completely covers the bottom of the well; incubate for 2 min at room temperature. Block the action of trypsin with 700 &amp;#181;L of maintenance medium, pipette up and down to maximize cell recovery, and transfer the cell suspension into a new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Centrifuge the cells at 1200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Remove the supernatant, resuspend the pellet in 1 mL of maintenance medium, and count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well of a 6-well plate should yield approximately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million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Dilute the cells to have a final concentration of 60,000 to 80,000 cells/mL for brown adipocytes and 100,000 to 120,000 cells/mL for white adipocytes. Plate 100 &amp;#181;L of the cell suspension per well in gelatin-coated 96-well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well of a 6-well plate provides enough cells for up to two 96-well plates. For bioenergetics experiments, low-density plating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confluence) is needed to enable the accurate measurement of oxygen consumption and avoid oxygen depletion in the wells during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Allow the cells to adhere to the bottom of the plate for at least 48 h. If cells are kept in the plate for more than 48 h, refresh the medium after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On the day of the assay, aspirate the medium, and replace it with assay medium. Incubate for 1 h at 37 &amp;#176;C in a non-CO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-controlled incubator, and perform the assay as per the manufacturer’s instructions.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Section 1 of the protocol will yield a heterogeneous suspension of cells that are visible under a standard light microscope. Filtering of digested tissues with a cell strainer (section 2) will remove undigested tissue. However, some cellular debris, blood cells, and mature adipocytes will pass through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Gentle washes 1 h after plating will remove non-relevant cells as preadipocytes attach rapidly to the bottom of the well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In section 3, adipocyte precursors are expanded to obtain the number of cells required for the experimental plan. Although both white and brown preadipocytes isolated from newborn pups have high proliferative capacity, the yield of white preadipocytes is generally twice that of brown preadipocytes on a per-depot basis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Therefore, if synchronized cultures are desired, the starting density of white preadipocytes must be calculated accordingly. Section 4 offers guidelines to obtain fully mature adipocytes.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end of differentiation, cells will appear loaded with lipid droplets and express classical markers of white and brown adipocytes, respectively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Both white and brown adipocytes can be used for bioenergetics studies as described in section 5. A comparative analysis of oxygen consumption in a mitochondrial stress test of primary white and brown adipocytes under basal conditions, as well as in response to known stimulators of mitochondrial function (e.g., norepinephrine) is shown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Upon isolation, it is also possible to differentiate primary white and brown adipocytes on the plates that will be directly used for bioenergetic experiments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this case, preadipocytes are isolated and plated as described in sections 1 and 2. When cells become confluent, they are induced to differentiate as described in section 4 until they reach terminal differentiation and are ready for bioenergetics analysis. This procedure is common for a 24-well plate format, but less so for 96-well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Collection and processing of fat pads.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primary white (top) and brown (bottom) adipocyte isolation.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Subcutaneous white (top) and brown (bottom) adipose depots. In P0 mice, subcutaneous WAT is almost invisible, but becomes distinguishable on ~day 2 after birth. In contrast, BAT has a distinct dark color even at P0. In older pups, the BAT is surrounded by a thin superficial layer of WAT, which requires removal when the tissue is dissected.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of primary white and brown precursor cells after filtration through the 100 &amp;#181;m cell strainer, after the initial washes, and 24 h after isolation. Scale bars = 100 &amp;#181;m. Abbreviations: WAT = white adipose tissue; BAT = brown adipose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Differentiation of adipocyte progenitors.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Average number of subcutaneous WAT and BAT preadipocytes obtained per newborn (P0) pup.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images of terminally differentiated white and brown adipocytes. For fluorescence imaging, cells were incubated with Nile Red and Hoechst 33342 to stain neutral lipids and nuclei, respectively. Scale bars = 100 &amp;#181;m.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Gene expression analysis of classical adipocyte markers, white-beige markers, and brown-specific markers in primary white and brown adipocytes differentiated for 6 days (n=3). For each gene, BAT expression is relative to WAT levels (set to 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OCR of white and brown adipocytes in a mitochondrial stress test and in response to norepinephrine (n=3). Brown adipocytes show uncoupled respiration and a robust response to norepinephrine, whereas white adipocytes show little uncoupled respiration and no significant response to adrenergic stimulation. *p&amp;lt;0.05; **p&amp;lt;0.01, determined by two-tailed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Abbreviations: WAT = white adipose tissue; BAT = brown adipose tissue; OCR = oxygen consumption rate; Oligo = oligomycin; FCCP = carbonyl cyanide-4-(trifluoromethoxy)phenylhydrazone; RAA = rotenone, antimycin A; </w:t>
      </w:r>
      <w:r>
        <w:rPr>
          <w:rFonts w:ascii="Calibri" w:hAnsi="Calibri" w:cs="Calibri" w:eastAsia="Calibri"/>
          <w:i/>
          <w:color w:val="auto"/>
          <w:spacing w:val="0"/>
          <w:position w:val="0"/>
          <w:sz w:val="24"/>
          <w:shd w:fill="auto" w:val="clear"/>
        </w:rPr>
        <w:t xml:space="preserve">PPAR&amp;#947;</w:t>
      </w:r>
      <w:r>
        <w:rPr>
          <w:rFonts w:ascii="Calibri" w:hAnsi="Calibri" w:cs="Calibri" w:eastAsia="Calibri"/>
          <w:color w:val="auto"/>
          <w:spacing w:val="0"/>
          <w:position w:val="0"/>
          <w:sz w:val="24"/>
          <w:shd w:fill="auto" w:val="clear"/>
        </w:rPr>
        <w:t xml:space="preserve"> = peroxisome proliferator-activated receptor gamma; </w:t>
      </w:r>
      <w:r>
        <w:rPr>
          <w:rFonts w:ascii="Calibri" w:hAnsi="Calibri" w:cs="Calibri" w:eastAsia="Calibri"/>
          <w:i/>
          <w:color w:val="auto"/>
          <w:spacing w:val="0"/>
          <w:position w:val="0"/>
          <w:sz w:val="24"/>
          <w:shd w:fill="auto" w:val="clear"/>
        </w:rPr>
        <w:t xml:space="preserve">Acrp30</w:t>
      </w:r>
      <w:r>
        <w:rPr>
          <w:rFonts w:ascii="Calibri" w:hAnsi="Calibri" w:cs="Calibri" w:eastAsia="Calibri"/>
          <w:color w:val="auto"/>
          <w:spacing w:val="0"/>
          <w:position w:val="0"/>
          <w:sz w:val="24"/>
          <w:shd w:fill="auto" w:val="clear"/>
        </w:rPr>
        <w:t xml:space="preserve"> = adipocyte complement-related protein of 30 kDa; </w:t>
      </w:r>
      <w:r>
        <w:rPr>
          <w:rFonts w:ascii="Calibri" w:hAnsi="Calibri" w:cs="Calibri" w:eastAsia="Calibri"/>
          <w:i/>
          <w:color w:val="auto"/>
          <w:spacing w:val="0"/>
          <w:position w:val="0"/>
          <w:sz w:val="24"/>
          <w:shd w:fill="auto" w:val="clear"/>
        </w:rPr>
        <w:t xml:space="preserve">Fabp4</w:t>
      </w:r>
      <w:r>
        <w:rPr>
          <w:rFonts w:ascii="Calibri" w:hAnsi="Calibri" w:cs="Calibri" w:eastAsia="Calibri"/>
          <w:color w:val="auto"/>
          <w:spacing w:val="0"/>
          <w:position w:val="0"/>
          <w:sz w:val="24"/>
          <w:shd w:fill="auto" w:val="clear"/>
        </w:rPr>
        <w:t xml:space="preserve"> = fatty acid-binding protein 4; </w:t>
      </w:r>
      <w:r>
        <w:rPr>
          <w:rFonts w:ascii="Calibri" w:hAnsi="Calibri" w:cs="Calibri" w:eastAsia="Calibri"/>
          <w:i/>
          <w:color w:val="auto"/>
          <w:spacing w:val="0"/>
          <w:position w:val="0"/>
          <w:sz w:val="24"/>
          <w:shd w:fill="auto" w:val="clear"/>
        </w:rPr>
        <w:t xml:space="preserve">Glut4</w:t>
      </w:r>
      <w:r>
        <w:rPr>
          <w:rFonts w:ascii="Calibri" w:hAnsi="Calibri" w:cs="Calibri" w:eastAsia="Calibri"/>
          <w:color w:val="auto"/>
          <w:spacing w:val="0"/>
          <w:position w:val="0"/>
          <w:sz w:val="24"/>
          <w:shd w:fill="auto" w:val="clear"/>
        </w:rPr>
        <w:t xml:space="preserve"> = glucose transporter 4; </w:t>
      </w:r>
      <w:r>
        <w:rPr>
          <w:rFonts w:ascii="Calibri" w:hAnsi="Calibri" w:cs="Calibri" w:eastAsia="Calibri"/>
          <w:i/>
          <w:color w:val="auto"/>
          <w:spacing w:val="0"/>
          <w:position w:val="0"/>
          <w:sz w:val="24"/>
          <w:shd w:fill="auto" w:val="clear"/>
        </w:rPr>
        <w:t xml:space="preserve">Cd36</w:t>
      </w:r>
      <w:r>
        <w:rPr>
          <w:rFonts w:ascii="Calibri" w:hAnsi="Calibri" w:cs="Calibri" w:eastAsia="Calibri"/>
          <w:color w:val="auto"/>
          <w:spacing w:val="0"/>
          <w:position w:val="0"/>
          <w:sz w:val="24"/>
          <w:shd w:fill="auto" w:val="clear"/>
        </w:rPr>
        <w:t xml:space="preserve"> = cluster of differentiation 36; </w:t>
      </w:r>
      <w:r>
        <w:rPr>
          <w:rFonts w:ascii="Calibri" w:hAnsi="Calibri" w:cs="Calibri" w:eastAsia="Calibri"/>
          <w:i/>
          <w:color w:val="auto"/>
          <w:spacing w:val="0"/>
          <w:position w:val="0"/>
          <w:sz w:val="24"/>
          <w:shd w:fill="auto" w:val="clear"/>
        </w:rPr>
        <w:t xml:space="preserve">Retn </w:t>
      </w:r>
      <w:r>
        <w:rPr>
          <w:rFonts w:ascii="Calibri" w:hAnsi="Calibri" w:cs="Calibri" w:eastAsia="Calibri"/>
          <w:color w:val="auto"/>
          <w:spacing w:val="0"/>
          <w:position w:val="0"/>
          <w:sz w:val="24"/>
          <w:shd w:fill="auto" w:val="clear"/>
        </w:rPr>
        <w:t xml:space="preserve">= resistin; </w:t>
      </w:r>
      <w:r>
        <w:rPr>
          <w:rFonts w:ascii="Calibri" w:hAnsi="Calibri" w:cs="Calibri" w:eastAsia="Calibri"/>
          <w:i/>
          <w:color w:val="auto"/>
          <w:spacing w:val="0"/>
          <w:position w:val="0"/>
          <w:sz w:val="24"/>
          <w:shd w:fill="auto" w:val="clear"/>
        </w:rPr>
        <w:t xml:space="preserve">Slc27a1</w:t>
      </w:r>
      <w:r>
        <w:rPr>
          <w:rFonts w:ascii="Calibri" w:hAnsi="Calibri" w:cs="Calibri" w:eastAsia="Calibri"/>
          <w:color w:val="auto"/>
          <w:spacing w:val="0"/>
          <w:position w:val="0"/>
          <w:sz w:val="24"/>
          <w:shd w:fill="auto" w:val="clear"/>
        </w:rPr>
        <w:t xml:space="preserve"> = solute carrier family 27 member 1; </w:t>
      </w:r>
      <w:r>
        <w:rPr>
          <w:rFonts w:ascii="Calibri" w:hAnsi="Calibri" w:cs="Calibri" w:eastAsia="Calibri"/>
          <w:i/>
          <w:color w:val="auto"/>
          <w:spacing w:val="0"/>
          <w:position w:val="0"/>
          <w:sz w:val="24"/>
          <w:shd w:fill="auto" w:val="clear"/>
        </w:rPr>
        <w:t xml:space="preserve">Ear2</w:t>
      </w:r>
      <w:r>
        <w:rPr>
          <w:rFonts w:ascii="Calibri" w:hAnsi="Calibri" w:cs="Calibri" w:eastAsia="Calibri"/>
          <w:color w:val="auto"/>
          <w:spacing w:val="0"/>
          <w:position w:val="0"/>
          <w:sz w:val="24"/>
          <w:shd w:fill="auto" w:val="clear"/>
        </w:rPr>
        <w:t xml:space="preserve"> = eosinophil-associated, ribonuclease A family 2; </w:t>
      </w:r>
      <w:r>
        <w:rPr>
          <w:rFonts w:ascii="Calibri" w:hAnsi="Calibri" w:cs="Calibri" w:eastAsia="Calibri"/>
          <w:i/>
          <w:color w:val="auto"/>
          <w:spacing w:val="0"/>
          <w:position w:val="0"/>
          <w:sz w:val="24"/>
          <w:shd w:fill="auto" w:val="clear"/>
        </w:rPr>
        <w:t xml:space="preserve">Pgc1a</w:t>
      </w:r>
      <w:r>
        <w:rPr>
          <w:rFonts w:ascii="Calibri" w:hAnsi="Calibri" w:cs="Calibri" w:eastAsia="Calibri"/>
          <w:color w:val="auto"/>
          <w:spacing w:val="0"/>
          <w:position w:val="0"/>
          <w:sz w:val="24"/>
          <w:shd w:fill="auto" w:val="clear"/>
        </w:rPr>
        <w:t xml:space="preserve"> = PPAR&amp;#947; coactivator 1alpha; </w:t>
      </w:r>
      <w:r>
        <w:rPr>
          <w:rFonts w:ascii="Calibri" w:hAnsi="Calibri" w:cs="Calibri" w:eastAsia="Calibri"/>
          <w:i/>
          <w:color w:val="auto"/>
          <w:spacing w:val="0"/>
          <w:position w:val="0"/>
          <w:sz w:val="24"/>
          <w:shd w:fill="auto" w:val="clear"/>
        </w:rPr>
        <w:t xml:space="preserve">Prdm16</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FFFFFF" w:val="clear"/>
        </w:rPr>
        <w:t xml:space="preserve">positive regulatory domain I-binding factor 1 (PRDI-BF1) and retinoblastoma protein-interacting zinc finger gene 1 (RIZ1) homologous domain containing 16; </w:t>
      </w:r>
      <w:r>
        <w:rPr>
          <w:rFonts w:ascii="Calibri" w:hAnsi="Calibri" w:cs="Calibri" w:eastAsia="Calibri"/>
          <w:i/>
          <w:color w:val="auto"/>
          <w:spacing w:val="0"/>
          <w:position w:val="0"/>
          <w:sz w:val="24"/>
          <w:shd w:fill="FFFFFF" w:val="clear"/>
        </w:rPr>
        <w:t xml:space="preserve">Eva1</w:t>
      </w:r>
      <w:r>
        <w:rPr>
          <w:rFonts w:ascii="Calibri" w:hAnsi="Calibri" w:cs="Calibri" w:eastAsia="Calibri"/>
          <w:color w:val="auto"/>
          <w:spacing w:val="0"/>
          <w:position w:val="0"/>
          <w:sz w:val="24"/>
          <w:shd w:fill="FFFFFF" w:val="clear"/>
        </w:rPr>
        <w:t xml:space="preserve"> = epithelial V-like antigen 1; </w:t>
      </w:r>
      <w:r>
        <w:rPr>
          <w:rFonts w:ascii="Calibri" w:hAnsi="Calibri" w:cs="Calibri" w:eastAsia="Calibri"/>
          <w:i/>
          <w:color w:val="auto"/>
          <w:spacing w:val="0"/>
          <w:position w:val="0"/>
          <w:sz w:val="24"/>
          <w:shd w:fill="FFFFFF" w:val="clear"/>
        </w:rPr>
        <w:t xml:space="preserve">Cidea</w:t>
      </w:r>
      <w:r>
        <w:rPr>
          <w:rFonts w:ascii="Calibri" w:hAnsi="Calibri" w:cs="Calibri" w:eastAsia="Calibri"/>
          <w:color w:val="auto"/>
          <w:spacing w:val="0"/>
          <w:position w:val="0"/>
          <w:sz w:val="24"/>
          <w:shd w:fill="FFFFFF" w:val="clear"/>
        </w:rPr>
        <w:t xml:space="preserve"> = cell death-inducing DNA fragmentation factor-alpha-like effector A; </w:t>
      </w:r>
      <w:r>
        <w:rPr>
          <w:rFonts w:ascii="Calibri" w:hAnsi="Calibri" w:cs="Calibri" w:eastAsia="Calibri"/>
          <w:i/>
          <w:color w:val="auto"/>
          <w:spacing w:val="0"/>
          <w:position w:val="0"/>
          <w:sz w:val="24"/>
          <w:shd w:fill="FFFFFF" w:val="clear"/>
        </w:rPr>
        <w:t xml:space="preserve">Ucp1</w:t>
      </w:r>
      <w:r>
        <w:rPr>
          <w:rFonts w:ascii="Calibri" w:hAnsi="Calibri" w:cs="Calibri" w:eastAsia="Calibri"/>
          <w:color w:val="auto"/>
          <w:spacing w:val="0"/>
          <w:position w:val="0"/>
          <w:sz w:val="24"/>
          <w:shd w:fill="FFFFFF" w:val="clear"/>
        </w:rPr>
        <w:t xml:space="preserve"> = uncoupling protein 1; </w:t>
      </w:r>
      <w:r>
        <w:rPr>
          <w:rFonts w:ascii="Calibri" w:hAnsi="Calibri" w:cs="Calibri" w:eastAsia="Calibri"/>
          <w:i/>
          <w:color w:val="auto"/>
          <w:spacing w:val="0"/>
          <w:position w:val="0"/>
          <w:sz w:val="24"/>
          <w:shd w:fill="FFFFFF" w:val="clear"/>
        </w:rPr>
        <w:t xml:space="preserve">Dio2</w:t>
      </w:r>
      <w:r>
        <w:rPr>
          <w:rFonts w:ascii="Calibri" w:hAnsi="Calibri" w:cs="Calibri" w:eastAsia="Calibri"/>
          <w:color w:val="auto"/>
          <w:spacing w:val="0"/>
          <w:position w:val="0"/>
          <w:sz w:val="24"/>
          <w:shd w:fill="FFFFFF" w:val="clear"/>
        </w:rPr>
        <w:t xml:space="preserve"> = type 2 deiodinase.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Adipose tissue is critical for systemic insulin sensitivity and glucose homeostasis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Obesity-linked adipocyte dysfunction is tightly associated with the onset of type 2 diabetes. Therefore, greater understanding of the basic biology and physiology of adipose tissue may enable the design of new treatments for metabolic disorders. As a complement to direct functional and transcriptional analysis of mature adipocytes isolated from fat depots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cultured primary adipocytes have been shown to recapitulate many aspects of adipose tissue pathophysiology, including secretion of adipokines, resistance to insulin in response to pro-inflammatory stimuli, and induction of the thermogenic program</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Although previous protocols have described the isolation of adipocyte precursors from adult mice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this protocol provides a method for the efficient isolation of cells from newborn pups. This strategy yields a significantly larger population of white and brown adipocyte progenitors with higher differentiation potential, as postnatal adipose depots are still relatively undifferentiated compared to the adipose depots of adult mice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Moreover, cells isolated using this method are already committed and yield fully functional differentiated adipocytes that express markers of mature cells and exhibit their unique physiological features, including lipid storage and thermogenic capacity.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cells cannot be expanded indefinitely in vitro. In addition, primary preadipocytes start to lose their adipogenic potential after several passages in culture. This is likely because continual cell culture results in an intrinsic enrichment of less committed, more proliferative cells. Thus, one limitation of this protocol is the window of time during which preadipocytes can be used. Adipogenic potential is fully preserved if cells are induced to differentiate within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days from the time of isolation. Adipocyte progenitors are particularly resistant to enzymatic digestion, but it is nonetheless important to correctly time the collagenase treatment. Overdigestion of tissues may result in reduced cell survival and decreased ability of cells to adhere to the plate. Throughout the expansion phase, both white and brown preadipocytes are strongly adherent and can tolerate vigorous washes and frequent media exchange. However, the use of coated plates is recommended when preadipocytes are induced to differentiate. Mature, lipid-laden adipocytes have decreased surface adhesion and cell-cell interactions, resulting in a tendency to detach during differentiation unless gently handled. The most delicate step of the protocol is the induction of differentiation. FBS, insulin, T3, and other drugs must be tested, and their final concentrations optimized, to obtain the highest extent of differentiation. A PPAR&amp;#947; agonist (e.g., rosiglitazone) can also be added to further stimulate adipogenesis.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the differentiation conditions can be adapted to the experimental needs. For instance, in screens with genetic or chemical libraries designed to identify proteins/compounds that enhance white and/or brown adipocyte differentiation, preadipocytes can be induced to differentiate using a minimal permissive medium that includes 10% FBS in DMEM and 170 nM insulin only. Assessment of each component of the differentiation cocktail is recommended to determine ideal assay windows for differentiation assays. T3 and dexamethasone are dispensable for primary white and brown adipocyte differentiation. These conditions will ensure a low rate of differentiation in control cells, thus increasing the window of the assay and maximizing the ability to detect pro-adipogenic factors. Cultures of primary brown and white adipocytes are a powerful tool to interrogate adipocyte cell-autonomous function in response to genetic manipulation and metabolic stresses to complement the study of brown and white adipose tissue in vivo. Hence, protocols for isolation and culture of primary preadipocytes are needed to enable reproducible, high-throughput investigations of adipocyte function in vitro. The strategy described here allows study of primary white and brown preadipocytes that can be differentiated into fully mature adipocytes and tested under a variety of experimental manipulations.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to Cristina Godio at Centro Nacional de Biotecnolog&amp;#237;a in Madrid, Spain, Mari Gantner at The Scripps Research Institute, La Jolla, and Anastasia Kralli at Johns Hopkins University, Baltimore, for assistance optimizing this protocol based on the initial work of Kahn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work was funded by NIH grants DK114785 and DK121196 to 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Rosen, E. D., Spiegelman, B. M. What we talk about when we talk about fat.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McGarry, J. D. Banting lecture 2001: Dysregulation of fatty acid metabolism in the etiology of type 2 diabetes.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Kusminski, C. M., Bickel, P. E., Scherer, P. E. Targeting adipose tissue in the treatment of obesity-associated diabetes.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639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Waki, H. et al. The small molecule harmine is an antidiabetic cell-type-specific regulator of PPARgamma expression.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Dominguez,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Integrated phenotypic and activity-based profiling links Ces3 to obesity and diabetes.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Galmozzi,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ThermoMouse: an in vivo model to identify modulators of UCP1 expression in brown adipose tissue.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1584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TRPV4 is a regulator of adipose oxidative metabolism, inflammation, and energy homeostasis.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(1),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Lynes, M. D., Tseng, Y. H. Deciphering adipose tissue heterogeneity.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1411</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Schoettl, T., Fischer, I. P., Ussar, S. Heterogeneity of adipose tissue in development and metabolic function.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(Pt Suppl 1), jeb162958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Sponton, C. H., Kajimura, S. Multifaceted roles of beige fat in energy homeostasis beyond UCP1.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(7), 2545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Gao, W., Kong, X., Yang, Q. Isolation, primary culture, and differentiation of preadipocytes from mouse brown adipose tissue.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1566</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Yu, H., Emont, M., Jun, H., Wu, J. Isolation and differentiation of murine primary brown/beige preadipocytes.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1773</w:t>
      </w:r>
      <w:r>
        <w:rPr>
          <w:rFonts w:ascii="Calibri" w:hAnsi="Calibri" w:cs="Calibri" w:eastAsia="Calibri"/>
          <w:color w:val="auto"/>
          <w:spacing w:val="0"/>
          <w:position w:val="0"/>
          <w:sz w:val="24"/>
          <w:shd w:fill="auto" w:val="clear"/>
        </w:rPr>
        <w:t xml:space="preserve">,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Church, C. D., Berry, R., Rodeheffer, M. S. Isolation and study of adipocyte precursors.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537</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Hausman, D. B., Park, H. J. , Hausman, G. J. Isolation and culture of preadipocytes from rodent white adipose tissue.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456</w:t>
      </w:r>
      <w:r>
        <w:rPr>
          <w:rFonts w:ascii="Calibri" w:hAnsi="Calibri" w:cs="Calibri" w:eastAsia="Calibri"/>
          <w:color w:val="auto"/>
          <w:spacing w:val="0"/>
          <w:position w:val="0"/>
          <w:sz w:val="24"/>
          <w:shd w:fill="auto" w:val="clear"/>
        </w:rPr>
        <w:t xml:space="preserve">,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Spalding, K. L., Bhardwaj, R. D., Buchholz, B. A., Druid, H., Frisen, J. Retrospective birth dating of cells in humans.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Spalding, K.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Dynamics of fat cell turnover in humans.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453</w:t>
      </w:r>
      <w:r>
        <w:rPr>
          <w:rFonts w:ascii="Calibri" w:hAnsi="Calibri" w:cs="Calibri" w:eastAsia="Calibri"/>
          <w:color w:val="auto"/>
          <w:spacing w:val="0"/>
          <w:position w:val="0"/>
          <w:sz w:val="24"/>
          <w:shd w:fill="auto" w:val="clear"/>
        </w:rPr>
        <w:t xml:space="preserve"> (7196), 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Wang, Q. A., Tao, C., Gupta, R. K., Scherer, P. E. Tracking adipogenesis during white adipose tissue development, expansion and regeneration.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(10), 1338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Kahn, C. R. Isolation and primary culture of brown fat preadipocytes. </w:t>
      </w:r>
      <w:r>
        <w:rPr>
          <w:rFonts w:ascii="Calibri" w:hAnsi="Calibri" w:cs="Calibri" w:eastAsia="Calibri"/>
          <w:i/>
          <w:color w:val="auto"/>
          <w:spacing w:val="0"/>
          <w:position w:val="0"/>
          <w:sz w:val="24"/>
          <w:shd w:fill="auto" w:val="clear"/>
        </w:rPr>
        <w:t xml:space="preserve">Sprotocols.</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http://doi.org/10.5281/zenodo.13602</w:t>
        </w:r>
      </w:hyperlink>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Mills, 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Accumulation of succinate controls activation of adipose tissue thermogenesis.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560</w:t>
      </w:r>
      <w:r>
        <w:rPr>
          <w:rFonts w:ascii="Calibri" w:hAnsi="Calibri" w:cs="Calibri" w:eastAsia="Calibri"/>
          <w:color w:val="auto"/>
          <w:spacing w:val="0"/>
          <w:position w:val="0"/>
          <w:sz w:val="24"/>
          <w:shd w:fill="auto" w:val="clear"/>
        </w:rPr>
        <w:t xml:space="preserve"> (7716), 102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Kajimura, S., Spiegelman, B. M., Seale, P. Brown and beige fat: physiological roles beyond heat generation.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546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Pydi, 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Adipocyte &amp;#946;-arrestin-2 is essential for maintaining whole body glucose and energy homeostasis.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2936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Sun,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snRNA-seq reveals a subpopulation of adipocytes that regulates thermogenesis.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587</w:t>
      </w:r>
      <w:r>
        <w:rPr>
          <w:rFonts w:ascii="Calibri" w:hAnsi="Calibri" w:cs="Calibri" w:eastAsia="Calibri"/>
          <w:color w:val="auto"/>
          <w:spacing w:val="0"/>
          <w:position w:val="0"/>
          <w:sz w:val="24"/>
          <w:shd w:fill="auto" w:val="clear"/>
        </w:rPr>
        <w:t xml:space="preserve"> (7832),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Galmozzi,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PGRMC2 is an intracellular haem chaperone critical for adipocyte function.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576</w:t>
      </w:r>
      <w:r>
        <w:rPr>
          <w:rFonts w:ascii="Calibri" w:hAnsi="Calibri" w:cs="Calibri" w:eastAsia="Calibri"/>
          <w:color w:val="auto"/>
          <w:spacing w:val="0"/>
          <w:position w:val="0"/>
          <w:sz w:val="24"/>
          <w:shd w:fill="auto" w:val="clear"/>
        </w:rPr>
        <w:t xml:space="preserve"> (7785),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Brown, 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Estrogen-related receptors mediate the adaptive response of brown adipose tissue to adrenergic stimulation. </w:t>
      </w:r>
      <w:r>
        <w:rPr>
          <w:rFonts w:ascii="Calibri" w:hAnsi="Calibri" w:cs="Calibri" w:eastAsia="Calibri"/>
          <w:i/>
          <w:color w:val="auto"/>
          <w:spacing w:val="0"/>
          <w:position w:val="0"/>
          <w:sz w:val="24"/>
          <w:shd w:fill="auto" w:val="clear"/>
        </w:rPr>
        <w:t xml:space="preserve">iScience.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Shinoda,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Genetic and functional characterization of clonally derived adult human brown adipocytes.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Wang, Q. A., Scherer, P. E. The AdipoChaser mouse: A model tracking adipogenesis in vivo. </w:t>
      </w:r>
      <w:r>
        <w:rPr>
          <w:rFonts w:ascii="Calibri" w:hAnsi="Calibri" w:cs="Calibri" w:eastAsia="Calibri"/>
          <w:i/>
          <w:color w:val="auto"/>
          <w:spacing w:val="0"/>
          <w:position w:val="0"/>
          <w:sz w:val="24"/>
          <w:shd w:fill="auto" w:val="clear"/>
        </w:rPr>
        <w:t xml:space="preserve">Adipocyte.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oi.org/10.5281/zenodo.13602"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