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A7085" w14:textId="001D35DC" w:rsidR="009A019A" w:rsidRPr="00516958" w:rsidRDefault="001F58CE" w:rsidP="000C0889">
      <w:pPr>
        <w:pStyle w:val="NormalWeb"/>
        <w:spacing w:before="0" w:beforeAutospacing="0" w:after="0" w:afterAutospacing="0"/>
      </w:pPr>
      <w:r w:rsidRPr="00516958">
        <w:rPr>
          <w:rStyle w:val="Strong"/>
        </w:rPr>
        <w:t>Editorial comments:</w:t>
      </w:r>
      <w:r w:rsidRPr="00516958">
        <w:br/>
        <w:t>Changes to be made by the Author(s):</w:t>
      </w:r>
      <w:r w:rsidRPr="00516958">
        <w:br/>
      </w:r>
    </w:p>
    <w:tbl>
      <w:tblPr>
        <w:tblStyle w:val="TableGrid"/>
        <w:tblW w:w="0" w:type="auto"/>
        <w:tblLook w:val="04A0" w:firstRow="1" w:lastRow="0" w:firstColumn="1" w:lastColumn="0" w:noHBand="0" w:noVBand="1"/>
      </w:tblPr>
      <w:tblGrid>
        <w:gridCol w:w="9351"/>
        <w:gridCol w:w="4394"/>
      </w:tblGrid>
      <w:tr w:rsidR="00516958" w:rsidRPr="00516958" w14:paraId="7B62FDF1" w14:textId="20F484AE" w:rsidTr="00683FB0">
        <w:tc>
          <w:tcPr>
            <w:tcW w:w="9351" w:type="dxa"/>
          </w:tcPr>
          <w:p w14:paraId="29308470" w14:textId="6248F919" w:rsidR="00683FB0" w:rsidRPr="00516958" w:rsidRDefault="00683FB0" w:rsidP="000C0889">
            <w:pPr>
              <w:pStyle w:val="NormalWeb"/>
              <w:spacing w:before="0" w:beforeAutospacing="0"/>
            </w:pPr>
            <w:r w:rsidRPr="00516958">
              <w:t>Comment</w:t>
            </w:r>
          </w:p>
        </w:tc>
        <w:tc>
          <w:tcPr>
            <w:tcW w:w="4394" w:type="dxa"/>
          </w:tcPr>
          <w:p w14:paraId="45557B2B" w14:textId="128FB49F" w:rsidR="00683FB0" w:rsidRPr="00516958" w:rsidRDefault="00683FB0" w:rsidP="000C0889">
            <w:pPr>
              <w:pStyle w:val="NormalWeb"/>
              <w:spacing w:before="0" w:beforeAutospacing="0"/>
            </w:pPr>
            <w:r w:rsidRPr="00516958">
              <w:t>Response</w:t>
            </w:r>
          </w:p>
        </w:tc>
      </w:tr>
      <w:tr w:rsidR="00516958" w:rsidRPr="00516958" w14:paraId="54998ADC" w14:textId="77777777" w:rsidTr="00683FB0">
        <w:tc>
          <w:tcPr>
            <w:tcW w:w="9351" w:type="dxa"/>
          </w:tcPr>
          <w:p w14:paraId="1E93E4BF" w14:textId="0467E844" w:rsidR="00683FB0" w:rsidRPr="00516958" w:rsidRDefault="00683FB0" w:rsidP="000C0889">
            <w:pPr>
              <w:pStyle w:val="NormalWeb"/>
              <w:spacing w:before="0" w:beforeAutospacing="0"/>
            </w:pPr>
            <w:r w:rsidRPr="00516958">
              <w:t>1. Please take this opportunity to thoroughly proofread the manuscript to ensure that there are no spelling or grammar issues. Please use American English.</w:t>
            </w:r>
          </w:p>
        </w:tc>
        <w:tc>
          <w:tcPr>
            <w:tcW w:w="4394" w:type="dxa"/>
          </w:tcPr>
          <w:p w14:paraId="20B4DC12" w14:textId="77777777" w:rsidR="00683FB0" w:rsidRPr="00516958" w:rsidRDefault="00683FB0" w:rsidP="000C0889">
            <w:pPr>
              <w:pStyle w:val="NormalWeb"/>
              <w:spacing w:before="0" w:beforeAutospacing="0" w:after="0" w:afterAutospacing="0"/>
            </w:pPr>
            <w:r w:rsidRPr="00516958">
              <w:t xml:space="preserve">Thank you, we have checked the manuscript as requested and revised as needed. </w:t>
            </w:r>
          </w:p>
          <w:p w14:paraId="2ABB231E" w14:textId="1B622F14" w:rsidR="00683FB0" w:rsidRPr="00516958" w:rsidRDefault="00683FB0" w:rsidP="000C0889">
            <w:pPr>
              <w:pStyle w:val="NormalWeb"/>
              <w:spacing w:before="0" w:beforeAutospacing="0"/>
            </w:pPr>
          </w:p>
        </w:tc>
      </w:tr>
      <w:tr w:rsidR="00516958" w:rsidRPr="00516958" w14:paraId="2C496C22" w14:textId="1CC5AFF4" w:rsidTr="00683FB0">
        <w:tc>
          <w:tcPr>
            <w:tcW w:w="9351" w:type="dxa"/>
          </w:tcPr>
          <w:p w14:paraId="1FB4FC7D" w14:textId="75358DC0" w:rsidR="00683FB0" w:rsidRPr="00516958" w:rsidRDefault="00683FB0" w:rsidP="000C0889">
            <w:pPr>
              <w:pStyle w:val="NormalWeb"/>
              <w:spacing w:before="0" w:beforeAutospacing="0"/>
            </w:pPr>
            <w:r w:rsidRPr="00516958">
              <w:t>2. Please revise and shorten the Introduction to remove some of the background, but include all of the following:</w:t>
            </w:r>
            <w:r w:rsidRPr="00516958">
              <w:br/>
              <w:t>a) A clear statement of the overall goal of this method</w:t>
            </w:r>
            <w:r w:rsidRPr="00516958">
              <w:br/>
              <w:t>b) The rationale behind the development and/or use of this technique</w:t>
            </w:r>
            <w:r w:rsidRPr="00516958">
              <w:br/>
              <w:t>c) The advantages over alternative techniques with applicable references to previous studies</w:t>
            </w:r>
            <w:r w:rsidRPr="00516958">
              <w:br/>
              <w:t>d) A description of the context of the technique in the wider body of literature</w:t>
            </w:r>
            <w:r w:rsidRPr="00516958">
              <w:br/>
              <w:t>e) Information to help readers to determine whether the method is appropriate for their application</w:t>
            </w:r>
            <w:r w:rsidRPr="00516958">
              <w:br/>
            </w:r>
          </w:p>
        </w:tc>
        <w:tc>
          <w:tcPr>
            <w:tcW w:w="4394" w:type="dxa"/>
          </w:tcPr>
          <w:p w14:paraId="7D471DA6" w14:textId="359990A2" w:rsidR="00683FB0" w:rsidRPr="00516958" w:rsidRDefault="00683FB0" w:rsidP="000C0889">
            <w:pPr>
              <w:pStyle w:val="NormalWeb"/>
              <w:spacing w:before="0" w:beforeAutospacing="0"/>
              <w:rPr>
                <w:highlight w:val="yellow"/>
              </w:rPr>
            </w:pPr>
            <w:r w:rsidRPr="00516958">
              <w:t>We have refined the introduction as requested.</w:t>
            </w:r>
          </w:p>
        </w:tc>
      </w:tr>
      <w:tr w:rsidR="00516958" w:rsidRPr="00516958" w14:paraId="6C2BA604" w14:textId="6A43FFDB" w:rsidTr="00683FB0">
        <w:tc>
          <w:tcPr>
            <w:tcW w:w="9351" w:type="dxa"/>
          </w:tcPr>
          <w:p w14:paraId="17C60D86" w14:textId="26D9ABB4" w:rsidR="00683FB0" w:rsidRPr="00516958" w:rsidRDefault="00683FB0" w:rsidP="000C0889">
            <w:pPr>
              <w:pStyle w:val="NormalWeb"/>
              <w:spacing w:before="0" w:beforeAutospacing="0"/>
            </w:pPr>
            <w:r w:rsidRPr="00516958">
              <w:t xml:space="preserve">3. Please include a </w:t>
            </w:r>
            <w:proofErr w:type="gramStart"/>
            <w:r w:rsidRPr="00516958">
              <w:t>one line</w:t>
            </w:r>
            <w:proofErr w:type="gramEnd"/>
            <w:r w:rsidRPr="00516958">
              <w:t xml:space="preserve"> space between each protocol step and then highlight up to 3 pages of protocol text for inclusion in the protocol section of the video. Please ensure you provide </w:t>
            </w:r>
            <w:proofErr w:type="gramStart"/>
            <w:r w:rsidRPr="00516958">
              <w:t>sufficient</w:t>
            </w:r>
            <w:proofErr w:type="gramEnd"/>
            <w:r w:rsidRPr="00516958">
              <w:t xml:space="preserve"> detail to facilitate the filming of the video.</w:t>
            </w:r>
            <w:r w:rsidRPr="00516958">
              <w:br/>
            </w:r>
          </w:p>
        </w:tc>
        <w:tc>
          <w:tcPr>
            <w:tcW w:w="4394" w:type="dxa"/>
          </w:tcPr>
          <w:p w14:paraId="240197DC" w14:textId="19BD8090" w:rsidR="00683FB0" w:rsidRPr="00516958" w:rsidRDefault="00683FB0" w:rsidP="000C0889">
            <w:pPr>
              <w:pStyle w:val="NormalWeb"/>
              <w:spacing w:before="0" w:beforeAutospacing="0"/>
            </w:pPr>
            <w:r w:rsidRPr="00E95A3D">
              <w:t>The spaces have been added and the selected text indicated.</w:t>
            </w:r>
          </w:p>
        </w:tc>
      </w:tr>
      <w:tr w:rsidR="00516958" w:rsidRPr="00516958" w14:paraId="71E4C128" w14:textId="29A3C3B9" w:rsidTr="00683FB0">
        <w:tc>
          <w:tcPr>
            <w:tcW w:w="9351" w:type="dxa"/>
          </w:tcPr>
          <w:p w14:paraId="618CD226" w14:textId="3ABEF5FC" w:rsidR="00683FB0" w:rsidRPr="00516958" w:rsidRDefault="00683FB0" w:rsidP="000C0889">
            <w:pPr>
              <w:pStyle w:val="NormalWeb"/>
              <w:spacing w:before="0" w:beforeAutospacing="0"/>
            </w:pPr>
            <w:r w:rsidRPr="00516958">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516958">
              <w:br/>
            </w:r>
          </w:p>
        </w:tc>
        <w:tc>
          <w:tcPr>
            <w:tcW w:w="4394" w:type="dxa"/>
          </w:tcPr>
          <w:p w14:paraId="257281FF" w14:textId="6AFF2BE5" w:rsidR="00683FB0" w:rsidRPr="00516958" w:rsidRDefault="00683FB0" w:rsidP="000C0889">
            <w:pPr>
              <w:pStyle w:val="NormalWeb"/>
              <w:spacing w:before="0" w:beforeAutospacing="0"/>
            </w:pPr>
            <w:r w:rsidRPr="00516958">
              <w:t>The text has been revised as requested.</w:t>
            </w:r>
          </w:p>
          <w:p w14:paraId="038483D2" w14:textId="729E2DD0" w:rsidR="00683FB0" w:rsidRPr="00516958" w:rsidRDefault="00683FB0" w:rsidP="000C0889">
            <w:pPr>
              <w:pStyle w:val="NormalWeb"/>
              <w:spacing w:before="0" w:beforeAutospacing="0"/>
            </w:pPr>
          </w:p>
          <w:p w14:paraId="7266EED1" w14:textId="5961DA6F" w:rsidR="00683FB0" w:rsidRPr="00516958" w:rsidRDefault="00683FB0" w:rsidP="000C0889">
            <w:pPr>
              <w:pStyle w:val="NormalWeb"/>
              <w:spacing w:before="0" w:beforeAutospacing="0"/>
            </w:pPr>
          </w:p>
        </w:tc>
      </w:tr>
      <w:tr w:rsidR="00516958" w:rsidRPr="00516958" w14:paraId="75087D1D" w14:textId="11E47A28" w:rsidTr="00683FB0">
        <w:tc>
          <w:tcPr>
            <w:tcW w:w="9351" w:type="dxa"/>
          </w:tcPr>
          <w:p w14:paraId="6FD317D6" w14:textId="572B6ACC" w:rsidR="00683FB0" w:rsidRPr="00516958" w:rsidRDefault="00683FB0" w:rsidP="000C0889">
            <w:pPr>
              <w:pStyle w:val="NormalWeb"/>
              <w:spacing w:before="0" w:beforeAutospacing="0" w:after="0" w:afterAutospacing="0"/>
            </w:pPr>
            <w:r w:rsidRPr="00516958">
              <w:t xml:space="preserve">5. </w:t>
            </w:r>
            <w:proofErr w:type="spellStart"/>
            <w:r w:rsidRPr="00516958">
              <w:t>JoVE</w:t>
            </w:r>
            <w:proofErr w:type="spellEnd"/>
            <w:r w:rsidRPr="00516958">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w:t>
            </w:r>
            <w:proofErr w:type="spellStart"/>
            <w:r w:rsidRPr="00516958">
              <w:t>Reagents.For</w:t>
            </w:r>
            <w:proofErr w:type="spellEnd"/>
            <w:r w:rsidRPr="00516958">
              <w:t xml:space="preserve"> example: </w:t>
            </w:r>
            <w:proofErr w:type="spellStart"/>
            <w:r w:rsidRPr="00516958">
              <w:t>ibidi</w:t>
            </w:r>
            <w:proofErr w:type="spellEnd"/>
            <w:r w:rsidRPr="00516958">
              <w:t>, Corning</w:t>
            </w:r>
            <w:r w:rsidRPr="00516958">
              <w:br/>
            </w:r>
          </w:p>
        </w:tc>
        <w:tc>
          <w:tcPr>
            <w:tcW w:w="4394" w:type="dxa"/>
          </w:tcPr>
          <w:p w14:paraId="104653C6" w14:textId="37E43C66" w:rsidR="00683FB0" w:rsidRPr="00516958" w:rsidRDefault="00683FB0" w:rsidP="000C0889">
            <w:pPr>
              <w:pStyle w:val="NormalWeb"/>
              <w:spacing w:before="0" w:beforeAutospacing="0"/>
            </w:pPr>
            <w:r w:rsidRPr="00516958">
              <w:t>The text has been checked and revised as requested. References to the table of materials have been added in place of the commercial language.</w:t>
            </w:r>
          </w:p>
        </w:tc>
      </w:tr>
      <w:tr w:rsidR="00516958" w:rsidRPr="00516958" w14:paraId="5720023B" w14:textId="7BAD64DF" w:rsidTr="00683FB0">
        <w:tc>
          <w:tcPr>
            <w:tcW w:w="9351" w:type="dxa"/>
          </w:tcPr>
          <w:p w14:paraId="61B4A57D" w14:textId="7A9CF0F7" w:rsidR="00683FB0" w:rsidRPr="00516958" w:rsidRDefault="00683FB0" w:rsidP="000C0889">
            <w:pPr>
              <w:pStyle w:val="NormalWeb"/>
              <w:spacing w:before="0" w:beforeAutospacing="0"/>
            </w:pPr>
            <w:r w:rsidRPr="00516958">
              <w:t xml:space="preserve">6. Please note that your protocol will be used to generate the script for the video and must contain everything that you would like shown in the video. Please add more details to your protocol steps. </w:t>
            </w:r>
            <w:r w:rsidRPr="00516958">
              <w:lastRenderedPageBreak/>
              <w:t>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 For the entire protocol, please include enough specifics (with notes indicating what can and was modified and why) and highlight these specifics to allow filming.</w:t>
            </w:r>
            <w:r w:rsidRPr="00516958">
              <w:br/>
            </w:r>
          </w:p>
        </w:tc>
        <w:tc>
          <w:tcPr>
            <w:tcW w:w="4394" w:type="dxa"/>
          </w:tcPr>
          <w:p w14:paraId="6A3D923C" w14:textId="5E467BEB" w:rsidR="00683FB0" w:rsidRPr="00516958" w:rsidRDefault="00683FB0" w:rsidP="00567771">
            <w:pPr>
              <w:pStyle w:val="NormalWeb"/>
              <w:spacing w:before="0" w:beforeAutospacing="0"/>
              <w:rPr>
                <w:highlight w:val="yellow"/>
              </w:rPr>
            </w:pPr>
            <w:r w:rsidRPr="00516958">
              <w:lastRenderedPageBreak/>
              <w:t xml:space="preserve">The text has been checked and revised as requested. </w:t>
            </w:r>
          </w:p>
        </w:tc>
      </w:tr>
      <w:tr w:rsidR="00516958" w:rsidRPr="00516958" w14:paraId="2A1943FE" w14:textId="19CE2717" w:rsidTr="00683FB0">
        <w:tc>
          <w:tcPr>
            <w:tcW w:w="9351" w:type="dxa"/>
          </w:tcPr>
          <w:p w14:paraId="020263A2" w14:textId="0D4BEB11" w:rsidR="00683FB0" w:rsidRPr="00516958" w:rsidRDefault="00683FB0" w:rsidP="000C0889">
            <w:pPr>
              <w:pStyle w:val="NormalWeb"/>
              <w:spacing w:before="0" w:beforeAutospacing="0"/>
            </w:pPr>
            <w:r w:rsidRPr="00516958">
              <w:t>7. For example, in 1.3, please provide details that will allow replication and filming of the video: which ultrasound source do you recommend, which focused source should be used, how do you support the cell compartment well away from the strongest part of the incident field etc.</w:t>
            </w:r>
            <w:r w:rsidRPr="00516958">
              <w:br/>
            </w:r>
          </w:p>
        </w:tc>
        <w:tc>
          <w:tcPr>
            <w:tcW w:w="4394" w:type="dxa"/>
          </w:tcPr>
          <w:p w14:paraId="7B955E4A" w14:textId="77777777" w:rsidR="00683FB0" w:rsidRPr="00516958" w:rsidRDefault="00683FB0" w:rsidP="000C0889">
            <w:pPr>
              <w:pStyle w:val="NormalWeb"/>
              <w:spacing w:before="0" w:beforeAutospacing="0" w:after="0" w:afterAutospacing="0"/>
            </w:pPr>
            <w:r w:rsidRPr="00516958">
              <w:t xml:space="preserve">The text has been checked and revised as requested (but avoiding use of commercial information as above). The reader is now referred to the table of materials for information on the ultrasound </w:t>
            </w:r>
            <w:proofErr w:type="gramStart"/>
            <w:r w:rsidRPr="00516958">
              <w:t>source, and</w:t>
            </w:r>
            <w:proofErr w:type="gramEnd"/>
            <w:r w:rsidRPr="00516958">
              <w:t xml:space="preserve"> is referred to Figs 1(A) and 1(D) for examples of how to hold the cell exposure compartment.</w:t>
            </w:r>
          </w:p>
          <w:p w14:paraId="30B4FB4B" w14:textId="037D5E40" w:rsidR="00683FB0" w:rsidRPr="00516958" w:rsidRDefault="00683FB0" w:rsidP="000C0889">
            <w:pPr>
              <w:pStyle w:val="NormalWeb"/>
              <w:spacing w:before="0" w:beforeAutospacing="0"/>
            </w:pPr>
          </w:p>
        </w:tc>
      </w:tr>
      <w:tr w:rsidR="00516958" w:rsidRPr="00516958" w14:paraId="4E3ABFB8" w14:textId="77777777" w:rsidTr="00683FB0">
        <w:tc>
          <w:tcPr>
            <w:tcW w:w="9351" w:type="dxa"/>
          </w:tcPr>
          <w:p w14:paraId="6C5D769B" w14:textId="076DF96A" w:rsidR="00683FB0" w:rsidRPr="00516958" w:rsidRDefault="00683FB0" w:rsidP="000C0889">
            <w:pPr>
              <w:pStyle w:val="NormalWeb"/>
              <w:spacing w:before="0" w:beforeAutospacing="0"/>
            </w:pPr>
            <w:r w:rsidRPr="00516958">
              <w:t>8. 1.4: which acoustic absorber do you use, what should the temperature of the chamber and aquarium heater be?</w:t>
            </w:r>
          </w:p>
        </w:tc>
        <w:tc>
          <w:tcPr>
            <w:tcW w:w="4394" w:type="dxa"/>
          </w:tcPr>
          <w:p w14:paraId="05B5F219" w14:textId="061B46F8" w:rsidR="00683FB0" w:rsidRPr="00516958" w:rsidRDefault="00683FB0" w:rsidP="000C0889">
            <w:pPr>
              <w:pStyle w:val="NormalWeb"/>
              <w:spacing w:before="0" w:beforeAutospacing="0" w:after="0" w:afterAutospacing="0"/>
            </w:pPr>
            <w:r w:rsidRPr="00516958">
              <w:t xml:space="preserve">The absorber and heater information has been added to the table of materials.  </w:t>
            </w:r>
          </w:p>
          <w:p w14:paraId="589C0F85" w14:textId="49E38496" w:rsidR="00683FB0" w:rsidRPr="00516958" w:rsidRDefault="00683FB0" w:rsidP="000C0889">
            <w:pPr>
              <w:ind w:left="284"/>
              <w:jc w:val="both"/>
            </w:pPr>
          </w:p>
        </w:tc>
      </w:tr>
      <w:tr w:rsidR="00516958" w:rsidRPr="00516958" w14:paraId="60BD4867" w14:textId="77777777" w:rsidTr="00683FB0">
        <w:tc>
          <w:tcPr>
            <w:tcW w:w="9351" w:type="dxa"/>
          </w:tcPr>
          <w:p w14:paraId="0BEDC05D" w14:textId="3F599D5E" w:rsidR="00683FB0" w:rsidRPr="00516958" w:rsidRDefault="00683FB0" w:rsidP="000C0889">
            <w:pPr>
              <w:pStyle w:val="NormalWeb"/>
              <w:spacing w:before="0" w:beforeAutospacing="0"/>
            </w:pPr>
            <w:r w:rsidRPr="00516958">
              <w:t>9. Please remove the embedded Table from the manuscript. All tables should be uploaded separately to your Editorial Manager account in the form of an .</w:t>
            </w:r>
            <w:proofErr w:type="spellStart"/>
            <w:r w:rsidRPr="00516958">
              <w:t>xls</w:t>
            </w:r>
            <w:proofErr w:type="spellEnd"/>
            <w:r w:rsidRPr="00516958">
              <w:t xml:space="preserve"> or .xlsx file. Each table must be accompanied by a title and a description after the Representative Results of the manuscript text.</w:t>
            </w:r>
            <w:r w:rsidRPr="00516958">
              <w:br/>
            </w:r>
          </w:p>
        </w:tc>
        <w:tc>
          <w:tcPr>
            <w:tcW w:w="4394" w:type="dxa"/>
          </w:tcPr>
          <w:p w14:paraId="3AF9697B" w14:textId="62DE1CBE" w:rsidR="00683FB0" w:rsidRPr="00516958" w:rsidRDefault="00683FB0" w:rsidP="000C0889">
            <w:pPr>
              <w:pStyle w:val="NormalWeb"/>
              <w:spacing w:before="0" w:beforeAutospacing="0" w:after="0" w:afterAutospacing="0"/>
            </w:pPr>
            <w:r w:rsidRPr="00516958">
              <w:t>The table has been removed and uploaded as a separate file with its title and description.</w:t>
            </w:r>
          </w:p>
        </w:tc>
      </w:tr>
      <w:tr w:rsidR="00516958" w:rsidRPr="00516958" w14:paraId="797C96CC" w14:textId="77777777" w:rsidTr="00683FB0">
        <w:tc>
          <w:tcPr>
            <w:tcW w:w="9351" w:type="dxa"/>
          </w:tcPr>
          <w:p w14:paraId="688C8296" w14:textId="50F262AA" w:rsidR="00683FB0" w:rsidRPr="00516958" w:rsidRDefault="00683FB0" w:rsidP="000C0889">
            <w:pPr>
              <w:pStyle w:val="NormalWeb"/>
              <w:spacing w:before="0" w:beforeAutospacing="0"/>
            </w:pPr>
            <w:r w:rsidRPr="00516958">
              <w:t>10. Please ensure that the references appear as the following: [</w:t>
            </w:r>
            <w:proofErr w:type="spellStart"/>
            <w:r w:rsidRPr="00516958">
              <w:t>Lastname</w:t>
            </w:r>
            <w:proofErr w:type="spellEnd"/>
            <w:r w:rsidRPr="00516958">
              <w:t xml:space="preserve">, F.I., </w:t>
            </w:r>
            <w:proofErr w:type="spellStart"/>
            <w:r w:rsidRPr="00516958">
              <w:t>LastName</w:t>
            </w:r>
            <w:proofErr w:type="spellEnd"/>
            <w:r w:rsidRPr="00516958">
              <w:t xml:space="preserve">, F.I., </w:t>
            </w:r>
            <w:proofErr w:type="spellStart"/>
            <w:r w:rsidRPr="00516958">
              <w:t>LastName</w:t>
            </w:r>
            <w:proofErr w:type="spellEnd"/>
            <w:r w:rsidRPr="00516958">
              <w:t xml:space="preserve">, F.I. Article Title. Source. Volume (Issue), </w:t>
            </w:r>
            <w:proofErr w:type="spellStart"/>
            <w:r w:rsidRPr="00516958">
              <w:t>FirstPage</w:t>
            </w:r>
            <w:proofErr w:type="spellEnd"/>
            <w:r w:rsidRPr="00516958">
              <w:t>–</w:t>
            </w:r>
            <w:proofErr w:type="spellStart"/>
            <w:r w:rsidRPr="00516958">
              <w:t>LastPage</w:t>
            </w:r>
            <w:proofErr w:type="spellEnd"/>
            <w:r w:rsidRPr="00516958">
              <w:t xml:space="preserve"> (YEAR).] For more than 6 authors, list only the first author then et al. Please do not abbreviate journal names.</w:t>
            </w:r>
            <w:r w:rsidRPr="00516958">
              <w:br/>
            </w:r>
          </w:p>
        </w:tc>
        <w:tc>
          <w:tcPr>
            <w:tcW w:w="4394" w:type="dxa"/>
          </w:tcPr>
          <w:p w14:paraId="717A97D8" w14:textId="0492F768" w:rsidR="00683FB0" w:rsidRPr="00516958" w:rsidRDefault="00683FB0" w:rsidP="000C0889">
            <w:pPr>
              <w:pStyle w:val="NormalWeb"/>
              <w:spacing w:before="0" w:beforeAutospacing="0" w:after="0" w:afterAutospacing="0"/>
            </w:pPr>
            <w:r w:rsidRPr="00516958">
              <w:t>The references have been checked and corrected where necessary.</w:t>
            </w:r>
          </w:p>
        </w:tc>
      </w:tr>
      <w:tr w:rsidR="00516958" w:rsidRPr="00516958" w14:paraId="15A700CA" w14:textId="67128BD0" w:rsidTr="00683FB0">
        <w:tc>
          <w:tcPr>
            <w:tcW w:w="9351" w:type="dxa"/>
          </w:tcPr>
          <w:p w14:paraId="2652264A" w14:textId="3EA80F6A" w:rsidR="00683FB0" w:rsidRPr="00516958" w:rsidRDefault="00683FB0" w:rsidP="000C0889">
            <w:pPr>
              <w:pStyle w:val="NormalWeb"/>
              <w:spacing w:before="0" w:beforeAutospacing="0"/>
            </w:pPr>
            <w:r w:rsidRPr="00516958">
              <w:t>11. Please sort the Materials Table alphabetically by the name of the material.</w:t>
            </w:r>
            <w:r w:rsidRPr="00516958">
              <w:br/>
            </w:r>
          </w:p>
        </w:tc>
        <w:tc>
          <w:tcPr>
            <w:tcW w:w="4394" w:type="dxa"/>
          </w:tcPr>
          <w:p w14:paraId="63C5CADA" w14:textId="5FF53570" w:rsidR="00683FB0" w:rsidRPr="00516958" w:rsidRDefault="00683FB0" w:rsidP="000C0889">
            <w:pPr>
              <w:pStyle w:val="NormalWeb"/>
              <w:spacing w:before="0" w:beforeAutospacing="0"/>
            </w:pPr>
            <w:r w:rsidRPr="00516958">
              <w:t>The table has been revised as requested.</w:t>
            </w:r>
          </w:p>
          <w:p w14:paraId="3893B582" w14:textId="3105F882" w:rsidR="00683FB0" w:rsidRPr="00516958" w:rsidRDefault="00683FB0" w:rsidP="000C0889">
            <w:pPr>
              <w:pStyle w:val="NormalWeb"/>
              <w:spacing w:before="0" w:beforeAutospacing="0"/>
            </w:pPr>
          </w:p>
        </w:tc>
      </w:tr>
    </w:tbl>
    <w:p w14:paraId="7649EED5" w14:textId="77777777" w:rsidR="00567771" w:rsidRDefault="00567771" w:rsidP="000C0889">
      <w:pPr>
        <w:pStyle w:val="NormalWeb"/>
        <w:spacing w:before="0" w:beforeAutospacing="0" w:after="0" w:afterAutospacing="0"/>
        <w:rPr>
          <w:rStyle w:val="Strong"/>
        </w:rPr>
      </w:pPr>
    </w:p>
    <w:p w14:paraId="28D6C862" w14:textId="77777777" w:rsidR="00567771" w:rsidRDefault="00567771" w:rsidP="000C0889">
      <w:pPr>
        <w:pStyle w:val="NormalWeb"/>
        <w:spacing w:before="0" w:beforeAutospacing="0" w:after="0" w:afterAutospacing="0"/>
        <w:rPr>
          <w:rStyle w:val="Strong"/>
        </w:rPr>
      </w:pPr>
    </w:p>
    <w:p w14:paraId="3AFE58EA" w14:textId="0D5C4BDB" w:rsidR="009A019A" w:rsidRPr="00516958" w:rsidRDefault="001F58CE" w:rsidP="000C0889">
      <w:pPr>
        <w:pStyle w:val="NormalWeb"/>
        <w:spacing w:before="0" w:beforeAutospacing="0" w:after="0" w:afterAutospacing="0"/>
      </w:pPr>
      <w:r w:rsidRPr="00516958">
        <w:rPr>
          <w:rStyle w:val="Strong"/>
        </w:rPr>
        <w:lastRenderedPageBreak/>
        <w:t>Reviewers' comments:</w:t>
      </w:r>
      <w:r w:rsidRPr="00516958">
        <w:br/>
      </w:r>
      <w:r w:rsidRPr="00516958">
        <w:rPr>
          <w:b/>
          <w:bCs/>
        </w:rPr>
        <w:t>Reviewer #1:</w:t>
      </w:r>
      <w:r w:rsidRPr="00516958">
        <w:br/>
        <w:t>Manuscript Summary:</w:t>
      </w:r>
      <w:r w:rsidRPr="00516958">
        <w:br/>
        <w:t xml:space="preserve">The authors identified the gap that there is considerable variation in the experimental protocol for generating cavitation and monitoring it. This variation can come from cavitation agents used, incident </w:t>
      </w:r>
      <w:proofErr w:type="gramStart"/>
      <w:r w:rsidRPr="00516958">
        <w:t>field ,</w:t>
      </w:r>
      <w:proofErr w:type="gramEnd"/>
      <w:r w:rsidRPr="00516958">
        <w:t xml:space="preserve"> apparatus used, and type of bubble </w:t>
      </w:r>
      <w:proofErr w:type="spellStart"/>
      <w:r w:rsidRPr="00516958">
        <w:t>behavior</w:t>
      </w:r>
      <w:proofErr w:type="spellEnd"/>
      <w:r w:rsidRPr="00516958">
        <w:t xml:space="preserve"> observed. The authors have discussed a generalized protocol which can be tuned to suit specific needs of the reader. Experimental practices to increase reproducibility and ease of use have been outlined. Details on how to choose monitoring equipment and data processing parameters for an intended application are given. A specific discussion on the protocol to use author's customized equipment for cavitating microbubbles in cell cultures is also included. The results shown give a fair idea of the equipment, the various types of bubble </w:t>
      </w:r>
      <w:proofErr w:type="spellStart"/>
      <w:r w:rsidRPr="00516958">
        <w:t>behavior</w:t>
      </w:r>
      <w:proofErr w:type="spellEnd"/>
      <w:r w:rsidRPr="00516958">
        <w:t>, and some critical components that play a role in cavitation analysis. The authors have discussed critical steps, limitations, and future applications of this protocol in the end.</w:t>
      </w:r>
      <w:r w:rsidRPr="00516958">
        <w:br/>
      </w:r>
    </w:p>
    <w:tbl>
      <w:tblPr>
        <w:tblStyle w:val="TableGrid"/>
        <w:tblW w:w="0" w:type="auto"/>
        <w:tblLook w:val="04A0" w:firstRow="1" w:lastRow="0" w:firstColumn="1" w:lastColumn="0" w:noHBand="0" w:noVBand="1"/>
      </w:tblPr>
      <w:tblGrid>
        <w:gridCol w:w="6374"/>
        <w:gridCol w:w="7371"/>
      </w:tblGrid>
      <w:tr w:rsidR="00516958" w:rsidRPr="00516958" w14:paraId="06FE5236" w14:textId="77777777" w:rsidTr="00FC650F">
        <w:tc>
          <w:tcPr>
            <w:tcW w:w="6374" w:type="dxa"/>
          </w:tcPr>
          <w:p w14:paraId="4AA5D728" w14:textId="77777777" w:rsidR="000C0889" w:rsidRPr="00516958" w:rsidRDefault="000C0889" w:rsidP="000C0889">
            <w:pPr>
              <w:pStyle w:val="NormalWeb"/>
              <w:spacing w:before="0" w:beforeAutospacing="0"/>
            </w:pPr>
            <w:r w:rsidRPr="00516958">
              <w:t>Comment</w:t>
            </w:r>
          </w:p>
        </w:tc>
        <w:tc>
          <w:tcPr>
            <w:tcW w:w="7371" w:type="dxa"/>
          </w:tcPr>
          <w:p w14:paraId="573C04AD" w14:textId="77777777" w:rsidR="000C0889" w:rsidRPr="00516958" w:rsidRDefault="000C0889" w:rsidP="000C0889">
            <w:pPr>
              <w:pStyle w:val="NormalWeb"/>
              <w:spacing w:before="0" w:beforeAutospacing="0"/>
            </w:pPr>
            <w:r w:rsidRPr="00516958">
              <w:t>Response</w:t>
            </w:r>
          </w:p>
        </w:tc>
      </w:tr>
      <w:tr w:rsidR="00516958" w:rsidRPr="00516958" w14:paraId="60DB6415" w14:textId="77777777" w:rsidTr="00FC650F">
        <w:tc>
          <w:tcPr>
            <w:tcW w:w="6374" w:type="dxa"/>
          </w:tcPr>
          <w:p w14:paraId="1C32AA20" w14:textId="77777777" w:rsidR="000C0889" w:rsidRPr="00516958" w:rsidRDefault="000C0889" w:rsidP="000C0889">
            <w:pPr>
              <w:pStyle w:val="NormalWeb"/>
              <w:spacing w:before="0" w:beforeAutospacing="0" w:after="0" w:afterAutospacing="0"/>
            </w:pPr>
            <w:r w:rsidRPr="00516958">
              <w:t>1. The authors pointed out that there is a wide variation of exposure parameters for achieving successful cavitation and this protocol aims to address that. However, in the protocol there is no discussion on what the best acoustic parameters are for achieving successful cavitation nor a discussion on how to find them. They may also vary with respect to different cavitation agents. A discussion on these aspects may further aid the usability of this protocol.</w:t>
            </w:r>
          </w:p>
          <w:p w14:paraId="1A7F6048" w14:textId="6B544D9F" w:rsidR="000C0889" w:rsidRPr="00516958" w:rsidRDefault="000C0889" w:rsidP="000C0889">
            <w:pPr>
              <w:pStyle w:val="NormalWeb"/>
              <w:spacing w:before="0" w:beforeAutospacing="0"/>
            </w:pPr>
          </w:p>
        </w:tc>
        <w:tc>
          <w:tcPr>
            <w:tcW w:w="7371" w:type="dxa"/>
          </w:tcPr>
          <w:p w14:paraId="43B76A8B" w14:textId="64E6C369" w:rsidR="000C0889" w:rsidRPr="0056572E" w:rsidRDefault="000C0889" w:rsidP="000C0889">
            <w:pPr>
              <w:pStyle w:val="NormalWeb"/>
              <w:spacing w:before="0" w:beforeAutospacing="0"/>
            </w:pPr>
            <w:r w:rsidRPr="0056572E">
              <w:t>Thank you, this is a very good point</w:t>
            </w:r>
            <w:r w:rsidR="00A3274B" w:rsidRPr="0056572E">
              <w:t>. The</w:t>
            </w:r>
            <w:r w:rsidR="00F658C9" w:rsidRPr="0056572E">
              <w:t xml:space="preserve"> aim of the paper is to present a protocol </w:t>
            </w:r>
            <w:r w:rsidR="00CA2325" w:rsidRPr="0056572E">
              <w:t xml:space="preserve">that is suitable for a wide range of therapeutic ultrasound studies and we have therefore deliberately avoided prescribing a specific set of </w:t>
            </w:r>
            <w:r w:rsidR="002D1151" w:rsidRPr="0056572E">
              <w:t>exposure parameters.</w:t>
            </w:r>
            <w:r w:rsidR="00137916" w:rsidRPr="0056572E">
              <w:t xml:space="preserve"> The methodology for establishing that set of parameters, however, should be mentioned and </w:t>
            </w:r>
            <w:r w:rsidRPr="0056572E">
              <w:t xml:space="preserve">we have revised the </w:t>
            </w:r>
            <w:r w:rsidR="00BC3C44" w:rsidRPr="0056572E">
              <w:t>discussion</w:t>
            </w:r>
            <w:r w:rsidRPr="0056572E">
              <w:t xml:space="preserve"> to address this point as follows:</w:t>
            </w:r>
          </w:p>
          <w:p w14:paraId="228516AF" w14:textId="3E9043E5" w:rsidR="000C0889" w:rsidRDefault="0056572E" w:rsidP="000C0889">
            <w:pPr>
              <w:pStyle w:val="NormalWeb"/>
              <w:spacing w:before="0" w:beforeAutospacing="0"/>
              <w:rPr>
                <w:highlight w:val="yellow"/>
              </w:rPr>
            </w:pPr>
            <w:r w:rsidRPr="00FC650F">
              <w:t>“</w:t>
            </w:r>
            <w:r w:rsidR="006E45D0" w:rsidRPr="00FC650F">
              <w:t>The range of parameters that should be explored for a particular experiment</w:t>
            </w:r>
            <w:r w:rsidR="006E45D0" w:rsidRPr="006E45D0">
              <w:t xml:space="preserve"> will depend upon the application (desired bio-effect, cell type, depth of target tissue if in vivo etc.) and the nature of any cavitation agent being used. Given the large number of variables (US frequency, pressure amplitude, pulse length, pulse repetition frequency etc.) fully exploring the whole parameter space is unlikely to be practicable. An advantage of the proposed protocol is that it enables some bounds on this parameter space to be quickly established. For example, it enables determination of the minimum pressure at which a cavitation signal is generated; the maximum pressure or pulse length that can be used before cell detachment/death occurs; the pressure at which fractional harmonics or broadband noise are produced. It is recommended that such a set of scoping measurements be carried out as a first step in any study.</w:t>
            </w:r>
            <w:r w:rsidR="00FC650F">
              <w:t>”</w:t>
            </w:r>
          </w:p>
          <w:p w14:paraId="239D5E4F" w14:textId="03E5D0BA" w:rsidR="0056572E" w:rsidRPr="00516958" w:rsidRDefault="0056572E" w:rsidP="000C0889">
            <w:pPr>
              <w:pStyle w:val="NormalWeb"/>
              <w:spacing w:before="0" w:beforeAutospacing="0"/>
              <w:rPr>
                <w:highlight w:val="yellow"/>
              </w:rPr>
            </w:pPr>
          </w:p>
        </w:tc>
      </w:tr>
      <w:tr w:rsidR="00516958" w:rsidRPr="00516958" w14:paraId="7AACF70A" w14:textId="77777777" w:rsidTr="00FC650F">
        <w:tc>
          <w:tcPr>
            <w:tcW w:w="6374" w:type="dxa"/>
          </w:tcPr>
          <w:p w14:paraId="1084E073" w14:textId="04D684B1" w:rsidR="000C0889" w:rsidRPr="00516958" w:rsidRDefault="000C0889" w:rsidP="000C0889">
            <w:pPr>
              <w:pStyle w:val="NormalWeb"/>
              <w:spacing w:before="0" w:beforeAutospacing="0"/>
            </w:pPr>
            <w:r w:rsidRPr="00516958">
              <w:lastRenderedPageBreak/>
              <w:t>1. In line 167, perhaps the author is talking about Fig. 1(C) rather than 1(D) as it is difficult to visualize any holes on the lid in Fig. 1(D). Labelling these holes in the corresponding figure may assist in better visualization.</w:t>
            </w:r>
          </w:p>
        </w:tc>
        <w:tc>
          <w:tcPr>
            <w:tcW w:w="7371" w:type="dxa"/>
          </w:tcPr>
          <w:p w14:paraId="637DF713" w14:textId="09803090" w:rsidR="000C0889" w:rsidRPr="00516958" w:rsidRDefault="000C0889" w:rsidP="000C0889">
            <w:pPr>
              <w:pStyle w:val="NormalWeb"/>
              <w:spacing w:before="0" w:beforeAutospacing="0"/>
            </w:pPr>
            <w:r w:rsidRPr="00516958">
              <w:t>Thank you, we have corrected the text to reference “Fig. 1(C)”. That sub-figure already identifies the filling ports. The revised section is:</w:t>
            </w:r>
          </w:p>
          <w:p w14:paraId="035E7614" w14:textId="41AF9FA7" w:rsidR="000C0889" w:rsidRPr="00516958" w:rsidRDefault="000C0889" w:rsidP="000C0889">
            <w:pPr>
              <w:pStyle w:val="NormalWeb"/>
              <w:spacing w:before="0" w:beforeAutospacing="0" w:after="0" w:afterAutospacing="0"/>
            </w:pPr>
            <w:r w:rsidRPr="00516958">
              <w:rPr>
                <w:rFonts w:eastAsia="Calibri"/>
                <w:lang w:val="en-US"/>
              </w:rPr>
              <w:t xml:space="preserve">1.1.2.1. The SAT2 cell exposure compartment is formed by press fitting a flexible polymer lid over the </w:t>
            </w:r>
            <w:r w:rsidRPr="00516958">
              <w:rPr>
                <w:rFonts w:ascii="Symbol" w:eastAsia="Symbol" w:hAnsi="Symbol" w:cs="Symbol"/>
                <w:lang w:val="en-US"/>
              </w:rPr>
              <w:t></w:t>
            </w:r>
            <w:r w:rsidRPr="00516958">
              <w:rPr>
                <w:rFonts w:eastAsia="Calibri"/>
                <w:lang w:val="en-US"/>
              </w:rPr>
              <w:t xml:space="preserve">-dish (Carugo </w:t>
            </w:r>
            <w:r w:rsidRPr="00516958">
              <w:rPr>
                <w:rFonts w:eastAsia="Calibri"/>
                <w:i/>
                <w:iCs/>
                <w:lang w:val="en-US"/>
              </w:rPr>
              <w:t>et al.</w:t>
            </w:r>
            <w:r w:rsidRPr="00516958">
              <w:rPr>
                <w:rFonts w:eastAsia="Calibri"/>
                <w:lang w:val="en-US"/>
              </w:rPr>
              <w:t xml:space="preserve"> 2015). As seen in Figure 1(</w:t>
            </w:r>
            <w:r w:rsidRPr="00516958">
              <w:rPr>
                <w:rFonts w:eastAsia="Calibri"/>
                <w:strike/>
                <w:lang w:val="en-US"/>
              </w:rPr>
              <w:t>D</w:t>
            </w:r>
            <w:r w:rsidRPr="00516958">
              <w:rPr>
                <w:rFonts w:eastAsia="Calibri"/>
                <w:lang w:val="en-US"/>
              </w:rPr>
              <w:t xml:space="preserve">C), the lid has a pair of 1.2 mm diameter holes that allow filling the compartment with an 18g blunt needle syringe. After filling, these filling </w:t>
            </w:r>
            <w:proofErr w:type="spellStart"/>
            <w:r w:rsidRPr="00516958">
              <w:rPr>
                <w:rFonts w:eastAsia="Calibri"/>
                <w:lang w:val="en-US"/>
              </w:rPr>
              <w:t>ports</w:t>
            </w:r>
            <w:r w:rsidRPr="00516958">
              <w:rPr>
                <w:rFonts w:eastAsia="Calibri"/>
                <w:strike/>
                <w:lang w:val="en-US"/>
              </w:rPr>
              <w:t>holes</w:t>
            </w:r>
            <w:proofErr w:type="spellEnd"/>
            <w:r w:rsidRPr="00516958">
              <w:rPr>
                <w:rFonts w:eastAsia="Calibri"/>
                <w:lang w:val="en-US"/>
              </w:rPr>
              <w:t xml:space="preserve"> are sealed with short plastic rods.</w:t>
            </w:r>
          </w:p>
          <w:p w14:paraId="54A36309" w14:textId="7875AF89" w:rsidR="000C0889" w:rsidRPr="00516958" w:rsidRDefault="000C0889" w:rsidP="000C0889">
            <w:pPr>
              <w:pStyle w:val="NormalWeb"/>
              <w:spacing w:before="0" w:beforeAutospacing="0"/>
            </w:pPr>
          </w:p>
        </w:tc>
      </w:tr>
      <w:tr w:rsidR="00516958" w:rsidRPr="00516958" w14:paraId="1909BD43" w14:textId="77777777" w:rsidTr="00FC650F">
        <w:tc>
          <w:tcPr>
            <w:tcW w:w="6374" w:type="dxa"/>
          </w:tcPr>
          <w:p w14:paraId="024381B9" w14:textId="77777777" w:rsidR="000C0889" w:rsidRPr="00516958" w:rsidRDefault="000C0889" w:rsidP="000C0889">
            <w:pPr>
              <w:pStyle w:val="NormalWeb"/>
              <w:spacing w:before="0" w:beforeAutospacing="0"/>
            </w:pPr>
            <w:r w:rsidRPr="00516958">
              <w:t>2. In line 244, a reference for the formulation would further aid the readers to know the details of the derivation of the formulation</w:t>
            </w:r>
          </w:p>
          <w:p w14:paraId="13298E89" w14:textId="5B0C4F1A" w:rsidR="000C0889" w:rsidRPr="00516958" w:rsidRDefault="000C0889" w:rsidP="000C0889">
            <w:pPr>
              <w:pStyle w:val="NormalWeb"/>
              <w:spacing w:before="0" w:beforeAutospacing="0"/>
            </w:pPr>
          </w:p>
        </w:tc>
        <w:tc>
          <w:tcPr>
            <w:tcW w:w="7371" w:type="dxa"/>
          </w:tcPr>
          <w:p w14:paraId="3C4DCDE0" w14:textId="40450A1D" w:rsidR="000C0889" w:rsidRPr="00516958" w:rsidRDefault="000C0889" w:rsidP="000C0889">
            <w:pPr>
              <w:pStyle w:val="NormalWeb"/>
              <w:spacing w:before="0" w:beforeAutospacing="0"/>
            </w:pPr>
            <w:r w:rsidRPr="00516958">
              <w:t>Thank you, this has been added</w:t>
            </w:r>
          </w:p>
        </w:tc>
      </w:tr>
      <w:tr w:rsidR="00516958" w:rsidRPr="00516958" w14:paraId="51E0CFD5" w14:textId="77777777" w:rsidTr="00FC650F">
        <w:tc>
          <w:tcPr>
            <w:tcW w:w="6374" w:type="dxa"/>
          </w:tcPr>
          <w:p w14:paraId="5534862D" w14:textId="77777777" w:rsidR="000C0889" w:rsidRPr="00516958" w:rsidRDefault="000C0889" w:rsidP="000C0889">
            <w:pPr>
              <w:pStyle w:val="NormalWeb"/>
              <w:spacing w:before="0" w:beforeAutospacing="0"/>
            </w:pPr>
            <w:r w:rsidRPr="00516958">
              <w:t>3. In Line 327, a reference for providing the details of the welch method would be helpful for the readers.</w:t>
            </w:r>
          </w:p>
          <w:p w14:paraId="183414DA" w14:textId="12AEC126" w:rsidR="000C0889" w:rsidRPr="00516958" w:rsidRDefault="000C0889" w:rsidP="000C0889">
            <w:pPr>
              <w:pStyle w:val="NormalWeb"/>
              <w:spacing w:before="0" w:beforeAutospacing="0"/>
            </w:pPr>
          </w:p>
        </w:tc>
        <w:tc>
          <w:tcPr>
            <w:tcW w:w="7371" w:type="dxa"/>
          </w:tcPr>
          <w:p w14:paraId="2110B1CF" w14:textId="10327A16" w:rsidR="000C0889" w:rsidRPr="00516958" w:rsidRDefault="000C0889" w:rsidP="000C0889">
            <w:pPr>
              <w:pStyle w:val="NormalWeb"/>
              <w:spacing w:before="0" w:beforeAutospacing="0"/>
            </w:pPr>
            <w:r w:rsidRPr="00516958">
              <w:t>Thank you, this has been added</w:t>
            </w:r>
          </w:p>
        </w:tc>
      </w:tr>
      <w:tr w:rsidR="00516958" w:rsidRPr="00516958" w14:paraId="0D75DA39" w14:textId="77777777" w:rsidTr="00FC650F">
        <w:tc>
          <w:tcPr>
            <w:tcW w:w="6374" w:type="dxa"/>
          </w:tcPr>
          <w:p w14:paraId="04E45F94" w14:textId="15D3B338" w:rsidR="000C0889" w:rsidRPr="00516958" w:rsidRDefault="000C0889" w:rsidP="000C0889">
            <w:pPr>
              <w:pStyle w:val="NormalWeb"/>
              <w:spacing w:before="0" w:beforeAutospacing="0"/>
            </w:pPr>
            <w:r w:rsidRPr="00516958">
              <w:t>4. For point 2.2.4.1 and 2.2.4.2, a detail that can further aid data processing can be to mention an optimum size of frequency bins that one should use for ultraharmonic and harmonic frequencies.</w:t>
            </w:r>
          </w:p>
        </w:tc>
        <w:tc>
          <w:tcPr>
            <w:tcW w:w="7371" w:type="dxa"/>
          </w:tcPr>
          <w:p w14:paraId="2F31BE31" w14:textId="38AE65B8" w:rsidR="000C0889" w:rsidRPr="00516958" w:rsidRDefault="000C0889" w:rsidP="000C0889">
            <w:pPr>
              <w:pStyle w:val="NormalWeb"/>
              <w:spacing w:before="0" w:beforeAutospacing="0"/>
            </w:pPr>
            <w:r w:rsidRPr="00516958">
              <w:t>Thank you, we have added a clarifying example to 2.2.3.1. We do also already provide a recommendation for how to set the transform length for resolution of spectral features.</w:t>
            </w:r>
          </w:p>
          <w:p w14:paraId="39AA4FDC" w14:textId="433F76FB" w:rsidR="000C0889" w:rsidRPr="00516958" w:rsidRDefault="000C0889" w:rsidP="000C0889">
            <w:pPr>
              <w:jc w:val="both"/>
              <w:rPr>
                <w:rFonts w:ascii="Calibri" w:eastAsia="Calibri" w:hAnsi="Calibri" w:cs="Calibri"/>
                <w:lang w:val="en-US"/>
              </w:rPr>
            </w:pPr>
            <w:r w:rsidRPr="00516958">
              <w:rPr>
                <w:rFonts w:ascii="Calibri" w:eastAsia="Calibri" w:hAnsi="Calibri" w:cs="Calibri"/>
                <w:lang w:val="en-US"/>
              </w:rPr>
              <w:t xml:space="preserve">“For the example of a 1 MHz fundamental sampled at 50 </w:t>
            </w:r>
            <w:proofErr w:type="gramStart"/>
            <w:r w:rsidRPr="00516958">
              <w:rPr>
                <w:rFonts w:ascii="Calibri" w:eastAsia="Calibri" w:hAnsi="Calibri" w:cs="Calibri"/>
                <w:lang w:val="en-US"/>
              </w:rPr>
              <w:t xml:space="preserve">MHz,  </w:t>
            </w:r>
            <w:proofErr w:type="spellStart"/>
            <w:r w:rsidRPr="00516958">
              <w:rPr>
                <w:rFonts w:ascii="Calibri" w:eastAsia="Calibri" w:hAnsi="Calibri" w:cs="Calibri"/>
                <w:lang w:val="en-US"/>
              </w:rPr>
              <w:t>Nft</w:t>
            </w:r>
            <w:proofErr w:type="spellEnd"/>
            <w:proofErr w:type="gramEnd"/>
            <w:r w:rsidRPr="00516958">
              <w:rPr>
                <w:rFonts w:ascii="Calibri" w:eastAsia="Calibri" w:hAnsi="Calibri" w:cs="Calibri"/>
                <w:lang w:val="en-US"/>
              </w:rPr>
              <w:t xml:space="preserve"> = 2500 and the bin width is 0.02 MHz.”</w:t>
            </w:r>
          </w:p>
          <w:p w14:paraId="48335614" w14:textId="4FC0CFB0" w:rsidR="000C0889" w:rsidRPr="00516958" w:rsidRDefault="000C0889" w:rsidP="000C0889">
            <w:pPr>
              <w:pStyle w:val="NormalWeb"/>
              <w:spacing w:before="0" w:beforeAutospacing="0"/>
            </w:pPr>
          </w:p>
        </w:tc>
      </w:tr>
      <w:tr w:rsidR="00516958" w:rsidRPr="00516958" w14:paraId="3799F35B" w14:textId="77777777" w:rsidTr="00FC650F">
        <w:tc>
          <w:tcPr>
            <w:tcW w:w="6374" w:type="dxa"/>
          </w:tcPr>
          <w:p w14:paraId="3B7C5195" w14:textId="758F39F1" w:rsidR="000C0889" w:rsidRPr="00516958" w:rsidRDefault="000C0889" w:rsidP="000C0889">
            <w:pPr>
              <w:pStyle w:val="NormalWeb"/>
              <w:spacing w:before="0" w:beforeAutospacing="0"/>
            </w:pPr>
            <w:r w:rsidRPr="00516958">
              <w:t>5. For point 3.2.2, how large is the largest gauge needle. It may be helpful to provide a maximum or a minimum limit.</w:t>
            </w:r>
            <w:r w:rsidRPr="00516958">
              <w:br/>
            </w:r>
          </w:p>
        </w:tc>
        <w:tc>
          <w:tcPr>
            <w:tcW w:w="7371" w:type="dxa"/>
          </w:tcPr>
          <w:p w14:paraId="2B5295A6" w14:textId="774A45E5" w:rsidR="000C0889" w:rsidRPr="00516958" w:rsidRDefault="000C0889" w:rsidP="000C0889">
            <w:pPr>
              <w:pStyle w:val="NormalWeb"/>
              <w:spacing w:before="0" w:beforeAutospacing="0"/>
              <w:rPr>
                <w:rFonts w:eastAsia="Calibri"/>
                <w:lang w:val="en-US"/>
              </w:rPr>
            </w:pPr>
            <w:r w:rsidRPr="00516958">
              <w:t xml:space="preserve">Thank you, this has been added together with references to previous studies on microbubble destruction and the role of needle gauge. </w:t>
            </w:r>
          </w:p>
        </w:tc>
      </w:tr>
    </w:tbl>
    <w:p w14:paraId="60210C0A" w14:textId="77777777" w:rsidR="00CC345D" w:rsidRPr="00516958" w:rsidRDefault="001F58CE" w:rsidP="000C0889">
      <w:pPr>
        <w:pStyle w:val="NormalWeb"/>
        <w:spacing w:before="0" w:beforeAutospacing="0"/>
        <w:rPr>
          <w:b/>
          <w:bCs/>
        </w:rPr>
      </w:pPr>
      <w:r w:rsidRPr="00516958">
        <w:br/>
      </w:r>
    </w:p>
    <w:p w14:paraId="67F18B3E" w14:textId="77777777" w:rsidR="00CC345D" w:rsidRPr="00516958" w:rsidRDefault="00CC345D" w:rsidP="000C0889">
      <w:pPr>
        <w:rPr>
          <w:rFonts w:ascii="Calibri" w:hAnsi="Calibri" w:cs="Calibri"/>
          <w:b/>
          <w:bCs/>
          <w:lang w:eastAsia="en-GB"/>
        </w:rPr>
      </w:pPr>
      <w:r w:rsidRPr="00516958">
        <w:rPr>
          <w:b/>
          <w:bCs/>
        </w:rPr>
        <w:br w:type="page"/>
      </w:r>
    </w:p>
    <w:p w14:paraId="274DBA09" w14:textId="6ED7CD72" w:rsidR="009A019A" w:rsidRPr="00516958" w:rsidRDefault="001F58CE" w:rsidP="000C0889">
      <w:pPr>
        <w:pStyle w:val="NormalWeb"/>
        <w:spacing w:before="0" w:beforeAutospacing="0" w:after="0" w:afterAutospacing="0"/>
      </w:pPr>
      <w:r w:rsidRPr="00516958">
        <w:rPr>
          <w:b/>
          <w:bCs/>
        </w:rPr>
        <w:lastRenderedPageBreak/>
        <w:t>Reviewer #2:</w:t>
      </w:r>
      <w:r w:rsidRPr="00516958">
        <w:br/>
        <w:t>REVIEWER COMMENTS</w:t>
      </w:r>
      <w:r w:rsidRPr="00516958">
        <w:br/>
        <w:t>Manuscript Number: JoVE61989</w:t>
      </w:r>
      <w:r w:rsidRPr="00516958">
        <w:br/>
        <w:t>Title: Experimental protocol for studying cavitation enhanced therapy.</w:t>
      </w:r>
      <w:r w:rsidRPr="00516958">
        <w:br/>
        <w:t>Authors: Michael Gray, Alexandra Vasilyeva, Veerle Brans, Eleanor Stride.</w:t>
      </w:r>
      <w:r w:rsidRPr="00516958">
        <w:br/>
      </w:r>
    </w:p>
    <w:tbl>
      <w:tblPr>
        <w:tblStyle w:val="TableGrid"/>
        <w:tblW w:w="13745" w:type="dxa"/>
        <w:tblLook w:val="04A0" w:firstRow="1" w:lastRow="0" w:firstColumn="1" w:lastColumn="0" w:noHBand="0" w:noVBand="1"/>
      </w:tblPr>
      <w:tblGrid>
        <w:gridCol w:w="6941"/>
        <w:gridCol w:w="6804"/>
      </w:tblGrid>
      <w:tr w:rsidR="00516958" w:rsidRPr="00516958" w14:paraId="6A60FD25" w14:textId="77777777" w:rsidTr="00516958">
        <w:tc>
          <w:tcPr>
            <w:tcW w:w="6941" w:type="dxa"/>
          </w:tcPr>
          <w:p w14:paraId="6BE6A496" w14:textId="77777777" w:rsidR="00516958" w:rsidRPr="00516958" w:rsidRDefault="00516958" w:rsidP="000C0889">
            <w:pPr>
              <w:pStyle w:val="NormalWeb"/>
              <w:spacing w:before="0" w:beforeAutospacing="0"/>
            </w:pPr>
            <w:r w:rsidRPr="00516958">
              <w:t>Comment</w:t>
            </w:r>
          </w:p>
        </w:tc>
        <w:tc>
          <w:tcPr>
            <w:tcW w:w="6804" w:type="dxa"/>
          </w:tcPr>
          <w:p w14:paraId="0A450CFA" w14:textId="77777777" w:rsidR="00516958" w:rsidRPr="00516958" w:rsidRDefault="00516958" w:rsidP="000C0889">
            <w:pPr>
              <w:pStyle w:val="NormalWeb"/>
              <w:spacing w:before="0" w:beforeAutospacing="0"/>
            </w:pPr>
            <w:r w:rsidRPr="00516958">
              <w:t>Response</w:t>
            </w:r>
          </w:p>
        </w:tc>
      </w:tr>
      <w:tr w:rsidR="00516958" w:rsidRPr="00516958" w14:paraId="54B5EB0F" w14:textId="77777777" w:rsidTr="00516958">
        <w:tc>
          <w:tcPr>
            <w:tcW w:w="6941" w:type="dxa"/>
          </w:tcPr>
          <w:p w14:paraId="49362065" w14:textId="77777777" w:rsidR="00516958" w:rsidRDefault="00516958" w:rsidP="00FE0E27">
            <w:pPr>
              <w:pStyle w:val="NormalWeb"/>
              <w:spacing w:before="0" w:beforeAutospacing="0" w:after="0" w:afterAutospacing="0"/>
            </w:pPr>
            <w:r w:rsidRPr="00516958">
              <w:t>This is an excellent contribution to the technical field, very well written and appropriately detailed. It addresses an important topic; namely, the specification of a system or systems(s) allowing the controlled exposure of microbubbles and other targets such as cells to an acoustic field. This should enhance the reproducibility of such studies, promoting an improved understanding of the bio-effects of ultrasound and confidence in its controlled application. I have only a limited number of comments for the authors to consider.</w:t>
            </w:r>
          </w:p>
          <w:p w14:paraId="027609A4" w14:textId="2951FBD0" w:rsidR="00FE0E27" w:rsidRPr="00516958" w:rsidRDefault="00FE0E27" w:rsidP="000C0889">
            <w:pPr>
              <w:pStyle w:val="NormalWeb"/>
              <w:spacing w:before="0" w:beforeAutospacing="0"/>
            </w:pPr>
          </w:p>
        </w:tc>
        <w:tc>
          <w:tcPr>
            <w:tcW w:w="6804" w:type="dxa"/>
          </w:tcPr>
          <w:p w14:paraId="055C8670" w14:textId="506E2458" w:rsidR="00516958" w:rsidRPr="00516958" w:rsidRDefault="00516958" w:rsidP="000C0889">
            <w:pPr>
              <w:pStyle w:val="NormalWeb"/>
              <w:spacing w:before="0" w:beforeAutospacing="0"/>
            </w:pPr>
            <w:r w:rsidRPr="00516958">
              <w:t>We are very grateful for the reviewer’s kind comments.</w:t>
            </w:r>
          </w:p>
        </w:tc>
      </w:tr>
      <w:tr w:rsidR="00516958" w:rsidRPr="00516958" w14:paraId="393D51AD" w14:textId="77777777" w:rsidTr="00516958">
        <w:tc>
          <w:tcPr>
            <w:tcW w:w="6941" w:type="dxa"/>
          </w:tcPr>
          <w:p w14:paraId="5A29F080" w14:textId="590A7AC1" w:rsidR="00516958" w:rsidRPr="00516958" w:rsidRDefault="00516958" w:rsidP="000C0889">
            <w:pPr>
              <w:pStyle w:val="NormalWeb"/>
              <w:spacing w:before="0" w:beforeAutospacing="0"/>
            </w:pPr>
            <w:r w:rsidRPr="00516958">
              <w:t>1. Page 4, line 186: it is a small point, but maybe refer to "optically clear materials".</w:t>
            </w:r>
            <w:r w:rsidRPr="00516958">
              <w:br/>
            </w:r>
          </w:p>
        </w:tc>
        <w:tc>
          <w:tcPr>
            <w:tcW w:w="6804" w:type="dxa"/>
          </w:tcPr>
          <w:p w14:paraId="3E9FB651" w14:textId="301761CE" w:rsidR="00516958" w:rsidRPr="00C6687E" w:rsidRDefault="00516958" w:rsidP="000C0889">
            <w:pPr>
              <w:pStyle w:val="NormalWeb"/>
              <w:spacing w:before="0" w:beforeAutospacing="0"/>
            </w:pPr>
            <w:r w:rsidRPr="00C6687E">
              <w:t>Thank you, this is a very good point and has been added. We have modified 1.1.5 as follows:</w:t>
            </w:r>
          </w:p>
          <w:p w14:paraId="47433487" w14:textId="54B6C07F" w:rsidR="00516958" w:rsidRPr="00C6687E" w:rsidRDefault="00302D09" w:rsidP="000C0889">
            <w:pPr>
              <w:jc w:val="both"/>
              <w:rPr>
                <w:rFonts w:ascii="Calibri" w:eastAsia="Calibri" w:hAnsi="Calibri" w:cs="Calibri"/>
                <w:lang w:val="en-US"/>
              </w:rPr>
            </w:pPr>
            <w:r w:rsidRPr="00C6687E">
              <w:rPr>
                <w:rFonts w:ascii="Calibri" w:eastAsia="Calibri" w:hAnsi="Calibri" w:cs="Calibri"/>
                <w:lang w:val="en-US"/>
              </w:rPr>
              <w:t>“</w:t>
            </w:r>
            <w:r w:rsidR="00516958" w:rsidRPr="00C6687E">
              <w:rPr>
                <w:rFonts w:ascii="Calibri" w:eastAsia="Calibri" w:hAnsi="Calibri" w:cs="Calibri"/>
                <w:lang w:val="en-US"/>
              </w:rPr>
              <w:t>1.1.5. Make the chamber and the internal components out of optically clear materials when possible, so that any problems (e.g. leaks, entrapped macrobubbles) can be quickly observed and remedied.</w:t>
            </w:r>
            <w:r w:rsidRPr="00C6687E">
              <w:rPr>
                <w:rFonts w:ascii="Calibri" w:eastAsia="Calibri" w:hAnsi="Calibri" w:cs="Calibri"/>
                <w:lang w:val="en-US"/>
              </w:rPr>
              <w:t>”</w:t>
            </w:r>
          </w:p>
          <w:p w14:paraId="15FC4F6C" w14:textId="1A36E6DC" w:rsidR="00516958" w:rsidRPr="00C6687E" w:rsidRDefault="00516958" w:rsidP="000C0889">
            <w:pPr>
              <w:jc w:val="both"/>
              <w:rPr>
                <w:rFonts w:ascii="Calibri" w:eastAsia="Calibri" w:hAnsi="Calibri" w:cs="Calibri"/>
                <w:lang w:val="en-US"/>
              </w:rPr>
            </w:pPr>
          </w:p>
        </w:tc>
      </w:tr>
      <w:tr w:rsidR="00516958" w:rsidRPr="00516958" w14:paraId="4BE58817" w14:textId="77777777" w:rsidTr="00516958">
        <w:tc>
          <w:tcPr>
            <w:tcW w:w="6941" w:type="dxa"/>
          </w:tcPr>
          <w:p w14:paraId="78EE8D6A" w14:textId="1BBFDCCC" w:rsidR="00516958" w:rsidRPr="00516958" w:rsidRDefault="00516958" w:rsidP="000C0889">
            <w:pPr>
              <w:pStyle w:val="NormalWeb"/>
              <w:spacing w:before="0" w:beforeAutospacing="0"/>
            </w:pPr>
            <w:r w:rsidRPr="00516958">
              <w:t>2. Page 4, lines 190-206: Later in the manuscript (Limitations of method on pages 14 &amp;15), the issues of multiple reflections are mentioned. It should also be mentioned here i.e. it is not just the transmissibility of the acoustic window that is key, but the fact that the reflections may return to the chamber. In this case, you may be over-correcting for membrane transmission, particularly at higher frequencies where the amplitude reflection is significant even for thin membranes.</w:t>
            </w:r>
            <w:r w:rsidRPr="00516958">
              <w:br/>
            </w:r>
          </w:p>
        </w:tc>
        <w:tc>
          <w:tcPr>
            <w:tcW w:w="6804" w:type="dxa"/>
          </w:tcPr>
          <w:p w14:paraId="7F2CAD4D" w14:textId="77777777" w:rsidR="008A28A7" w:rsidRPr="00C6687E" w:rsidRDefault="00516958" w:rsidP="000C0889">
            <w:pPr>
              <w:pStyle w:val="NormalWeb"/>
              <w:spacing w:before="0" w:beforeAutospacing="0"/>
            </w:pPr>
            <w:r w:rsidRPr="00C6687E">
              <w:t>We completely agree with the reviewer and have</w:t>
            </w:r>
            <w:r w:rsidR="00AC2F36" w:rsidRPr="00C6687E">
              <w:t xml:space="preserve"> </w:t>
            </w:r>
            <w:r w:rsidR="008A28A7" w:rsidRPr="00C6687E">
              <w:t xml:space="preserve">modified the paragraph to make this point more explicit </w:t>
            </w:r>
            <w:proofErr w:type="gramStart"/>
            <w:r w:rsidR="008A28A7" w:rsidRPr="00C6687E">
              <w:t>and also</w:t>
            </w:r>
            <w:proofErr w:type="gramEnd"/>
            <w:r w:rsidRPr="00C6687E">
              <w:t xml:space="preserve"> added a cross reference back to sections 1.2.2 and 1.2.3 to highlight the issue of variation in transmissibility with frequency</w:t>
            </w:r>
            <w:r w:rsidR="008A28A7" w:rsidRPr="00C6687E">
              <w:t>.</w:t>
            </w:r>
          </w:p>
          <w:p w14:paraId="5F95732D" w14:textId="77777777" w:rsidR="008A28A7" w:rsidRPr="00C6687E" w:rsidRDefault="00AA599F" w:rsidP="00C6687E">
            <w:pPr>
              <w:pStyle w:val="NormalWeb"/>
              <w:spacing w:before="0" w:beforeAutospacing="0" w:after="0" w:afterAutospacing="0"/>
            </w:pPr>
            <w:r w:rsidRPr="00C6687E">
              <w:t xml:space="preserve">“It is not possible to completely eliminate acoustic reflections within the sample chamber and hence the incident field will not be completely uniform over the whole the sample volume. As mentioned in 1.2.2 and 1.2.3 the transmissibility of acoustic windows will be frequency dependent and thus the desired bandwidth for acoustic emission </w:t>
            </w:r>
            <w:r w:rsidRPr="00C6687E">
              <w:lastRenderedPageBreak/>
              <w:t xml:space="preserve">measurements should be carefully considered. </w:t>
            </w:r>
            <w:proofErr w:type="gramStart"/>
            <w:r w:rsidRPr="00C6687E">
              <w:t>In particular there</w:t>
            </w:r>
            <w:proofErr w:type="gramEnd"/>
            <w:r w:rsidRPr="00C6687E">
              <w:t xml:space="preserve"> may be significant multiple reflections of higher frequency components. This is another reason why calibration of the field within the fully assembled system is so important to minimize the uncertainty in incident pressure. Appropriate gating of the recorded signals should also be considered to minimize the effects of multiple reflections.”</w:t>
            </w:r>
          </w:p>
          <w:p w14:paraId="72B413EA" w14:textId="51FFDB86" w:rsidR="00C6687E" w:rsidRPr="00C6687E" w:rsidRDefault="00C6687E" w:rsidP="00C6687E">
            <w:pPr>
              <w:pStyle w:val="NormalWeb"/>
              <w:spacing w:before="0" w:beforeAutospacing="0" w:after="0" w:afterAutospacing="0"/>
            </w:pPr>
          </w:p>
        </w:tc>
      </w:tr>
      <w:tr w:rsidR="00516958" w:rsidRPr="00516958" w14:paraId="62166EF5" w14:textId="77777777" w:rsidTr="00516958">
        <w:tc>
          <w:tcPr>
            <w:tcW w:w="6941" w:type="dxa"/>
          </w:tcPr>
          <w:p w14:paraId="03A13A14" w14:textId="7F5A4FBD" w:rsidR="00516958" w:rsidRPr="00516958" w:rsidRDefault="00516958" w:rsidP="000C0889">
            <w:pPr>
              <w:pStyle w:val="NormalWeb"/>
              <w:spacing w:before="0" w:beforeAutospacing="0"/>
            </w:pPr>
            <w:r w:rsidRPr="00516958">
              <w:lastRenderedPageBreak/>
              <w:t>3. Page 5, Section 1.4.2, lines 225-227: the authors raise the issue of using a voltage probe directly measuring the input drive voltage to the transducer. This is an important measurement as it defines the applied acoustic stimulus but I wondered whether the authors could state that it is important that the voltage probe is calibrated (you might be surprised how poor probes are in terms of this aspect) and specify additionally the voltage measurement uncertainty. This will allow readers to identify the transducer input voltage should they choose identical commercially available transducers.</w:t>
            </w:r>
            <w:r w:rsidRPr="00516958">
              <w:br/>
            </w:r>
          </w:p>
        </w:tc>
        <w:tc>
          <w:tcPr>
            <w:tcW w:w="6804" w:type="dxa"/>
          </w:tcPr>
          <w:p w14:paraId="485D2B23" w14:textId="346546AE" w:rsidR="00516958" w:rsidRPr="00516958" w:rsidRDefault="00516958" w:rsidP="000C0889">
            <w:pPr>
              <w:pStyle w:val="NormalWeb"/>
              <w:spacing w:before="0" w:beforeAutospacing="0"/>
            </w:pPr>
            <w:r w:rsidRPr="00516958">
              <w:t>We have added the following to 1.4.2:</w:t>
            </w:r>
          </w:p>
          <w:p w14:paraId="7F017FD3" w14:textId="2E4B9098" w:rsidR="00516958" w:rsidRPr="00516958" w:rsidRDefault="00FE0E27" w:rsidP="000C0889">
            <w:pPr>
              <w:jc w:val="both"/>
              <w:rPr>
                <w:rFonts w:ascii="Calibri" w:eastAsia="Calibri" w:hAnsi="Calibri" w:cs="Calibri"/>
              </w:rPr>
            </w:pPr>
            <w:r>
              <w:rPr>
                <w:rFonts w:ascii="Calibri" w:eastAsia="Calibri" w:hAnsi="Calibri" w:cs="Calibri"/>
                <w:lang w:val="en-US"/>
              </w:rPr>
              <w:t>“</w:t>
            </w:r>
            <w:r w:rsidR="00516958" w:rsidRPr="00516958">
              <w:rPr>
                <w:rFonts w:ascii="Calibri" w:eastAsia="Calibri" w:hAnsi="Calibri" w:cs="Calibri"/>
                <w:lang w:val="en-US"/>
              </w:rPr>
              <w:t>1.4.2. Monitor and record the source drive voltage at the amplifier output / source input, so that minor variability or major malfunction can be detected quickly.  Use a voltage probe or other device that is safe to use over the drive voltage range of interest. Periodically check the calibration of the voltage probe using a well-known source such as a waveform generator.</w:t>
            </w:r>
            <w:r>
              <w:rPr>
                <w:rFonts w:ascii="Calibri" w:eastAsia="Calibri" w:hAnsi="Calibri" w:cs="Calibri"/>
                <w:lang w:val="en-US"/>
              </w:rPr>
              <w:t>”</w:t>
            </w:r>
          </w:p>
          <w:p w14:paraId="5B3DC57D" w14:textId="548155B2" w:rsidR="00516958" w:rsidRPr="00516958" w:rsidRDefault="00516958" w:rsidP="000C0889">
            <w:pPr>
              <w:pStyle w:val="NormalWeb"/>
              <w:spacing w:before="0" w:beforeAutospacing="0"/>
            </w:pPr>
          </w:p>
        </w:tc>
      </w:tr>
      <w:tr w:rsidR="00516958" w:rsidRPr="00516958" w14:paraId="6D60CD45" w14:textId="77777777" w:rsidTr="00516958">
        <w:tc>
          <w:tcPr>
            <w:tcW w:w="6941" w:type="dxa"/>
          </w:tcPr>
          <w:p w14:paraId="13A0246B" w14:textId="43A73E81" w:rsidR="00516958" w:rsidRPr="00516958" w:rsidRDefault="00516958" w:rsidP="000C0889">
            <w:pPr>
              <w:pStyle w:val="NormalWeb"/>
              <w:spacing w:before="0" w:beforeAutospacing="0"/>
            </w:pPr>
            <w:r w:rsidRPr="00516958">
              <w:t>4. Page 5, Section 1.5, lines; 235-251: I was a little confused regarding how this would be done especially regarding the comment "</w:t>
            </w:r>
            <w:proofErr w:type="gramStart"/>
            <w:r w:rsidRPr="00516958">
              <w:t>…..</w:t>
            </w:r>
            <w:proofErr w:type="gramEnd"/>
            <w:r w:rsidRPr="00516958">
              <w:t>all system components are in place". To confirm, is the "Cell exposure compartment" still in place for the scan? If so, is the aim to get as close to the compartment as possible and scan over its rear (exit) surface. Or, is the compartment not in place, in which case the exposure conditions may not be representative due to multiple reflections. It may be worth mentioning that whilst needing to characterise the exposure under the actual conditions employed (long millisecond bursts), reducing the burst length might enable the existence of other reflections to be identified and their contribution estimated.</w:t>
            </w:r>
            <w:r w:rsidRPr="00516958">
              <w:br/>
            </w:r>
          </w:p>
        </w:tc>
        <w:tc>
          <w:tcPr>
            <w:tcW w:w="6804" w:type="dxa"/>
          </w:tcPr>
          <w:p w14:paraId="1B0EC106" w14:textId="4CFFA4E5" w:rsidR="00516958" w:rsidRDefault="00516958" w:rsidP="00FE0E27">
            <w:pPr>
              <w:pStyle w:val="NormalWeb"/>
              <w:spacing w:before="0" w:beforeAutospacing="0" w:after="0" w:afterAutospacing="0"/>
            </w:pPr>
            <w:r w:rsidRPr="00516958">
              <w:t>Yes, this includes the cell exposure compartment, with the intention of making the measurements as close as possible to where the cells are located. We have modified section 1.5.1 accordingly:</w:t>
            </w:r>
          </w:p>
          <w:p w14:paraId="2ADE2C5C" w14:textId="77777777" w:rsidR="00FE0E27" w:rsidRPr="00516958" w:rsidRDefault="00FE0E27" w:rsidP="00FE0E27">
            <w:pPr>
              <w:pStyle w:val="NormalWeb"/>
              <w:spacing w:before="0" w:beforeAutospacing="0" w:after="0" w:afterAutospacing="0"/>
            </w:pPr>
          </w:p>
          <w:p w14:paraId="13C6490D" w14:textId="5209A40E" w:rsidR="00516958" w:rsidRPr="00516958" w:rsidRDefault="00FE0E27" w:rsidP="00FE0E27">
            <w:pPr>
              <w:jc w:val="both"/>
              <w:rPr>
                <w:rFonts w:ascii="Calibri" w:eastAsia="Calibri" w:hAnsi="Calibri" w:cs="Calibri"/>
              </w:rPr>
            </w:pPr>
            <w:r>
              <w:rPr>
                <w:rFonts w:ascii="Calibri" w:eastAsia="Calibri" w:hAnsi="Calibri" w:cs="Calibri"/>
                <w:lang w:val="en-US"/>
              </w:rPr>
              <w:t>“</w:t>
            </w:r>
            <w:r w:rsidR="00516958" w:rsidRPr="00516958">
              <w:rPr>
                <w:rFonts w:ascii="Calibri" w:eastAsia="Calibri" w:hAnsi="Calibri" w:cs="Calibri"/>
                <w:lang w:val="en-US"/>
              </w:rPr>
              <w:t xml:space="preserve">1.5.1. Include a means of measuring the pressure field incident upon the </w:t>
            </w:r>
            <w:r w:rsidR="00516958" w:rsidRPr="00654177">
              <w:rPr>
                <w:rFonts w:ascii="Calibri" w:eastAsia="Calibri" w:hAnsi="Calibri" w:cs="Calibri"/>
                <w:lang w:val="en-US"/>
              </w:rPr>
              <w:t xml:space="preserve">exposed cells when all system components are in place, including the cell exposure compartment. In SAT2 and 3, this is accomplished with an opening in the chamber lid through which a needle or </w:t>
            </w:r>
            <w:proofErr w:type="spellStart"/>
            <w:r w:rsidR="00516958" w:rsidRPr="00654177">
              <w:rPr>
                <w:rFonts w:ascii="Calibri" w:eastAsia="Calibri" w:hAnsi="Calibri" w:cs="Calibri"/>
                <w:lang w:val="en-US"/>
              </w:rPr>
              <w:t>fibre</w:t>
            </w:r>
            <w:proofErr w:type="spellEnd"/>
            <w:r w:rsidR="00516958" w:rsidRPr="00654177">
              <w:rPr>
                <w:rFonts w:ascii="Calibri" w:eastAsia="Calibri" w:hAnsi="Calibri" w:cs="Calibri"/>
                <w:lang w:val="en-US"/>
              </w:rPr>
              <w:t xml:space="preserve"> optic hydrophone could be inserted without disturbing the field to be measured. Make the measurements as close as possible to where the cells are located.</w:t>
            </w:r>
            <w:r w:rsidRPr="00654177">
              <w:rPr>
                <w:rFonts w:ascii="Calibri" w:eastAsia="Calibri" w:hAnsi="Calibri" w:cs="Calibri"/>
                <w:lang w:val="en-US"/>
              </w:rPr>
              <w:t>”</w:t>
            </w:r>
          </w:p>
          <w:p w14:paraId="32C8D5BD" w14:textId="77777777" w:rsidR="00FE0E27" w:rsidRDefault="00FE0E27" w:rsidP="00FE0E27">
            <w:pPr>
              <w:pStyle w:val="NormalWeb"/>
              <w:spacing w:before="0" w:beforeAutospacing="0" w:after="0" w:afterAutospacing="0"/>
            </w:pPr>
          </w:p>
          <w:p w14:paraId="01FAF141" w14:textId="3D1D9423" w:rsidR="00516958" w:rsidRPr="00516958" w:rsidRDefault="00516958" w:rsidP="00FE0E27">
            <w:pPr>
              <w:pStyle w:val="NormalWeb"/>
              <w:spacing w:before="0" w:beforeAutospacing="0" w:after="0" w:afterAutospacing="0"/>
            </w:pPr>
            <w:r w:rsidRPr="00516958">
              <w:t>We have added a comment about pulse length to 1.5.4. for diagnostic purposes:</w:t>
            </w:r>
          </w:p>
          <w:p w14:paraId="3A75C961" w14:textId="52FFDF12" w:rsidR="00516958" w:rsidRPr="00516958" w:rsidRDefault="00FE0E27" w:rsidP="00FE0E27">
            <w:pPr>
              <w:jc w:val="both"/>
              <w:rPr>
                <w:rFonts w:ascii="Calibri" w:eastAsia="Calibri" w:hAnsi="Calibri" w:cs="Calibri"/>
              </w:rPr>
            </w:pPr>
            <w:r>
              <w:rPr>
                <w:rFonts w:ascii="Calibri" w:eastAsia="Calibri" w:hAnsi="Calibri" w:cs="Calibri"/>
                <w:lang w:val="en-US"/>
              </w:rPr>
              <w:t>“</w:t>
            </w:r>
            <w:r w:rsidR="00516958" w:rsidRPr="00516958">
              <w:rPr>
                <w:rFonts w:ascii="Calibri" w:eastAsia="Calibri" w:hAnsi="Calibri" w:cs="Calibri"/>
                <w:lang w:val="en-US"/>
              </w:rPr>
              <w:t xml:space="preserve">1.5.4. Scan the entire region where cells may be exposed. In order to capture an appropriate level of field detail, use a scan spacing no coarser </w:t>
            </w:r>
            <w:r w:rsidR="00516958" w:rsidRPr="00516958">
              <w:rPr>
                <w:rFonts w:ascii="Calibri" w:eastAsia="Calibri" w:hAnsi="Calibri" w:cs="Calibri"/>
                <w:lang w:val="en-US"/>
              </w:rPr>
              <w:lastRenderedPageBreak/>
              <w:t>than 1/5</w:t>
            </w:r>
            <w:r w:rsidR="00516958" w:rsidRPr="00516958">
              <w:rPr>
                <w:rFonts w:ascii="Calibri" w:eastAsia="Calibri" w:hAnsi="Calibri" w:cs="Calibri"/>
                <w:vertAlign w:val="superscript"/>
                <w:lang w:val="en-US"/>
              </w:rPr>
              <w:t>th</w:t>
            </w:r>
            <w:r w:rsidR="00516958" w:rsidRPr="00516958">
              <w:rPr>
                <w:rFonts w:ascii="Calibri" w:eastAsia="Calibri" w:hAnsi="Calibri" w:cs="Calibri"/>
                <w:lang w:val="en-US"/>
              </w:rPr>
              <w:t xml:space="preserve"> of a wavelength at the highest frequency of interest. If unexpected field complexity is observed, consider using short burst signals (</w:t>
            </w:r>
            <w:proofErr w:type="spellStart"/>
            <w:r w:rsidR="00516958" w:rsidRPr="00516958">
              <w:rPr>
                <w:rFonts w:ascii="Calibri" w:eastAsia="Calibri" w:hAnsi="Calibri" w:cs="Calibri"/>
                <w:lang w:val="en-US"/>
              </w:rPr>
              <w:t>e.g</w:t>
            </w:r>
            <w:proofErr w:type="spellEnd"/>
            <w:r w:rsidR="00516958" w:rsidRPr="00516958">
              <w:rPr>
                <w:rFonts w:ascii="Calibri" w:eastAsia="Calibri" w:hAnsi="Calibri" w:cs="Calibri"/>
                <w:lang w:val="en-US"/>
              </w:rPr>
              <w:t xml:space="preserve"> 1-3 cycles) to allow identification and quantification of direct and scattered field contributions.</w:t>
            </w:r>
            <w:r>
              <w:rPr>
                <w:rFonts w:ascii="Calibri" w:eastAsia="Calibri" w:hAnsi="Calibri" w:cs="Calibri"/>
                <w:lang w:val="en-US"/>
              </w:rPr>
              <w:t>”</w:t>
            </w:r>
          </w:p>
          <w:p w14:paraId="01A1D36C" w14:textId="772764E3" w:rsidR="00516958" w:rsidRPr="00516958" w:rsidRDefault="00516958" w:rsidP="000C0889">
            <w:pPr>
              <w:pStyle w:val="NormalWeb"/>
              <w:spacing w:before="0" w:beforeAutospacing="0"/>
            </w:pPr>
          </w:p>
        </w:tc>
      </w:tr>
      <w:tr w:rsidR="00516958" w:rsidRPr="00516958" w14:paraId="5F07ED7C" w14:textId="77777777" w:rsidTr="00516958">
        <w:tc>
          <w:tcPr>
            <w:tcW w:w="6941" w:type="dxa"/>
          </w:tcPr>
          <w:p w14:paraId="4B151883" w14:textId="02422C9C" w:rsidR="00516958" w:rsidRPr="00516958" w:rsidRDefault="00516958" w:rsidP="000C0889">
            <w:pPr>
              <w:pStyle w:val="NormalWeb"/>
              <w:spacing w:before="0" w:beforeAutospacing="0"/>
            </w:pPr>
            <w:r w:rsidRPr="00516958">
              <w:lastRenderedPageBreak/>
              <w:t>5. Page 5, section 1.5.2, lines 245-246: worth adding temperature here, as the sensitivity of the hydrophone will be temperature dependent. Exposures at 35̊C may be difficult the quantify without some form of model as hydrophone calibrations are commonly carried out around ambient.</w:t>
            </w:r>
            <w:r w:rsidRPr="00516958">
              <w:br/>
            </w:r>
          </w:p>
        </w:tc>
        <w:tc>
          <w:tcPr>
            <w:tcW w:w="6804" w:type="dxa"/>
          </w:tcPr>
          <w:p w14:paraId="136CF413" w14:textId="5CAA3DB4" w:rsidR="00516958" w:rsidRPr="00516958" w:rsidRDefault="00516958" w:rsidP="000C0889">
            <w:pPr>
              <w:pStyle w:val="NormalWeb"/>
              <w:spacing w:before="0" w:beforeAutospacing="0"/>
            </w:pPr>
            <w:r w:rsidRPr="00516958">
              <w:t>We have modified the text in 1.5.3 as follows:</w:t>
            </w:r>
          </w:p>
          <w:p w14:paraId="5D7E327F" w14:textId="3C41FC2F" w:rsidR="00516958" w:rsidRPr="00516958" w:rsidRDefault="0008043C" w:rsidP="000C0889">
            <w:pPr>
              <w:jc w:val="both"/>
              <w:rPr>
                <w:rFonts w:ascii="Calibri" w:eastAsia="Calibri" w:hAnsi="Calibri" w:cs="Calibri"/>
              </w:rPr>
            </w:pPr>
            <w:r>
              <w:rPr>
                <w:rFonts w:ascii="Calibri" w:eastAsia="Calibri" w:hAnsi="Calibri" w:cs="Calibri"/>
                <w:lang w:val="en-US"/>
              </w:rPr>
              <w:t>“</w:t>
            </w:r>
            <w:r w:rsidR="00516958" w:rsidRPr="00516958">
              <w:rPr>
                <w:rFonts w:ascii="Calibri" w:eastAsia="Calibri" w:hAnsi="Calibri" w:cs="Calibri"/>
                <w:lang w:val="en-US"/>
              </w:rPr>
              <w:t xml:space="preserve">1.5.3. Ensure that the hydrophone is calibrated under the conditions used in system </w:t>
            </w:r>
            <w:proofErr w:type="spellStart"/>
            <w:r w:rsidR="00516958" w:rsidRPr="00516958">
              <w:rPr>
                <w:rFonts w:ascii="Calibri" w:eastAsia="Calibri" w:hAnsi="Calibri" w:cs="Calibri"/>
                <w:lang w:val="en-US"/>
              </w:rPr>
              <w:t>characterisation</w:t>
            </w:r>
            <w:proofErr w:type="spellEnd"/>
            <w:r w:rsidR="00516958" w:rsidRPr="00516958">
              <w:rPr>
                <w:rFonts w:ascii="Calibri" w:eastAsia="Calibri" w:hAnsi="Calibri" w:cs="Calibri"/>
                <w:lang w:val="en-US"/>
              </w:rPr>
              <w:t>, including the temperature. Specifically, if the hydrophone is held at an angle with respect to the scan plane, the phone must be calibrated at that angle, as directivity effects may differ significantly from those expected based purely on geometry. Note: the change in hydrophone sensitivity with respect to temperature should be available from the manufacturer.</w:t>
            </w:r>
            <w:r>
              <w:rPr>
                <w:rFonts w:ascii="Calibri" w:eastAsia="Calibri" w:hAnsi="Calibri" w:cs="Calibri"/>
                <w:lang w:val="en-US"/>
              </w:rPr>
              <w:t>”</w:t>
            </w:r>
          </w:p>
          <w:p w14:paraId="035A4724" w14:textId="7BAC4F0D" w:rsidR="00516958" w:rsidRPr="00516958" w:rsidRDefault="00516958" w:rsidP="000C0889">
            <w:pPr>
              <w:pStyle w:val="NormalWeb"/>
              <w:spacing w:before="0" w:beforeAutospacing="0"/>
            </w:pPr>
          </w:p>
        </w:tc>
      </w:tr>
      <w:tr w:rsidR="00516958" w:rsidRPr="00516958" w14:paraId="038D5CED" w14:textId="77777777" w:rsidTr="00516958">
        <w:tc>
          <w:tcPr>
            <w:tcW w:w="6941" w:type="dxa"/>
          </w:tcPr>
          <w:p w14:paraId="5F0D4C9C" w14:textId="553C906B" w:rsidR="00516958" w:rsidRPr="00516958" w:rsidRDefault="00516958" w:rsidP="000C0889">
            <w:pPr>
              <w:pStyle w:val="NormalWeb"/>
              <w:spacing w:before="0" w:beforeAutospacing="0"/>
            </w:pPr>
            <w:r w:rsidRPr="00516958">
              <w:t>6. Page 6, Section 2, line 58: Could the authors comment on whether there is any benefit in the PCD being calibrated in terms of its V Pa-1 response? If not, why not? This could be a separate test of the relative response of the PCD at a single frequency against the hydrophone used for the exposure test. It could be a useful cross-check and might put spectra such as Figure 5B on an absolute basis, which would be a useful parameter in terms of study reproducibility.</w:t>
            </w:r>
            <w:r w:rsidRPr="00516958">
              <w:br/>
            </w:r>
          </w:p>
        </w:tc>
        <w:tc>
          <w:tcPr>
            <w:tcW w:w="6804" w:type="dxa"/>
          </w:tcPr>
          <w:p w14:paraId="08CB5A97" w14:textId="39E7B220" w:rsidR="00700F8D" w:rsidRPr="00645306" w:rsidRDefault="00D97F55" w:rsidP="00700F8D">
            <w:pPr>
              <w:pStyle w:val="NormalWeb"/>
              <w:spacing w:before="0" w:beforeAutospacing="0" w:after="0" w:afterAutospacing="0"/>
            </w:pPr>
            <w:r w:rsidRPr="00645306">
              <w:t>This is an interesting question</w:t>
            </w:r>
            <w:r w:rsidR="003E0602" w:rsidRPr="00645306">
              <w:t xml:space="preserve">. </w:t>
            </w:r>
            <w:r w:rsidR="00516958" w:rsidRPr="00645306">
              <w:t xml:space="preserve">The PCD signal </w:t>
            </w:r>
            <w:r w:rsidR="007652AE" w:rsidRPr="00645306">
              <w:t>collected as described in the protocol</w:t>
            </w:r>
            <w:r w:rsidR="00516958" w:rsidRPr="00645306">
              <w:t xml:space="preserve"> represents a spatial integration of acoustic emissions whose strength and distribution depend on the low frequency source field, the geometry of the exposure compartment, and the cavitation agent therein (</w:t>
            </w:r>
            <w:r w:rsidR="008812FB" w:rsidRPr="00645306">
              <w:t>its</w:t>
            </w:r>
            <w:r w:rsidR="00516958" w:rsidRPr="00645306">
              <w:t xml:space="preserve"> distribution, concentration, response properties</w:t>
            </w:r>
            <w:r w:rsidR="008812FB" w:rsidRPr="00645306">
              <w:t xml:space="preserve"> etc.</w:t>
            </w:r>
            <w:r w:rsidR="00516958" w:rsidRPr="00645306">
              <w:t>). A calibration performed with a point-like source or reciprocity calibration with a hydrophone would reveal sensitivity at one location in the PCD beam pattern. This would need to be integrated over the exposure compartment volume with assumptions made about cavitation spatial coherence and distribution, both of which are generally not known</w:t>
            </w:r>
            <w:r w:rsidR="00D659F0" w:rsidRPr="00645306">
              <w:t xml:space="preserve"> (arguably they are unknowable due to the stochastic nature of cavitation)</w:t>
            </w:r>
            <w:r w:rsidR="00516958" w:rsidRPr="00645306">
              <w:t xml:space="preserve"> and could change with low frequency source drive level and the cavitation types (harmonic vs. broad band) that result. </w:t>
            </w:r>
          </w:p>
          <w:p w14:paraId="67D63261" w14:textId="279135D8" w:rsidR="00516958" w:rsidRPr="00645306" w:rsidRDefault="00516958" w:rsidP="00700F8D">
            <w:pPr>
              <w:pStyle w:val="NormalWeb"/>
              <w:spacing w:before="0" w:beforeAutospacing="0" w:after="0" w:afterAutospacing="0"/>
            </w:pPr>
            <w:r w:rsidRPr="00645306">
              <w:t xml:space="preserve"> </w:t>
            </w:r>
          </w:p>
          <w:p w14:paraId="6E8579B7" w14:textId="5DA381E8" w:rsidR="00516958" w:rsidRPr="00645306" w:rsidRDefault="0067598F" w:rsidP="000C0889">
            <w:pPr>
              <w:pStyle w:val="NormalWeb"/>
              <w:spacing w:before="0" w:beforeAutospacing="0"/>
            </w:pPr>
            <w:r w:rsidRPr="00645306">
              <w:t>This process would still yield</w:t>
            </w:r>
            <w:r w:rsidR="00516958" w:rsidRPr="00645306">
              <w:t xml:space="preserve"> a PCD signal that represents a system-specific spatially integrated output. </w:t>
            </w:r>
            <w:r w:rsidRPr="00645306">
              <w:t>Unfortunately, therefore, g</w:t>
            </w:r>
            <w:r w:rsidR="00516958" w:rsidRPr="00645306">
              <w:t xml:space="preserve">iven the </w:t>
            </w:r>
            <w:r w:rsidR="00516958" w:rsidRPr="00645306">
              <w:lastRenderedPageBreak/>
              <w:t xml:space="preserve">assumptions and uncertainties in the process, it is not clear that the calibration is at all absolute or </w:t>
            </w:r>
            <w:r w:rsidRPr="00645306">
              <w:t>able</w:t>
            </w:r>
            <w:r w:rsidR="00516958" w:rsidRPr="00645306">
              <w:t xml:space="preserve"> to provide </w:t>
            </w:r>
            <w:r w:rsidRPr="00645306">
              <w:t xml:space="preserve">additional </w:t>
            </w:r>
            <w:r w:rsidR="00516958" w:rsidRPr="00645306">
              <w:t xml:space="preserve">physical insight. </w:t>
            </w:r>
          </w:p>
          <w:p w14:paraId="4EEAEF1B" w14:textId="461EE4AA" w:rsidR="00516958" w:rsidRPr="00645306" w:rsidRDefault="00516958" w:rsidP="000C0889">
            <w:pPr>
              <w:pStyle w:val="NormalWeb"/>
              <w:spacing w:before="0" w:beforeAutospacing="0"/>
            </w:pPr>
            <w:r w:rsidRPr="00645306">
              <w:t xml:space="preserve">The PCD output </w:t>
            </w:r>
            <w:r w:rsidR="008D71A6" w:rsidRPr="00645306">
              <w:t xml:space="preserve">as currently presented </w:t>
            </w:r>
            <w:r w:rsidRPr="00645306">
              <w:t xml:space="preserve">in voltage units </w:t>
            </w:r>
            <w:r w:rsidR="008D71A6" w:rsidRPr="00645306">
              <w:t>indicate</w:t>
            </w:r>
            <w:r w:rsidRPr="00645306">
              <w:t xml:space="preserve">s: 1) the types of cavitation that are present and in what proportion, 2) how long these cavitation </w:t>
            </w:r>
            <w:proofErr w:type="spellStart"/>
            <w:r w:rsidRPr="00645306">
              <w:t>behaviors</w:t>
            </w:r>
            <w:proofErr w:type="spellEnd"/>
            <w:r w:rsidRPr="00645306">
              <w:t xml:space="preserve"> were present, 3) whether the observed time-cumulative exposure characteristics were correlated to a particular bioeffect, and 4) whether the </w:t>
            </w:r>
            <w:r w:rsidR="00502120" w:rsidRPr="00645306">
              <w:t xml:space="preserve">relative </w:t>
            </w:r>
            <w:r w:rsidRPr="00645306">
              <w:t xml:space="preserve">levels and time-dependent </w:t>
            </w:r>
            <w:proofErr w:type="spellStart"/>
            <w:r w:rsidRPr="00645306">
              <w:t>behaviors</w:t>
            </w:r>
            <w:proofErr w:type="spellEnd"/>
            <w:r w:rsidRPr="00645306">
              <w:t xml:space="preserve"> were consistent with previous experiments in the exposure system.</w:t>
            </w:r>
          </w:p>
          <w:p w14:paraId="75E187BD" w14:textId="61018A3C" w:rsidR="00516958" w:rsidRPr="00645306" w:rsidRDefault="00645306" w:rsidP="00007A1A">
            <w:pPr>
              <w:pStyle w:val="NormalWeb"/>
              <w:spacing w:before="0" w:beforeAutospacing="0" w:after="0" w:afterAutospacing="0"/>
            </w:pPr>
            <w:r w:rsidRPr="00645306">
              <w:t>M</w:t>
            </w:r>
            <w:r w:rsidR="00516958" w:rsidRPr="00645306">
              <w:t>easurement scenarios where absolute energy distributions are desired</w:t>
            </w:r>
            <w:r w:rsidRPr="00645306">
              <w:t xml:space="preserve"> really require</w:t>
            </w:r>
            <w:r w:rsidR="00516958" w:rsidRPr="00645306">
              <w:t xml:space="preserve"> array-based cavitation mapping techniques. However, their implementation cost is orders of magnitude more expensive to implement than a single-channel PCD.  Therefore, for compact, portable, and high throughput systems for in vitro assessments, </w:t>
            </w:r>
            <w:r w:rsidRPr="00645306">
              <w:t xml:space="preserve">we still believe that </w:t>
            </w:r>
            <w:r w:rsidR="00516958" w:rsidRPr="00645306">
              <w:t xml:space="preserve">PCDs are useful despite their limitations. </w:t>
            </w:r>
          </w:p>
          <w:p w14:paraId="0E56E8D9" w14:textId="77777777" w:rsidR="003E0602" w:rsidRPr="00645306" w:rsidRDefault="003E0602" w:rsidP="00007A1A">
            <w:pPr>
              <w:pStyle w:val="NormalWeb"/>
              <w:spacing w:before="0" w:beforeAutospacing="0" w:after="0" w:afterAutospacing="0"/>
            </w:pPr>
          </w:p>
          <w:p w14:paraId="339F50C7" w14:textId="0587FCA0" w:rsidR="003E0602" w:rsidRPr="00645306" w:rsidRDefault="007652AE" w:rsidP="00007A1A">
            <w:pPr>
              <w:pStyle w:val="NormalWeb"/>
              <w:spacing w:before="0" w:beforeAutospacing="0" w:after="0" w:afterAutospacing="0"/>
            </w:pPr>
            <w:r w:rsidRPr="00645306">
              <w:t>We have summarised th</w:t>
            </w:r>
            <w:r w:rsidR="00645306" w:rsidRPr="00645306">
              <w:t>e above</w:t>
            </w:r>
            <w:r w:rsidRPr="00645306">
              <w:t xml:space="preserve"> in the discussion</w:t>
            </w:r>
            <w:r w:rsidR="00645306" w:rsidRPr="00645306">
              <w:t xml:space="preserve"> as follows</w:t>
            </w:r>
            <w:r w:rsidRPr="00645306">
              <w:t>:</w:t>
            </w:r>
            <w:r w:rsidR="00645306">
              <w:t xml:space="preserve"> </w:t>
            </w:r>
          </w:p>
          <w:p w14:paraId="5655EB6D" w14:textId="7EC18915" w:rsidR="007652AE" w:rsidRPr="00645306" w:rsidRDefault="007652AE" w:rsidP="00007A1A">
            <w:pPr>
              <w:pStyle w:val="NormalWeb"/>
              <w:spacing w:before="0" w:beforeAutospacing="0" w:after="0" w:afterAutospacing="0"/>
            </w:pPr>
            <w:r w:rsidRPr="00645306">
              <w:t xml:space="preserve"> “</w:t>
            </w:r>
            <w:r w:rsidR="009B3B17" w:rsidRPr="009B3B17">
              <w:t xml:space="preserve">The PCD output as currently presented in terms of voltage indicates: 1) the types of cavitation </w:t>
            </w:r>
            <w:proofErr w:type="spellStart"/>
            <w:r w:rsidR="009B3B17" w:rsidRPr="009B3B17">
              <w:t>behavior</w:t>
            </w:r>
            <w:proofErr w:type="spellEnd"/>
            <w:r w:rsidR="009B3B17" w:rsidRPr="009B3B17">
              <w:t xml:space="preserve"> and their relative proportions, 2) how long these cavitation </w:t>
            </w:r>
            <w:proofErr w:type="spellStart"/>
            <w:r w:rsidR="009B3B17" w:rsidRPr="009B3B17">
              <w:t>behaviors</w:t>
            </w:r>
            <w:proofErr w:type="spellEnd"/>
            <w:r w:rsidR="009B3B17" w:rsidRPr="009B3B17">
              <w:t xml:space="preserve"> persist, 3) whether the observed time-cumulative exposure characteristics are correlated to a particular bioeffect, and 4) whether the relative levels and time-dependent </w:t>
            </w:r>
            <w:proofErr w:type="spellStart"/>
            <w:r w:rsidR="009B3B17" w:rsidRPr="009B3B17">
              <w:t>behaviors</w:t>
            </w:r>
            <w:proofErr w:type="spellEnd"/>
            <w:r w:rsidR="009B3B17" w:rsidRPr="009B3B17">
              <w:t xml:space="preserve"> are consistent with previous experiments in the exposure system. Whilst the receive sensitivity of the PCD can be quantified, in order to reliably characterize the acoustic emissions in terms of absolute energy additional spatial information is require</w:t>
            </w:r>
            <w:r w:rsidR="00D017A8">
              <w:t>d</w:t>
            </w:r>
            <w:r w:rsidR="009B3B17" w:rsidRPr="009B3B17">
              <w:t>. This could be achieved by replacing the PCD with an array probe in order to implement Passive acoustic mapping (PAM)80. This would however increase the complexity of signal processing and the computational time and power required.</w:t>
            </w:r>
            <w:r w:rsidRPr="00645306">
              <w:t>”</w:t>
            </w:r>
          </w:p>
          <w:p w14:paraId="1C40DE9B" w14:textId="75C7324C" w:rsidR="00007A1A" w:rsidRPr="00645306" w:rsidRDefault="00007A1A" w:rsidP="00007A1A">
            <w:pPr>
              <w:pStyle w:val="NormalWeb"/>
              <w:spacing w:before="0" w:beforeAutospacing="0" w:after="0" w:afterAutospacing="0"/>
            </w:pPr>
          </w:p>
        </w:tc>
      </w:tr>
      <w:tr w:rsidR="00516958" w:rsidRPr="00516958" w14:paraId="1B8EB890" w14:textId="77777777" w:rsidTr="00516958">
        <w:tc>
          <w:tcPr>
            <w:tcW w:w="6941" w:type="dxa"/>
          </w:tcPr>
          <w:p w14:paraId="74ED6E18" w14:textId="167701F7" w:rsidR="00516958" w:rsidRPr="00516958" w:rsidRDefault="00516958" w:rsidP="000C0889">
            <w:pPr>
              <w:pStyle w:val="NormalWeb"/>
              <w:spacing w:before="0" w:beforeAutospacing="0"/>
            </w:pPr>
            <w:r w:rsidRPr="00516958">
              <w:lastRenderedPageBreak/>
              <w:t>7. Page 7, Section 2.1.5, line 309: Direct signal inject is also a useful test for system linearity and detection of saturation limits.</w:t>
            </w:r>
            <w:r w:rsidRPr="00516958">
              <w:br/>
            </w:r>
          </w:p>
        </w:tc>
        <w:tc>
          <w:tcPr>
            <w:tcW w:w="6804" w:type="dxa"/>
          </w:tcPr>
          <w:p w14:paraId="16E980DD" w14:textId="371B3CA1" w:rsidR="00516958" w:rsidRDefault="00D97F55" w:rsidP="00007A1A">
            <w:pPr>
              <w:pStyle w:val="NormalWeb"/>
              <w:spacing w:before="0" w:beforeAutospacing="0" w:after="0" w:afterAutospacing="0"/>
            </w:pPr>
            <w:r>
              <w:t>Thank you, w</w:t>
            </w:r>
            <w:r w:rsidR="00516958" w:rsidRPr="00516958">
              <w:t>e have added these features of injection testing to the text:</w:t>
            </w:r>
          </w:p>
          <w:p w14:paraId="178605D3" w14:textId="77777777" w:rsidR="00007A1A" w:rsidRPr="00516958" w:rsidRDefault="00007A1A" w:rsidP="00007A1A">
            <w:pPr>
              <w:pStyle w:val="NormalWeb"/>
              <w:spacing w:before="0" w:beforeAutospacing="0" w:after="0" w:afterAutospacing="0"/>
            </w:pPr>
          </w:p>
          <w:p w14:paraId="098A7585" w14:textId="4D965214" w:rsidR="00516958" w:rsidRPr="00516958" w:rsidRDefault="00007A1A" w:rsidP="000C0889">
            <w:pPr>
              <w:jc w:val="both"/>
              <w:rPr>
                <w:rFonts w:ascii="Calibri" w:eastAsia="Calibri" w:hAnsi="Calibri" w:cs="Calibri"/>
              </w:rPr>
            </w:pPr>
            <w:r>
              <w:rPr>
                <w:rFonts w:ascii="Calibri" w:eastAsia="Calibri" w:hAnsi="Calibri" w:cs="Calibri"/>
                <w:lang w:val="en-US"/>
              </w:rPr>
              <w:t>“</w:t>
            </w:r>
            <w:r w:rsidR="00516958" w:rsidRPr="00516958">
              <w:rPr>
                <w:rFonts w:ascii="Calibri" w:eastAsia="Calibri" w:hAnsi="Calibri" w:cs="Calibri"/>
                <w:lang w:val="en-US"/>
              </w:rPr>
              <w:t xml:space="preserve">2.1.5. Confirm proper impedance matching in the signal chain in order to avoid gain or bandwidth errors. PCD devices typically have output impedances near 50 Ohms, so a suitable check would be to replace the PCD with a known signal from a waveform generator (with 50 Ohm output impedance) and confirm that the signal size appearing on the </w:t>
            </w:r>
            <w:proofErr w:type="spellStart"/>
            <w:r w:rsidR="00516958" w:rsidRPr="00516958">
              <w:rPr>
                <w:rFonts w:ascii="Calibri" w:eastAsia="Calibri" w:hAnsi="Calibri" w:cs="Calibri"/>
                <w:lang w:val="en-US"/>
              </w:rPr>
              <w:t>digitiser</w:t>
            </w:r>
            <w:proofErr w:type="spellEnd"/>
            <w:r w:rsidR="00516958" w:rsidRPr="00516958">
              <w:rPr>
                <w:rFonts w:ascii="Calibri" w:eastAsia="Calibri" w:hAnsi="Calibri" w:cs="Calibri"/>
                <w:lang w:val="en-US"/>
              </w:rPr>
              <w:t xml:space="preserve"> matches expectations, scales linearly when the injected signal is changed, and no clipping is observed for the largest signal of interest.</w:t>
            </w:r>
            <w:r>
              <w:rPr>
                <w:rFonts w:ascii="Calibri" w:eastAsia="Calibri" w:hAnsi="Calibri" w:cs="Calibri"/>
                <w:lang w:val="en-US"/>
              </w:rPr>
              <w:t>”</w:t>
            </w:r>
          </w:p>
          <w:p w14:paraId="53A575E5" w14:textId="47FBB46E" w:rsidR="00516958" w:rsidRPr="00516958" w:rsidRDefault="00516958" w:rsidP="000C0889">
            <w:pPr>
              <w:pStyle w:val="NormalWeb"/>
              <w:spacing w:before="0" w:beforeAutospacing="0"/>
            </w:pPr>
          </w:p>
        </w:tc>
      </w:tr>
      <w:tr w:rsidR="00516958" w:rsidRPr="00516958" w14:paraId="3D1457DB" w14:textId="77777777" w:rsidTr="00516958">
        <w:tc>
          <w:tcPr>
            <w:tcW w:w="6941" w:type="dxa"/>
          </w:tcPr>
          <w:p w14:paraId="02C5AC87" w14:textId="0DCA0BE7" w:rsidR="00516958" w:rsidRPr="00516958" w:rsidRDefault="00516958" w:rsidP="000C0889">
            <w:pPr>
              <w:pStyle w:val="NormalWeb"/>
              <w:spacing w:before="0" w:beforeAutospacing="0"/>
            </w:pPr>
            <w:r w:rsidRPr="00516958">
              <w:t xml:space="preserve">8. Page 8, Section 2.26, line 2.2.6: This is a useful measurement. Can I just clarify </w:t>
            </w:r>
            <w:proofErr w:type="gramStart"/>
            <w:r w:rsidRPr="00516958">
              <w:t>whether or not</w:t>
            </w:r>
            <w:proofErr w:type="gramEnd"/>
            <w:r w:rsidRPr="00516958">
              <w:t xml:space="preserve"> the authors use it at all i.e. in terms of subtracting from the "cell exposure" spectra?</w:t>
            </w:r>
          </w:p>
        </w:tc>
        <w:tc>
          <w:tcPr>
            <w:tcW w:w="6804" w:type="dxa"/>
          </w:tcPr>
          <w:p w14:paraId="30D0EE0C" w14:textId="77777777" w:rsidR="00191228" w:rsidRPr="00191228" w:rsidRDefault="00516958" w:rsidP="000C0889">
            <w:pPr>
              <w:pStyle w:val="NormalWeb"/>
              <w:spacing w:before="0" w:beforeAutospacing="0" w:after="0" w:afterAutospacing="0"/>
            </w:pPr>
            <w:r w:rsidRPr="00191228">
              <w:t xml:space="preserve">The background is </w:t>
            </w:r>
            <w:r w:rsidR="003A3E9A" w:rsidRPr="00191228">
              <w:t xml:space="preserve">used </w:t>
            </w:r>
            <w:r w:rsidRPr="00191228">
              <w:t>as a reference so that the confidence in a particular response metric (e.g. size of 3</w:t>
            </w:r>
            <w:r w:rsidRPr="00191228">
              <w:rPr>
                <w:vertAlign w:val="superscript"/>
              </w:rPr>
              <w:t>rd</w:t>
            </w:r>
            <w:r w:rsidRPr="00191228">
              <w:t xml:space="preserve"> ultraha</w:t>
            </w:r>
            <w:r w:rsidR="00380037" w:rsidRPr="00191228">
              <w:t>r</w:t>
            </w:r>
            <w:r w:rsidRPr="00191228">
              <w:t>monic or total broadband power) is meaningful but is also helpful as a diagnostic for electronics problems. This measurement made is in addition to controls with ultrasound but without cavitation agents.</w:t>
            </w:r>
            <w:r w:rsidR="007920AD" w:rsidRPr="00191228">
              <w:t xml:space="preserve"> </w:t>
            </w:r>
            <w:r w:rsidR="00191228" w:rsidRPr="00191228">
              <w:t>We typically display the background level in figures to indicate its level relative to the signal(s) of interest rather than subtracting it during processing.</w:t>
            </w:r>
          </w:p>
          <w:p w14:paraId="747873BB" w14:textId="5A18238D" w:rsidR="00516958" w:rsidRPr="00191228" w:rsidRDefault="00516958" w:rsidP="000C0889">
            <w:pPr>
              <w:pStyle w:val="NormalWeb"/>
              <w:spacing w:before="0" w:beforeAutospacing="0"/>
            </w:pPr>
          </w:p>
        </w:tc>
      </w:tr>
      <w:tr w:rsidR="00516958" w:rsidRPr="00516958" w14:paraId="18C8452A" w14:textId="77777777" w:rsidTr="00516958">
        <w:tc>
          <w:tcPr>
            <w:tcW w:w="6941" w:type="dxa"/>
          </w:tcPr>
          <w:p w14:paraId="668A4BDE" w14:textId="65BBAEB3" w:rsidR="00516958" w:rsidRPr="00516958" w:rsidRDefault="00516958" w:rsidP="000C0889">
            <w:pPr>
              <w:pStyle w:val="NormalWeb"/>
              <w:spacing w:before="0" w:beforeAutospacing="0"/>
            </w:pPr>
            <w:r w:rsidRPr="00516958">
              <w:t>9. Page 8, Section 3.2.2.6: "while inject" should be "while injecting".</w:t>
            </w:r>
            <w:r w:rsidRPr="00516958">
              <w:br/>
            </w:r>
          </w:p>
        </w:tc>
        <w:tc>
          <w:tcPr>
            <w:tcW w:w="6804" w:type="dxa"/>
          </w:tcPr>
          <w:p w14:paraId="628D5EC2" w14:textId="04683F25" w:rsidR="00516958" w:rsidRPr="00516958" w:rsidRDefault="00516958" w:rsidP="000C0889">
            <w:pPr>
              <w:pStyle w:val="NormalWeb"/>
              <w:spacing w:before="0" w:beforeAutospacing="0"/>
            </w:pPr>
            <w:r w:rsidRPr="00516958">
              <w:t>This has been corrected, thank you.</w:t>
            </w:r>
          </w:p>
        </w:tc>
      </w:tr>
      <w:tr w:rsidR="00516958" w:rsidRPr="00516958" w14:paraId="7F037D64" w14:textId="77777777" w:rsidTr="00516958">
        <w:tc>
          <w:tcPr>
            <w:tcW w:w="6941" w:type="dxa"/>
          </w:tcPr>
          <w:p w14:paraId="3591EB3A" w14:textId="5950A0B3" w:rsidR="00516958" w:rsidRPr="00516958" w:rsidRDefault="00516958" w:rsidP="000C0889">
            <w:pPr>
              <w:pStyle w:val="NormalWeb"/>
              <w:spacing w:before="0" w:beforeAutospacing="0"/>
            </w:pPr>
            <w:r w:rsidRPr="00516958">
              <w:t>10. Page 10, Section 3.3.5: I believe it is better to measure the direct drive voltage being applied to the transducer using a high impedance scope or voltage probe.</w:t>
            </w:r>
            <w:r w:rsidRPr="00516958">
              <w:br/>
            </w:r>
          </w:p>
        </w:tc>
        <w:tc>
          <w:tcPr>
            <w:tcW w:w="6804" w:type="dxa"/>
          </w:tcPr>
          <w:p w14:paraId="1CFBF400" w14:textId="4EC00374" w:rsidR="00516958" w:rsidRPr="00516958" w:rsidRDefault="00516958" w:rsidP="000C0889">
            <w:pPr>
              <w:pStyle w:val="NormalWeb"/>
              <w:spacing w:before="0" w:beforeAutospacing="0"/>
              <w:rPr>
                <w:lang w:val="en-US"/>
              </w:rPr>
            </w:pPr>
            <w:r w:rsidRPr="00516958">
              <w:t xml:space="preserve">Section 3.3.3.5 makes this recommendation, but we have modified the wording to improve its clarity: </w:t>
            </w:r>
          </w:p>
          <w:p w14:paraId="52254AD6" w14:textId="1861C4DD" w:rsidR="00516958" w:rsidRPr="00516958" w:rsidRDefault="008E4FEF" w:rsidP="000C0889">
            <w:pPr>
              <w:jc w:val="both"/>
              <w:rPr>
                <w:rFonts w:ascii="Calibri" w:eastAsia="Calibri" w:hAnsi="Calibri" w:cs="Calibri"/>
                <w:lang w:val="en-US"/>
              </w:rPr>
            </w:pPr>
            <w:r>
              <w:rPr>
                <w:rFonts w:ascii="Calibri" w:eastAsia="Calibri" w:hAnsi="Calibri" w:cs="Calibri"/>
                <w:lang w:val="en-US"/>
              </w:rPr>
              <w:t>“</w:t>
            </w:r>
            <w:r w:rsidR="00516958" w:rsidRPr="00516958">
              <w:rPr>
                <w:rFonts w:ascii="Calibri" w:eastAsia="Calibri" w:hAnsi="Calibri" w:cs="Calibri"/>
                <w:lang w:val="en-US"/>
              </w:rPr>
              <w:t>3.3.3.5. Monitor the amplifier output signal that drives the ultrasound source (as opposed to the waveform generator output) throughout the experiment in order to ensure that the exposure is proceeding as expected. Use a high voltage probe for this measurement and make sure that the oscilloscope is set to compensate for probe attenuation.</w:t>
            </w:r>
            <w:r>
              <w:rPr>
                <w:rFonts w:ascii="Calibri" w:eastAsia="Calibri" w:hAnsi="Calibri" w:cs="Calibri"/>
                <w:lang w:val="en-US"/>
              </w:rPr>
              <w:t>”</w:t>
            </w:r>
          </w:p>
          <w:p w14:paraId="39F9CEC9" w14:textId="00BC7C11" w:rsidR="00516958" w:rsidRPr="00516958" w:rsidRDefault="00516958" w:rsidP="000C0889">
            <w:pPr>
              <w:pStyle w:val="NormalWeb"/>
              <w:spacing w:before="0" w:beforeAutospacing="0"/>
              <w:rPr>
                <w:lang w:val="en-US"/>
              </w:rPr>
            </w:pPr>
          </w:p>
        </w:tc>
      </w:tr>
      <w:tr w:rsidR="00516958" w:rsidRPr="00516958" w14:paraId="670D0745" w14:textId="77777777" w:rsidTr="00516958">
        <w:tc>
          <w:tcPr>
            <w:tcW w:w="6941" w:type="dxa"/>
          </w:tcPr>
          <w:p w14:paraId="271CA34A" w14:textId="77777777" w:rsidR="00516958" w:rsidRDefault="00516958" w:rsidP="0000347D">
            <w:pPr>
              <w:pStyle w:val="NormalWeb"/>
              <w:spacing w:before="0" w:beforeAutospacing="0" w:after="0" w:afterAutospacing="0"/>
            </w:pPr>
            <w:r w:rsidRPr="00516958">
              <w:t xml:space="preserve">11. Page 11, line 500: How is the standard deviation calculated? Given that this is a time-varying system and spectra are being acquired continually? Or does this refer to what you could call "true repeats" i.e. with newly </w:t>
            </w:r>
            <w:r w:rsidRPr="00516958">
              <w:lastRenderedPageBreak/>
              <w:t>replenished chambers with identical constituents and nominally identical exposure conditions?</w:t>
            </w:r>
          </w:p>
          <w:p w14:paraId="6CD916AE" w14:textId="23A25ED4" w:rsidR="0000347D" w:rsidRPr="00516958" w:rsidRDefault="0000347D" w:rsidP="0000347D">
            <w:pPr>
              <w:pStyle w:val="NormalWeb"/>
              <w:spacing w:before="0" w:beforeAutospacing="0" w:after="0" w:afterAutospacing="0"/>
            </w:pPr>
          </w:p>
        </w:tc>
        <w:tc>
          <w:tcPr>
            <w:tcW w:w="6804" w:type="dxa"/>
          </w:tcPr>
          <w:p w14:paraId="5F47F889" w14:textId="76168EE0" w:rsidR="00516958" w:rsidRPr="00516958" w:rsidRDefault="00516958" w:rsidP="0000347D">
            <w:pPr>
              <w:pStyle w:val="NormalWeb"/>
              <w:spacing w:before="0" w:beforeAutospacing="0" w:after="0" w:afterAutospacing="0"/>
            </w:pPr>
            <w:r w:rsidRPr="00516958">
              <w:lastRenderedPageBreak/>
              <w:t xml:space="preserve">The standard deviations are across ‘true repeats’ at each time point, since cavitation </w:t>
            </w:r>
            <w:proofErr w:type="spellStart"/>
            <w:r w:rsidRPr="00516958">
              <w:t>behaviors</w:t>
            </w:r>
            <w:proofErr w:type="spellEnd"/>
            <w:r w:rsidRPr="00516958">
              <w:t xml:space="preserve"> are generally dependent on exposure history.</w:t>
            </w:r>
          </w:p>
        </w:tc>
      </w:tr>
      <w:tr w:rsidR="00516958" w:rsidRPr="00516958" w14:paraId="2D77B73B" w14:textId="77777777" w:rsidTr="00516958">
        <w:tc>
          <w:tcPr>
            <w:tcW w:w="6941" w:type="dxa"/>
          </w:tcPr>
          <w:p w14:paraId="5A444F00" w14:textId="77777777" w:rsidR="00516958" w:rsidRDefault="00516958" w:rsidP="0000347D">
            <w:pPr>
              <w:pStyle w:val="NormalWeb"/>
              <w:spacing w:before="0" w:beforeAutospacing="0" w:after="0" w:afterAutospacing="0"/>
            </w:pPr>
            <w:r w:rsidRPr="00516958">
              <w:t>12. Page 11, Table of Materials: given the aim is to establish free-field condition in the exposure chamber it seems a little strange to exclude the absorber details. If it is commercially available, then a specification would be available to the interested researcher; if it is ''homemade'', what is its specification in terms of echo-reduction?</w:t>
            </w:r>
          </w:p>
          <w:p w14:paraId="0397E1DC" w14:textId="40460BED" w:rsidR="0000347D" w:rsidRPr="00516958" w:rsidRDefault="0000347D" w:rsidP="0000347D">
            <w:pPr>
              <w:pStyle w:val="NormalWeb"/>
              <w:spacing w:before="0" w:beforeAutospacing="0" w:after="0" w:afterAutospacing="0"/>
            </w:pPr>
          </w:p>
        </w:tc>
        <w:tc>
          <w:tcPr>
            <w:tcW w:w="6804" w:type="dxa"/>
          </w:tcPr>
          <w:p w14:paraId="2BEC2426" w14:textId="0007327C" w:rsidR="008E4FEF" w:rsidRDefault="008E4FEF" w:rsidP="0000347D">
            <w:pPr>
              <w:pStyle w:val="NormalWeb"/>
              <w:spacing w:before="0" w:beforeAutospacing="0" w:after="0" w:afterAutospacing="0"/>
            </w:pPr>
            <w:r w:rsidRPr="00516958">
              <w:t>Details have been added to the Table of Materials.</w:t>
            </w:r>
            <w:r>
              <w:t xml:space="preserve"> </w:t>
            </w:r>
            <w:r w:rsidR="00516958" w:rsidRPr="00516958">
              <w:t xml:space="preserve">All acoustic absorbers were made from </w:t>
            </w:r>
            <w:proofErr w:type="spellStart"/>
            <w:r w:rsidR="00516958" w:rsidRPr="00516958">
              <w:t>APTFlex</w:t>
            </w:r>
            <w:proofErr w:type="spellEnd"/>
            <w:r w:rsidR="00516958" w:rsidRPr="00516958">
              <w:t xml:space="preserve"> F28 precast panels with 1.0 cm thickness, Precision Acoustics Ltd., Dorset, UK. </w:t>
            </w:r>
          </w:p>
          <w:p w14:paraId="74C05A9C" w14:textId="0F22DE8C" w:rsidR="00516958" w:rsidRPr="00516958" w:rsidRDefault="00516958" w:rsidP="0000347D">
            <w:pPr>
              <w:pStyle w:val="NormalWeb"/>
              <w:spacing w:before="0" w:beforeAutospacing="0" w:after="0" w:afterAutospacing="0"/>
            </w:pPr>
          </w:p>
        </w:tc>
      </w:tr>
      <w:tr w:rsidR="00516958" w:rsidRPr="00516958" w14:paraId="0756A32D" w14:textId="77777777" w:rsidTr="00516958">
        <w:tc>
          <w:tcPr>
            <w:tcW w:w="6941" w:type="dxa"/>
          </w:tcPr>
          <w:p w14:paraId="7088843D" w14:textId="77777777" w:rsidR="00516958" w:rsidRDefault="00516958" w:rsidP="0000347D">
            <w:pPr>
              <w:pStyle w:val="NormalWeb"/>
              <w:spacing w:before="0" w:beforeAutospacing="0" w:after="0" w:afterAutospacing="0"/>
            </w:pPr>
            <w:r w:rsidRPr="00516958">
              <w:t xml:space="preserve">13. Page 11, Table of Materials: similarly, given the importance of measuring exposure to reproducibility, information on the characterisation system should be stated in terms of hydrophone used (manufacturer/type), angle of tilt and uncertainty at the </w:t>
            </w:r>
            <w:proofErr w:type="gramStart"/>
            <w:r w:rsidRPr="00516958">
              <w:t>particular frequencies</w:t>
            </w:r>
            <w:proofErr w:type="gramEnd"/>
            <w:r w:rsidRPr="00516958">
              <w:t xml:space="preserve"> of interest. This uncertainty is not just the uncertainty on the calibration certificate by may involve variations over the volume on interest - see the prior comment 4.</w:t>
            </w:r>
          </w:p>
          <w:p w14:paraId="3EDAC9BF" w14:textId="66A55A5D" w:rsidR="0000347D" w:rsidRPr="00516958" w:rsidRDefault="0000347D" w:rsidP="0000347D">
            <w:pPr>
              <w:pStyle w:val="NormalWeb"/>
              <w:spacing w:before="0" w:beforeAutospacing="0" w:after="0" w:afterAutospacing="0"/>
            </w:pPr>
          </w:p>
        </w:tc>
        <w:tc>
          <w:tcPr>
            <w:tcW w:w="6804" w:type="dxa"/>
          </w:tcPr>
          <w:p w14:paraId="6A7A741C" w14:textId="170E0D26" w:rsidR="00516958" w:rsidRPr="00516958" w:rsidRDefault="00516958" w:rsidP="0000347D">
            <w:pPr>
              <w:pStyle w:val="NormalWeb"/>
              <w:spacing w:before="0" w:beforeAutospacing="0" w:after="0" w:afterAutospacing="0"/>
            </w:pPr>
            <w:r w:rsidRPr="00516958">
              <w:t>Hydrophone details have been added to the Table of Materials</w:t>
            </w:r>
            <w:r w:rsidR="004333E5">
              <w:t xml:space="preserve"> and revisions made to the manuscript as above in </w:t>
            </w:r>
            <w:r w:rsidR="00254D8B">
              <w:t>respect of comments 4 and 5</w:t>
            </w:r>
            <w:r w:rsidRPr="00516958">
              <w:t xml:space="preserve">. </w:t>
            </w:r>
          </w:p>
        </w:tc>
      </w:tr>
      <w:tr w:rsidR="00516958" w:rsidRPr="00516958" w14:paraId="6FBFBB4A" w14:textId="77777777" w:rsidTr="00516958">
        <w:tc>
          <w:tcPr>
            <w:tcW w:w="6941" w:type="dxa"/>
          </w:tcPr>
          <w:p w14:paraId="556A330D" w14:textId="62FE8567" w:rsidR="00516958" w:rsidRPr="00516958" w:rsidRDefault="00516958" w:rsidP="0000347D">
            <w:pPr>
              <w:pStyle w:val="NormalWeb"/>
              <w:spacing w:before="0" w:beforeAutospacing="0" w:after="0" w:afterAutospacing="0"/>
            </w:pPr>
            <w:r w:rsidRPr="00516958">
              <w:t>14. Page 13: I may have missed this but what temperature was used for these exposures? What was the uncertainty in temperature?</w:t>
            </w:r>
          </w:p>
        </w:tc>
        <w:tc>
          <w:tcPr>
            <w:tcW w:w="6804" w:type="dxa"/>
          </w:tcPr>
          <w:p w14:paraId="582D9A1E" w14:textId="393C5B21" w:rsidR="00516958" w:rsidRPr="00516958" w:rsidRDefault="00516958" w:rsidP="0000347D">
            <w:pPr>
              <w:pStyle w:val="NormalWeb"/>
              <w:spacing w:before="0" w:beforeAutospacing="0" w:after="0" w:afterAutospacing="0"/>
            </w:pPr>
            <w:r w:rsidRPr="00516958">
              <w:t>This information has been added to the first paragraph of this section:</w:t>
            </w:r>
          </w:p>
          <w:p w14:paraId="1BC537D6" w14:textId="77777777" w:rsidR="00007A1A" w:rsidRDefault="00007A1A" w:rsidP="0000347D">
            <w:pPr>
              <w:pStyle w:val="NormalWeb"/>
              <w:spacing w:before="0" w:beforeAutospacing="0" w:after="0" w:afterAutospacing="0"/>
              <w:rPr>
                <w:rFonts w:eastAsia="Calibri"/>
                <w:lang w:val="en-US"/>
              </w:rPr>
            </w:pPr>
          </w:p>
          <w:p w14:paraId="1FCC34BB" w14:textId="77777777" w:rsidR="00516958" w:rsidRDefault="00007A1A" w:rsidP="0000347D">
            <w:pPr>
              <w:pStyle w:val="NormalWeb"/>
              <w:spacing w:before="0" w:beforeAutospacing="0" w:after="0" w:afterAutospacing="0"/>
              <w:rPr>
                <w:rFonts w:eastAsia="Calibri"/>
              </w:rPr>
            </w:pPr>
            <w:r>
              <w:rPr>
                <w:rFonts w:eastAsia="Calibri"/>
                <w:lang w:val="en-US"/>
              </w:rPr>
              <w:t>“</w:t>
            </w:r>
            <w:r w:rsidR="00516958" w:rsidRPr="00516958">
              <w:rPr>
                <w:rFonts w:eastAsia="Calibri"/>
                <w:lang w:val="en-US"/>
              </w:rPr>
              <w:t xml:space="preserve">Figure 4 shows examples of time and frequency domain PCD responses, illustrating three distinct cavitation behaviors. All data were collected on SAT3 using SonoVue microbubbles diluted 5x in PBS. The temperatures for all examples in this section </w:t>
            </w:r>
            <w:proofErr w:type="gramStart"/>
            <w:r w:rsidR="00516958" w:rsidRPr="00516958">
              <w:rPr>
                <w:rFonts w:eastAsia="Calibri"/>
                <w:lang w:val="en-US"/>
              </w:rPr>
              <w:t>were</w:t>
            </w:r>
            <w:proofErr w:type="gramEnd"/>
            <w:r w:rsidR="00516958" w:rsidRPr="00516958">
              <w:rPr>
                <w:rFonts w:eastAsia="Calibri"/>
                <w:lang w:val="en-US"/>
              </w:rPr>
              <w:t xml:space="preserve"> </w:t>
            </w:r>
            <w:r w:rsidR="00516958" w:rsidRPr="00516958">
              <w:rPr>
                <w:rFonts w:eastAsia="Calibri"/>
              </w:rPr>
              <w:t>was 19 ± 1 °C.</w:t>
            </w:r>
            <w:r>
              <w:rPr>
                <w:rFonts w:eastAsia="Calibri"/>
              </w:rPr>
              <w:t>”</w:t>
            </w:r>
          </w:p>
          <w:p w14:paraId="66354B18" w14:textId="151D4AD3" w:rsidR="0000347D" w:rsidRPr="00516958" w:rsidRDefault="0000347D" w:rsidP="0000347D">
            <w:pPr>
              <w:pStyle w:val="NormalWeb"/>
              <w:spacing w:before="0" w:beforeAutospacing="0" w:after="0" w:afterAutospacing="0"/>
              <w:rPr>
                <w:rFonts w:eastAsia="Calibri"/>
                <w:lang w:val="en-US"/>
              </w:rPr>
            </w:pPr>
          </w:p>
        </w:tc>
      </w:tr>
    </w:tbl>
    <w:p w14:paraId="0E28CC7C" w14:textId="28AA257E" w:rsidR="009A019A" w:rsidRPr="00516958" w:rsidRDefault="001F58CE" w:rsidP="000C0889">
      <w:pPr>
        <w:pStyle w:val="NormalWeb"/>
        <w:spacing w:before="0" w:beforeAutospacing="0"/>
      </w:pPr>
      <w:r w:rsidRPr="00516958">
        <w:br/>
      </w:r>
    </w:p>
    <w:p w14:paraId="21D40E23" w14:textId="5DF87002" w:rsidR="001F58CE" w:rsidRPr="00516958" w:rsidRDefault="001F58CE" w:rsidP="00D017A8">
      <w:pPr>
        <w:pStyle w:val="NormalWeb"/>
        <w:spacing w:before="0" w:beforeAutospacing="0"/>
      </w:pPr>
      <w:r w:rsidRPr="00516958">
        <w:br/>
      </w:r>
      <w:r w:rsidRPr="00516958">
        <w:br/>
      </w:r>
      <w:r w:rsidRPr="00516958">
        <w:br/>
      </w:r>
      <w:r w:rsidRPr="00516958">
        <w:br/>
      </w:r>
      <w:r w:rsidRPr="00516958">
        <w:br/>
      </w:r>
      <w:bookmarkStart w:id="0" w:name="_GoBack"/>
      <w:bookmarkEnd w:id="0"/>
    </w:p>
    <w:sectPr w:rsidR="001F58CE" w:rsidRPr="00516958" w:rsidSect="009A01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CE"/>
    <w:rsid w:val="00002543"/>
    <w:rsid w:val="0000347D"/>
    <w:rsid w:val="00007A1A"/>
    <w:rsid w:val="0001385D"/>
    <w:rsid w:val="0008043C"/>
    <w:rsid w:val="000933B6"/>
    <w:rsid w:val="000C0889"/>
    <w:rsid w:val="001067B4"/>
    <w:rsid w:val="00137916"/>
    <w:rsid w:val="00143A34"/>
    <w:rsid w:val="00176559"/>
    <w:rsid w:val="00191228"/>
    <w:rsid w:val="001A729B"/>
    <w:rsid w:val="001E35AF"/>
    <w:rsid w:val="001F054D"/>
    <w:rsid w:val="001F58CE"/>
    <w:rsid w:val="002303BF"/>
    <w:rsid w:val="00250B47"/>
    <w:rsid w:val="00254D8B"/>
    <w:rsid w:val="00266FAC"/>
    <w:rsid w:val="00284B1D"/>
    <w:rsid w:val="0029456E"/>
    <w:rsid w:val="002B454C"/>
    <w:rsid w:val="002D1151"/>
    <w:rsid w:val="00302D09"/>
    <w:rsid w:val="0032735A"/>
    <w:rsid w:val="003371C0"/>
    <w:rsid w:val="00355C09"/>
    <w:rsid w:val="00373C1B"/>
    <w:rsid w:val="00380037"/>
    <w:rsid w:val="0039042F"/>
    <w:rsid w:val="0039784E"/>
    <w:rsid w:val="003A3E9A"/>
    <w:rsid w:val="003D3A25"/>
    <w:rsid w:val="003E0602"/>
    <w:rsid w:val="00410A14"/>
    <w:rsid w:val="00412689"/>
    <w:rsid w:val="004333E5"/>
    <w:rsid w:val="004B2945"/>
    <w:rsid w:val="004F3102"/>
    <w:rsid w:val="00502120"/>
    <w:rsid w:val="00516958"/>
    <w:rsid w:val="00542987"/>
    <w:rsid w:val="005540D2"/>
    <w:rsid w:val="0056572E"/>
    <w:rsid w:val="00567771"/>
    <w:rsid w:val="005878BB"/>
    <w:rsid w:val="0059624C"/>
    <w:rsid w:val="005B1289"/>
    <w:rsid w:val="006363D5"/>
    <w:rsid w:val="00645306"/>
    <w:rsid w:val="00654177"/>
    <w:rsid w:val="006707C0"/>
    <w:rsid w:val="0067598F"/>
    <w:rsid w:val="00683FB0"/>
    <w:rsid w:val="006906A0"/>
    <w:rsid w:val="006E45D0"/>
    <w:rsid w:val="00700F8D"/>
    <w:rsid w:val="00703A14"/>
    <w:rsid w:val="00709EB8"/>
    <w:rsid w:val="00724E94"/>
    <w:rsid w:val="007652AE"/>
    <w:rsid w:val="007920AD"/>
    <w:rsid w:val="007962C2"/>
    <w:rsid w:val="0086732B"/>
    <w:rsid w:val="008812FB"/>
    <w:rsid w:val="00882262"/>
    <w:rsid w:val="008921A3"/>
    <w:rsid w:val="008A1349"/>
    <w:rsid w:val="008A28A7"/>
    <w:rsid w:val="008C0367"/>
    <w:rsid w:val="008C4EE0"/>
    <w:rsid w:val="008D71A6"/>
    <w:rsid w:val="008E4FEF"/>
    <w:rsid w:val="00975B7E"/>
    <w:rsid w:val="009A019A"/>
    <w:rsid w:val="009B3B17"/>
    <w:rsid w:val="009C6CD9"/>
    <w:rsid w:val="009E361D"/>
    <w:rsid w:val="009E7779"/>
    <w:rsid w:val="00A3274B"/>
    <w:rsid w:val="00A42F9E"/>
    <w:rsid w:val="00A97FA2"/>
    <w:rsid w:val="00AA599F"/>
    <w:rsid w:val="00AC2F36"/>
    <w:rsid w:val="00B10BAC"/>
    <w:rsid w:val="00B161D7"/>
    <w:rsid w:val="00B302DA"/>
    <w:rsid w:val="00B35145"/>
    <w:rsid w:val="00B93B38"/>
    <w:rsid w:val="00B93FDC"/>
    <w:rsid w:val="00BC3C44"/>
    <w:rsid w:val="00BF17C5"/>
    <w:rsid w:val="00C5258E"/>
    <w:rsid w:val="00C54C64"/>
    <w:rsid w:val="00C6687E"/>
    <w:rsid w:val="00C70654"/>
    <w:rsid w:val="00CA2325"/>
    <w:rsid w:val="00CC345D"/>
    <w:rsid w:val="00CE36CB"/>
    <w:rsid w:val="00D017A8"/>
    <w:rsid w:val="00D659F0"/>
    <w:rsid w:val="00D97F55"/>
    <w:rsid w:val="00DA381F"/>
    <w:rsid w:val="00DB7895"/>
    <w:rsid w:val="00DD1AF4"/>
    <w:rsid w:val="00DF2648"/>
    <w:rsid w:val="00E369C6"/>
    <w:rsid w:val="00E4388B"/>
    <w:rsid w:val="00E95A3D"/>
    <w:rsid w:val="00EA70F9"/>
    <w:rsid w:val="00EB4C82"/>
    <w:rsid w:val="00EB59B7"/>
    <w:rsid w:val="00F14AF1"/>
    <w:rsid w:val="00F15350"/>
    <w:rsid w:val="00F658C9"/>
    <w:rsid w:val="00F91604"/>
    <w:rsid w:val="00FC650F"/>
    <w:rsid w:val="00FE0E27"/>
    <w:rsid w:val="00FF174D"/>
    <w:rsid w:val="0150E2EC"/>
    <w:rsid w:val="020E68C7"/>
    <w:rsid w:val="02313F6B"/>
    <w:rsid w:val="023AA920"/>
    <w:rsid w:val="024C4C28"/>
    <w:rsid w:val="02673FF3"/>
    <w:rsid w:val="02E1F18F"/>
    <w:rsid w:val="0301D26E"/>
    <w:rsid w:val="03486D35"/>
    <w:rsid w:val="037E1DAE"/>
    <w:rsid w:val="0386163B"/>
    <w:rsid w:val="0387031D"/>
    <w:rsid w:val="03AEC123"/>
    <w:rsid w:val="041E1FBA"/>
    <w:rsid w:val="04752400"/>
    <w:rsid w:val="048062A0"/>
    <w:rsid w:val="0491DF09"/>
    <w:rsid w:val="04B26DB4"/>
    <w:rsid w:val="04C4B1ED"/>
    <w:rsid w:val="0547F9BE"/>
    <w:rsid w:val="0553508F"/>
    <w:rsid w:val="05F42908"/>
    <w:rsid w:val="0654600C"/>
    <w:rsid w:val="067AA59C"/>
    <w:rsid w:val="067FB207"/>
    <w:rsid w:val="06FD55E4"/>
    <w:rsid w:val="0715EEAC"/>
    <w:rsid w:val="072665B9"/>
    <w:rsid w:val="073C45F4"/>
    <w:rsid w:val="074C657A"/>
    <w:rsid w:val="07B6A69E"/>
    <w:rsid w:val="07CA7EDF"/>
    <w:rsid w:val="07D7CFFB"/>
    <w:rsid w:val="07F905F5"/>
    <w:rsid w:val="0832FAD1"/>
    <w:rsid w:val="0836B07C"/>
    <w:rsid w:val="085623FE"/>
    <w:rsid w:val="0870AB9E"/>
    <w:rsid w:val="08C375F0"/>
    <w:rsid w:val="09148A8F"/>
    <w:rsid w:val="0976AF5D"/>
    <w:rsid w:val="0995FF02"/>
    <w:rsid w:val="0A769502"/>
    <w:rsid w:val="0AB2E7C2"/>
    <w:rsid w:val="0AB5380D"/>
    <w:rsid w:val="0AE395F6"/>
    <w:rsid w:val="0B6D68F8"/>
    <w:rsid w:val="0B756467"/>
    <w:rsid w:val="0BAF9E9B"/>
    <w:rsid w:val="0BB04ABD"/>
    <w:rsid w:val="0BFFD5BA"/>
    <w:rsid w:val="0CBBC411"/>
    <w:rsid w:val="0D265CCA"/>
    <w:rsid w:val="0D3A226A"/>
    <w:rsid w:val="0D53A04B"/>
    <w:rsid w:val="0D58E77F"/>
    <w:rsid w:val="0D847B6C"/>
    <w:rsid w:val="0DAF7581"/>
    <w:rsid w:val="0E3C9363"/>
    <w:rsid w:val="0E65D438"/>
    <w:rsid w:val="0E6DB95B"/>
    <w:rsid w:val="0E79C662"/>
    <w:rsid w:val="0F30482A"/>
    <w:rsid w:val="0F379595"/>
    <w:rsid w:val="0F50F664"/>
    <w:rsid w:val="0F5A7185"/>
    <w:rsid w:val="0FACFB58"/>
    <w:rsid w:val="0FD2B58E"/>
    <w:rsid w:val="100C7578"/>
    <w:rsid w:val="102989EE"/>
    <w:rsid w:val="106F3863"/>
    <w:rsid w:val="10D71728"/>
    <w:rsid w:val="113D046B"/>
    <w:rsid w:val="115695DE"/>
    <w:rsid w:val="11E55437"/>
    <w:rsid w:val="12095FCB"/>
    <w:rsid w:val="12481DC0"/>
    <w:rsid w:val="127EC78D"/>
    <w:rsid w:val="12CF5E16"/>
    <w:rsid w:val="13364176"/>
    <w:rsid w:val="1348F5EF"/>
    <w:rsid w:val="134B2D46"/>
    <w:rsid w:val="13FFBB32"/>
    <w:rsid w:val="142A2FDD"/>
    <w:rsid w:val="1463E6BA"/>
    <w:rsid w:val="14764511"/>
    <w:rsid w:val="147E1AD0"/>
    <w:rsid w:val="147EE00D"/>
    <w:rsid w:val="14A7FAAA"/>
    <w:rsid w:val="14CEB8C3"/>
    <w:rsid w:val="15D45BA4"/>
    <w:rsid w:val="16288512"/>
    <w:rsid w:val="16343821"/>
    <w:rsid w:val="16427255"/>
    <w:rsid w:val="16DC46B4"/>
    <w:rsid w:val="17193DC7"/>
    <w:rsid w:val="173C9216"/>
    <w:rsid w:val="178F6EF8"/>
    <w:rsid w:val="1804C5CA"/>
    <w:rsid w:val="181EA164"/>
    <w:rsid w:val="1823BDB6"/>
    <w:rsid w:val="193EF807"/>
    <w:rsid w:val="19AA8285"/>
    <w:rsid w:val="1A034DA3"/>
    <w:rsid w:val="1B042345"/>
    <w:rsid w:val="1B04E7AF"/>
    <w:rsid w:val="1B2A0EB3"/>
    <w:rsid w:val="1BA29EFE"/>
    <w:rsid w:val="1BA3E470"/>
    <w:rsid w:val="1BCB4FC3"/>
    <w:rsid w:val="1C28EDD4"/>
    <w:rsid w:val="1C4ADC46"/>
    <w:rsid w:val="1C6A915F"/>
    <w:rsid w:val="1C72DA0D"/>
    <w:rsid w:val="1CB3D7E7"/>
    <w:rsid w:val="1CE7F2B1"/>
    <w:rsid w:val="1CF909C8"/>
    <w:rsid w:val="1D51E803"/>
    <w:rsid w:val="1DE65923"/>
    <w:rsid w:val="1E19944D"/>
    <w:rsid w:val="1E228686"/>
    <w:rsid w:val="1E4F6206"/>
    <w:rsid w:val="1E9D3EC9"/>
    <w:rsid w:val="1EB8FD73"/>
    <w:rsid w:val="1F85728F"/>
    <w:rsid w:val="1F960F1E"/>
    <w:rsid w:val="202CF4C0"/>
    <w:rsid w:val="202FC8E0"/>
    <w:rsid w:val="203DD125"/>
    <w:rsid w:val="205B0049"/>
    <w:rsid w:val="210AB1DE"/>
    <w:rsid w:val="2117B356"/>
    <w:rsid w:val="213AB3F6"/>
    <w:rsid w:val="215ED700"/>
    <w:rsid w:val="21A91A36"/>
    <w:rsid w:val="21DFD487"/>
    <w:rsid w:val="21FE1E6F"/>
    <w:rsid w:val="22CE5995"/>
    <w:rsid w:val="2377BF24"/>
    <w:rsid w:val="238336CC"/>
    <w:rsid w:val="239F6917"/>
    <w:rsid w:val="23BCD931"/>
    <w:rsid w:val="240E94A7"/>
    <w:rsid w:val="24127981"/>
    <w:rsid w:val="2448370D"/>
    <w:rsid w:val="24911B9E"/>
    <w:rsid w:val="24AE9F90"/>
    <w:rsid w:val="24CE7883"/>
    <w:rsid w:val="24EF0606"/>
    <w:rsid w:val="250F2C58"/>
    <w:rsid w:val="251F024F"/>
    <w:rsid w:val="252B3CCC"/>
    <w:rsid w:val="263DDDF7"/>
    <w:rsid w:val="263DEAD1"/>
    <w:rsid w:val="265A6796"/>
    <w:rsid w:val="269C2624"/>
    <w:rsid w:val="26AA8D7A"/>
    <w:rsid w:val="26AC1472"/>
    <w:rsid w:val="26BFF95D"/>
    <w:rsid w:val="26CC5B61"/>
    <w:rsid w:val="2780A3E0"/>
    <w:rsid w:val="27BC00CF"/>
    <w:rsid w:val="2802F27C"/>
    <w:rsid w:val="280672B8"/>
    <w:rsid w:val="291E6E2A"/>
    <w:rsid w:val="2922DF84"/>
    <w:rsid w:val="29E55BF3"/>
    <w:rsid w:val="2A73EE42"/>
    <w:rsid w:val="2AF847EC"/>
    <w:rsid w:val="2AFA07BF"/>
    <w:rsid w:val="2B117891"/>
    <w:rsid w:val="2B3FDD51"/>
    <w:rsid w:val="2B5621D9"/>
    <w:rsid w:val="2B7023B2"/>
    <w:rsid w:val="2C61035E"/>
    <w:rsid w:val="2C726E57"/>
    <w:rsid w:val="2C9E6943"/>
    <w:rsid w:val="2CA97677"/>
    <w:rsid w:val="2CD0B266"/>
    <w:rsid w:val="2CF89400"/>
    <w:rsid w:val="2D462DC8"/>
    <w:rsid w:val="2D827D76"/>
    <w:rsid w:val="2DAF96A8"/>
    <w:rsid w:val="2DEF3910"/>
    <w:rsid w:val="2DF2607C"/>
    <w:rsid w:val="2E3CA601"/>
    <w:rsid w:val="2E506F3A"/>
    <w:rsid w:val="2E707D18"/>
    <w:rsid w:val="2EE344FC"/>
    <w:rsid w:val="2F6023FD"/>
    <w:rsid w:val="2F79761D"/>
    <w:rsid w:val="2F98EBA0"/>
    <w:rsid w:val="2FC73119"/>
    <w:rsid w:val="2FCDDF6D"/>
    <w:rsid w:val="30408D4A"/>
    <w:rsid w:val="30D3D935"/>
    <w:rsid w:val="312C7532"/>
    <w:rsid w:val="3132E38B"/>
    <w:rsid w:val="3154E5DD"/>
    <w:rsid w:val="315978F6"/>
    <w:rsid w:val="323F1766"/>
    <w:rsid w:val="32A4DFF5"/>
    <w:rsid w:val="32D0EBC4"/>
    <w:rsid w:val="332D5E51"/>
    <w:rsid w:val="33D2099E"/>
    <w:rsid w:val="33F1BEFA"/>
    <w:rsid w:val="341F3166"/>
    <w:rsid w:val="34522B2A"/>
    <w:rsid w:val="34728B36"/>
    <w:rsid w:val="350B1726"/>
    <w:rsid w:val="363BFE65"/>
    <w:rsid w:val="373A088A"/>
    <w:rsid w:val="37407E3B"/>
    <w:rsid w:val="375AA0C8"/>
    <w:rsid w:val="37742DA7"/>
    <w:rsid w:val="37DCACF0"/>
    <w:rsid w:val="38153529"/>
    <w:rsid w:val="38C802AF"/>
    <w:rsid w:val="38DE7D07"/>
    <w:rsid w:val="3900E889"/>
    <w:rsid w:val="39030BFC"/>
    <w:rsid w:val="3946ACEE"/>
    <w:rsid w:val="394F7A51"/>
    <w:rsid w:val="395D9F57"/>
    <w:rsid w:val="39A6AB2F"/>
    <w:rsid w:val="39C70B01"/>
    <w:rsid w:val="39D20433"/>
    <w:rsid w:val="39EE9A0E"/>
    <w:rsid w:val="39FD2175"/>
    <w:rsid w:val="3A3453AC"/>
    <w:rsid w:val="3A58CB37"/>
    <w:rsid w:val="3A5E9538"/>
    <w:rsid w:val="3AFDEA40"/>
    <w:rsid w:val="3B028A90"/>
    <w:rsid w:val="3B1306FF"/>
    <w:rsid w:val="3B67CCB7"/>
    <w:rsid w:val="3B7E3A47"/>
    <w:rsid w:val="3BA2202A"/>
    <w:rsid w:val="3C3D45BA"/>
    <w:rsid w:val="3C584EE3"/>
    <w:rsid w:val="3C92CEAF"/>
    <w:rsid w:val="3D093726"/>
    <w:rsid w:val="3D517E4C"/>
    <w:rsid w:val="3D6C4C07"/>
    <w:rsid w:val="3DBE385A"/>
    <w:rsid w:val="3DC726F5"/>
    <w:rsid w:val="3DF28E6C"/>
    <w:rsid w:val="3EA49631"/>
    <w:rsid w:val="3EBC17AE"/>
    <w:rsid w:val="3ED64A88"/>
    <w:rsid w:val="3F490D32"/>
    <w:rsid w:val="3F4989A8"/>
    <w:rsid w:val="3F4EE79B"/>
    <w:rsid w:val="3FAD7FF0"/>
    <w:rsid w:val="3FBB4645"/>
    <w:rsid w:val="41273E97"/>
    <w:rsid w:val="41CCDD26"/>
    <w:rsid w:val="42246EA8"/>
    <w:rsid w:val="42919C3B"/>
    <w:rsid w:val="42C6537F"/>
    <w:rsid w:val="43F5B61C"/>
    <w:rsid w:val="444DAA88"/>
    <w:rsid w:val="44BAFF0B"/>
    <w:rsid w:val="44FD3A5A"/>
    <w:rsid w:val="450CF4EA"/>
    <w:rsid w:val="451CBFC8"/>
    <w:rsid w:val="456D30A6"/>
    <w:rsid w:val="45FC3EEC"/>
    <w:rsid w:val="4617DE40"/>
    <w:rsid w:val="4732B331"/>
    <w:rsid w:val="47B74C31"/>
    <w:rsid w:val="47CBA55D"/>
    <w:rsid w:val="47D32523"/>
    <w:rsid w:val="48245AC5"/>
    <w:rsid w:val="483579D8"/>
    <w:rsid w:val="489DD67B"/>
    <w:rsid w:val="48B53FCD"/>
    <w:rsid w:val="48B7A469"/>
    <w:rsid w:val="48C45475"/>
    <w:rsid w:val="48D20B43"/>
    <w:rsid w:val="48F59183"/>
    <w:rsid w:val="49122C87"/>
    <w:rsid w:val="496F2B1D"/>
    <w:rsid w:val="4987FE3E"/>
    <w:rsid w:val="499B8AAF"/>
    <w:rsid w:val="4A09E482"/>
    <w:rsid w:val="4A8E77C6"/>
    <w:rsid w:val="4A941FF5"/>
    <w:rsid w:val="4B3337D7"/>
    <w:rsid w:val="4B399705"/>
    <w:rsid w:val="4B50A78E"/>
    <w:rsid w:val="4BE87F96"/>
    <w:rsid w:val="4CCA66DB"/>
    <w:rsid w:val="4D1FFDDC"/>
    <w:rsid w:val="4D380477"/>
    <w:rsid w:val="4D7B1744"/>
    <w:rsid w:val="4D8227F9"/>
    <w:rsid w:val="4D953BDC"/>
    <w:rsid w:val="4DF1AE40"/>
    <w:rsid w:val="4E5BD43C"/>
    <w:rsid w:val="4E69672A"/>
    <w:rsid w:val="4E9A8C94"/>
    <w:rsid w:val="4EB8D794"/>
    <w:rsid w:val="4EBEA9FD"/>
    <w:rsid w:val="4F0C9896"/>
    <w:rsid w:val="4F2F31F8"/>
    <w:rsid w:val="4F4155A1"/>
    <w:rsid w:val="4F6974F3"/>
    <w:rsid w:val="4FD9E86E"/>
    <w:rsid w:val="506D57C0"/>
    <w:rsid w:val="514A58F6"/>
    <w:rsid w:val="5167BB7D"/>
    <w:rsid w:val="519430AE"/>
    <w:rsid w:val="527639AD"/>
    <w:rsid w:val="52A964CB"/>
    <w:rsid w:val="52AE5D67"/>
    <w:rsid w:val="52C1540A"/>
    <w:rsid w:val="532D1F02"/>
    <w:rsid w:val="5334D4E4"/>
    <w:rsid w:val="53B07591"/>
    <w:rsid w:val="5511A11B"/>
    <w:rsid w:val="556B90A5"/>
    <w:rsid w:val="560D993C"/>
    <w:rsid w:val="5611C1AA"/>
    <w:rsid w:val="561B262C"/>
    <w:rsid w:val="568A1958"/>
    <w:rsid w:val="5716E740"/>
    <w:rsid w:val="5722AB08"/>
    <w:rsid w:val="57701D56"/>
    <w:rsid w:val="577EB2EE"/>
    <w:rsid w:val="57943430"/>
    <w:rsid w:val="5852B143"/>
    <w:rsid w:val="587226A7"/>
    <w:rsid w:val="58C57FB0"/>
    <w:rsid w:val="58D89BA1"/>
    <w:rsid w:val="59109118"/>
    <w:rsid w:val="59150F20"/>
    <w:rsid w:val="5A00D3ED"/>
    <w:rsid w:val="5A3C41FB"/>
    <w:rsid w:val="5CA1B616"/>
    <w:rsid w:val="5CBE4594"/>
    <w:rsid w:val="5CEC6EF3"/>
    <w:rsid w:val="5D514780"/>
    <w:rsid w:val="5D63A2A0"/>
    <w:rsid w:val="5D66803F"/>
    <w:rsid w:val="5DF0F839"/>
    <w:rsid w:val="5E23AA63"/>
    <w:rsid w:val="5E3E88B7"/>
    <w:rsid w:val="5E46FC2D"/>
    <w:rsid w:val="5EF3D1E3"/>
    <w:rsid w:val="5FEDC158"/>
    <w:rsid w:val="60DA49D9"/>
    <w:rsid w:val="6136B2DC"/>
    <w:rsid w:val="616D5796"/>
    <w:rsid w:val="61FD9C50"/>
    <w:rsid w:val="62F5A473"/>
    <w:rsid w:val="641C4809"/>
    <w:rsid w:val="643F8387"/>
    <w:rsid w:val="647A7881"/>
    <w:rsid w:val="64BB5C6F"/>
    <w:rsid w:val="64E1FD0F"/>
    <w:rsid w:val="64EB9F12"/>
    <w:rsid w:val="650285DC"/>
    <w:rsid w:val="650BC071"/>
    <w:rsid w:val="6518425E"/>
    <w:rsid w:val="657C1F81"/>
    <w:rsid w:val="65E56873"/>
    <w:rsid w:val="6624C50C"/>
    <w:rsid w:val="668C9563"/>
    <w:rsid w:val="67605515"/>
    <w:rsid w:val="67718718"/>
    <w:rsid w:val="6825BE10"/>
    <w:rsid w:val="68D16F1E"/>
    <w:rsid w:val="68E8208F"/>
    <w:rsid w:val="691C2B79"/>
    <w:rsid w:val="692FC2E1"/>
    <w:rsid w:val="69943880"/>
    <w:rsid w:val="6A7344B5"/>
    <w:rsid w:val="6A9C4AE4"/>
    <w:rsid w:val="6B8B3C7A"/>
    <w:rsid w:val="6BA005E0"/>
    <w:rsid w:val="6BB7A6BE"/>
    <w:rsid w:val="6C02D5F8"/>
    <w:rsid w:val="6C66F233"/>
    <w:rsid w:val="6CAF7970"/>
    <w:rsid w:val="6CB64D36"/>
    <w:rsid w:val="6CFA94D9"/>
    <w:rsid w:val="6D0C4827"/>
    <w:rsid w:val="6D1C1A5F"/>
    <w:rsid w:val="6E7B2A14"/>
    <w:rsid w:val="6F1F6D7E"/>
    <w:rsid w:val="6F83AEB4"/>
    <w:rsid w:val="6FF54E68"/>
    <w:rsid w:val="708DFABE"/>
    <w:rsid w:val="71E52AB4"/>
    <w:rsid w:val="7217A9ED"/>
    <w:rsid w:val="72D8C885"/>
    <w:rsid w:val="7328E097"/>
    <w:rsid w:val="738BFE36"/>
    <w:rsid w:val="738F1804"/>
    <w:rsid w:val="73A2C76D"/>
    <w:rsid w:val="73B3AFAB"/>
    <w:rsid w:val="741A0170"/>
    <w:rsid w:val="74ED92C6"/>
    <w:rsid w:val="75038C7F"/>
    <w:rsid w:val="757763D7"/>
    <w:rsid w:val="75A98BDD"/>
    <w:rsid w:val="764CE232"/>
    <w:rsid w:val="766BD7B9"/>
    <w:rsid w:val="76898566"/>
    <w:rsid w:val="7704FB52"/>
    <w:rsid w:val="77695D09"/>
    <w:rsid w:val="7770FEE6"/>
    <w:rsid w:val="777A314B"/>
    <w:rsid w:val="77AB8485"/>
    <w:rsid w:val="77AC9F42"/>
    <w:rsid w:val="783540E2"/>
    <w:rsid w:val="78531B83"/>
    <w:rsid w:val="787B2151"/>
    <w:rsid w:val="78D7493C"/>
    <w:rsid w:val="78E38017"/>
    <w:rsid w:val="78FF6B0F"/>
    <w:rsid w:val="7955892F"/>
    <w:rsid w:val="79B2870A"/>
    <w:rsid w:val="79C1C0E0"/>
    <w:rsid w:val="7AD59834"/>
    <w:rsid w:val="7AECAAF3"/>
    <w:rsid w:val="7B45215D"/>
    <w:rsid w:val="7B84BB31"/>
    <w:rsid w:val="7BA6FBEB"/>
    <w:rsid w:val="7BA77678"/>
    <w:rsid w:val="7C545169"/>
    <w:rsid w:val="7C73A880"/>
    <w:rsid w:val="7CBE56DC"/>
    <w:rsid w:val="7D3DF8C6"/>
    <w:rsid w:val="7D8D8961"/>
    <w:rsid w:val="7DA7F54E"/>
    <w:rsid w:val="7DE3435C"/>
    <w:rsid w:val="7E658D95"/>
    <w:rsid w:val="7E6DC2A9"/>
    <w:rsid w:val="7EF33AC8"/>
    <w:rsid w:val="7F180BFD"/>
    <w:rsid w:val="7F28F574"/>
    <w:rsid w:val="7F85185F"/>
    <w:rsid w:val="7FC927EE"/>
    <w:rsid w:val="7FD42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4771"/>
  <w15:chartTrackingRefBased/>
  <w15:docId w15:val="{D6652026-39DF-44EC-A212-AD15A174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8CE"/>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F58CE"/>
    <w:rPr>
      <w:b/>
      <w:bCs/>
    </w:rPr>
  </w:style>
  <w:style w:type="table" w:styleId="TableGrid">
    <w:name w:val="Table Grid"/>
    <w:basedOn w:val="TableNormal"/>
    <w:uiPriority w:val="39"/>
    <w:rsid w:val="009A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4C64"/>
    <w:rPr>
      <w:sz w:val="16"/>
      <w:szCs w:val="16"/>
    </w:rPr>
  </w:style>
  <w:style w:type="paragraph" w:styleId="CommentText">
    <w:name w:val="annotation text"/>
    <w:basedOn w:val="Normal"/>
    <w:link w:val="CommentTextChar"/>
    <w:uiPriority w:val="99"/>
    <w:semiHidden/>
    <w:unhideWhenUsed/>
    <w:rsid w:val="00C54C64"/>
    <w:pPr>
      <w:spacing w:line="240" w:lineRule="auto"/>
    </w:pPr>
    <w:rPr>
      <w:sz w:val="20"/>
      <w:szCs w:val="20"/>
    </w:rPr>
  </w:style>
  <w:style w:type="character" w:customStyle="1" w:styleId="CommentTextChar">
    <w:name w:val="Comment Text Char"/>
    <w:basedOn w:val="DefaultParagraphFont"/>
    <w:link w:val="CommentText"/>
    <w:uiPriority w:val="99"/>
    <w:semiHidden/>
    <w:rsid w:val="00C54C64"/>
    <w:rPr>
      <w:sz w:val="20"/>
      <w:szCs w:val="20"/>
    </w:rPr>
  </w:style>
  <w:style w:type="paragraph" w:styleId="CommentSubject">
    <w:name w:val="annotation subject"/>
    <w:basedOn w:val="CommentText"/>
    <w:next w:val="CommentText"/>
    <w:link w:val="CommentSubjectChar"/>
    <w:uiPriority w:val="99"/>
    <w:semiHidden/>
    <w:unhideWhenUsed/>
    <w:rsid w:val="00C54C64"/>
    <w:rPr>
      <w:b/>
      <w:bCs/>
    </w:rPr>
  </w:style>
  <w:style w:type="character" w:customStyle="1" w:styleId="CommentSubjectChar">
    <w:name w:val="Comment Subject Char"/>
    <w:basedOn w:val="CommentTextChar"/>
    <w:link w:val="CommentSubject"/>
    <w:uiPriority w:val="99"/>
    <w:semiHidden/>
    <w:rsid w:val="00C54C64"/>
    <w:rPr>
      <w:b/>
      <w:bCs/>
      <w:sz w:val="20"/>
      <w:szCs w:val="20"/>
    </w:rPr>
  </w:style>
  <w:style w:type="paragraph" w:styleId="BalloonText">
    <w:name w:val="Balloon Text"/>
    <w:basedOn w:val="Normal"/>
    <w:link w:val="BalloonTextChar"/>
    <w:uiPriority w:val="99"/>
    <w:semiHidden/>
    <w:unhideWhenUsed/>
    <w:rsid w:val="00C54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2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E70DD9CB01644826790A9CAD4F8E5" ma:contentTypeVersion="11" ma:contentTypeDescription="Create a new document." ma:contentTypeScope="" ma:versionID="452d3acce5dbe01ea321c44443218294">
  <xsd:schema xmlns:xsd="http://www.w3.org/2001/XMLSchema" xmlns:xs="http://www.w3.org/2001/XMLSchema" xmlns:p="http://schemas.microsoft.com/office/2006/metadata/properties" xmlns:ns3="cb9691b9-6864-4b4e-9d45-a7fab6b1f025" xmlns:ns4="12da1371-c0bd-46af-a584-d0ca56511368" targetNamespace="http://schemas.microsoft.com/office/2006/metadata/properties" ma:root="true" ma:fieldsID="e6957a42d955327d2b8ecad5041c8afa" ns3:_="" ns4:_="">
    <xsd:import namespace="cb9691b9-6864-4b4e-9d45-a7fab6b1f025"/>
    <xsd:import namespace="12da1371-c0bd-46af-a584-d0ca565113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91b9-6864-4b4e-9d45-a7fab6b1f0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a1371-c0bd-46af-a584-d0ca565113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43118-0969-40C7-830F-AC563761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91b9-6864-4b4e-9d45-a7fab6b1f025"/>
    <ds:schemaRef ds:uri="12da1371-c0bd-46af-a584-d0ca56511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134FA-3FBE-4030-BA65-B4CDB5A6CB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54C8B-5E40-460B-B395-1B658A23C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3480</Words>
  <Characters>19837</Characters>
  <Application>Microsoft Office Word</Application>
  <DocSecurity>0</DocSecurity>
  <Lines>165</Lines>
  <Paragraphs>46</Paragraphs>
  <ScaleCrop>false</ScaleCrop>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Stride</dc:creator>
  <cp:keywords/>
  <dc:description/>
  <cp:lastModifiedBy>Eleanor Stride</cp:lastModifiedBy>
  <cp:revision>121</cp:revision>
  <dcterms:created xsi:type="dcterms:W3CDTF">2020-10-07T08:59:00Z</dcterms:created>
  <dcterms:modified xsi:type="dcterms:W3CDTF">2020-10-26T14:07:00Z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0x010100453E70DD9CB01644826790A9CAD4F8E5</vt:lpwstr>
  </property>
</Properties>
</file>