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CC665" w14:textId="77777777" w:rsidR="00275F93" w:rsidRPr="00675F54" w:rsidRDefault="00C03D89" w:rsidP="00675F54">
      <w:pPr>
        <w:contextualSpacing/>
        <w:rPr>
          <w:b/>
        </w:rPr>
      </w:pPr>
      <w:r w:rsidRPr="00675F54">
        <w:rPr>
          <w:b/>
        </w:rPr>
        <w:t>TITLE:</w:t>
      </w:r>
    </w:p>
    <w:p w14:paraId="0ED3E6F0" w14:textId="77777777" w:rsidR="00275F93" w:rsidRPr="00675F54" w:rsidRDefault="00C03D89" w:rsidP="00675F54">
      <w:pPr>
        <w:contextualSpacing/>
        <w:jc w:val="left"/>
      </w:pPr>
      <w:r w:rsidRPr="00675F54">
        <w:rPr>
          <w:b/>
          <w:bCs/>
        </w:rPr>
        <w:t xml:space="preserve">Crystallization and structural determination of an </w:t>
      </w:r>
      <w:proofErr w:type="spellStart"/>
      <w:proofErr w:type="gramStart"/>
      <w:r w:rsidRPr="00675F54">
        <w:rPr>
          <w:b/>
          <w:bCs/>
        </w:rPr>
        <w:t>enzyme:substrate</w:t>
      </w:r>
      <w:proofErr w:type="spellEnd"/>
      <w:proofErr w:type="gramEnd"/>
      <w:r w:rsidRPr="00675F54">
        <w:rPr>
          <w:b/>
          <w:bCs/>
        </w:rPr>
        <w:t xml:space="preserve"> complex by serial crystallography in a versatile microfluidic chip</w:t>
      </w:r>
    </w:p>
    <w:p w14:paraId="724F3B48" w14:textId="77777777" w:rsidR="00275F93" w:rsidRPr="00675F54" w:rsidRDefault="00275F93" w:rsidP="00675F54">
      <w:pPr>
        <w:contextualSpacing/>
        <w:rPr>
          <w:b/>
        </w:rPr>
      </w:pPr>
    </w:p>
    <w:p w14:paraId="3F540699" w14:textId="1F9BEB77" w:rsidR="00275F93" w:rsidRPr="00675F54" w:rsidRDefault="00C03D89" w:rsidP="00675F54">
      <w:pPr>
        <w:contextualSpacing/>
        <w:rPr>
          <w:b/>
        </w:rPr>
      </w:pPr>
      <w:r w:rsidRPr="00675F54">
        <w:rPr>
          <w:b/>
        </w:rPr>
        <w:t>AUTHORS AND AFFILIATIONS:</w:t>
      </w:r>
    </w:p>
    <w:p w14:paraId="158DFDE4" w14:textId="77777777" w:rsidR="00275F93" w:rsidRPr="00675F54" w:rsidRDefault="00C03D89" w:rsidP="00675F54">
      <w:pPr>
        <w:contextualSpacing/>
      </w:pPr>
      <w:r w:rsidRPr="00675F54">
        <w:rPr>
          <w:rStyle w:val="IUCrauthorpunctuation"/>
          <w:rFonts w:ascii="Calibri" w:hAnsi="Calibri"/>
        </w:rPr>
        <w:t>Raphaël de Wijn</w:t>
      </w:r>
      <w:r w:rsidRPr="00675F54">
        <w:rPr>
          <w:rStyle w:val="IUCrauthorpunctuation"/>
          <w:rFonts w:ascii="Calibri" w:hAnsi="Calibri"/>
          <w:vertAlign w:val="superscript"/>
        </w:rPr>
        <w:t>1,5</w:t>
      </w:r>
      <w:r w:rsidRPr="00675F54">
        <w:rPr>
          <w:rStyle w:val="IUCrauthorpunctuation"/>
          <w:rFonts w:ascii="Calibri" w:hAnsi="Calibri"/>
        </w:rPr>
        <w:t xml:space="preserve">, </w:t>
      </w:r>
      <w:proofErr w:type="spellStart"/>
      <w:r w:rsidRPr="00675F54">
        <w:rPr>
          <w:rStyle w:val="IUCrauthorpunctuation"/>
          <w:rFonts w:ascii="Calibri" w:hAnsi="Calibri"/>
        </w:rPr>
        <w:t>Kévin</w:t>
      </w:r>
      <w:proofErr w:type="spellEnd"/>
      <w:r w:rsidRPr="00675F54">
        <w:rPr>
          <w:rStyle w:val="IUCrauthorpunctuation"/>
          <w:rFonts w:ascii="Calibri" w:hAnsi="Calibri"/>
        </w:rPr>
        <w:t xml:space="preserve"> Rollet</w:t>
      </w:r>
      <w:r w:rsidRPr="00675F54">
        <w:rPr>
          <w:rStyle w:val="IUCrauthorpunctuation"/>
          <w:rFonts w:ascii="Calibri" w:hAnsi="Calibri"/>
          <w:vertAlign w:val="superscript"/>
        </w:rPr>
        <w:t>1,2</w:t>
      </w:r>
      <w:r w:rsidRPr="00675F54">
        <w:rPr>
          <w:rStyle w:val="IUCrauthorpunctuation"/>
          <w:rFonts w:ascii="Calibri" w:hAnsi="Calibri"/>
        </w:rPr>
        <w:t>, Vincent Olieric</w:t>
      </w:r>
      <w:r w:rsidRPr="00675F54">
        <w:rPr>
          <w:rStyle w:val="IUCrauthorpunctuation"/>
          <w:rFonts w:ascii="Calibri" w:hAnsi="Calibri"/>
          <w:vertAlign w:val="superscript"/>
        </w:rPr>
        <w:t>3</w:t>
      </w:r>
      <w:r w:rsidRPr="00675F54">
        <w:rPr>
          <w:rStyle w:val="IUCrauthorpunctuation"/>
          <w:rFonts w:ascii="Calibri" w:hAnsi="Calibri"/>
        </w:rPr>
        <w:t>, Oliver Hennig</w:t>
      </w:r>
      <w:r w:rsidRPr="00675F54">
        <w:rPr>
          <w:rStyle w:val="IUCrauthorpunctuation"/>
          <w:rFonts w:ascii="Calibri" w:hAnsi="Calibri"/>
          <w:vertAlign w:val="superscript"/>
        </w:rPr>
        <w:t>2</w:t>
      </w:r>
      <w:r w:rsidRPr="00675F54">
        <w:rPr>
          <w:rStyle w:val="IUCrauthorpunctuation"/>
          <w:rFonts w:ascii="Calibri" w:hAnsi="Calibri"/>
        </w:rPr>
        <w:t>, Nicola Thome</w:t>
      </w:r>
      <w:r w:rsidRPr="00675F54">
        <w:rPr>
          <w:rStyle w:val="IUCrauthorpunctuation"/>
          <w:rFonts w:ascii="Calibri" w:hAnsi="Calibri"/>
          <w:vertAlign w:val="superscript"/>
        </w:rPr>
        <w:t>1</w:t>
      </w:r>
      <w:r w:rsidRPr="00675F54">
        <w:rPr>
          <w:rStyle w:val="IUCrauthorpunctuation"/>
          <w:rFonts w:ascii="Calibri" w:hAnsi="Calibri"/>
        </w:rPr>
        <w:t>, Camille Noûs</w:t>
      </w:r>
      <w:r w:rsidRPr="00675F54">
        <w:rPr>
          <w:rStyle w:val="IUCrauthorpunctuation"/>
          <w:rFonts w:ascii="Calibri" w:hAnsi="Calibri"/>
          <w:vertAlign w:val="superscript"/>
        </w:rPr>
        <w:t>1</w:t>
      </w:r>
      <w:r w:rsidRPr="00675F54">
        <w:rPr>
          <w:rStyle w:val="IUCrauthorpunctuation"/>
          <w:rFonts w:ascii="Calibri" w:hAnsi="Calibri"/>
        </w:rPr>
        <w:t>, Caroline Paulus</w:t>
      </w:r>
      <w:r w:rsidRPr="00675F54">
        <w:rPr>
          <w:rStyle w:val="IUCrauthorpunctuation"/>
          <w:rFonts w:ascii="Calibri" w:hAnsi="Calibri"/>
          <w:vertAlign w:val="superscript"/>
        </w:rPr>
        <w:t>1</w:t>
      </w:r>
      <w:r w:rsidRPr="00675F54">
        <w:rPr>
          <w:rStyle w:val="IUCrauthorpunctuation"/>
          <w:rFonts w:ascii="Calibri" w:hAnsi="Calibri"/>
        </w:rPr>
        <w:t>, Bernard Lorber</w:t>
      </w:r>
      <w:r w:rsidRPr="00675F54">
        <w:rPr>
          <w:rStyle w:val="IUCrauthorpunctuation"/>
          <w:rFonts w:ascii="Calibri" w:hAnsi="Calibri"/>
          <w:vertAlign w:val="superscript"/>
        </w:rPr>
        <w:t>1</w:t>
      </w:r>
      <w:r w:rsidRPr="00675F54">
        <w:rPr>
          <w:rStyle w:val="IUCrauthorpunctuation"/>
          <w:rFonts w:ascii="Calibri" w:hAnsi="Calibri"/>
        </w:rPr>
        <w:t>, Heike Betat</w:t>
      </w:r>
      <w:r w:rsidRPr="00675F54">
        <w:rPr>
          <w:rStyle w:val="IUCrauthorpunctuation"/>
          <w:rFonts w:ascii="Calibri" w:hAnsi="Calibri"/>
          <w:vertAlign w:val="superscript"/>
        </w:rPr>
        <w:t>2</w:t>
      </w:r>
      <w:r w:rsidRPr="00675F54">
        <w:rPr>
          <w:rStyle w:val="IUCrauthorpunctuation"/>
          <w:rFonts w:ascii="Calibri" w:hAnsi="Calibri"/>
        </w:rPr>
        <w:t>, Mario Mörl</w:t>
      </w:r>
      <w:r w:rsidRPr="00675F54">
        <w:rPr>
          <w:rStyle w:val="IUCrauthorpunctuation"/>
          <w:rFonts w:ascii="Calibri" w:hAnsi="Calibri"/>
          <w:vertAlign w:val="superscript"/>
        </w:rPr>
        <w:t>2</w:t>
      </w:r>
      <w:r w:rsidRPr="00675F54">
        <w:rPr>
          <w:rStyle w:val="IUCrauthorpunctuation"/>
          <w:rFonts w:ascii="Calibri" w:hAnsi="Calibri"/>
        </w:rPr>
        <w:t>, Claude Sauter</w:t>
      </w:r>
      <w:r w:rsidRPr="00675F54">
        <w:rPr>
          <w:rStyle w:val="IUCrauthorpunctuation"/>
          <w:rFonts w:ascii="Calibri" w:hAnsi="Calibri"/>
          <w:vertAlign w:val="superscript"/>
        </w:rPr>
        <w:t>1</w:t>
      </w:r>
    </w:p>
    <w:p w14:paraId="0351D34C" w14:textId="77777777" w:rsidR="00275F93" w:rsidRPr="00675F54" w:rsidRDefault="00275F93" w:rsidP="00675F54">
      <w:pPr>
        <w:contextualSpacing/>
        <w:rPr>
          <w:rStyle w:val="IUCrauthorpunctuation"/>
          <w:rFonts w:ascii="Calibri" w:hAnsi="Calibri"/>
        </w:rPr>
      </w:pPr>
    </w:p>
    <w:p w14:paraId="7523B850" w14:textId="77777777" w:rsidR="00275F93" w:rsidRPr="00675F54" w:rsidRDefault="00C03D89" w:rsidP="00675F54">
      <w:pPr>
        <w:contextualSpacing/>
      </w:pPr>
      <w:r w:rsidRPr="00675F54">
        <w:rPr>
          <w:rStyle w:val="IUCraffiliationtext"/>
          <w:rFonts w:ascii="Calibri" w:hAnsi="Calibri"/>
          <w:sz w:val="24"/>
          <w:vertAlign w:val="superscript"/>
        </w:rPr>
        <w:t>1</w:t>
      </w:r>
      <w:r w:rsidRPr="00675F54">
        <w:rPr>
          <w:rStyle w:val="IUCraffiliationtext"/>
          <w:rFonts w:ascii="Calibri" w:hAnsi="Calibri"/>
          <w:sz w:val="24"/>
        </w:rPr>
        <w:t xml:space="preserve">Université de Strasbourg, Architecture et </w:t>
      </w:r>
      <w:proofErr w:type="spellStart"/>
      <w:r w:rsidRPr="00675F54">
        <w:rPr>
          <w:rStyle w:val="IUCraffiliationtext"/>
          <w:rFonts w:ascii="Calibri" w:hAnsi="Calibri"/>
          <w:sz w:val="24"/>
        </w:rPr>
        <w:t>Réactivité</w:t>
      </w:r>
      <w:proofErr w:type="spellEnd"/>
      <w:r w:rsidRPr="00675F54">
        <w:rPr>
          <w:rStyle w:val="IUCraffiliationtext"/>
          <w:rFonts w:ascii="Calibri" w:hAnsi="Calibri"/>
          <w:sz w:val="24"/>
        </w:rPr>
        <w:t xml:space="preserve"> de </w:t>
      </w:r>
      <w:proofErr w:type="spellStart"/>
      <w:r w:rsidRPr="00675F54">
        <w:rPr>
          <w:rStyle w:val="IUCraffiliationtext"/>
          <w:rFonts w:ascii="Calibri" w:hAnsi="Calibri"/>
          <w:sz w:val="24"/>
        </w:rPr>
        <w:t>l’ARN</w:t>
      </w:r>
      <w:proofErr w:type="spellEnd"/>
      <w:r w:rsidRPr="00675F54">
        <w:rPr>
          <w:rStyle w:val="IUCraffiliationtext"/>
          <w:rFonts w:ascii="Calibri" w:hAnsi="Calibri"/>
          <w:sz w:val="24"/>
        </w:rPr>
        <w:t xml:space="preserve">, UPR 9002, CNRS, </w:t>
      </w:r>
      <w:proofErr w:type="spellStart"/>
      <w:r w:rsidRPr="00675F54">
        <w:rPr>
          <w:rStyle w:val="IUCraffiliationtext"/>
          <w:rFonts w:ascii="Calibri" w:hAnsi="Calibri"/>
          <w:sz w:val="24"/>
        </w:rPr>
        <w:t>Institut</w:t>
      </w:r>
      <w:proofErr w:type="spellEnd"/>
      <w:r w:rsidRPr="00675F54">
        <w:rPr>
          <w:rStyle w:val="IUCraffiliationtext"/>
          <w:rFonts w:ascii="Calibri" w:hAnsi="Calibri"/>
          <w:sz w:val="24"/>
        </w:rPr>
        <w:t xml:space="preserve"> de </w:t>
      </w:r>
      <w:proofErr w:type="spellStart"/>
      <w:r w:rsidRPr="00675F54">
        <w:rPr>
          <w:rStyle w:val="IUCraffiliationtext"/>
          <w:rFonts w:ascii="Calibri" w:hAnsi="Calibri"/>
          <w:sz w:val="24"/>
        </w:rPr>
        <w:t>Biologie</w:t>
      </w:r>
      <w:proofErr w:type="spellEnd"/>
      <w:r w:rsidRPr="00675F54">
        <w:rPr>
          <w:rStyle w:val="IUCraffiliationtext"/>
          <w:rFonts w:ascii="Calibri" w:hAnsi="Calibri"/>
          <w:sz w:val="24"/>
        </w:rPr>
        <w:t xml:space="preserve"> </w:t>
      </w:r>
      <w:proofErr w:type="spellStart"/>
      <w:r w:rsidRPr="00675F54">
        <w:rPr>
          <w:rStyle w:val="IUCraffiliationtext"/>
          <w:rFonts w:ascii="Calibri" w:hAnsi="Calibri"/>
          <w:sz w:val="24"/>
        </w:rPr>
        <w:t>Moléculaire</w:t>
      </w:r>
      <w:proofErr w:type="spellEnd"/>
      <w:r w:rsidRPr="00675F54">
        <w:rPr>
          <w:rStyle w:val="IUCraffiliationtext"/>
          <w:rFonts w:ascii="Calibri" w:hAnsi="Calibri"/>
          <w:sz w:val="24"/>
        </w:rPr>
        <w:t xml:space="preserve"> et </w:t>
      </w:r>
      <w:proofErr w:type="spellStart"/>
      <w:r w:rsidRPr="00675F54">
        <w:rPr>
          <w:rStyle w:val="IUCraffiliationtext"/>
          <w:rFonts w:ascii="Calibri" w:hAnsi="Calibri"/>
          <w:sz w:val="24"/>
        </w:rPr>
        <w:t>Cellulaire</w:t>
      </w:r>
      <w:proofErr w:type="spellEnd"/>
      <w:r w:rsidRPr="00675F54">
        <w:rPr>
          <w:rStyle w:val="IUCraffiliationtext"/>
          <w:rFonts w:ascii="Calibri" w:hAnsi="Calibri"/>
          <w:sz w:val="24"/>
        </w:rPr>
        <w:t xml:space="preserve">, Strasbourg, France </w:t>
      </w:r>
    </w:p>
    <w:p w14:paraId="7662CD9F" w14:textId="77777777" w:rsidR="00275F93" w:rsidRPr="00675F54" w:rsidRDefault="00C03D89" w:rsidP="00675F54">
      <w:pPr>
        <w:contextualSpacing/>
      </w:pPr>
      <w:r w:rsidRPr="00675F54">
        <w:rPr>
          <w:rStyle w:val="IUCraffiliationtext"/>
          <w:rFonts w:ascii="Calibri" w:hAnsi="Calibri"/>
          <w:sz w:val="24"/>
          <w:vertAlign w:val="superscript"/>
        </w:rPr>
        <w:t>2</w:t>
      </w:r>
      <w:r w:rsidRPr="00675F54">
        <w:rPr>
          <w:rStyle w:val="IUCraffiliationtext"/>
          <w:rFonts w:ascii="Calibri" w:hAnsi="Calibri"/>
          <w:sz w:val="24"/>
        </w:rPr>
        <w:t>Biochemistry and Molecular Biology, Institute for Biochemistry, Leipzig University, Leipzig, Germany</w:t>
      </w:r>
    </w:p>
    <w:p w14:paraId="47774792" w14:textId="77777777" w:rsidR="00275F93" w:rsidRPr="00675F54" w:rsidRDefault="00C03D89" w:rsidP="00675F54">
      <w:pPr>
        <w:contextualSpacing/>
      </w:pPr>
      <w:r w:rsidRPr="00675F54">
        <w:rPr>
          <w:rStyle w:val="IUCraffiliationtext"/>
          <w:rFonts w:ascii="Calibri" w:hAnsi="Calibri"/>
          <w:sz w:val="24"/>
          <w:vertAlign w:val="superscript"/>
          <w:lang w:val="de-DE"/>
        </w:rPr>
        <w:t>3</w:t>
      </w:r>
      <w:r w:rsidRPr="00675F54">
        <w:rPr>
          <w:rStyle w:val="IUCraffiliationtext"/>
          <w:rFonts w:ascii="Calibri" w:hAnsi="Calibri"/>
          <w:sz w:val="24"/>
          <w:lang w:val="de-DE"/>
        </w:rPr>
        <w:t>Paul Scherrer Institute, Swiss Light Source, X06DA beamline, Villigen, Switzerland</w:t>
      </w:r>
    </w:p>
    <w:p w14:paraId="46017ACA" w14:textId="77777777" w:rsidR="00275F93" w:rsidRPr="00675F54" w:rsidRDefault="00C03D89" w:rsidP="00675F54">
      <w:pPr>
        <w:contextualSpacing/>
      </w:pPr>
      <w:r w:rsidRPr="00675F54">
        <w:rPr>
          <w:rStyle w:val="IUCraffiliationtext"/>
          <w:rFonts w:ascii="Calibri" w:hAnsi="Calibri"/>
          <w:sz w:val="24"/>
          <w:vertAlign w:val="superscript"/>
        </w:rPr>
        <w:t>4</w:t>
      </w:r>
      <w:r w:rsidRPr="00675F54">
        <w:rPr>
          <w:rStyle w:val="IUCraffiliationtext"/>
          <w:rFonts w:ascii="Calibri" w:hAnsi="Calibri"/>
          <w:sz w:val="24"/>
        </w:rPr>
        <w:t xml:space="preserve">Present address: European XFEL GmbH, </w:t>
      </w:r>
      <w:proofErr w:type="spellStart"/>
      <w:r w:rsidRPr="00675F54">
        <w:t>Schenefeld</w:t>
      </w:r>
      <w:proofErr w:type="spellEnd"/>
      <w:r w:rsidRPr="00675F54">
        <w:t>, Germany</w:t>
      </w:r>
    </w:p>
    <w:p w14:paraId="41D06D8D" w14:textId="1352A07E" w:rsidR="00275F93" w:rsidRDefault="00C03D89" w:rsidP="00675F54">
      <w:pPr>
        <w:contextualSpacing/>
        <w:rPr>
          <w:rStyle w:val="IUCraffiliationtext"/>
          <w:rFonts w:ascii="Calibri" w:hAnsi="Calibri"/>
          <w:sz w:val="24"/>
        </w:rPr>
      </w:pPr>
      <w:r w:rsidRPr="00675F54">
        <w:rPr>
          <w:rStyle w:val="IUCraffiliationtext"/>
          <w:rFonts w:ascii="Calibri" w:hAnsi="Calibri"/>
          <w:sz w:val="24"/>
        </w:rPr>
        <w:t xml:space="preserve"> </w:t>
      </w:r>
    </w:p>
    <w:p w14:paraId="63E3C0DC" w14:textId="3E4909F3" w:rsidR="00A05590" w:rsidRDefault="00A05590" w:rsidP="00675F54">
      <w:pPr>
        <w:contextualSpacing/>
      </w:pPr>
      <w:hyperlink r:id="rId7" w:history="1">
        <w:r w:rsidRPr="002B74B7">
          <w:rPr>
            <w:rStyle w:val="Hyperlink"/>
          </w:rPr>
          <w:t>raphael.de.wijn@xfel.eu</w:t>
        </w:r>
      </w:hyperlink>
    </w:p>
    <w:p w14:paraId="24FAC530" w14:textId="0E679D50" w:rsidR="00A05590" w:rsidRDefault="00A05590" w:rsidP="00675F54">
      <w:pPr>
        <w:contextualSpacing/>
      </w:pPr>
      <w:hyperlink r:id="rId8" w:history="1">
        <w:r w:rsidRPr="002B74B7">
          <w:rPr>
            <w:rStyle w:val="Hyperlink"/>
          </w:rPr>
          <w:t>k.rollet@ibmc-cnrs.unistra.fr</w:t>
        </w:r>
      </w:hyperlink>
    </w:p>
    <w:p w14:paraId="0CEA176F" w14:textId="732CB874" w:rsidR="00A05590" w:rsidRDefault="00A05590" w:rsidP="00675F54">
      <w:pPr>
        <w:contextualSpacing/>
      </w:pPr>
      <w:hyperlink r:id="rId9" w:history="1">
        <w:r w:rsidRPr="002B74B7">
          <w:rPr>
            <w:rStyle w:val="Hyperlink"/>
          </w:rPr>
          <w:t>vinvent.olieric@psi.ch</w:t>
        </w:r>
      </w:hyperlink>
    </w:p>
    <w:p w14:paraId="4ADCD85A" w14:textId="04834A93" w:rsidR="00A05590" w:rsidRDefault="00A05590" w:rsidP="00675F54">
      <w:pPr>
        <w:contextualSpacing/>
      </w:pPr>
      <w:hyperlink r:id="rId10" w:history="1">
        <w:r w:rsidRPr="002B74B7">
          <w:rPr>
            <w:rStyle w:val="Hyperlink"/>
          </w:rPr>
          <w:t>oliver.hennig@uni-leipzig.de</w:t>
        </w:r>
      </w:hyperlink>
    </w:p>
    <w:p w14:paraId="7C1F6123" w14:textId="0AA15816" w:rsidR="00A05590" w:rsidRDefault="00A05590" w:rsidP="00675F54">
      <w:pPr>
        <w:contextualSpacing/>
      </w:pPr>
      <w:hyperlink r:id="rId11" w:history="1">
        <w:r w:rsidRPr="002B74B7">
          <w:rPr>
            <w:rStyle w:val="Hyperlink"/>
          </w:rPr>
          <w:t>nici7@online.de</w:t>
        </w:r>
      </w:hyperlink>
    </w:p>
    <w:p w14:paraId="0BA3BC91" w14:textId="383AEE26" w:rsidR="00A05590" w:rsidRDefault="00A05590" w:rsidP="00675F54">
      <w:pPr>
        <w:contextualSpacing/>
      </w:pPr>
      <w:hyperlink r:id="rId12" w:history="1">
        <w:r w:rsidRPr="002B74B7">
          <w:rPr>
            <w:rStyle w:val="Hyperlink"/>
          </w:rPr>
          <w:t>camille.nous@cogitamus.fr</w:t>
        </w:r>
      </w:hyperlink>
    </w:p>
    <w:p w14:paraId="78E69363" w14:textId="19BA5B0E" w:rsidR="00A05590" w:rsidRDefault="00A05590" w:rsidP="00675F54">
      <w:pPr>
        <w:contextualSpacing/>
      </w:pPr>
      <w:hyperlink r:id="rId13" w:history="1">
        <w:r w:rsidRPr="002B74B7">
          <w:rPr>
            <w:rStyle w:val="Hyperlink"/>
          </w:rPr>
          <w:t>c.paulus@unistra.fr</w:t>
        </w:r>
      </w:hyperlink>
    </w:p>
    <w:p w14:paraId="1C01B4DC" w14:textId="220DF8CB" w:rsidR="00A05590" w:rsidRDefault="00A05590" w:rsidP="00675F54">
      <w:pPr>
        <w:contextualSpacing/>
      </w:pPr>
      <w:hyperlink r:id="rId14" w:history="1">
        <w:r w:rsidRPr="002B74B7">
          <w:rPr>
            <w:rStyle w:val="Hyperlink"/>
          </w:rPr>
          <w:t>b.lorber@ibmc-cnrs.unistra.fr</w:t>
        </w:r>
      </w:hyperlink>
    </w:p>
    <w:p w14:paraId="4800A1AC" w14:textId="3C9204BE" w:rsidR="00A05590" w:rsidRDefault="00A05590" w:rsidP="00675F54">
      <w:pPr>
        <w:contextualSpacing/>
      </w:pPr>
      <w:hyperlink r:id="rId15" w:history="1">
        <w:r w:rsidRPr="002B74B7">
          <w:rPr>
            <w:rStyle w:val="Hyperlink"/>
          </w:rPr>
          <w:t>heike.betat@uni-leipzig.de</w:t>
        </w:r>
      </w:hyperlink>
    </w:p>
    <w:p w14:paraId="07D319EF" w14:textId="37BEE4FA" w:rsidR="00A05590" w:rsidRDefault="00A05590" w:rsidP="00675F54">
      <w:pPr>
        <w:contextualSpacing/>
      </w:pPr>
      <w:hyperlink r:id="rId16" w:history="1">
        <w:r w:rsidRPr="002B74B7">
          <w:rPr>
            <w:rStyle w:val="Hyperlink"/>
          </w:rPr>
          <w:t>mario.moerl@uni-leipzig.de</w:t>
        </w:r>
      </w:hyperlink>
    </w:p>
    <w:p w14:paraId="16B8CEAB" w14:textId="2865F433" w:rsidR="00A05590" w:rsidRDefault="00A05590" w:rsidP="00675F54">
      <w:pPr>
        <w:contextualSpacing/>
      </w:pPr>
      <w:hyperlink r:id="rId17" w:history="1">
        <w:r w:rsidRPr="002B74B7">
          <w:rPr>
            <w:rStyle w:val="Hyperlink"/>
          </w:rPr>
          <w:t>c.sauter@ibmc-cnrs.unistra.fr</w:t>
        </w:r>
      </w:hyperlink>
    </w:p>
    <w:p w14:paraId="24FFD426" w14:textId="77777777" w:rsidR="00A05590" w:rsidRPr="00675F54" w:rsidRDefault="00A05590" w:rsidP="00675F54">
      <w:pPr>
        <w:contextualSpacing/>
      </w:pPr>
    </w:p>
    <w:p w14:paraId="177D79C9" w14:textId="6D3E6958" w:rsidR="00675F54" w:rsidRPr="00675F54" w:rsidRDefault="00C03D89" w:rsidP="00675F54">
      <w:pPr>
        <w:contextualSpacing/>
        <w:rPr>
          <w:bCs/>
          <w:iCs/>
        </w:rPr>
      </w:pPr>
      <w:r w:rsidRPr="00675F54">
        <w:rPr>
          <w:bCs/>
          <w:iCs/>
        </w:rPr>
        <w:t>Corresponding Author:</w:t>
      </w:r>
      <w:r w:rsidR="00675F54">
        <w:rPr>
          <w:bCs/>
          <w:iCs/>
        </w:rPr>
        <w:t xml:space="preserve"> </w:t>
      </w:r>
    </w:p>
    <w:p w14:paraId="74078FB7" w14:textId="62CAC1E6" w:rsidR="00275F93" w:rsidRPr="00675F54" w:rsidRDefault="00C03D89" w:rsidP="00675F54">
      <w:pPr>
        <w:contextualSpacing/>
        <w:rPr>
          <w:bCs/>
          <w:iCs/>
        </w:rPr>
      </w:pPr>
      <w:r w:rsidRPr="00675F54">
        <w:rPr>
          <w:bCs/>
          <w:iCs/>
        </w:rPr>
        <w:t>Claude Sauter</w:t>
      </w:r>
    </w:p>
    <w:p w14:paraId="612142FC" w14:textId="6ADD7F3C" w:rsidR="00275F93" w:rsidRPr="00675F54" w:rsidRDefault="00416D2D" w:rsidP="00675F54">
      <w:pPr>
        <w:contextualSpacing/>
        <w:rPr>
          <w:iCs/>
        </w:rPr>
      </w:pPr>
      <w:hyperlink r:id="rId18">
        <w:r w:rsidR="00C03D89" w:rsidRPr="00675F54">
          <w:rPr>
            <w:rStyle w:val="LienInternet"/>
            <w:bCs/>
            <w:iCs/>
            <w:color w:val="auto"/>
          </w:rPr>
          <w:t>c.sauter@ibmc-cnrs.unistra.fr</w:t>
        </w:r>
      </w:hyperlink>
    </w:p>
    <w:p w14:paraId="0FE57428" w14:textId="77777777" w:rsidR="00275F93" w:rsidRPr="00675F54" w:rsidRDefault="00275F93" w:rsidP="00675F54">
      <w:pPr>
        <w:contextualSpacing/>
        <w:rPr>
          <w:bCs/>
          <w:i/>
        </w:rPr>
      </w:pPr>
    </w:p>
    <w:p w14:paraId="7A50189F" w14:textId="77777777" w:rsidR="00675F54" w:rsidRDefault="00C03D89" w:rsidP="00675F54">
      <w:pPr>
        <w:contextualSpacing/>
        <w:rPr>
          <w:b/>
        </w:rPr>
      </w:pPr>
      <w:r w:rsidRPr="00675F54">
        <w:rPr>
          <w:b/>
        </w:rPr>
        <w:t xml:space="preserve">KEYWORDS: </w:t>
      </w:r>
    </w:p>
    <w:p w14:paraId="70A5D45B" w14:textId="2B8722D5" w:rsidR="00275F93" w:rsidRPr="00675F54" w:rsidRDefault="00C03D89" w:rsidP="00675F54">
      <w:pPr>
        <w:contextualSpacing/>
      </w:pPr>
      <w:r w:rsidRPr="00675F54">
        <w:t xml:space="preserve">crystallization, serial crystallography, 3D structure, counter-diffusion, </w:t>
      </w:r>
      <w:proofErr w:type="spellStart"/>
      <w:r w:rsidRPr="00675F54">
        <w:t>ChipX</w:t>
      </w:r>
      <w:proofErr w:type="spellEnd"/>
      <w:r w:rsidRPr="00675F54">
        <w:t xml:space="preserve">, microfluidics, CCA-adding enzyme, soaking, </w:t>
      </w:r>
      <w:proofErr w:type="gramStart"/>
      <w:r w:rsidRPr="00675F54">
        <w:t>seeding</w:t>
      </w:r>
      <w:proofErr w:type="gramEnd"/>
    </w:p>
    <w:p w14:paraId="7279F4D9" w14:textId="77777777" w:rsidR="00275F93" w:rsidRPr="00675F54" w:rsidRDefault="00275F93" w:rsidP="00675F54">
      <w:pPr>
        <w:contextualSpacing/>
        <w:rPr>
          <w:rStyle w:val="IUCrauthorpunctuation"/>
          <w:rFonts w:ascii="Calibri" w:hAnsi="Calibri"/>
          <w:bCs/>
          <w:i/>
          <w:vertAlign w:val="superscript"/>
        </w:rPr>
      </w:pPr>
    </w:p>
    <w:p w14:paraId="3B6D6105" w14:textId="77777777" w:rsidR="00675F54" w:rsidRDefault="00C03D89" w:rsidP="00675F54">
      <w:pPr>
        <w:contextualSpacing/>
      </w:pPr>
      <w:r w:rsidRPr="00675F54">
        <w:rPr>
          <w:b/>
        </w:rPr>
        <w:t>SUMMARY:</w:t>
      </w:r>
      <w:r w:rsidRPr="00675F54">
        <w:t xml:space="preserve"> </w:t>
      </w:r>
    </w:p>
    <w:p w14:paraId="4BB3152E" w14:textId="411AC7BC" w:rsidR="00275F93" w:rsidRPr="00675F54" w:rsidRDefault="00C03D89" w:rsidP="00675F54">
      <w:pPr>
        <w:contextualSpacing/>
      </w:pPr>
      <w:r w:rsidRPr="00675F54">
        <w:t xml:space="preserve">A versatile microfluidic device is described that enables the crystallization of an enzyme using the counter-diffusion method, the introduction of a substrate in the crystals by soaking, and the 3D structure determination of the </w:t>
      </w:r>
      <w:proofErr w:type="spellStart"/>
      <w:proofErr w:type="gramStart"/>
      <w:r w:rsidRPr="00675F54">
        <w:t>enzyme:substrate</w:t>
      </w:r>
      <w:proofErr w:type="spellEnd"/>
      <w:proofErr w:type="gramEnd"/>
      <w:r w:rsidRPr="00675F54">
        <w:t xml:space="preserve"> complex by a serial analysis of crystals inside the chip at room temperature.</w:t>
      </w:r>
    </w:p>
    <w:p w14:paraId="3040525D" w14:textId="77777777" w:rsidR="00275F93" w:rsidRPr="00675F54" w:rsidRDefault="00275F93" w:rsidP="00675F54">
      <w:pPr>
        <w:contextualSpacing/>
      </w:pPr>
    </w:p>
    <w:p w14:paraId="3DFA5D93" w14:textId="77777777" w:rsidR="00675F54" w:rsidRDefault="00C03D89" w:rsidP="00675F54">
      <w:pPr>
        <w:contextualSpacing/>
      </w:pPr>
      <w:r w:rsidRPr="00675F54">
        <w:rPr>
          <w:b/>
        </w:rPr>
        <w:t>ABSTRACT:</w:t>
      </w:r>
      <w:r w:rsidRPr="00675F54">
        <w:t xml:space="preserve"> </w:t>
      </w:r>
    </w:p>
    <w:p w14:paraId="2EA48CA8" w14:textId="5A0E14ED" w:rsidR="00275F93" w:rsidRPr="00675F54" w:rsidRDefault="00C03D89" w:rsidP="00675F54">
      <w:pPr>
        <w:contextualSpacing/>
      </w:pPr>
      <w:r w:rsidRPr="00675F54">
        <w:t xml:space="preserve">The preparation of well diffracting crystals and their handling before their X-ray analysis are two critical steps of </w:t>
      </w:r>
      <w:proofErr w:type="spellStart"/>
      <w:r w:rsidRPr="00675F54">
        <w:t>biocrystallographic</w:t>
      </w:r>
      <w:proofErr w:type="spellEnd"/>
      <w:r w:rsidRPr="00675F54">
        <w:t xml:space="preserve"> studies. We describe a versatile microfluidic chip that </w:t>
      </w:r>
      <w:r w:rsidRPr="00675F54">
        <w:lastRenderedPageBreak/>
        <w:t xml:space="preserve">enables the production of crystals by the efficient method of counter-diffusion. The convection-free environment provided by the microfluidic channels is ideal for crystal growth and useful to diffuse a substrate into the active site of the crystalline enzyme. Here we applied this approach to the CCA-adding enzyme of the psychrophilic bacterium </w:t>
      </w:r>
      <w:proofErr w:type="spellStart"/>
      <w:r w:rsidRPr="00675F54">
        <w:rPr>
          <w:i/>
          <w:iCs/>
        </w:rPr>
        <w:t>Planococcus</w:t>
      </w:r>
      <w:proofErr w:type="spellEnd"/>
      <w:r w:rsidRPr="00675F54">
        <w:rPr>
          <w:i/>
          <w:iCs/>
        </w:rPr>
        <w:t xml:space="preserve"> </w:t>
      </w:r>
      <w:proofErr w:type="spellStart"/>
      <w:r w:rsidRPr="00675F54">
        <w:rPr>
          <w:i/>
          <w:iCs/>
        </w:rPr>
        <w:t>halocryophilus</w:t>
      </w:r>
      <w:proofErr w:type="spellEnd"/>
      <w:r w:rsidRPr="00675F54">
        <w:rPr>
          <w:i/>
          <w:iCs/>
        </w:rPr>
        <w:t xml:space="preserve"> </w:t>
      </w:r>
      <w:r w:rsidRPr="00675F54">
        <w:t xml:space="preserve">in the presented example. After crystallization and substrate diffusion/soaking, the crystal structure of the </w:t>
      </w:r>
      <w:proofErr w:type="spellStart"/>
      <w:proofErr w:type="gramStart"/>
      <w:r w:rsidRPr="00675F54">
        <w:t>enzyme:substrate</w:t>
      </w:r>
      <w:proofErr w:type="spellEnd"/>
      <w:proofErr w:type="gramEnd"/>
      <w:r w:rsidRPr="00675F54">
        <w:t xml:space="preserve"> complex was determined at room temperature by serial crystallography and the analysis of multiple crystals directly inside the chip. The whole procedure preserves the genuine diffraction properties of the samples because it requires no crystal handling.</w:t>
      </w:r>
    </w:p>
    <w:p w14:paraId="79B4DED2" w14:textId="77777777" w:rsidR="00275F93" w:rsidRPr="00675F54" w:rsidRDefault="00275F93" w:rsidP="00675F54">
      <w:pPr>
        <w:contextualSpacing/>
      </w:pPr>
    </w:p>
    <w:p w14:paraId="2AD51DAB" w14:textId="77777777" w:rsidR="00275F93" w:rsidRPr="00675F54" w:rsidRDefault="00C03D89" w:rsidP="00675F54">
      <w:pPr>
        <w:contextualSpacing/>
      </w:pPr>
      <w:r w:rsidRPr="00675F54">
        <w:rPr>
          <w:b/>
        </w:rPr>
        <w:t>INTRODUCTION:</w:t>
      </w:r>
      <w:r w:rsidRPr="00675F54">
        <w:t xml:space="preserve"> </w:t>
      </w:r>
    </w:p>
    <w:p w14:paraId="4CDFFADE" w14:textId="330558E3" w:rsidR="00275F93" w:rsidRDefault="00C03D89" w:rsidP="00675F54">
      <w:pPr>
        <w:contextualSpacing/>
      </w:pPr>
      <w:r w:rsidRPr="00675F54">
        <w:t xml:space="preserve">Crystallography is a method to decipher the 3D architecture of biological macromolecules. The latter is important to understand how an enzyme selects and processes its substrates. The determination of a crystal structure requires the crystallization of the target macromolecule and the </w:t>
      </w:r>
      <w:bookmarkStart w:id="0" w:name="result_box"/>
      <w:bookmarkEnd w:id="0"/>
      <w:r w:rsidRPr="00675F54">
        <w:t>conditioning of the crystals for their analysis by X-ray diffraction</w:t>
      </w:r>
      <w:r w:rsidRPr="00675F54">
        <w:rPr>
          <w:vertAlign w:val="superscript"/>
        </w:rPr>
        <w:t>1</w:t>
      </w:r>
      <w:r w:rsidRPr="00675F54">
        <w:t xml:space="preserve">. Both crystal preparation and handling are crucial but delicate steps that can affect crystal quality and diffraction properties, and, thus, the resolution </w:t>
      </w:r>
      <w:r w:rsidR="00A05590">
        <w:t>(</w:t>
      </w:r>
      <w:r w:rsidR="00675F54">
        <w:t xml:space="preserve">i.e., </w:t>
      </w:r>
      <w:r w:rsidRPr="00675F54">
        <w:t>the accuracy</w:t>
      </w:r>
      <w:r w:rsidR="00A05590">
        <w:t>)</w:t>
      </w:r>
      <w:r w:rsidRPr="00675F54">
        <w:t xml:space="preserve"> of the resulting 3D structure. To facilitate the preparation of </w:t>
      </w:r>
      <w:r w:rsidR="00A05590" w:rsidRPr="00675F54">
        <w:t>high-quality</w:t>
      </w:r>
      <w:r w:rsidRPr="00675F54">
        <w:t xml:space="preserve"> crystals and eliminate unnecessary handling to preserve their diffraction properties, we designed a user-friendly and versatile microfluidic device called ChipX</w:t>
      </w:r>
      <w:r w:rsidRPr="00675F54">
        <w:rPr>
          <w:vertAlign w:val="superscript"/>
        </w:rPr>
        <w:t>2–4</w:t>
      </w:r>
      <w:r w:rsidRPr="00675F54">
        <w:t>.</w:t>
      </w:r>
    </w:p>
    <w:p w14:paraId="58273D2F" w14:textId="77777777" w:rsidR="00675F54" w:rsidRPr="00675F54" w:rsidRDefault="00675F54" w:rsidP="00675F54">
      <w:pPr>
        <w:contextualSpacing/>
      </w:pPr>
    </w:p>
    <w:p w14:paraId="47A7F702" w14:textId="07BDAE73" w:rsidR="00275F93" w:rsidRDefault="00C03D89" w:rsidP="00675F54">
      <w:pPr>
        <w:contextualSpacing/>
      </w:pPr>
      <w:r w:rsidRPr="00675F54">
        <w:t xml:space="preserve">In this </w:t>
      </w:r>
      <w:r w:rsidR="00A05590">
        <w:t>article</w:t>
      </w:r>
      <w:r w:rsidRPr="00675F54">
        <w:t xml:space="preserve">, we will demonstrate how to load the protein solution into </w:t>
      </w:r>
      <w:proofErr w:type="spellStart"/>
      <w:r w:rsidRPr="00675F54">
        <w:t>ChipX</w:t>
      </w:r>
      <w:proofErr w:type="spellEnd"/>
      <w:r w:rsidRPr="00675F54">
        <w:t xml:space="preserve"> channels using conventional laboratory material to prepare crystals by counter-diffusion. This crystallization method provides an efficient screening of supersaturation and of potential nucleation conditions along the microfluidic channels containing the enzyme solution due to the concentration gradient generated by the diffusion of the crystallizing agent</w:t>
      </w:r>
      <w:r w:rsidRPr="00675F54">
        <w:rPr>
          <w:vertAlign w:val="superscript"/>
        </w:rPr>
        <w:t>5, 6</w:t>
      </w:r>
      <w:r w:rsidRPr="00675F54">
        <w:t>.</w:t>
      </w:r>
    </w:p>
    <w:p w14:paraId="283E89E7" w14:textId="77777777" w:rsidR="00675F54" w:rsidRPr="00675F54" w:rsidRDefault="00675F54" w:rsidP="00675F54">
      <w:pPr>
        <w:contextualSpacing/>
      </w:pPr>
    </w:p>
    <w:p w14:paraId="11BBD1D5" w14:textId="6ECFD7B7" w:rsidR="00275F93" w:rsidRPr="00675F54" w:rsidRDefault="00C03D89" w:rsidP="00675F54">
      <w:pPr>
        <w:contextualSpacing/>
      </w:pPr>
      <w:r w:rsidRPr="00675F54">
        <w:t xml:space="preserve">The chip setup is simple, it uses only standard laboratory pipets and does not require any costly equipment. When crystals have grown in </w:t>
      </w:r>
      <w:proofErr w:type="spellStart"/>
      <w:r w:rsidRPr="00675F54">
        <w:t>ChipX</w:t>
      </w:r>
      <w:proofErr w:type="spellEnd"/>
      <w:r w:rsidRPr="00675F54">
        <w:t>, ligands of the enzyme can be introduced by</w:t>
      </w:r>
      <w:r w:rsidR="00675F54">
        <w:t xml:space="preserve"> </w:t>
      </w:r>
      <w:r w:rsidRPr="00675F54">
        <w:t xml:space="preserve">diffusion. Diffraction data are then collected at room temperature on a series of crystals contained in the channels of the chip using a synchrotron X-ray source. The structural study described here led to the determination of structures of a tRNA maturation enzyme in its apo form and in complex with an analogue of its CTP substrate introduced by soaking. This protein called CCA-adding enzyme polymerizes the CCA trinucleotide tail at the 3’ end of tRNAs. The comparison of the two 3D images obtained by serial crystallography </w:t>
      </w:r>
      <w:r w:rsidR="00A05590" w:rsidRPr="00675F54">
        <w:t>reveals</w:t>
      </w:r>
      <w:r w:rsidRPr="00675F54">
        <w:t xml:space="preserve"> the local conformational changes related to the binding of the ligand in conditions that are more physiological than those used in cryo-crystallography. The protocol described in this video is generally applicable to any biomolecule, be it a protein, a nucleic </w:t>
      </w:r>
      <w:proofErr w:type="gramStart"/>
      <w:r w:rsidRPr="00675F54">
        <w:t>acid</w:t>
      </w:r>
      <w:proofErr w:type="gramEnd"/>
      <w:r w:rsidRPr="00675F54">
        <w:t xml:space="preserve"> or a multi-component complex.</w:t>
      </w:r>
    </w:p>
    <w:p w14:paraId="6D6DA481" w14:textId="77777777" w:rsidR="00275F93" w:rsidRPr="00675F54" w:rsidRDefault="00275F93" w:rsidP="00675F54">
      <w:pPr>
        <w:contextualSpacing/>
        <w:rPr>
          <w:b/>
        </w:rPr>
      </w:pPr>
    </w:p>
    <w:p w14:paraId="224CD7AF" w14:textId="77777777" w:rsidR="00275F93" w:rsidRPr="00675F54" w:rsidRDefault="00C03D89" w:rsidP="00675F54">
      <w:pPr>
        <w:contextualSpacing/>
      </w:pPr>
      <w:r w:rsidRPr="00675F54">
        <w:rPr>
          <w:b/>
        </w:rPr>
        <w:t>PROTOCOL:</w:t>
      </w:r>
      <w:r w:rsidRPr="00675F54">
        <w:t xml:space="preserve"> </w:t>
      </w:r>
    </w:p>
    <w:p w14:paraId="78FB20EC" w14:textId="77777777" w:rsidR="00275F93" w:rsidRPr="00675F54" w:rsidRDefault="00275F93" w:rsidP="00675F54">
      <w:pPr>
        <w:pStyle w:val="Heading2"/>
        <w:contextualSpacing/>
      </w:pPr>
    </w:p>
    <w:p w14:paraId="552B0175" w14:textId="28502345" w:rsidR="00275F93" w:rsidRDefault="00C03D89" w:rsidP="00675F54">
      <w:pPr>
        <w:pStyle w:val="Heading2"/>
        <w:numPr>
          <w:ilvl w:val="0"/>
          <w:numId w:val="11"/>
        </w:numPr>
        <w:ind w:left="0" w:firstLine="0"/>
        <w:contextualSpacing/>
      </w:pPr>
      <w:r w:rsidRPr="00675F54">
        <w:t xml:space="preserve">Setting up crystallization assays in </w:t>
      </w:r>
      <w:proofErr w:type="spellStart"/>
      <w:r w:rsidRPr="00675F54">
        <w:t>ChipX</w:t>
      </w:r>
      <w:proofErr w:type="spellEnd"/>
    </w:p>
    <w:p w14:paraId="6DE3CBEE" w14:textId="77777777" w:rsidR="00275F93" w:rsidRPr="00675F54" w:rsidRDefault="00275F93" w:rsidP="00675F54">
      <w:pPr>
        <w:contextualSpacing/>
      </w:pPr>
    </w:p>
    <w:p w14:paraId="57134EEA" w14:textId="79B6F4D7" w:rsidR="00275F93" w:rsidRDefault="00C03D89" w:rsidP="00675F54">
      <w:pPr>
        <w:contextualSpacing/>
      </w:pPr>
      <w:r w:rsidRPr="00675F54">
        <w:lastRenderedPageBreak/>
        <w:t xml:space="preserve">NOTE: The </w:t>
      </w:r>
      <w:proofErr w:type="spellStart"/>
      <w:r w:rsidRPr="00675F54">
        <w:t>ChipX</w:t>
      </w:r>
      <w:proofErr w:type="spellEnd"/>
      <w:r w:rsidRPr="00675F54">
        <w:t xml:space="preserve"> microfluidic device can be obtained from the authors. A description of the chip is given in </w:t>
      </w:r>
      <w:r w:rsidRPr="00675F54">
        <w:rPr>
          <w:b/>
          <w:bCs/>
        </w:rPr>
        <w:t>Figure 1</w:t>
      </w:r>
      <w:r w:rsidRPr="00675F54">
        <w:t xml:space="preserve">. Solutions containing the </w:t>
      </w:r>
      <w:proofErr w:type="spellStart"/>
      <w:r w:rsidRPr="00675F54">
        <w:t>crystallant</w:t>
      </w:r>
      <w:proofErr w:type="spellEnd"/>
      <w:r w:rsidRPr="00675F54">
        <w:t xml:space="preserve"> (or crystallizing agent) used to trigger crystallization may be of commercial origin or prepared by the experimenter.</w:t>
      </w:r>
    </w:p>
    <w:p w14:paraId="7ADBC5C0" w14:textId="77777777" w:rsidR="00675F54" w:rsidRPr="00675F54" w:rsidRDefault="00675F54" w:rsidP="00675F54">
      <w:pPr>
        <w:contextualSpacing/>
      </w:pPr>
    </w:p>
    <w:p w14:paraId="0C03DAEC" w14:textId="0845BC88" w:rsidR="00675F54" w:rsidRPr="00675F54" w:rsidRDefault="00C03D89" w:rsidP="00675F54">
      <w:pPr>
        <w:pStyle w:val="Heading3"/>
        <w:numPr>
          <w:ilvl w:val="1"/>
          <w:numId w:val="10"/>
        </w:numPr>
        <w:spacing w:before="0"/>
        <w:ind w:left="0" w:firstLine="0"/>
        <w:contextualSpacing/>
        <w:rPr>
          <w:rFonts w:ascii="Calibri" w:hAnsi="Calibri" w:cs="Calibri"/>
          <w:b w:val="0"/>
          <w:bCs/>
          <w:color w:val="auto"/>
        </w:rPr>
      </w:pPr>
      <w:r w:rsidRPr="00675F54">
        <w:rPr>
          <w:rFonts w:ascii="Calibri" w:hAnsi="Calibri" w:cs="Calibri"/>
          <w:b w:val="0"/>
          <w:bCs/>
          <w:color w:val="auto"/>
        </w:rPr>
        <w:t>Loading the biomolecule sample</w:t>
      </w:r>
    </w:p>
    <w:p w14:paraId="7B3582F5" w14:textId="77777777" w:rsidR="00675F54" w:rsidRPr="00675F54" w:rsidRDefault="00675F54" w:rsidP="00675F54"/>
    <w:p w14:paraId="68BF1A1F" w14:textId="77777777" w:rsidR="00275F93" w:rsidRPr="00675F54" w:rsidRDefault="00C03D89" w:rsidP="00675F54">
      <w:pPr>
        <w:contextualSpacing/>
      </w:pPr>
      <w:r w:rsidRPr="00675F54">
        <w:t xml:space="preserve">NOTE: The sample volume </w:t>
      </w:r>
      <w:proofErr w:type="gramStart"/>
      <w:r w:rsidRPr="00675F54">
        <w:t>actually required</w:t>
      </w:r>
      <w:proofErr w:type="gramEnd"/>
      <w:r w:rsidRPr="00675F54">
        <w:t xml:space="preserve"> to perform an individual counter-diffusion assay in the straight section of each channel of </w:t>
      </w:r>
      <w:proofErr w:type="spellStart"/>
      <w:r w:rsidRPr="00675F54">
        <w:t>ChipX</w:t>
      </w:r>
      <w:proofErr w:type="spellEnd"/>
      <w:r w:rsidRPr="00675F54">
        <w:t xml:space="preserve"> is 300 nL. </w:t>
      </w:r>
      <w:proofErr w:type="gramStart"/>
      <w:r w:rsidRPr="00675F54">
        <w:t>However</w:t>
      </w:r>
      <w:proofErr w:type="gramEnd"/>
      <w:r w:rsidRPr="00675F54">
        <w:t xml:space="preserve"> for convenience we suggest to load 5 μL to completely fill the eight channels taking into account the variable length of their curved section and inlet dead volumes.</w:t>
      </w:r>
    </w:p>
    <w:p w14:paraId="1F2FC23B" w14:textId="77777777" w:rsidR="00675F54" w:rsidRDefault="00675F54" w:rsidP="00675F54">
      <w:pPr>
        <w:contextualSpacing/>
      </w:pPr>
    </w:p>
    <w:p w14:paraId="065A1751" w14:textId="03AD3D77" w:rsidR="00275F93" w:rsidRDefault="00C03D89" w:rsidP="00675F54">
      <w:pPr>
        <w:pStyle w:val="ListParagraph"/>
        <w:numPr>
          <w:ilvl w:val="2"/>
          <w:numId w:val="10"/>
        </w:numPr>
        <w:ind w:left="0" w:firstLine="0"/>
      </w:pPr>
      <w:r w:rsidRPr="00675F54">
        <w:t>Pipet 5 μL of enzyme solutions using standard 10 μL pipet and tip.</w:t>
      </w:r>
    </w:p>
    <w:p w14:paraId="281BC377" w14:textId="77777777" w:rsidR="00675F54" w:rsidRPr="00675F54" w:rsidRDefault="00675F54" w:rsidP="00675F54">
      <w:pPr>
        <w:pStyle w:val="ListParagraph"/>
        <w:ind w:left="0"/>
      </w:pPr>
    </w:p>
    <w:p w14:paraId="493D4229" w14:textId="0B573C47" w:rsidR="00275F93" w:rsidRDefault="00C03D89" w:rsidP="00675F54">
      <w:pPr>
        <w:pStyle w:val="ListParagraph"/>
        <w:numPr>
          <w:ilvl w:val="2"/>
          <w:numId w:val="10"/>
        </w:numPr>
        <w:ind w:left="0" w:firstLine="0"/>
        <w:rPr>
          <w:rFonts w:cs="Calibri"/>
          <w:szCs w:val="24"/>
        </w:rPr>
      </w:pPr>
      <w:r w:rsidRPr="00675F54">
        <w:rPr>
          <w:rFonts w:cs="Calibri"/>
          <w:szCs w:val="24"/>
        </w:rPr>
        <w:t xml:space="preserve">Introduce the tip vertically in the sample inlet and inject the solution until the eight channels are filled up to their opposite end (entry of the </w:t>
      </w:r>
      <w:proofErr w:type="spellStart"/>
      <w:r w:rsidRPr="00675F54">
        <w:rPr>
          <w:rFonts w:cs="Calibri"/>
          <w:szCs w:val="24"/>
        </w:rPr>
        <w:t>crystallant</w:t>
      </w:r>
      <w:proofErr w:type="spellEnd"/>
      <w:r w:rsidRPr="00675F54">
        <w:rPr>
          <w:rFonts w:cs="Calibri"/>
          <w:szCs w:val="24"/>
        </w:rPr>
        <w:t xml:space="preserve"> reservoir).</w:t>
      </w:r>
    </w:p>
    <w:p w14:paraId="2CB039E6" w14:textId="77777777" w:rsidR="00675F54" w:rsidRPr="00675F54" w:rsidRDefault="00675F54" w:rsidP="00675F54">
      <w:pPr>
        <w:pStyle w:val="ListParagraph"/>
        <w:ind w:left="0"/>
        <w:rPr>
          <w:rFonts w:cs="Calibri"/>
          <w:szCs w:val="24"/>
        </w:rPr>
      </w:pPr>
    </w:p>
    <w:p w14:paraId="4E200087" w14:textId="5870C868" w:rsidR="00275F93" w:rsidRDefault="00C03D89" w:rsidP="00675F54">
      <w:pPr>
        <w:pStyle w:val="ListParagraph"/>
        <w:numPr>
          <w:ilvl w:val="2"/>
          <w:numId w:val="10"/>
        </w:numPr>
        <w:ind w:left="0" w:firstLine="0"/>
        <w:rPr>
          <w:rFonts w:cs="Calibri"/>
          <w:szCs w:val="24"/>
        </w:rPr>
      </w:pPr>
      <w:r w:rsidRPr="00675F54">
        <w:rPr>
          <w:rFonts w:cs="Calibri"/>
          <w:szCs w:val="24"/>
        </w:rPr>
        <w:t xml:space="preserve">Inject 1 μL of paraffin oil in the sample inlet </w:t>
      </w:r>
      <w:proofErr w:type="gramStart"/>
      <w:r w:rsidRPr="00675F54">
        <w:rPr>
          <w:rFonts w:cs="Calibri"/>
          <w:szCs w:val="24"/>
        </w:rPr>
        <w:t>in order to</w:t>
      </w:r>
      <w:proofErr w:type="gramEnd"/>
      <w:r w:rsidRPr="00675F54">
        <w:rPr>
          <w:rFonts w:cs="Calibri"/>
          <w:szCs w:val="24"/>
        </w:rPr>
        <w:t xml:space="preserve"> disconnect the channels from each </w:t>
      </w:r>
      <w:r w:rsidRPr="00675F54">
        <w:t>other</w:t>
      </w:r>
      <w:r w:rsidRPr="00675F54">
        <w:rPr>
          <w:rFonts w:cs="Calibri"/>
          <w:szCs w:val="24"/>
        </w:rPr>
        <w:t>.</w:t>
      </w:r>
    </w:p>
    <w:p w14:paraId="5287D904" w14:textId="77777777" w:rsidR="00675F54" w:rsidRPr="00675F54" w:rsidRDefault="00675F54" w:rsidP="00675F54">
      <w:pPr>
        <w:pStyle w:val="ListParagraph"/>
        <w:ind w:left="0"/>
        <w:rPr>
          <w:rFonts w:cs="Calibri"/>
          <w:szCs w:val="24"/>
        </w:rPr>
      </w:pPr>
    </w:p>
    <w:p w14:paraId="3CC10885" w14:textId="173284D4" w:rsidR="00275F93" w:rsidRDefault="00C03D89" w:rsidP="00675F54">
      <w:pPr>
        <w:pStyle w:val="ListParagraph"/>
        <w:numPr>
          <w:ilvl w:val="2"/>
          <w:numId w:val="10"/>
        </w:numPr>
        <w:ind w:left="0" w:firstLine="0"/>
        <w:rPr>
          <w:rFonts w:cs="Calibri"/>
          <w:szCs w:val="24"/>
        </w:rPr>
      </w:pPr>
      <w:r w:rsidRPr="00675F54">
        <w:rPr>
          <w:rFonts w:cs="Calibri"/>
          <w:szCs w:val="24"/>
        </w:rPr>
        <w:t xml:space="preserve">Recover the extra solution in the </w:t>
      </w:r>
      <w:proofErr w:type="spellStart"/>
      <w:r w:rsidRPr="00675F54">
        <w:rPr>
          <w:rFonts w:cs="Calibri"/>
          <w:szCs w:val="24"/>
        </w:rPr>
        <w:t>crystallant</w:t>
      </w:r>
      <w:proofErr w:type="spellEnd"/>
      <w:r w:rsidRPr="00675F54">
        <w:rPr>
          <w:rFonts w:cs="Calibri"/>
          <w:szCs w:val="24"/>
        </w:rPr>
        <w:t xml:space="preserve"> reservoir at the extremity of each channel using a standard 10 μL pipet.</w:t>
      </w:r>
    </w:p>
    <w:p w14:paraId="081E7F9A" w14:textId="77777777" w:rsidR="00675F54" w:rsidRPr="00675F54" w:rsidRDefault="00675F54" w:rsidP="00675F54">
      <w:pPr>
        <w:pStyle w:val="ListParagraph"/>
        <w:ind w:left="0"/>
        <w:rPr>
          <w:rFonts w:cs="Calibri"/>
          <w:szCs w:val="24"/>
        </w:rPr>
      </w:pPr>
    </w:p>
    <w:p w14:paraId="5470A91C" w14:textId="46160EE2" w:rsidR="00275F93" w:rsidRDefault="00C03D89" w:rsidP="00675F54">
      <w:pPr>
        <w:pStyle w:val="ListParagraph"/>
        <w:numPr>
          <w:ilvl w:val="2"/>
          <w:numId w:val="10"/>
        </w:numPr>
        <w:ind w:left="0" w:firstLine="0"/>
        <w:rPr>
          <w:rFonts w:cs="Calibri"/>
          <w:szCs w:val="24"/>
        </w:rPr>
      </w:pPr>
      <w:r w:rsidRPr="00675F54">
        <w:rPr>
          <w:rFonts w:cs="Calibri"/>
          <w:szCs w:val="24"/>
        </w:rPr>
        <w:t>Seal the sample inlet with a 1 cm x 1 cm piece of tape.</w:t>
      </w:r>
    </w:p>
    <w:p w14:paraId="5745BEA7" w14:textId="77777777" w:rsidR="00675F54" w:rsidRPr="00A05590" w:rsidRDefault="00675F54" w:rsidP="00675F54">
      <w:pPr>
        <w:pStyle w:val="ListParagraph"/>
        <w:ind w:left="0"/>
        <w:rPr>
          <w:rFonts w:cs="Calibri"/>
          <w:bCs/>
          <w:szCs w:val="24"/>
        </w:rPr>
      </w:pPr>
    </w:p>
    <w:p w14:paraId="01148C5D" w14:textId="61690ADF" w:rsidR="00275F93" w:rsidRPr="00A05590" w:rsidRDefault="00C03D89" w:rsidP="00675F54">
      <w:pPr>
        <w:pStyle w:val="Heading3"/>
        <w:numPr>
          <w:ilvl w:val="1"/>
          <w:numId w:val="10"/>
        </w:numPr>
        <w:spacing w:before="0"/>
        <w:ind w:left="0" w:firstLine="0"/>
        <w:contextualSpacing/>
        <w:rPr>
          <w:rFonts w:ascii="Calibri" w:hAnsi="Calibri" w:cs="Calibri"/>
          <w:b w:val="0"/>
          <w:bCs/>
          <w:color w:val="auto"/>
        </w:rPr>
      </w:pPr>
      <w:r w:rsidRPr="00A05590">
        <w:rPr>
          <w:rFonts w:ascii="Calibri" w:hAnsi="Calibri" w:cs="Calibri"/>
          <w:b w:val="0"/>
          <w:bCs/>
          <w:color w:val="auto"/>
        </w:rPr>
        <w:t>Loading the crystallization solutions</w:t>
      </w:r>
    </w:p>
    <w:p w14:paraId="268FFF71" w14:textId="77777777" w:rsidR="00675F54" w:rsidRPr="00675F54" w:rsidRDefault="00675F54" w:rsidP="00675F54">
      <w:pPr>
        <w:pStyle w:val="ListParagraph"/>
        <w:ind w:left="0"/>
      </w:pPr>
    </w:p>
    <w:p w14:paraId="0C598290" w14:textId="1FBBD53C" w:rsidR="00275F93" w:rsidRDefault="00C03D89" w:rsidP="00675F54">
      <w:pPr>
        <w:pStyle w:val="ListParagraph"/>
        <w:numPr>
          <w:ilvl w:val="2"/>
          <w:numId w:val="10"/>
        </w:numPr>
        <w:ind w:left="0" w:firstLine="0"/>
        <w:rPr>
          <w:rFonts w:cs="Calibri"/>
          <w:szCs w:val="24"/>
        </w:rPr>
      </w:pPr>
      <w:r w:rsidRPr="00675F54">
        <w:rPr>
          <w:rFonts w:cs="Calibri"/>
          <w:szCs w:val="24"/>
        </w:rPr>
        <w:t xml:space="preserve">Pipet 5 μL of crystallization solution using standard 10 μL pipet and tip. The reservoir </w:t>
      </w:r>
      <w:r w:rsidRPr="00675F54">
        <w:t>volume</w:t>
      </w:r>
      <w:r w:rsidRPr="00675F54">
        <w:rPr>
          <w:rFonts w:cs="Calibri"/>
          <w:szCs w:val="24"/>
        </w:rPr>
        <w:t xml:space="preserve"> is 10 </w:t>
      </w:r>
      <w:proofErr w:type="gramStart"/>
      <w:r w:rsidRPr="00675F54">
        <w:rPr>
          <w:rFonts w:cs="Calibri"/>
          <w:szCs w:val="24"/>
        </w:rPr>
        <w:t>μL, but</w:t>
      </w:r>
      <w:proofErr w:type="gramEnd"/>
      <w:r w:rsidRPr="00675F54">
        <w:rPr>
          <w:rFonts w:cs="Calibri"/>
          <w:szCs w:val="24"/>
        </w:rPr>
        <w:t xml:space="preserve"> loading only half of it avoids overflow when sealing with tape and facilitates further addition of ligand for soaking experiments. If initial crystallization conditions were obtained by vapor diffusion, </w:t>
      </w:r>
      <w:r w:rsidR="00675F54">
        <w:rPr>
          <w:rFonts w:cs="Calibri"/>
          <w:szCs w:val="24"/>
        </w:rPr>
        <w:t xml:space="preserve">increase </w:t>
      </w:r>
      <w:r w:rsidRPr="00675F54">
        <w:rPr>
          <w:rFonts w:cs="Calibri"/>
          <w:szCs w:val="24"/>
        </w:rPr>
        <w:t xml:space="preserve">the </w:t>
      </w:r>
      <w:proofErr w:type="spellStart"/>
      <w:r w:rsidRPr="00675F54">
        <w:rPr>
          <w:rFonts w:cs="Calibri"/>
          <w:szCs w:val="24"/>
        </w:rPr>
        <w:t>crystallant</w:t>
      </w:r>
      <w:proofErr w:type="spellEnd"/>
      <w:r w:rsidRPr="00675F54">
        <w:rPr>
          <w:rFonts w:cs="Calibri"/>
          <w:szCs w:val="24"/>
        </w:rPr>
        <w:t xml:space="preserve"> concentration by a factor of 1.5 – 2. Solutions can be different in every reservoir (in the presented case, 1 M diammonium hydrogen phosphate, 100 mM sodium acetate, pH 4.5 was used throughout).</w:t>
      </w:r>
    </w:p>
    <w:p w14:paraId="4E1F8152" w14:textId="77777777" w:rsidR="00675F54" w:rsidRPr="00675F54" w:rsidRDefault="00675F54" w:rsidP="00675F54">
      <w:pPr>
        <w:pStyle w:val="ListParagraph"/>
        <w:ind w:left="0"/>
        <w:rPr>
          <w:rFonts w:cs="Calibri"/>
          <w:szCs w:val="24"/>
        </w:rPr>
      </w:pPr>
    </w:p>
    <w:p w14:paraId="60F27952" w14:textId="32E30B85" w:rsidR="00275F93" w:rsidRDefault="00C03D89" w:rsidP="00675F54">
      <w:pPr>
        <w:pStyle w:val="ListParagraph"/>
        <w:numPr>
          <w:ilvl w:val="2"/>
          <w:numId w:val="10"/>
        </w:numPr>
        <w:ind w:left="0" w:firstLine="0"/>
        <w:rPr>
          <w:rFonts w:cs="Calibri"/>
          <w:szCs w:val="24"/>
        </w:rPr>
      </w:pPr>
      <w:r w:rsidRPr="00675F54">
        <w:rPr>
          <w:rFonts w:cs="Calibri"/>
          <w:szCs w:val="24"/>
        </w:rPr>
        <w:t xml:space="preserve">Orient the pipet tip towards the entry of the channel in the funnel shaped part of the reservoir to avoid the formation of an air bubble upon solution deposition. It would prevent the contact between the two solutions and </w:t>
      </w:r>
      <w:proofErr w:type="spellStart"/>
      <w:r w:rsidRPr="00675F54">
        <w:rPr>
          <w:rFonts w:cs="Calibri"/>
          <w:szCs w:val="24"/>
        </w:rPr>
        <w:t>crystallant</w:t>
      </w:r>
      <w:proofErr w:type="spellEnd"/>
      <w:r w:rsidRPr="00675F54">
        <w:rPr>
          <w:rFonts w:cs="Calibri"/>
          <w:szCs w:val="24"/>
        </w:rPr>
        <w:t xml:space="preserve"> diffusion into the channel.</w:t>
      </w:r>
    </w:p>
    <w:p w14:paraId="4B3DCCDA" w14:textId="77777777" w:rsidR="00675F54" w:rsidRPr="00675F54" w:rsidRDefault="00675F54" w:rsidP="00675F54"/>
    <w:p w14:paraId="51252E2B" w14:textId="575AF9AE" w:rsidR="00275F93" w:rsidRDefault="00C03D89" w:rsidP="00675F54">
      <w:pPr>
        <w:pStyle w:val="ListParagraph"/>
        <w:numPr>
          <w:ilvl w:val="2"/>
          <w:numId w:val="10"/>
        </w:numPr>
        <w:ind w:left="0" w:firstLine="0"/>
        <w:rPr>
          <w:rFonts w:cs="Calibri"/>
          <w:szCs w:val="24"/>
        </w:rPr>
      </w:pPr>
      <w:r w:rsidRPr="00675F54">
        <w:rPr>
          <w:rFonts w:cs="Calibri"/>
          <w:szCs w:val="24"/>
        </w:rPr>
        <w:t xml:space="preserve">Inject the </w:t>
      </w:r>
      <w:proofErr w:type="spellStart"/>
      <w:r w:rsidRPr="00675F54">
        <w:rPr>
          <w:rFonts w:cs="Calibri"/>
          <w:szCs w:val="24"/>
        </w:rPr>
        <w:t>crystallant</w:t>
      </w:r>
      <w:proofErr w:type="spellEnd"/>
      <w:r w:rsidRPr="00675F54">
        <w:rPr>
          <w:rFonts w:cs="Calibri"/>
          <w:szCs w:val="24"/>
        </w:rPr>
        <w:t xml:space="preserve"> solution into the reservoir.</w:t>
      </w:r>
    </w:p>
    <w:p w14:paraId="58295DDA" w14:textId="77777777" w:rsidR="00675F54" w:rsidRPr="00675F54" w:rsidRDefault="00675F54" w:rsidP="00675F54"/>
    <w:p w14:paraId="1A691505" w14:textId="5B02FACF" w:rsidR="00275F93" w:rsidRDefault="00C03D89" w:rsidP="00675F54">
      <w:pPr>
        <w:pStyle w:val="ListParagraph"/>
        <w:numPr>
          <w:ilvl w:val="2"/>
          <w:numId w:val="10"/>
        </w:numPr>
        <w:ind w:left="0" w:firstLine="0"/>
        <w:rPr>
          <w:rFonts w:cs="Calibri"/>
          <w:szCs w:val="24"/>
        </w:rPr>
      </w:pPr>
      <w:r w:rsidRPr="00675F54">
        <w:rPr>
          <w:rFonts w:cs="Calibri"/>
          <w:szCs w:val="24"/>
        </w:rPr>
        <w:t>Seal the reservoirs with a 2.5 cm x 1 cm piece of tape.</w:t>
      </w:r>
    </w:p>
    <w:p w14:paraId="1C5CB131" w14:textId="77777777" w:rsidR="00675F54" w:rsidRPr="00675F54" w:rsidRDefault="00675F54" w:rsidP="00675F54"/>
    <w:p w14:paraId="4C581BC9" w14:textId="67AEEFC7" w:rsidR="00275F93" w:rsidRPr="00675F54" w:rsidRDefault="00C03D89" w:rsidP="00675F54">
      <w:pPr>
        <w:pStyle w:val="ListParagraph"/>
        <w:numPr>
          <w:ilvl w:val="2"/>
          <w:numId w:val="10"/>
        </w:numPr>
        <w:ind w:left="0" w:firstLine="0"/>
        <w:rPr>
          <w:rFonts w:cs="Calibri"/>
          <w:szCs w:val="24"/>
        </w:rPr>
      </w:pPr>
      <w:r w:rsidRPr="00675F54">
        <w:rPr>
          <w:rFonts w:cs="Calibri"/>
          <w:szCs w:val="24"/>
        </w:rPr>
        <w:t>Incubate the chip at 20</w:t>
      </w:r>
      <w:r w:rsidR="00675F54">
        <w:rPr>
          <w:rFonts w:cs="Calibri"/>
          <w:szCs w:val="24"/>
        </w:rPr>
        <w:t xml:space="preserve"> </w:t>
      </w:r>
      <w:r w:rsidRPr="00675F54">
        <w:rPr>
          <w:rFonts w:cs="Calibri"/>
          <w:szCs w:val="24"/>
        </w:rPr>
        <w:t>°C (temperature can be adjusted depending on the target, typically between 4 and 37</w:t>
      </w:r>
      <w:r w:rsidR="00675F54">
        <w:rPr>
          <w:rFonts w:cs="Calibri"/>
          <w:szCs w:val="24"/>
        </w:rPr>
        <w:t xml:space="preserve"> </w:t>
      </w:r>
      <w:r w:rsidRPr="00675F54">
        <w:rPr>
          <w:rFonts w:cs="Calibri"/>
          <w:szCs w:val="24"/>
        </w:rPr>
        <w:t xml:space="preserve">°C </w:t>
      </w:r>
      <w:r w:rsidRPr="00675F54">
        <w:rPr>
          <w:rFonts w:cs="Calibri"/>
          <w:szCs w:val="24"/>
          <w:vertAlign w:val="superscript"/>
        </w:rPr>
        <w:t>4</w:t>
      </w:r>
      <w:r w:rsidRPr="00675F54">
        <w:rPr>
          <w:rFonts w:cs="Calibri"/>
          <w:szCs w:val="24"/>
        </w:rPr>
        <w:t>).</w:t>
      </w:r>
    </w:p>
    <w:p w14:paraId="6B2EC5FC" w14:textId="77777777" w:rsidR="00275F93" w:rsidRPr="00675F54" w:rsidRDefault="00275F93" w:rsidP="00675F54">
      <w:pPr>
        <w:contextualSpacing/>
      </w:pPr>
    </w:p>
    <w:p w14:paraId="7C6E37D3" w14:textId="05813D81" w:rsidR="00275F93" w:rsidRDefault="00C03D89" w:rsidP="00675F54">
      <w:pPr>
        <w:pStyle w:val="Heading2"/>
        <w:numPr>
          <w:ilvl w:val="0"/>
          <w:numId w:val="10"/>
        </w:numPr>
        <w:ind w:left="0" w:firstLine="0"/>
        <w:contextualSpacing/>
      </w:pPr>
      <w:r w:rsidRPr="00675F54">
        <w:lastRenderedPageBreak/>
        <w:t xml:space="preserve">Protein labeling with </w:t>
      </w:r>
      <w:proofErr w:type="spellStart"/>
      <w:r w:rsidRPr="00675F54">
        <w:t>carboxyrhodamine</w:t>
      </w:r>
      <w:proofErr w:type="spellEnd"/>
      <w:r w:rsidRPr="00675F54">
        <w:t xml:space="preserve"> for fluorescence detection</w:t>
      </w:r>
    </w:p>
    <w:p w14:paraId="2B608D6B" w14:textId="77777777" w:rsidR="00275F93" w:rsidRPr="00675F54" w:rsidRDefault="00275F93" w:rsidP="00675F54">
      <w:pPr>
        <w:contextualSpacing/>
      </w:pPr>
    </w:p>
    <w:p w14:paraId="321E0DC6" w14:textId="7F2A4215" w:rsidR="00275F93" w:rsidRPr="00675F54" w:rsidRDefault="00C03D89" w:rsidP="00675F54">
      <w:pPr>
        <w:contextualSpacing/>
      </w:pPr>
      <w:r w:rsidRPr="00675F54">
        <w:t xml:space="preserve">NOTE: </w:t>
      </w:r>
      <w:r w:rsidR="00A05590">
        <w:t>T</w:t>
      </w:r>
      <w:r w:rsidRPr="00675F54">
        <w:t>his step is optional. It must be performed prior to sample loading to facilitate the detection of crystals in the chip using fluorescence. The detailed method of trace fluorescent labeling was described by Pusey and coworkers</w:t>
      </w:r>
      <w:r w:rsidRPr="00675F54">
        <w:rPr>
          <w:vertAlign w:val="superscript"/>
        </w:rPr>
        <w:t>7</w:t>
      </w:r>
      <w:r w:rsidRPr="00675F54">
        <w:t>. All steps are carried out at room temperature.</w:t>
      </w:r>
    </w:p>
    <w:p w14:paraId="46033ED8" w14:textId="77777777" w:rsidR="00275F93" w:rsidRPr="00675F54" w:rsidRDefault="00275F93" w:rsidP="00675F54">
      <w:pPr>
        <w:contextualSpacing/>
      </w:pPr>
    </w:p>
    <w:p w14:paraId="058EBD1D" w14:textId="20F34246" w:rsidR="00275F93" w:rsidRDefault="00C03D89" w:rsidP="00675F54">
      <w:pPr>
        <w:pStyle w:val="ListParagraph"/>
        <w:numPr>
          <w:ilvl w:val="1"/>
          <w:numId w:val="10"/>
        </w:numPr>
        <w:ind w:left="0" w:firstLine="0"/>
      </w:pPr>
      <w:r w:rsidRPr="00675F54">
        <w:t xml:space="preserve">Dissolve 5 mg of </w:t>
      </w:r>
      <w:proofErr w:type="spellStart"/>
      <w:r w:rsidRPr="00675F54">
        <w:t>carboxyrhodamine</w:t>
      </w:r>
      <w:proofErr w:type="spellEnd"/>
      <w:r w:rsidRPr="00675F54">
        <w:t xml:space="preserve"> ester powder in 1</w:t>
      </w:r>
      <w:r w:rsidR="00675F54">
        <w:t xml:space="preserve"> mL</w:t>
      </w:r>
      <w:r w:rsidRPr="00675F54">
        <w:t xml:space="preserve"> anhydrous dimethyl-formamide, split the solution in 0.6 μL aliquots to be stored at -20</w:t>
      </w:r>
      <w:r w:rsidR="00675F54">
        <w:t xml:space="preserve"> </w:t>
      </w:r>
      <w:r w:rsidRPr="00675F54">
        <w:t>°C.</w:t>
      </w:r>
    </w:p>
    <w:p w14:paraId="23411CAA" w14:textId="77777777" w:rsidR="00675F54" w:rsidRPr="00675F54" w:rsidRDefault="00675F54" w:rsidP="00675F54">
      <w:pPr>
        <w:contextualSpacing/>
      </w:pPr>
    </w:p>
    <w:p w14:paraId="4FF9B071" w14:textId="7C5D5AFA" w:rsidR="00275F93" w:rsidRDefault="00C03D89" w:rsidP="00675F54">
      <w:pPr>
        <w:pStyle w:val="ListParagraph"/>
        <w:numPr>
          <w:ilvl w:val="1"/>
          <w:numId w:val="10"/>
        </w:numPr>
        <w:ind w:left="0" w:firstLine="0"/>
        <w:rPr>
          <w:rFonts w:cs="Calibri"/>
          <w:szCs w:val="24"/>
        </w:rPr>
      </w:pPr>
      <w:r w:rsidRPr="00675F54">
        <w:rPr>
          <w:rFonts w:cs="Calibri"/>
          <w:szCs w:val="24"/>
        </w:rPr>
        <w:t>Prepare a 1 M Na-borate pH 8.75 stock solution.</w:t>
      </w:r>
    </w:p>
    <w:p w14:paraId="247816F8" w14:textId="77777777" w:rsidR="00675F54" w:rsidRPr="00675F54" w:rsidRDefault="00675F54" w:rsidP="00675F54"/>
    <w:p w14:paraId="38F2ADA7" w14:textId="69598A97" w:rsidR="00275F93" w:rsidRDefault="00C03D89" w:rsidP="00675F54">
      <w:pPr>
        <w:pStyle w:val="ListParagraph"/>
        <w:numPr>
          <w:ilvl w:val="1"/>
          <w:numId w:val="10"/>
        </w:numPr>
        <w:ind w:left="0" w:firstLine="0"/>
        <w:rPr>
          <w:rFonts w:cs="Calibri"/>
          <w:szCs w:val="24"/>
        </w:rPr>
      </w:pPr>
      <w:r w:rsidRPr="00675F54">
        <w:rPr>
          <w:rFonts w:cs="Calibri"/>
          <w:szCs w:val="24"/>
        </w:rPr>
        <w:t>Dilute the stock to prepare the reaction buffer at 0.05 M Na-borate pH 8.75.</w:t>
      </w:r>
    </w:p>
    <w:p w14:paraId="2B26BDBD" w14:textId="77777777" w:rsidR="00675F54" w:rsidRPr="00675F54" w:rsidRDefault="00675F54" w:rsidP="00675F54">
      <w:pPr>
        <w:pStyle w:val="ListParagraph"/>
        <w:ind w:left="0"/>
        <w:rPr>
          <w:rFonts w:cs="Calibri"/>
          <w:szCs w:val="24"/>
        </w:rPr>
      </w:pPr>
    </w:p>
    <w:p w14:paraId="50FCA7E6" w14:textId="7422A876" w:rsidR="00275F93" w:rsidRDefault="00C03D89" w:rsidP="00675F54">
      <w:pPr>
        <w:pStyle w:val="ListParagraph"/>
        <w:numPr>
          <w:ilvl w:val="1"/>
          <w:numId w:val="10"/>
        </w:numPr>
        <w:ind w:left="0" w:firstLine="0"/>
        <w:rPr>
          <w:rFonts w:cs="Calibri"/>
          <w:szCs w:val="24"/>
        </w:rPr>
      </w:pPr>
      <w:r w:rsidRPr="00675F54">
        <w:rPr>
          <w:rFonts w:cs="Calibri"/>
          <w:szCs w:val="24"/>
        </w:rPr>
        <w:t>Rinse a desalting column (7</w:t>
      </w:r>
      <w:r w:rsidR="00675F54">
        <w:rPr>
          <w:rFonts w:cs="Calibri"/>
          <w:szCs w:val="24"/>
        </w:rPr>
        <w:t xml:space="preserve"> kDa</w:t>
      </w:r>
      <w:r w:rsidRPr="00675F54">
        <w:rPr>
          <w:rFonts w:cs="Calibri"/>
          <w:szCs w:val="24"/>
        </w:rPr>
        <w:t xml:space="preserve"> MWCO, 0.5</w:t>
      </w:r>
      <w:r w:rsidR="00675F54">
        <w:rPr>
          <w:rFonts w:cs="Calibri"/>
          <w:szCs w:val="24"/>
        </w:rPr>
        <w:t xml:space="preserve"> mL</w:t>
      </w:r>
      <w:r w:rsidRPr="00675F54">
        <w:rPr>
          <w:rFonts w:cs="Calibri"/>
          <w:szCs w:val="24"/>
        </w:rPr>
        <w:t>) with 800 μL of reaction buffer.</w:t>
      </w:r>
    </w:p>
    <w:p w14:paraId="06D69D1A" w14:textId="77777777" w:rsidR="00675F54" w:rsidRPr="00675F54" w:rsidRDefault="00675F54" w:rsidP="00675F54">
      <w:pPr>
        <w:pStyle w:val="ListParagraph"/>
        <w:ind w:left="0"/>
        <w:rPr>
          <w:rFonts w:cs="Calibri"/>
          <w:szCs w:val="24"/>
        </w:rPr>
      </w:pPr>
    </w:p>
    <w:p w14:paraId="07C2004B" w14:textId="3BE4F838" w:rsidR="00275F93" w:rsidRDefault="00C03D89" w:rsidP="00675F54">
      <w:pPr>
        <w:pStyle w:val="ListParagraph"/>
        <w:numPr>
          <w:ilvl w:val="1"/>
          <w:numId w:val="10"/>
        </w:numPr>
        <w:ind w:left="0" w:firstLine="0"/>
        <w:rPr>
          <w:rFonts w:cs="Calibri"/>
          <w:szCs w:val="24"/>
        </w:rPr>
      </w:pPr>
      <w:r w:rsidRPr="00675F54">
        <w:rPr>
          <w:rFonts w:cs="Calibri"/>
          <w:szCs w:val="24"/>
        </w:rPr>
        <w:t>Centrifuge the column for 1 min at 1400 x g, remove the filtrate.</w:t>
      </w:r>
    </w:p>
    <w:p w14:paraId="5A134326" w14:textId="77777777" w:rsidR="00675F54" w:rsidRPr="00675F54" w:rsidRDefault="00675F54" w:rsidP="00675F54">
      <w:pPr>
        <w:pStyle w:val="ListParagraph"/>
        <w:ind w:left="0"/>
        <w:rPr>
          <w:rFonts w:cs="Calibri"/>
          <w:szCs w:val="24"/>
        </w:rPr>
      </w:pPr>
    </w:p>
    <w:p w14:paraId="3891F9A4" w14:textId="026337A2" w:rsidR="00275F93" w:rsidRDefault="00C03D89" w:rsidP="00675F54">
      <w:pPr>
        <w:pStyle w:val="ListParagraph"/>
        <w:numPr>
          <w:ilvl w:val="1"/>
          <w:numId w:val="10"/>
        </w:numPr>
        <w:ind w:left="0" w:firstLine="0"/>
        <w:rPr>
          <w:rFonts w:cs="Calibri"/>
          <w:szCs w:val="24"/>
        </w:rPr>
      </w:pPr>
      <w:r w:rsidRPr="00675F54">
        <w:rPr>
          <w:rFonts w:cs="Calibri"/>
          <w:szCs w:val="24"/>
        </w:rPr>
        <w:t xml:space="preserve">Repeat this operation twice (steps </w:t>
      </w:r>
      <w:r w:rsidR="00675F54">
        <w:rPr>
          <w:rFonts w:cs="Calibri"/>
          <w:szCs w:val="24"/>
        </w:rPr>
        <w:t>2.</w:t>
      </w:r>
      <w:r w:rsidRPr="00675F54">
        <w:rPr>
          <w:rFonts w:cs="Calibri"/>
          <w:szCs w:val="24"/>
        </w:rPr>
        <w:t>4-</w:t>
      </w:r>
      <w:r w:rsidR="00675F54">
        <w:rPr>
          <w:rFonts w:cs="Calibri"/>
          <w:szCs w:val="24"/>
        </w:rPr>
        <w:t>2.</w:t>
      </w:r>
      <w:r w:rsidRPr="00675F54">
        <w:rPr>
          <w:rFonts w:cs="Calibri"/>
          <w:szCs w:val="24"/>
        </w:rPr>
        <w:t>5) to wash the column.</w:t>
      </w:r>
    </w:p>
    <w:p w14:paraId="61D9EBCF" w14:textId="77777777" w:rsidR="00675F54" w:rsidRPr="00675F54" w:rsidRDefault="00675F54" w:rsidP="00675F54">
      <w:pPr>
        <w:pStyle w:val="ListParagraph"/>
        <w:ind w:left="0"/>
        <w:rPr>
          <w:rFonts w:cs="Calibri"/>
          <w:szCs w:val="24"/>
        </w:rPr>
      </w:pPr>
    </w:p>
    <w:p w14:paraId="5322CB7D" w14:textId="6038C9B5" w:rsidR="00275F93" w:rsidRDefault="00C03D89" w:rsidP="00675F54">
      <w:pPr>
        <w:pStyle w:val="ListParagraph"/>
        <w:numPr>
          <w:ilvl w:val="1"/>
          <w:numId w:val="10"/>
        </w:numPr>
        <w:ind w:left="0" w:firstLine="0"/>
        <w:rPr>
          <w:rFonts w:cs="Calibri"/>
          <w:szCs w:val="24"/>
        </w:rPr>
      </w:pPr>
      <w:r w:rsidRPr="00675F54">
        <w:rPr>
          <w:rFonts w:cs="Calibri"/>
          <w:szCs w:val="24"/>
        </w:rPr>
        <w:t>Deposit 80 μL of protein in its storage buffer on the column (the protein can be diluted down to 1 mg</w:t>
      </w:r>
      <w:r w:rsidR="009F47A8">
        <w:rPr>
          <w:rFonts w:cs="Calibri"/>
          <w:szCs w:val="24"/>
        </w:rPr>
        <w:t>/mL</w:t>
      </w:r>
      <w:r w:rsidRPr="00675F54">
        <w:rPr>
          <w:rFonts w:cs="Calibri"/>
          <w:szCs w:val="24"/>
        </w:rPr>
        <w:t xml:space="preserve"> to increase the volume if needed).</w:t>
      </w:r>
    </w:p>
    <w:p w14:paraId="15824DAE" w14:textId="77777777" w:rsidR="00675F54" w:rsidRPr="00675F54" w:rsidRDefault="00675F54" w:rsidP="00675F54">
      <w:pPr>
        <w:pStyle w:val="ListParagraph"/>
        <w:ind w:left="0"/>
        <w:rPr>
          <w:rFonts w:cs="Calibri"/>
          <w:szCs w:val="24"/>
        </w:rPr>
      </w:pPr>
    </w:p>
    <w:p w14:paraId="78E55C1D" w14:textId="0FB3398B" w:rsidR="00275F93" w:rsidRDefault="00C03D89" w:rsidP="00675F54">
      <w:pPr>
        <w:pStyle w:val="ListParagraph"/>
        <w:numPr>
          <w:ilvl w:val="1"/>
          <w:numId w:val="10"/>
        </w:numPr>
        <w:ind w:left="0" w:firstLine="0"/>
        <w:rPr>
          <w:rFonts w:cs="Calibri"/>
          <w:szCs w:val="24"/>
        </w:rPr>
      </w:pPr>
      <w:r w:rsidRPr="00675F54">
        <w:rPr>
          <w:rFonts w:cs="Calibri"/>
          <w:szCs w:val="24"/>
        </w:rPr>
        <w:t>Centrifuge the column for 1 min at 1400 x g. This step is intended to transfer the protein from its storage buffer to the reaction buffer.</w:t>
      </w:r>
    </w:p>
    <w:p w14:paraId="69B33E8B" w14:textId="77777777" w:rsidR="00675F54" w:rsidRPr="00675F54" w:rsidRDefault="00675F54" w:rsidP="00675F54">
      <w:pPr>
        <w:pStyle w:val="ListParagraph"/>
        <w:ind w:left="0"/>
        <w:rPr>
          <w:rFonts w:cs="Calibri"/>
          <w:szCs w:val="24"/>
        </w:rPr>
      </w:pPr>
    </w:p>
    <w:p w14:paraId="120BBF59" w14:textId="1F7A0F1D" w:rsidR="00275F93" w:rsidRDefault="00C03D89" w:rsidP="00675F54">
      <w:pPr>
        <w:pStyle w:val="ListParagraph"/>
        <w:numPr>
          <w:ilvl w:val="1"/>
          <w:numId w:val="10"/>
        </w:numPr>
        <w:ind w:left="0" w:firstLine="0"/>
        <w:rPr>
          <w:rFonts w:cs="Calibri"/>
          <w:szCs w:val="24"/>
        </w:rPr>
      </w:pPr>
      <w:r w:rsidRPr="00675F54">
        <w:rPr>
          <w:rFonts w:cs="Calibri"/>
          <w:szCs w:val="24"/>
        </w:rPr>
        <w:t>Recover the flow-through (containing the protein in the reaction buffer)</w:t>
      </w:r>
      <w:r w:rsidR="00675F54">
        <w:rPr>
          <w:rFonts w:cs="Calibri"/>
          <w:szCs w:val="24"/>
        </w:rPr>
        <w:t xml:space="preserve"> </w:t>
      </w:r>
      <w:r w:rsidRPr="00675F54">
        <w:rPr>
          <w:rFonts w:cs="Calibri"/>
          <w:szCs w:val="24"/>
        </w:rPr>
        <w:t xml:space="preserve">and mix it with 0.6 μL of </w:t>
      </w:r>
      <w:proofErr w:type="spellStart"/>
      <w:r w:rsidRPr="00675F54">
        <w:rPr>
          <w:rFonts w:cs="Calibri"/>
          <w:szCs w:val="24"/>
        </w:rPr>
        <w:t>carboxyrhodamine</w:t>
      </w:r>
      <w:proofErr w:type="spellEnd"/>
      <w:r w:rsidRPr="00675F54">
        <w:rPr>
          <w:rFonts w:cs="Calibri"/>
          <w:szCs w:val="24"/>
        </w:rPr>
        <w:t xml:space="preserve"> solution.</w:t>
      </w:r>
    </w:p>
    <w:p w14:paraId="08DAD3DA" w14:textId="77777777" w:rsidR="00675F54" w:rsidRPr="00675F54" w:rsidRDefault="00675F54" w:rsidP="00675F54">
      <w:pPr>
        <w:pStyle w:val="ListParagraph"/>
        <w:ind w:left="0"/>
        <w:rPr>
          <w:rFonts w:cs="Calibri"/>
          <w:szCs w:val="24"/>
        </w:rPr>
      </w:pPr>
    </w:p>
    <w:p w14:paraId="67B861B7" w14:textId="3648424A" w:rsidR="00275F93" w:rsidRDefault="00C03D89" w:rsidP="00675F54">
      <w:pPr>
        <w:pStyle w:val="ListParagraph"/>
        <w:numPr>
          <w:ilvl w:val="1"/>
          <w:numId w:val="10"/>
        </w:numPr>
        <w:ind w:left="0" w:firstLine="0"/>
        <w:rPr>
          <w:rFonts w:cs="Calibri"/>
          <w:szCs w:val="24"/>
        </w:rPr>
      </w:pPr>
      <w:r w:rsidRPr="00675F54">
        <w:rPr>
          <w:rFonts w:cs="Calibri"/>
          <w:szCs w:val="24"/>
        </w:rPr>
        <w:t>Incubate 5 min at room temperature.</w:t>
      </w:r>
    </w:p>
    <w:p w14:paraId="0D23F271" w14:textId="77777777" w:rsidR="00675F54" w:rsidRPr="00675F54" w:rsidRDefault="00675F54" w:rsidP="00675F54">
      <w:pPr>
        <w:pStyle w:val="ListParagraph"/>
        <w:ind w:left="0"/>
        <w:rPr>
          <w:rFonts w:cs="Calibri"/>
          <w:szCs w:val="24"/>
        </w:rPr>
      </w:pPr>
    </w:p>
    <w:p w14:paraId="2789A603" w14:textId="78137935" w:rsidR="00275F93" w:rsidRDefault="00C03D89" w:rsidP="00675F54">
      <w:pPr>
        <w:pStyle w:val="ListParagraph"/>
        <w:numPr>
          <w:ilvl w:val="1"/>
          <w:numId w:val="10"/>
        </w:numPr>
        <w:ind w:left="0" w:firstLine="0"/>
        <w:rPr>
          <w:rFonts w:cs="Calibri"/>
          <w:szCs w:val="24"/>
        </w:rPr>
      </w:pPr>
      <w:r w:rsidRPr="00675F54">
        <w:rPr>
          <w:rFonts w:cs="Calibri"/>
          <w:szCs w:val="24"/>
        </w:rPr>
        <w:t xml:space="preserve">Meanwhile, rinse the column 3 x with the storage buffer, centrifuge the column for 1 min at </w:t>
      </w:r>
      <w:r w:rsidRPr="00675F54">
        <w:t>1400</w:t>
      </w:r>
      <w:r w:rsidRPr="00675F54">
        <w:rPr>
          <w:rFonts w:cs="Calibri"/>
          <w:szCs w:val="24"/>
        </w:rPr>
        <w:t xml:space="preserve"> x g and discard the filtrate.</w:t>
      </w:r>
    </w:p>
    <w:p w14:paraId="1E1DF059" w14:textId="77777777" w:rsidR="00675F54" w:rsidRPr="00675F54" w:rsidRDefault="00675F54" w:rsidP="00675F54">
      <w:pPr>
        <w:pStyle w:val="ListParagraph"/>
        <w:ind w:left="0"/>
        <w:rPr>
          <w:rFonts w:cs="Calibri"/>
          <w:szCs w:val="24"/>
        </w:rPr>
      </w:pPr>
    </w:p>
    <w:p w14:paraId="66B29695" w14:textId="7198112D" w:rsidR="00275F93" w:rsidRDefault="00C03D89" w:rsidP="00675F54">
      <w:pPr>
        <w:pStyle w:val="ListParagraph"/>
        <w:numPr>
          <w:ilvl w:val="1"/>
          <w:numId w:val="10"/>
        </w:numPr>
        <w:ind w:left="0" w:firstLine="0"/>
        <w:rPr>
          <w:rFonts w:cs="Calibri"/>
          <w:szCs w:val="24"/>
        </w:rPr>
      </w:pPr>
      <w:r w:rsidRPr="00675F54">
        <w:rPr>
          <w:rFonts w:cs="Calibri"/>
          <w:szCs w:val="24"/>
        </w:rPr>
        <w:t>Deposit the reaction solution on the column.</w:t>
      </w:r>
    </w:p>
    <w:p w14:paraId="71D7D36C" w14:textId="77777777" w:rsidR="00675F54" w:rsidRPr="00675F54" w:rsidRDefault="00675F54" w:rsidP="00675F54">
      <w:pPr>
        <w:pStyle w:val="ListParagraph"/>
        <w:ind w:left="0"/>
        <w:rPr>
          <w:rFonts w:cs="Calibri"/>
          <w:szCs w:val="24"/>
        </w:rPr>
      </w:pPr>
    </w:p>
    <w:p w14:paraId="6C47B5A2" w14:textId="4A5BF633" w:rsidR="00275F93" w:rsidRDefault="00C03D89" w:rsidP="00675F54">
      <w:pPr>
        <w:pStyle w:val="ListParagraph"/>
        <w:numPr>
          <w:ilvl w:val="1"/>
          <w:numId w:val="10"/>
        </w:numPr>
        <w:ind w:left="0" w:firstLine="0"/>
        <w:rPr>
          <w:rFonts w:cs="Calibri"/>
          <w:szCs w:val="24"/>
        </w:rPr>
      </w:pPr>
      <w:r w:rsidRPr="00675F54">
        <w:rPr>
          <w:rFonts w:cs="Calibri"/>
          <w:szCs w:val="24"/>
        </w:rPr>
        <w:t>Centrifuge the column for 1 min at 1400 x g and recover the flow-through (</w:t>
      </w:r>
      <w:r w:rsidR="00675F54">
        <w:rPr>
          <w:rFonts w:cs="Calibri"/>
          <w:szCs w:val="24"/>
        </w:rPr>
        <w:t xml:space="preserve">i.e., </w:t>
      </w:r>
      <w:r w:rsidRPr="00675F54">
        <w:rPr>
          <w:rFonts w:cs="Calibri"/>
          <w:szCs w:val="24"/>
        </w:rPr>
        <w:t>solution of labeled protein in its storage buffer).</w:t>
      </w:r>
    </w:p>
    <w:p w14:paraId="52FB82F0" w14:textId="77777777" w:rsidR="00675F54" w:rsidRPr="00675F54" w:rsidRDefault="00675F54" w:rsidP="00675F54">
      <w:pPr>
        <w:pStyle w:val="ListParagraph"/>
        <w:ind w:left="0"/>
        <w:rPr>
          <w:rFonts w:cs="Calibri"/>
          <w:szCs w:val="24"/>
        </w:rPr>
      </w:pPr>
    </w:p>
    <w:p w14:paraId="160FEA16" w14:textId="6EEC6D4D" w:rsidR="00275F93" w:rsidRDefault="00C03D89" w:rsidP="00675F54">
      <w:pPr>
        <w:pStyle w:val="ListParagraph"/>
        <w:numPr>
          <w:ilvl w:val="1"/>
          <w:numId w:val="10"/>
        </w:numPr>
        <w:ind w:left="0" w:firstLine="0"/>
        <w:rPr>
          <w:rFonts w:cs="Calibri"/>
          <w:szCs w:val="24"/>
        </w:rPr>
      </w:pPr>
      <w:r w:rsidRPr="00675F54">
        <w:rPr>
          <w:rFonts w:cs="Calibri"/>
          <w:szCs w:val="24"/>
        </w:rPr>
        <w:t>Supplement the stock protein solution with 0.1-1 % (w/w) of labeled protein.</w:t>
      </w:r>
    </w:p>
    <w:p w14:paraId="7F2A2711" w14:textId="77777777" w:rsidR="00675F54" w:rsidRPr="00675F54" w:rsidRDefault="00675F54" w:rsidP="00675F54">
      <w:pPr>
        <w:pStyle w:val="ListParagraph"/>
        <w:ind w:left="0"/>
        <w:rPr>
          <w:rFonts w:cs="Calibri"/>
          <w:szCs w:val="24"/>
        </w:rPr>
      </w:pPr>
    </w:p>
    <w:p w14:paraId="7B94068F" w14:textId="7B315EAA" w:rsidR="00275F93" w:rsidRDefault="00C03D89" w:rsidP="00675F54">
      <w:pPr>
        <w:pStyle w:val="ListParagraph"/>
        <w:numPr>
          <w:ilvl w:val="1"/>
          <w:numId w:val="10"/>
        </w:numPr>
        <w:ind w:left="0" w:firstLine="0"/>
        <w:rPr>
          <w:rFonts w:cs="Calibri"/>
          <w:szCs w:val="24"/>
        </w:rPr>
      </w:pPr>
      <w:r w:rsidRPr="00675F54">
        <w:rPr>
          <w:rFonts w:cs="Calibri"/>
          <w:szCs w:val="24"/>
        </w:rPr>
        <w:t xml:space="preserve">Setup </w:t>
      </w:r>
      <w:r w:rsidR="00675F54">
        <w:rPr>
          <w:rFonts w:cs="Calibri"/>
          <w:szCs w:val="24"/>
        </w:rPr>
        <w:t>the</w:t>
      </w:r>
      <w:r w:rsidRPr="00675F54">
        <w:rPr>
          <w:rFonts w:cs="Calibri"/>
          <w:szCs w:val="24"/>
        </w:rPr>
        <w:t xml:space="preserve"> </w:t>
      </w:r>
      <w:proofErr w:type="spellStart"/>
      <w:r w:rsidRPr="00675F54">
        <w:rPr>
          <w:rFonts w:cs="Calibri"/>
          <w:szCs w:val="24"/>
        </w:rPr>
        <w:t>ChipX</w:t>
      </w:r>
      <w:proofErr w:type="spellEnd"/>
      <w:r w:rsidRPr="00675F54">
        <w:rPr>
          <w:rFonts w:cs="Calibri"/>
          <w:szCs w:val="24"/>
        </w:rPr>
        <w:t xml:space="preserve"> crystallization assays as described in section 1.</w:t>
      </w:r>
    </w:p>
    <w:p w14:paraId="62B080FD" w14:textId="77777777" w:rsidR="00675F54" w:rsidRPr="00675F54" w:rsidRDefault="00675F54" w:rsidP="00675F54">
      <w:pPr>
        <w:pStyle w:val="ListParagraph"/>
        <w:ind w:left="0"/>
        <w:rPr>
          <w:rFonts w:cs="Calibri"/>
          <w:szCs w:val="24"/>
        </w:rPr>
      </w:pPr>
    </w:p>
    <w:p w14:paraId="78CCA178" w14:textId="6DADC212" w:rsidR="00275F93" w:rsidRPr="00675F54" w:rsidRDefault="00C03D89" w:rsidP="00675F54">
      <w:pPr>
        <w:pStyle w:val="ListParagraph"/>
        <w:numPr>
          <w:ilvl w:val="1"/>
          <w:numId w:val="10"/>
        </w:numPr>
        <w:ind w:left="0" w:firstLine="0"/>
        <w:rPr>
          <w:rFonts w:cs="Calibri"/>
          <w:szCs w:val="24"/>
        </w:rPr>
      </w:pPr>
      <w:r w:rsidRPr="00675F54">
        <w:rPr>
          <w:rFonts w:cs="Calibri"/>
          <w:szCs w:val="24"/>
        </w:rPr>
        <w:t xml:space="preserve">Check for the presence of protein crystals in </w:t>
      </w:r>
      <w:r w:rsidR="00675F54">
        <w:rPr>
          <w:rFonts w:cs="Calibri"/>
          <w:szCs w:val="24"/>
        </w:rPr>
        <w:t>the</w:t>
      </w:r>
      <w:r w:rsidRPr="00675F54">
        <w:rPr>
          <w:rFonts w:cs="Calibri"/>
          <w:szCs w:val="24"/>
        </w:rPr>
        <w:t xml:space="preserve"> assays by exciting the fluorescent probe with </w:t>
      </w:r>
      <w:r w:rsidRPr="00675F54">
        <w:rPr>
          <w:rFonts w:eastAsia="TimesNewRomanPSMT" w:cs="Calibri"/>
          <w:szCs w:val="24"/>
        </w:rPr>
        <w:t>a 520 nm wavelength light source.</w:t>
      </w:r>
      <w:r w:rsidRPr="00675F54">
        <w:rPr>
          <w:rFonts w:cs="Calibri"/>
          <w:szCs w:val="24"/>
        </w:rPr>
        <w:t xml:space="preserve"> </w:t>
      </w:r>
    </w:p>
    <w:p w14:paraId="5D5B6CCE" w14:textId="77777777" w:rsidR="00275F93" w:rsidRPr="00675F54" w:rsidRDefault="00275F93" w:rsidP="00675F54">
      <w:pPr>
        <w:contextualSpacing/>
      </w:pPr>
    </w:p>
    <w:p w14:paraId="176A108D" w14:textId="142FD15F" w:rsidR="00275F93" w:rsidRDefault="00C03D89" w:rsidP="00675F54">
      <w:pPr>
        <w:pStyle w:val="Heading2"/>
        <w:numPr>
          <w:ilvl w:val="0"/>
          <w:numId w:val="10"/>
        </w:numPr>
        <w:ind w:left="0" w:firstLine="0"/>
        <w:contextualSpacing/>
      </w:pPr>
      <w:r w:rsidRPr="00675F54">
        <w:t>Crystal observation</w:t>
      </w:r>
    </w:p>
    <w:p w14:paraId="1E395440" w14:textId="77777777" w:rsidR="00675F54" w:rsidRPr="00675F54" w:rsidRDefault="00675F54" w:rsidP="00675F54"/>
    <w:p w14:paraId="1E0E4109" w14:textId="382C93DD" w:rsidR="00275F93" w:rsidRDefault="00675F54" w:rsidP="00675F54">
      <w:pPr>
        <w:pStyle w:val="ListParagraph"/>
        <w:ind w:left="0"/>
      </w:pPr>
      <w:r>
        <w:t xml:space="preserve">NOTE: </w:t>
      </w:r>
      <w:r w:rsidR="00A05590">
        <w:t xml:space="preserve">The </w:t>
      </w:r>
      <w:proofErr w:type="spellStart"/>
      <w:r w:rsidR="00C03D89" w:rsidRPr="00675F54">
        <w:t>ChipX</w:t>
      </w:r>
      <w:proofErr w:type="spellEnd"/>
      <w:r w:rsidR="00C03D89" w:rsidRPr="00675F54">
        <w:t xml:space="preserve"> device may be handled without special care, even with crystals inside, except if the temperature needs to be controlled.</w:t>
      </w:r>
    </w:p>
    <w:p w14:paraId="417F63A5" w14:textId="77777777" w:rsidR="00675F54" w:rsidRPr="00675F54" w:rsidRDefault="00675F54" w:rsidP="00675F54">
      <w:pPr>
        <w:pStyle w:val="ListParagraph"/>
        <w:ind w:left="0"/>
      </w:pPr>
    </w:p>
    <w:p w14:paraId="23E1B669" w14:textId="4BB3EDEA" w:rsidR="00275F93" w:rsidRDefault="00C03D89" w:rsidP="00675F54">
      <w:pPr>
        <w:pStyle w:val="ListParagraph"/>
        <w:numPr>
          <w:ilvl w:val="1"/>
          <w:numId w:val="10"/>
        </w:numPr>
        <w:ind w:left="0" w:firstLine="0"/>
        <w:rPr>
          <w:rFonts w:cs="Calibri"/>
          <w:szCs w:val="24"/>
        </w:rPr>
      </w:pPr>
      <w:r w:rsidRPr="00675F54">
        <w:rPr>
          <w:rFonts w:cs="Calibri"/>
          <w:szCs w:val="24"/>
        </w:rPr>
        <w:t xml:space="preserve">Use any stereomicroscope to check the outcome of crystallization assays in </w:t>
      </w:r>
      <w:proofErr w:type="spellStart"/>
      <w:r w:rsidRPr="00675F54">
        <w:rPr>
          <w:rFonts w:cs="Calibri"/>
          <w:szCs w:val="24"/>
        </w:rPr>
        <w:t>ChipX</w:t>
      </w:r>
      <w:proofErr w:type="spellEnd"/>
      <w:r w:rsidRPr="00675F54">
        <w:rPr>
          <w:rFonts w:cs="Calibri"/>
          <w:szCs w:val="24"/>
        </w:rPr>
        <w:t xml:space="preserve">. Its </w:t>
      </w:r>
      <w:r w:rsidRPr="00675F54">
        <w:t>footprint</w:t>
      </w:r>
      <w:r w:rsidRPr="00675F54">
        <w:rPr>
          <w:rFonts w:cs="Calibri"/>
          <w:szCs w:val="24"/>
        </w:rPr>
        <w:t xml:space="preserve"> has the standard dimensions of microscope slides and is compatible with any system and slide holder.</w:t>
      </w:r>
    </w:p>
    <w:p w14:paraId="50BAFAEE" w14:textId="77777777" w:rsidR="00675F54" w:rsidRPr="00675F54" w:rsidRDefault="00675F54" w:rsidP="00675F54">
      <w:pPr>
        <w:pStyle w:val="ListParagraph"/>
        <w:ind w:left="0"/>
        <w:rPr>
          <w:rFonts w:cs="Calibri"/>
          <w:szCs w:val="24"/>
        </w:rPr>
      </w:pPr>
    </w:p>
    <w:p w14:paraId="251FA034" w14:textId="30B1CB72" w:rsidR="00275F93" w:rsidRDefault="00C03D89" w:rsidP="00675F54">
      <w:pPr>
        <w:pStyle w:val="ListParagraph"/>
        <w:numPr>
          <w:ilvl w:val="1"/>
          <w:numId w:val="10"/>
        </w:numPr>
        <w:ind w:left="0" w:firstLine="0"/>
        <w:rPr>
          <w:rFonts w:cs="Calibri"/>
          <w:szCs w:val="24"/>
        </w:rPr>
      </w:pPr>
      <w:r w:rsidRPr="00675F54">
        <w:rPr>
          <w:rFonts w:cs="Calibri"/>
          <w:szCs w:val="24"/>
        </w:rPr>
        <w:t xml:space="preserve">Check the content of microfluidic channels starting from the reservoir where the </w:t>
      </w:r>
      <w:proofErr w:type="spellStart"/>
      <w:r w:rsidRPr="00675F54">
        <w:t>crystallant</w:t>
      </w:r>
      <w:proofErr w:type="spellEnd"/>
      <w:r w:rsidRPr="00675F54">
        <w:rPr>
          <w:rFonts w:cs="Calibri"/>
          <w:szCs w:val="24"/>
        </w:rPr>
        <w:t xml:space="preserve"> concentration is the highest to the sample inlet where the </w:t>
      </w:r>
      <w:proofErr w:type="spellStart"/>
      <w:r w:rsidRPr="00675F54">
        <w:rPr>
          <w:rFonts w:cs="Calibri"/>
          <w:szCs w:val="24"/>
        </w:rPr>
        <w:t>crystallant</w:t>
      </w:r>
      <w:proofErr w:type="spellEnd"/>
      <w:r w:rsidRPr="00675F54">
        <w:rPr>
          <w:rFonts w:cs="Calibri"/>
          <w:szCs w:val="24"/>
        </w:rPr>
        <w:t xml:space="preserve"> concentration is the lowest. The </w:t>
      </w:r>
      <w:proofErr w:type="spellStart"/>
      <w:r w:rsidRPr="00675F54">
        <w:rPr>
          <w:rFonts w:cs="Calibri"/>
          <w:szCs w:val="24"/>
        </w:rPr>
        <w:t>ChipX</w:t>
      </w:r>
      <w:proofErr w:type="spellEnd"/>
      <w:r w:rsidRPr="00675F54">
        <w:rPr>
          <w:rFonts w:cs="Calibri"/>
          <w:szCs w:val="24"/>
        </w:rPr>
        <w:t xml:space="preserve"> material is transparent to visible light, compatible with the use of polarizers, as well as with UV illumination for protein crystal identification by intrinsic tryptophane fluorescence</w:t>
      </w:r>
      <w:r w:rsidRPr="00675F54">
        <w:rPr>
          <w:rFonts w:cs="Calibri"/>
          <w:szCs w:val="24"/>
          <w:vertAlign w:val="superscript"/>
        </w:rPr>
        <w:t>8</w:t>
      </w:r>
      <w:r w:rsidRPr="00675F54">
        <w:rPr>
          <w:rFonts w:cs="Calibri"/>
          <w:szCs w:val="24"/>
        </w:rPr>
        <w:t>.</w:t>
      </w:r>
    </w:p>
    <w:p w14:paraId="2FD69980" w14:textId="77777777" w:rsidR="00675F54" w:rsidRPr="00675F54" w:rsidRDefault="00675F54" w:rsidP="00675F54"/>
    <w:p w14:paraId="4951BE5C" w14:textId="77777777" w:rsidR="00275F93" w:rsidRPr="00675F54" w:rsidRDefault="00C03D89" w:rsidP="00675F54">
      <w:pPr>
        <w:pStyle w:val="ListParagraph"/>
        <w:numPr>
          <w:ilvl w:val="1"/>
          <w:numId w:val="10"/>
        </w:numPr>
        <w:ind w:left="0" w:firstLine="0"/>
        <w:rPr>
          <w:rFonts w:cs="Calibri"/>
          <w:szCs w:val="24"/>
        </w:rPr>
      </w:pPr>
      <w:r w:rsidRPr="00675F54">
        <w:rPr>
          <w:rFonts w:cs="Calibri"/>
          <w:szCs w:val="24"/>
        </w:rPr>
        <w:t xml:space="preserve">Record crystal positions using the labels embossed along the channels or mark crystal </w:t>
      </w:r>
      <w:r w:rsidRPr="00675F54">
        <w:t>locations</w:t>
      </w:r>
      <w:r w:rsidRPr="00675F54">
        <w:rPr>
          <w:rFonts w:cs="Calibri"/>
          <w:szCs w:val="24"/>
        </w:rPr>
        <w:t xml:space="preserve"> with a permanent marker by drawing color dots next to them on the chip surface.</w:t>
      </w:r>
    </w:p>
    <w:p w14:paraId="6000B699" w14:textId="77777777" w:rsidR="00275F93" w:rsidRPr="00675F54" w:rsidRDefault="00275F93" w:rsidP="00675F54">
      <w:pPr>
        <w:contextualSpacing/>
      </w:pPr>
    </w:p>
    <w:p w14:paraId="1669E9FF" w14:textId="172F1EC6" w:rsidR="00275F93" w:rsidRDefault="00C03D89" w:rsidP="00675F54">
      <w:pPr>
        <w:pStyle w:val="Heading2"/>
        <w:numPr>
          <w:ilvl w:val="0"/>
          <w:numId w:val="10"/>
        </w:numPr>
        <w:ind w:left="0" w:firstLine="0"/>
        <w:contextualSpacing/>
      </w:pPr>
      <w:r w:rsidRPr="00675F54">
        <w:t xml:space="preserve">Crystal soaking with </w:t>
      </w:r>
      <w:proofErr w:type="gramStart"/>
      <w:r w:rsidRPr="00675F54">
        <w:t>ligands</w:t>
      </w:r>
      <w:proofErr w:type="gramEnd"/>
    </w:p>
    <w:p w14:paraId="78428A04" w14:textId="77777777" w:rsidR="00275F93" w:rsidRPr="00675F54" w:rsidRDefault="00275F93" w:rsidP="00675F54"/>
    <w:p w14:paraId="2BB5A601" w14:textId="574E1976" w:rsidR="00275F93" w:rsidRPr="00675F54" w:rsidRDefault="00C03D89" w:rsidP="00675F54">
      <w:pPr>
        <w:contextualSpacing/>
      </w:pPr>
      <w:r w:rsidRPr="00675F54">
        <w:t xml:space="preserve">NOTE: </w:t>
      </w:r>
      <w:r w:rsidR="00675F54">
        <w:t>T</w:t>
      </w:r>
      <w:r w:rsidRPr="00675F54">
        <w:t>his procedure is optional. It is used to introduce ligands, enzyme substrates or heavy atoms into the crystals and should be carried out at least 24-48 h before X-ray analysis to allow the compound diffusion along the channels and into the crystals.</w:t>
      </w:r>
    </w:p>
    <w:p w14:paraId="72AE333A" w14:textId="77777777" w:rsidR="00275F93" w:rsidRPr="00675F54" w:rsidRDefault="00275F93" w:rsidP="00675F54">
      <w:pPr>
        <w:contextualSpacing/>
      </w:pPr>
    </w:p>
    <w:p w14:paraId="1FF0211F" w14:textId="30AD4C41" w:rsidR="00275F93" w:rsidRDefault="00C03D89" w:rsidP="00675F54">
      <w:pPr>
        <w:pStyle w:val="ListParagraph"/>
        <w:numPr>
          <w:ilvl w:val="1"/>
          <w:numId w:val="10"/>
        </w:numPr>
        <w:ind w:left="0" w:firstLine="0"/>
        <w:rPr>
          <w:rFonts w:cs="Calibri"/>
          <w:szCs w:val="24"/>
        </w:rPr>
      </w:pPr>
      <w:r w:rsidRPr="00675F54">
        <w:t>Gently</w:t>
      </w:r>
      <w:r w:rsidRPr="00675F54">
        <w:rPr>
          <w:rFonts w:cs="Calibri"/>
          <w:szCs w:val="24"/>
        </w:rPr>
        <w:t xml:space="preserve"> remove the sealing tape from the reservoirs.</w:t>
      </w:r>
    </w:p>
    <w:p w14:paraId="035313D6" w14:textId="77777777" w:rsidR="00675F54" w:rsidRPr="00675F54" w:rsidRDefault="00675F54" w:rsidP="00675F54">
      <w:pPr>
        <w:pStyle w:val="ListParagraph"/>
        <w:ind w:left="0"/>
        <w:rPr>
          <w:rFonts w:cs="Calibri"/>
          <w:szCs w:val="24"/>
        </w:rPr>
      </w:pPr>
    </w:p>
    <w:p w14:paraId="618278EF" w14:textId="0D942FAC" w:rsidR="00675F54" w:rsidRPr="00675F54" w:rsidRDefault="00C03D89" w:rsidP="00675F54">
      <w:pPr>
        <w:pStyle w:val="ListParagraph"/>
        <w:numPr>
          <w:ilvl w:val="1"/>
          <w:numId w:val="10"/>
        </w:numPr>
        <w:ind w:left="0" w:firstLine="0"/>
        <w:rPr>
          <w:rFonts w:cs="Calibri"/>
          <w:szCs w:val="24"/>
        </w:rPr>
      </w:pPr>
      <w:r w:rsidRPr="00675F54">
        <w:rPr>
          <w:rFonts w:cs="Calibri"/>
          <w:szCs w:val="24"/>
        </w:rPr>
        <w:t xml:space="preserve">Add up to 5 μL of ligand solution in one or several reservoirs using a 10 μL </w:t>
      </w:r>
      <w:proofErr w:type="spellStart"/>
      <w:r w:rsidRPr="00675F54">
        <w:rPr>
          <w:rFonts w:cs="Calibri"/>
          <w:szCs w:val="24"/>
        </w:rPr>
        <w:t>micropipet</w:t>
      </w:r>
      <w:proofErr w:type="spellEnd"/>
      <w:r w:rsidRPr="00675F54">
        <w:rPr>
          <w:rFonts w:cs="Calibri"/>
          <w:szCs w:val="24"/>
        </w:rPr>
        <w:t xml:space="preserve"> (in the example, 3 μL of 10 mM </w:t>
      </w:r>
      <w:r w:rsidRPr="00675F54">
        <w:rPr>
          <w:rFonts w:eastAsia="TimesNewRomanPSMT" w:cs="Calibri"/>
          <w:szCs w:val="24"/>
        </w:rPr>
        <w:t>cytidine-5’-[(</w:t>
      </w:r>
      <w:proofErr w:type="gramStart"/>
      <w:r w:rsidRPr="00675F54">
        <w:rPr>
          <w:rFonts w:eastAsia="TimesNewRomanPSMT" w:cs="Calibri"/>
          <w:szCs w:val="24"/>
        </w:rPr>
        <w:t>α,β</w:t>
      </w:r>
      <w:proofErr w:type="gramEnd"/>
      <w:r w:rsidRPr="00675F54">
        <w:rPr>
          <w:rFonts w:eastAsia="TimesNewRomanPSMT" w:cs="Calibri"/>
          <w:szCs w:val="24"/>
        </w:rPr>
        <w:t>)-</w:t>
      </w:r>
      <w:proofErr w:type="spellStart"/>
      <w:r w:rsidRPr="00675F54">
        <w:rPr>
          <w:rFonts w:eastAsia="TimesNewRomanPSMT" w:cs="Calibri"/>
          <w:szCs w:val="24"/>
        </w:rPr>
        <w:t>methyleno</w:t>
      </w:r>
      <w:proofErr w:type="spellEnd"/>
      <w:r w:rsidRPr="00675F54">
        <w:rPr>
          <w:rFonts w:eastAsia="TimesNewRomanPSMT" w:cs="Calibri"/>
          <w:szCs w:val="24"/>
        </w:rPr>
        <w:t>] triphosphate (</w:t>
      </w:r>
      <w:proofErr w:type="spellStart"/>
      <w:r w:rsidRPr="00675F54">
        <w:rPr>
          <w:rFonts w:cs="Calibri"/>
          <w:szCs w:val="24"/>
        </w:rPr>
        <w:t>CMPcPP</w:t>
      </w:r>
      <w:proofErr w:type="spellEnd"/>
      <w:r w:rsidRPr="00675F54">
        <w:rPr>
          <w:rFonts w:cs="Calibri"/>
          <w:szCs w:val="24"/>
        </w:rPr>
        <w:t xml:space="preserve">) solution was added to achieve a final concentration of 3.75 mM). </w:t>
      </w:r>
      <w:proofErr w:type="spellStart"/>
      <w:r w:rsidRPr="00675F54">
        <w:rPr>
          <w:rFonts w:cs="Calibri"/>
          <w:szCs w:val="24"/>
        </w:rPr>
        <w:t>CMPcPP</w:t>
      </w:r>
      <w:proofErr w:type="spellEnd"/>
      <w:r w:rsidRPr="00675F54">
        <w:rPr>
          <w:rFonts w:cs="Calibri"/>
          <w:szCs w:val="24"/>
        </w:rPr>
        <w:t xml:space="preserve"> </w:t>
      </w:r>
      <w:r w:rsidRPr="00675F54">
        <w:rPr>
          <w:rFonts w:eastAsia="TimesNewRomanPSMT" w:cs="Calibri"/>
          <w:szCs w:val="24"/>
        </w:rPr>
        <w:t>is a non-</w:t>
      </w:r>
      <w:proofErr w:type="spellStart"/>
      <w:r w:rsidRPr="00675F54">
        <w:rPr>
          <w:rFonts w:eastAsia="TimesNewRomanPSMT" w:cs="Calibri"/>
          <w:szCs w:val="24"/>
        </w:rPr>
        <w:t>hydrolizable</w:t>
      </w:r>
      <w:proofErr w:type="spellEnd"/>
      <w:r w:rsidRPr="00675F54">
        <w:rPr>
          <w:rFonts w:eastAsia="TimesNewRomanPSMT" w:cs="Calibri"/>
          <w:szCs w:val="24"/>
        </w:rPr>
        <w:t xml:space="preserve"> analog of CTP, a natural substrate of the enzyme.</w:t>
      </w:r>
    </w:p>
    <w:p w14:paraId="56364C6F" w14:textId="77777777" w:rsidR="00675F54" w:rsidRPr="00675F54" w:rsidRDefault="00675F54" w:rsidP="00675F54"/>
    <w:p w14:paraId="023E595E" w14:textId="52DB6A25" w:rsidR="00275F93" w:rsidRDefault="00C03D89" w:rsidP="00675F54">
      <w:pPr>
        <w:pStyle w:val="ListParagraph"/>
        <w:numPr>
          <w:ilvl w:val="1"/>
          <w:numId w:val="10"/>
        </w:numPr>
        <w:ind w:left="0" w:firstLine="0"/>
        <w:rPr>
          <w:rFonts w:cs="Calibri"/>
          <w:szCs w:val="24"/>
        </w:rPr>
      </w:pPr>
      <w:r w:rsidRPr="00675F54">
        <w:rPr>
          <w:rFonts w:cs="Calibri"/>
          <w:szCs w:val="24"/>
        </w:rPr>
        <w:t>Seal the reservoirs with a 2.5 cm x 1 cm piece of tape.</w:t>
      </w:r>
    </w:p>
    <w:p w14:paraId="4683E4CF" w14:textId="77777777" w:rsidR="00675F54" w:rsidRPr="00675F54" w:rsidRDefault="00675F54" w:rsidP="00675F54"/>
    <w:p w14:paraId="2CF70A18" w14:textId="77777777" w:rsidR="00275F93" w:rsidRPr="00675F54" w:rsidRDefault="00C03D89" w:rsidP="00675F54">
      <w:pPr>
        <w:pStyle w:val="ListParagraph"/>
        <w:numPr>
          <w:ilvl w:val="1"/>
          <w:numId w:val="10"/>
        </w:numPr>
        <w:ind w:left="0" w:firstLine="0"/>
        <w:rPr>
          <w:rFonts w:cs="Calibri"/>
          <w:szCs w:val="24"/>
        </w:rPr>
      </w:pPr>
      <w:r w:rsidRPr="00675F54">
        <w:rPr>
          <w:rFonts w:cs="Calibri"/>
          <w:szCs w:val="24"/>
        </w:rPr>
        <w:t xml:space="preserve">Incubate the chip under controlled temperature for 24-48 h to allow ligand diffusion along the </w:t>
      </w:r>
      <w:r w:rsidRPr="00675F54">
        <w:t>channels</w:t>
      </w:r>
      <w:r w:rsidRPr="00675F54">
        <w:rPr>
          <w:rFonts w:cs="Calibri"/>
          <w:szCs w:val="24"/>
        </w:rPr>
        <w:t xml:space="preserve"> of the chip.</w:t>
      </w:r>
    </w:p>
    <w:p w14:paraId="1C4B153D" w14:textId="77777777" w:rsidR="00275F93" w:rsidRPr="00675F54" w:rsidRDefault="00275F93" w:rsidP="00675F54">
      <w:pPr>
        <w:pStyle w:val="Heading2"/>
        <w:contextualSpacing/>
      </w:pPr>
    </w:p>
    <w:p w14:paraId="077A7977" w14:textId="3482878F" w:rsidR="00275F93" w:rsidRDefault="00C03D89" w:rsidP="00675F54">
      <w:pPr>
        <w:pStyle w:val="Heading2"/>
        <w:numPr>
          <w:ilvl w:val="0"/>
          <w:numId w:val="10"/>
        </w:numPr>
        <w:ind w:left="0" w:firstLine="0"/>
        <w:contextualSpacing/>
      </w:pPr>
      <w:r w:rsidRPr="00675F54">
        <w:t>Crystal analysis by serial crystallography</w:t>
      </w:r>
    </w:p>
    <w:p w14:paraId="00927578" w14:textId="77777777" w:rsidR="00275F93" w:rsidRPr="00675F54" w:rsidRDefault="00275F93" w:rsidP="00675F54">
      <w:pPr>
        <w:contextualSpacing/>
      </w:pPr>
    </w:p>
    <w:p w14:paraId="0DB128A8" w14:textId="483019B4" w:rsidR="00275F93" w:rsidRPr="00675F54" w:rsidRDefault="00C03D89" w:rsidP="00675F54">
      <w:pPr>
        <w:contextualSpacing/>
      </w:pPr>
      <w:r w:rsidRPr="00675F54">
        <w:t xml:space="preserve">NOTE: </w:t>
      </w:r>
      <w:r w:rsidR="00A05590">
        <w:t>T</w:t>
      </w:r>
      <w:r w:rsidRPr="00675F54">
        <w:t xml:space="preserve">his part of the protocol needs to be adapted depending on the beamline setup and the diffraction properties of the crystals. Only general indications are given for the crystallographic analysis based on experiments performed at X06DA beamline (SLS, </w:t>
      </w:r>
      <w:proofErr w:type="spellStart"/>
      <w:r w:rsidRPr="00675F54">
        <w:t>Villigen</w:t>
      </w:r>
      <w:proofErr w:type="spellEnd"/>
      <w:r w:rsidRPr="00675F54">
        <w:t>, Switzerland).</w:t>
      </w:r>
    </w:p>
    <w:p w14:paraId="5E0B134C" w14:textId="77777777" w:rsidR="00675F54" w:rsidRDefault="00675F54" w:rsidP="00675F54">
      <w:pPr>
        <w:pStyle w:val="ListParagraph"/>
        <w:ind w:left="0"/>
        <w:rPr>
          <w:rFonts w:cs="Calibri"/>
          <w:szCs w:val="24"/>
        </w:rPr>
      </w:pPr>
    </w:p>
    <w:p w14:paraId="60716104" w14:textId="27F50050" w:rsidR="00275F93" w:rsidRPr="00675F54" w:rsidRDefault="00C03D89" w:rsidP="00675F54">
      <w:pPr>
        <w:pStyle w:val="ListParagraph"/>
        <w:numPr>
          <w:ilvl w:val="1"/>
          <w:numId w:val="10"/>
        </w:numPr>
        <w:ind w:left="0" w:firstLine="0"/>
        <w:rPr>
          <w:rFonts w:cs="Calibri"/>
          <w:szCs w:val="24"/>
        </w:rPr>
      </w:pPr>
      <w:proofErr w:type="spellStart"/>
      <w:r w:rsidRPr="00675F54">
        <w:rPr>
          <w:rFonts w:cs="Calibri"/>
          <w:szCs w:val="24"/>
        </w:rPr>
        <w:t>ChipX</w:t>
      </w:r>
      <w:proofErr w:type="spellEnd"/>
      <w:r w:rsidRPr="00675F54">
        <w:rPr>
          <w:rFonts w:cs="Calibri"/>
          <w:szCs w:val="24"/>
        </w:rPr>
        <w:t xml:space="preserve"> mounting on </w:t>
      </w:r>
      <w:r w:rsidR="00A05590">
        <w:rPr>
          <w:rFonts w:cs="Calibri"/>
          <w:szCs w:val="24"/>
        </w:rPr>
        <w:t xml:space="preserve">the </w:t>
      </w:r>
      <w:r w:rsidRPr="00675F54">
        <w:rPr>
          <w:rFonts w:cs="Calibri"/>
          <w:szCs w:val="24"/>
        </w:rPr>
        <w:t xml:space="preserve">beamline </w:t>
      </w:r>
      <w:proofErr w:type="gramStart"/>
      <w:r w:rsidRPr="00675F54">
        <w:rPr>
          <w:rFonts w:cs="Calibri"/>
          <w:szCs w:val="24"/>
        </w:rPr>
        <w:t>goniometer</w:t>
      </w:r>
      <w:proofErr w:type="gramEnd"/>
    </w:p>
    <w:p w14:paraId="78A3AD54" w14:textId="77777777" w:rsidR="00275F93" w:rsidRPr="00675F54" w:rsidRDefault="00275F93" w:rsidP="00675F54">
      <w:pPr>
        <w:contextualSpacing/>
      </w:pPr>
    </w:p>
    <w:p w14:paraId="3A3D73FD" w14:textId="77777777" w:rsidR="00275F93" w:rsidRPr="00675F54" w:rsidRDefault="00C03D89" w:rsidP="00675F54">
      <w:pPr>
        <w:contextualSpacing/>
      </w:pPr>
      <w:r w:rsidRPr="00675F54">
        <w:t xml:space="preserve">NOTE: The file for 3D printing the </w:t>
      </w:r>
      <w:proofErr w:type="spellStart"/>
      <w:r w:rsidRPr="00675F54">
        <w:t>ChipX</w:t>
      </w:r>
      <w:proofErr w:type="spellEnd"/>
      <w:r w:rsidRPr="00675F54">
        <w:t xml:space="preserve"> holder is provided in ref</w:t>
      </w:r>
      <w:r w:rsidRPr="00675F54">
        <w:rPr>
          <w:vertAlign w:val="superscript"/>
        </w:rPr>
        <w:t>4</w:t>
      </w:r>
      <w:r w:rsidRPr="00675F54">
        <w:t>.</w:t>
      </w:r>
    </w:p>
    <w:p w14:paraId="62979024" w14:textId="77777777" w:rsidR="00275F93" w:rsidRPr="00675F54" w:rsidRDefault="00275F93" w:rsidP="00675F54">
      <w:pPr>
        <w:contextualSpacing/>
      </w:pPr>
    </w:p>
    <w:p w14:paraId="6B81B01C" w14:textId="136905F7" w:rsidR="00275F93" w:rsidRDefault="00C03D89" w:rsidP="00675F54">
      <w:pPr>
        <w:pStyle w:val="ListParagraph"/>
        <w:numPr>
          <w:ilvl w:val="2"/>
          <w:numId w:val="10"/>
        </w:numPr>
        <w:ind w:left="0" w:firstLine="0"/>
      </w:pPr>
      <w:r w:rsidRPr="00675F54">
        <w:t>Turn off the cryo-jet of the beamline</w:t>
      </w:r>
      <w:r w:rsidR="00A05590">
        <w:t>. T</w:t>
      </w:r>
      <w:r w:rsidRPr="00675F54">
        <w:t xml:space="preserve">he analysis </w:t>
      </w:r>
      <w:r w:rsidR="00A05590">
        <w:t>here is</w:t>
      </w:r>
      <w:r w:rsidRPr="00675F54">
        <w:t xml:space="preserve"> carried out at room temperature.</w:t>
      </w:r>
    </w:p>
    <w:p w14:paraId="36C03797" w14:textId="77777777" w:rsidR="00675F54" w:rsidRPr="00675F54" w:rsidRDefault="00675F54" w:rsidP="00675F54">
      <w:pPr>
        <w:pStyle w:val="ListParagraph"/>
        <w:ind w:left="0"/>
      </w:pPr>
    </w:p>
    <w:p w14:paraId="694E05C0" w14:textId="30ACBC99" w:rsidR="00275F93" w:rsidRDefault="00C03D89" w:rsidP="00675F54">
      <w:pPr>
        <w:pStyle w:val="ListParagraph"/>
        <w:numPr>
          <w:ilvl w:val="2"/>
          <w:numId w:val="10"/>
        </w:numPr>
        <w:ind w:left="0" w:firstLine="0"/>
        <w:rPr>
          <w:rFonts w:cs="Calibri"/>
          <w:szCs w:val="24"/>
        </w:rPr>
      </w:pPr>
      <w:r w:rsidRPr="00675F54">
        <w:rPr>
          <w:rFonts w:cs="Calibri"/>
          <w:szCs w:val="24"/>
        </w:rPr>
        <w:t xml:space="preserve">Mount the </w:t>
      </w:r>
      <w:proofErr w:type="spellStart"/>
      <w:r w:rsidRPr="00675F54">
        <w:rPr>
          <w:rFonts w:cs="Calibri"/>
          <w:szCs w:val="24"/>
        </w:rPr>
        <w:t>ChipX</w:t>
      </w:r>
      <w:proofErr w:type="spellEnd"/>
      <w:r w:rsidRPr="00675F54">
        <w:rPr>
          <w:rFonts w:cs="Calibri"/>
          <w:szCs w:val="24"/>
        </w:rPr>
        <w:t xml:space="preserve"> on a dedicated holder with the channel containing the crystals to be </w:t>
      </w:r>
      <w:r w:rsidRPr="00675F54">
        <w:t>analyzed</w:t>
      </w:r>
      <w:r w:rsidRPr="00675F54">
        <w:rPr>
          <w:rFonts w:cs="Calibri"/>
          <w:szCs w:val="24"/>
        </w:rPr>
        <w:t xml:space="preserve"> positioned at the center of the holder. The </w:t>
      </w:r>
      <w:proofErr w:type="spellStart"/>
      <w:r w:rsidRPr="00675F54">
        <w:rPr>
          <w:rFonts w:cs="Calibri"/>
          <w:szCs w:val="24"/>
        </w:rPr>
        <w:t>ChipX</w:t>
      </w:r>
      <w:proofErr w:type="spellEnd"/>
      <w:r w:rsidRPr="00675F54">
        <w:rPr>
          <w:rFonts w:cs="Calibri"/>
          <w:szCs w:val="24"/>
        </w:rPr>
        <w:t xml:space="preserve"> holder</w:t>
      </w:r>
      <w:r w:rsidRPr="00675F54">
        <w:rPr>
          <w:rFonts w:cs="Calibri"/>
          <w:szCs w:val="24"/>
          <w:vertAlign w:val="superscript"/>
        </w:rPr>
        <w:t>4</w:t>
      </w:r>
      <w:r w:rsidRPr="00675F54">
        <w:rPr>
          <w:rFonts w:cs="Calibri"/>
          <w:szCs w:val="24"/>
        </w:rPr>
        <w:t xml:space="preserve"> does not require any screw or additional part, as it was designed to provide a perfect fit for </w:t>
      </w:r>
      <w:proofErr w:type="spellStart"/>
      <w:r w:rsidRPr="00675F54">
        <w:rPr>
          <w:rFonts w:cs="Calibri"/>
          <w:szCs w:val="24"/>
        </w:rPr>
        <w:t>ChipX</w:t>
      </w:r>
      <w:proofErr w:type="spellEnd"/>
      <w:r w:rsidRPr="00675F54">
        <w:rPr>
          <w:rFonts w:cs="Calibri"/>
          <w:szCs w:val="24"/>
        </w:rPr>
        <w:t>.</w:t>
      </w:r>
    </w:p>
    <w:p w14:paraId="6DCC063B" w14:textId="77777777" w:rsidR="00675F54" w:rsidRPr="00675F54" w:rsidRDefault="00675F54" w:rsidP="00675F54">
      <w:pPr>
        <w:pStyle w:val="ListParagraph"/>
        <w:ind w:left="0"/>
        <w:rPr>
          <w:rFonts w:cs="Calibri"/>
          <w:szCs w:val="24"/>
        </w:rPr>
      </w:pPr>
    </w:p>
    <w:p w14:paraId="713F8006" w14:textId="0E02FB0A" w:rsidR="00275F93" w:rsidRDefault="00C03D89" w:rsidP="00675F54">
      <w:pPr>
        <w:pStyle w:val="ListParagraph"/>
        <w:numPr>
          <w:ilvl w:val="2"/>
          <w:numId w:val="10"/>
        </w:numPr>
        <w:ind w:left="0" w:firstLine="0"/>
        <w:rPr>
          <w:rFonts w:cs="Calibri"/>
          <w:szCs w:val="24"/>
        </w:rPr>
      </w:pPr>
      <w:r w:rsidRPr="00675F54">
        <w:t>Attach</w:t>
      </w:r>
      <w:r w:rsidRPr="00675F54">
        <w:rPr>
          <w:rFonts w:cs="Calibri"/>
          <w:szCs w:val="24"/>
        </w:rPr>
        <w:t xml:space="preserve"> the holder to the goniometer.</w:t>
      </w:r>
    </w:p>
    <w:p w14:paraId="236570CC" w14:textId="77777777" w:rsidR="00675F54" w:rsidRPr="00675F54" w:rsidRDefault="00675F54" w:rsidP="00675F54">
      <w:pPr>
        <w:pStyle w:val="ListParagraph"/>
        <w:ind w:left="0"/>
        <w:rPr>
          <w:rFonts w:cs="Calibri"/>
          <w:szCs w:val="24"/>
        </w:rPr>
      </w:pPr>
    </w:p>
    <w:p w14:paraId="2C1F47E3" w14:textId="60B3CCB8" w:rsidR="00275F93" w:rsidRDefault="00C03D89" w:rsidP="00675F54">
      <w:pPr>
        <w:pStyle w:val="ListParagraph"/>
        <w:numPr>
          <w:ilvl w:val="1"/>
          <w:numId w:val="10"/>
        </w:numPr>
        <w:ind w:left="0" w:firstLine="0"/>
        <w:rPr>
          <w:rFonts w:cs="Calibri"/>
          <w:szCs w:val="24"/>
        </w:rPr>
      </w:pPr>
      <w:r w:rsidRPr="00675F54">
        <w:rPr>
          <w:rFonts w:cs="Calibri"/>
          <w:szCs w:val="24"/>
        </w:rPr>
        <w:t>Data collection</w:t>
      </w:r>
    </w:p>
    <w:p w14:paraId="1FCCDD5D" w14:textId="77777777" w:rsidR="00675F54" w:rsidRPr="00675F54" w:rsidRDefault="00675F54" w:rsidP="00675F54">
      <w:pPr>
        <w:pStyle w:val="ListParagraph"/>
        <w:ind w:left="0"/>
        <w:rPr>
          <w:rFonts w:cs="Calibri"/>
          <w:szCs w:val="24"/>
        </w:rPr>
      </w:pPr>
    </w:p>
    <w:p w14:paraId="4715A3E9" w14:textId="17BE48E9" w:rsidR="00275F93" w:rsidRDefault="00C03D89" w:rsidP="00675F54">
      <w:pPr>
        <w:pStyle w:val="ListParagraph"/>
        <w:numPr>
          <w:ilvl w:val="2"/>
          <w:numId w:val="10"/>
        </w:numPr>
        <w:ind w:left="0" w:firstLine="0"/>
        <w:rPr>
          <w:rFonts w:cs="Calibri"/>
          <w:szCs w:val="24"/>
        </w:rPr>
      </w:pPr>
      <w:r w:rsidRPr="00675F54">
        <w:rPr>
          <w:rFonts w:cs="Calibri"/>
          <w:szCs w:val="24"/>
        </w:rPr>
        <w:t xml:space="preserve">Orient the thickest layer (top layer, </w:t>
      </w:r>
      <w:r w:rsidRPr="00675F54">
        <w:rPr>
          <w:rFonts w:cs="Calibri"/>
          <w:b/>
          <w:szCs w:val="24"/>
        </w:rPr>
        <w:t>Figure 1</w:t>
      </w:r>
      <w:r w:rsidRPr="00675F54">
        <w:rPr>
          <w:rFonts w:cs="Calibri"/>
          <w:szCs w:val="24"/>
        </w:rPr>
        <w:t xml:space="preserve">) of </w:t>
      </w:r>
      <w:proofErr w:type="spellStart"/>
      <w:r w:rsidRPr="00675F54">
        <w:rPr>
          <w:rFonts w:cs="Calibri"/>
          <w:szCs w:val="24"/>
        </w:rPr>
        <w:t>ChipX</w:t>
      </w:r>
      <w:proofErr w:type="spellEnd"/>
      <w:r w:rsidRPr="00675F54">
        <w:rPr>
          <w:rFonts w:cs="Calibri"/>
          <w:szCs w:val="24"/>
        </w:rPr>
        <w:t xml:space="preserve"> (in this orientation labels along the </w:t>
      </w:r>
      <w:r w:rsidRPr="00675F54">
        <w:t>channels</w:t>
      </w:r>
      <w:r w:rsidRPr="00675F54">
        <w:rPr>
          <w:rFonts w:cs="Calibri"/>
          <w:szCs w:val="24"/>
        </w:rPr>
        <w:t xml:space="preserve"> are directly readable using the centering camera of the beamline), towards the direct beam and the thinnest face behind the crystal to minimize the attenuation of the diffracted signal as described in ref</w:t>
      </w:r>
      <w:r w:rsidRPr="00675F54">
        <w:rPr>
          <w:rFonts w:cs="Calibri"/>
          <w:szCs w:val="24"/>
          <w:vertAlign w:val="superscript"/>
        </w:rPr>
        <w:t>3</w:t>
      </w:r>
      <w:r w:rsidRPr="00675F54">
        <w:rPr>
          <w:rFonts w:cs="Calibri"/>
          <w:szCs w:val="24"/>
        </w:rPr>
        <w:t>.</w:t>
      </w:r>
    </w:p>
    <w:p w14:paraId="79FFD1CE" w14:textId="77777777" w:rsidR="00675F54" w:rsidRPr="00675F54" w:rsidRDefault="00675F54" w:rsidP="00675F54">
      <w:pPr>
        <w:pStyle w:val="ListParagraph"/>
        <w:ind w:left="0"/>
        <w:rPr>
          <w:rFonts w:cs="Calibri"/>
          <w:szCs w:val="24"/>
        </w:rPr>
      </w:pPr>
    </w:p>
    <w:p w14:paraId="243DF052" w14:textId="60D2CB12" w:rsidR="00275F93" w:rsidRDefault="00C03D89" w:rsidP="00675F54">
      <w:pPr>
        <w:pStyle w:val="ListParagraph"/>
        <w:numPr>
          <w:ilvl w:val="2"/>
          <w:numId w:val="10"/>
        </w:numPr>
        <w:ind w:left="0" w:firstLine="0"/>
        <w:rPr>
          <w:rFonts w:cs="Calibri"/>
          <w:szCs w:val="24"/>
        </w:rPr>
      </w:pPr>
      <w:r w:rsidRPr="00675F54">
        <w:t>To</w:t>
      </w:r>
      <w:r w:rsidRPr="00675F54">
        <w:rPr>
          <w:rFonts w:cs="Calibri"/>
          <w:szCs w:val="24"/>
        </w:rPr>
        <w:t xml:space="preserve"> avoid collision of </w:t>
      </w:r>
      <w:proofErr w:type="spellStart"/>
      <w:r w:rsidRPr="00675F54">
        <w:rPr>
          <w:rFonts w:cs="Calibri"/>
          <w:szCs w:val="24"/>
        </w:rPr>
        <w:t>ChipX</w:t>
      </w:r>
      <w:proofErr w:type="spellEnd"/>
      <w:r w:rsidRPr="00675F54">
        <w:rPr>
          <w:rFonts w:cs="Calibri"/>
          <w:szCs w:val="24"/>
        </w:rPr>
        <w:t xml:space="preserve"> with the surrounding material (</w:t>
      </w:r>
      <w:proofErr w:type="spellStart"/>
      <w:r w:rsidRPr="00675F54">
        <w:rPr>
          <w:rFonts w:cs="Calibri"/>
          <w:szCs w:val="24"/>
        </w:rPr>
        <w:t>beamstop</w:t>
      </w:r>
      <w:proofErr w:type="spellEnd"/>
      <w:r w:rsidRPr="00675F54">
        <w:rPr>
          <w:rFonts w:cs="Calibri"/>
          <w:szCs w:val="24"/>
        </w:rPr>
        <w:t xml:space="preserve">, collimator), restrict goniometers movements in the range </w:t>
      </w:r>
      <w:r w:rsidR="00A05590">
        <w:rPr>
          <w:rFonts w:cs="Calibri"/>
          <w:szCs w:val="24"/>
        </w:rPr>
        <w:t>±</w:t>
      </w:r>
      <w:r w:rsidRPr="00675F54">
        <w:rPr>
          <w:rFonts w:cs="Calibri"/>
          <w:szCs w:val="24"/>
        </w:rPr>
        <w:t>30° (0° corresponding to the channels being perpendicular to the X-ray beam).</w:t>
      </w:r>
    </w:p>
    <w:p w14:paraId="1BBE35D2" w14:textId="77777777" w:rsidR="00675F54" w:rsidRPr="00675F54" w:rsidRDefault="00675F54" w:rsidP="00675F54">
      <w:pPr>
        <w:pStyle w:val="ListParagraph"/>
        <w:ind w:left="0"/>
        <w:rPr>
          <w:rFonts w:cs="Calibri"/>
          <w:szCs w:val="24"/>
        </w:rPr>
      </w:pPr>
    </w:p>
    <w:p w14:paraId="773948FC" w14:textId="69683DDF" w:rsidR="00275F93" w:rsidRDefault="00C03D89" w:rsidP="00675F54">
      <w:pPr>
        <w:pStyle w:val="ListParagraph"/>
        <w:numPr>
          <w:ilvl w:val="2"/>
          <w:numId w:val="10"/>
        </w:numPr>
        <w:ind w:left="0" w:firstLine="0"/>
        <w:rPr>
          <w:rFonts w:cs="Calibri"/>
          <w:szCs w:val="24"/>
        </w:rPr>
      </w:pPr>
      <w:r w:rsidRPr="00675F54">
        <w:t>Find</w:t>
      </w:r>
      <w:r w:rsidRPr="00675F54">
        <w:rPr>
          <w:rFonts w:cs="Calibri"/>
          <w:szCs w:val="24"/>
        </w:rPr>
        <w:t xml:space="preserve"> crystals position with the help of the labels embossed along the channels.</w:t>
      </w:r>
    </w:p>
    <w:p w14:paraId="5F1A74AB" w14:textId="77777777" w:rsidR="00675F54" w:rsidRPr="00675F54" w:rsidRDefault="00675F54" w:rsidP="00675F54">
      <w:pPr>
        <w:pStyle w:val="ListParagraph"/>
        <w:ind w:left="0"/>
        <w:rPr>
          <w:rFonts w:cs="Calibri"/>
          <w:szCs w:val="24"/>
        </w:rPr>
      </w:pPr>
    </w:p>
    <w:p w14:paraId="6BB1EB86" w14:textId="4BE0B9C1" w:rsidR="00275F93" w:rsidRDefault="00C03D89" w:rsidP="00675F54">
      <w:pPr>
        <w:pStyle w:val="ListParagraph"/>
        <w:numPr>
          <w:ilvl w:val="2"/>
          <w:numId w:val="10"/>
        </w:numPr>
        <w:ind w:left="0" w:firstLine="0"/>
        <w:rPr>
          <w:rFonts w:cs="Calibri"/>
          <w:szCs w:val="24"/>
        </w:rPr>
      </w:pPr>
      <w:r w:rsidRPr="00675F54">
        <w:t>Select</w:t>
      </w:r>
      <w:r w:rsidRPr="00675F54">
        <w:rPr>
          <w:rFonts w:cs="Calibri"/>
          <w:szCs w:val="24"/>
        </w:rPr>
        <w:t xml:space="preserve"> a crystal position.</w:t>
      </w:r>
    </w:p>
    <w:p w14:paraId="0742F6C3" w14:textId="77777777" w:rsidR="00675F54" w:rsidRPr="00675F54" w:rsidRDefault="00675F54" w:rsidP="00675F54">
      <w:pPr>
        <w:pStyle w:val="ListParagraph"/>
        <w:ind w:left="0"/>
        <w:rPr>
          <w:rFonts w:cs="Calibri"/>
          <w:szCs w:val="24"/>
        </w:rPr>
      </w:pPr>
    </w:p>
    <w:p w14:paraId="23A556D0" w14:textId="0C32E954" w:rsidR="00275F93" w:rsidRDefault="00C03D89" w:rsidP="00675F54">
      <w:pPr>
        <w:pStyle w:val="ListParagraph"/>
        <w:numPr>
          <w:ilvl w:val="2"/>
          <w:numId w:val="10"/>
        </w:numPr>
        <w:ind w:left="0" w:firstLine="0"/>
        <w:rPr>
          <w:rFonts w:cs="Calibri"/>
          <w:szCs w:val="24"/>
        </w:rPr>
      </w:pPr>
      <w:r w:rsidRPr="00675F54">
        <w:t>Center</w:t>
      </w:r>
      <w:r w:rsidRPr="00675F54">
        <w:rPr>
          <w:rFonts w:cs="Calibri"/>
          <w:szCs w:val="24"/>
        </w:rPr>
        <w:t xml:space="preserve"> the crystal either by standard low dose grid/raster screening or 1-click procedure (the video shows an example of grid screening).</w:t>
      </w:r>
    </w:p>
    <w:p w14:paraId="182DECE5" w14:textId="77777777" w:rsidR="00675F54" w:rsidRPr="00675F54" w:rsidRDefault="00675F54" w:rsidP="00675F54">
      <w:pPr>
        <w:pStyle w:val="ListParagraph"/>
        <w:ind w:left="0"/>
        <w:rPr>
          <w:rFonts w:cs="Calibri"/>
          <w:szCs w:val="24"/>
        </w:rPr>
      </w:pPr>
    </w:p>
    <w:p w14:paraId="19002908" w14:textId="2265A33E" w:rsidR="00275F93" w:rsidRDefault="00C03D89" w:rsidP="00675F54">
      <w:pPr>
        <w:pStyle w:val="ListParagraph"/>
        <w:numPr>
          <w:ilvl w:val="2"/>
          <w:numId w:val="10"/>
        </w:numPr>
        <w:ind w:left="0" w:firstLine="0"/>
        <w:rPr>
          <w:rFonts w:cs="Calibri"/>
          <w:szCs w:val="24"/>
        </w:rPr>
      </w:pPr>
      <w:r w:rsidRPr="00675F54">
        <w:t>Collect</w:t>
      </w:r>
      <w:r w:rsidRPr="00675F54">
        <w:rPr>
          <w:rFonts w:cs="Calibri"/>
          <w:szCs w:val="24"/>
        </w:rPr>
        <w:t xml:space="preserve"> diffraction data within the range -30° / +30°.</w:t>
      </w:r>
    </w:p>
    <w:p w14:paraId="3034560B" w14:textId="77777777" w:rsidR="00675F54" w:rsidRPr="00675F54" w:rsidRDefault="00675F54" w:rsidP="00675F54">
      <w:pPr>
        <w:pStyle w:val="ListParagraph"/>
        <w:ind w:left="0"/>
        <w:rPr>
          <w:rFonts w:cs="Calibri"/>
          <w:szCs w:val="24"/>
        </w:rPr>
      </w:pPr>
    </w:p>
    <w:p w14:paraId="3632C59D" w14:textId="168E9D3A" w:rsidR="00275F93" w:rsidRDefault="00C03D89" w:rsidP="00675F54">
      <w:pPr>
        <w:pStyle w:val="ListParagraph"/>
        <w:numPr>
          <w:ilvl w:val="2"/>
          <w:numId w:val="10"/>
        </w:numPr>
        <w:ind w:left="0" w:firstLine="0"/>
        <w:rPr>
          <w:rFonts w:cs="Calibri"/>
          <w:szCs w:val="24"/>
        </w:rPr>
      </w:pPr>
      <w:r w:rsidRPr="00675F54">
        <w:rPr>
          <w:rFonts w:cs="Calibri"/>
          <w:szCs w:val="24"/>
        </w:rPr>
        <w:t xml:space="preserve">Restart the procedure at steps </w:t>
      </w:r>
      <w:r w:rsidR="00675F54">
        <w:rPr>
          <w:rFonts w:cs="Calibri"/>
          <w:szCs w:val="24"/>
        </w:rPr>
        <w:t>5.2.</w:t>
      </w:r>
      <w:r w:rsidRPr="00675F54">
        <w:rPr>
          <w:rFonts w:cs="Calibri"/>
          <w:szCs w:val="24"/>
        </w:rPr>
        <w:t>4-</w:t>
      </w:r>
      <w:r w:rsidR="00675F54">
        <w:rPr>
          <w:rFonts w:cs="Calibri"/>
          <w:szCs w:val="24"/>
        </w:rPr>
        <w:t>5.2.</w:t>
      </w:r>
      <w:r w:rsidRPr="00675F54">
        <w:rPr>
          <w:rFonts w:cs="Calibri"/>
          <w:szCs w:val="24"/>
        </w:rPr>
        <w:t>6 on another crystal in the same channel after translation of the chip.</w:t>
      </w:r>
    </w:p>
    <w:p w14:paraId="7E100894" w14:textId="77777777" w:rsidR="00675F54" w:rsidRPr="00675F54" w:rsidRDefault="00675F54" w:rsidP="00675F54">
      <w:pPr>
        <w:pStyle w:val="ListParagraph"/>
        <w:ind w:left="0"/>
        <w:rPr>
          <w:rFonts w:cs="Calibri"/>
          <w:szCs w:val="24"/>
        </w:rPr>
      </w:pPr>
    </w:p>
    <w:p w14:paraId="54D3EA3B" w14:textId="7C00C1B4" w:rsidR="00275F93" w:rsidRDefault="00C03D89" w:rsidP="00675F54">
      <w:pPr>
        <w:pStyle w:val="ListParagraph"/>
        <w:numPr>
          <w:ilvl w:val="2"/>
          <w:numId w:val="10"/>
        </w:numPr>
        <w:ind w:left="0" w:firstLine="0"/>
        <w:rPr>
          <w:rFonts w:cs="Calibri"/>
          <w:szCs w:val="24"/>
        </w:rPr>
      </w:pPr>
      <w:r w:rsidRPr="00675F54">
        <w:t>Manually</w:t>
      </w:r>
      <w:r w:rsidRPr="00675F54">
        <w:rPr>
          <w:rFonts w:cs="Calibri"/>
          <w:szCs w:val="24"/>
        </w:rPr>
        <w:t xml:space="preserve"> realign another </w:t>
      </w:r>
      <w:proofErr w:type="spellStart"/>
      <w:r w:rsidRPr="00675F54">
        <w:rPr>
          <w:rFonts w:cs="Calibri"/>
          <w:szCs w:val="24"/>
        </w:rPr>
        <w:t>ChipX</w:t>
      </w:r>
      <w:proofErr w:type="spellEnd"/>
      <w:r w:rsidRPr="00675F54">
        <w:rPr>
          <w:rFonts w:cs="Calibri"/>
          <w:szCs w:val="24"/>
        </w:rPr>
        <w:t xml:space="preserve"> channel at the center of the holder and </w:t>
      </w:r>
      <w:proofErr w:type="gramStart"/>
      <w:r w:rsidRPr="00675F54">
        <w:rPr>
          <w:rFonts w:cs="Calibri"/>
          <w:szCs w:val="24"/>
        </w:rPr>
        <w:t>carry on</w:t>
      </w:r>
      <w:proofErr w:type="gramEnd"/>
      <w:r w:rsidRPr="00675F54">
        <w:rPr>
          <w:rFonts w:cs="Calibri"/>
          <w:szCs w:val="24"/>
        </w:rPr>
        <w:t xml:space="preserve"> data collection on crystals present in this channel. </w:t>
      </w:r>
    </w:p>
    <w:p w14:paraId="44140030" w14:textId="77777777" w:rsidR="00675F54" w:rsidRPr="00675F54" w:rsidRDefault="00675F54" w:rsidP="00675F54">
      <w:pPr>
        <w:pStyle w:val="ListParagraph"/>
        <w:ind w:left="0"/>
        <w:rPr>
          <w:rFonts w:cs="Calibri"/>
          <w:szCs w:val="24"/>
        </w:rPr>
      </w:pPr>
    </w:p>
    <w:p w14:paraId="60CDBD3D" w14:textId="77777777" w:rsidR="00275F93" w:rsidRPr="00675F54" w:rsidRDefault="00C03D89" w:rsidP="00675F54">
      <w:pPr>
        <w:pStyle w:val="ListParagraph"/>
        <w:numPr>
          <w:ilvl w:val="2"/>
          <w:numId w:val="10"/>
        </w:numPr>
        <w:ind w:left="0" w:firstLine="0"/>
        <w:rPr>
          <w:rFonts w:cs="Calibri"/>
          <w:szCs w:val="24"/>
        </w:rPr>
      </w:pPr>
      <w:r w:rsidRPr="00675F54">
        <w:rPr>
          <w:rFonts w:cs="Calibri"/>
          <w:szCs w:val="24"/>
        </w:rPr>
        <w:t>Use standard crystallographic packages and procedures to process and merge the data, then to solve and refine the structure.</w:t>
      </w:r>
    </w:p>
    <w:p w14:paraId="4FE1A4E7" w14:textId="77777777" w:rsidR="00275F93" w:rsidRPr="00675F54" w:rsidRDefault="00275F93" w:rsidP="00675F54">
      <w:pPr>
        <w:contextualSpacing/>
        <w:rPr>
          <w:b/>
        </w:rPr>
      </w:pPr>
    </w:p>
    <w:p w14:paraId="2F9816F0" w14:textId="441BBF75" w:rsidR="00275F93" w:rsidRPr="00675F54" w:rsidRDefault="00C03D89" w:rsidP="00675F54">
      <w:pPr>
        <w:contextualSpacing/>
        <w:rPr>
          <w:b/>
        </w:rPr>
      </w:pPr>
      <w:r w:rsidRPr="00675F54">
        <w:rPr>
          <w:b/>
        </w:rPr>
        <w:t xml:space="preserve">REPRESENTATIVE RESULTS: </w:t>
      </w:r>
    </w:p>
    <w:p w14:paraId="78B4B8EB" w14:textId="2D49D8B9" w:rsidR="00275F93" w:rsidRDefault="00C03D89" w:rsidP="00675F54">
      <w:pPr>
        <w:contextualSpacing/>
      </w:pPr>
      <w:r w:rsidRPr="00675F54">
        <w:t xml:space="preserve">The microfluidic chip described here was designed to enable easy setup of crystallization assays and crystal analysis at room temperature. The procedure described above and in the video was </w:t>
      </w:r>
      <w:r w:rsidRPr="00675F54">
        <w:lastRenderedPageBreak/>
        <w:t>applied in the frame of the structural characterization of the CCA-adding enzyme from the</w:t>
      </w:r>
      <w:r w:rsidR="00675F54">
        <w:t xml:space="preserve"> </w:t>
      </w:r>
      <w:r w:rsidRPr="00675F54">
        <w:t xml:space="preserve">cold-adapted bacterium </w:t>
      </w:r>
      <w:proofErr w:type="spellStart"/>
      <w:r w:rsidRPr="00675F54">
        <w:rPr>
          <w:i/>
          <w:iCs/>
        </w:rPr>
        <w:t>Planococcus</w:t>
      </w:r>
      <w:proofErr w:type="spellEnd"/>
      <w:r w:rsidRPr="00675F54">
        <w:rPr>
          <w:i/>
          <w:iCs/>
        </w:rPr>
        <w:t xml:space="preserve"> </w:t>
      </w:r>
      <w:proofErr w:type="spellStart"/>
      <w:r w:rsidRPr="00675F54">
        <w:rPr>
          <w:i/>
          <w:iCs/>
        </w:rPr>
        <w:t>halocryophilus</w:t>
      </w:r>
      <w:proofErr w:type="spellEnd"/>
      <w:r w:rsidRPr="00675F54">
        <w:rPr>
          <w:i/>
          <w:iCs/>
        </w:rPr>
        <w:t xml:space="preserve">. </w:t>
      </w:r>
      <w:r w:rsidRPr="00675F54">
        <w:t xml:space="preserve">This enzyme belongs to an essential polymerase family that </w:t>
      </w:r>
      <w:proofErr w:type="spellStart"/>
      <w:r w:rsidRPr="00675F54">
        <w:t>catalyses</w:t>
      </w:r>
      <w:proofErr w:type="spellEnd"/>
      <w:r w:rsidRPr="00675F54">
        <w:t xml:space="preserve"> the sequential addition of the 3’ CCA sequence on tRNAs using CTP and ATP</w:t>
      </w:r>
      <w:r w:rsidRPr="00675F54">
        <w:rPr>
          <w:vertAlign w:val="superscript"/>
        </w:rPr>
        <w:t>9, 10</w:t>
      </w:r>
      <w:r w:rsidRPr="00675F54">
        <w:t xml:space="preserve">. </w:t>
      </w:r>
    </w:p>
    <w:p w14:paraId="7E53F560" w14:textId="77777777" w:rsidR="00675F54" w:rsidRPr="00675F54" w:rsidRDefault="00675F54" w:rsidP="00675F54">
      <w:pPr>
        <w:contextualSpacing/>
      </w:pPr>
    </w:p>
    <w:p w14:paraId="4827175E" w14:textId="5A4EAB30" w:rsidR="00275F93" w:rsidRDefault="00C03D89" w:rsidP="00675F54">
      <w:pPr>
        <w:contextualSpacing/>
      </w:pPr>
      <w:r w:rsidRPr="00675F54">
        <w:t xml:space="preserve">The chip was first used to prepare crystals of the enzyme for structural analysis by the method of counter-diffusion. To this end, the enzyme solution was loaded in the eight microfluidic channels (crystallization chambers) by a single injection in the sample inlet of the chip (see </w:t>
      </w:r>
      <w:r w:rsidRPr="00675F54">
        <w:rPr>
          <w:b/>
          <w:bCs/>
        </w:rPr>
        <w:t>Figure 1</w:t>
      </w:r>
      <w:r w:rsidRPr="00675F54">
        <w:t>). The enzyme was used at 5.5 mg</w:t>
      </w:r>
      <w:r w:rsidR="009F47A8">
        <w:t>/mL</w:t>
      </w:r>
      <w:r w:rsidRPr="00675F54">
        <w:t xml:space="preserve"> in its storage buffer containing 20 mM Tris/HCl pH 7.5, 200 mM NaCl and 5 mM MgCl</w:t>
      </w:r>
      <w:r w:rsidRPr="00675F54">
        <w:rPr>
          <w:vertAlign w:val="subscript"/>
        </w:rPr>
        <w:t>2</w:t>
      </w:r>
      <w:r w:rsidRPr="00675F54">
        <w:t xml:space="preserve">. This step was performed manually with a standard 10 μL </w:t>
      </w:r>
      <w:proofErr w:type="spellStart"/>
      <w:r w:rsidRPr="00675F54">
        <w:t>micropipet</w:t>
      </w:r>
      <w:proofErr w:type="spellEnd"/>
      <w:r w:rsidRPr="00675F54">
        <w:t xml:space="preserve">. Crystallization solutions (100 mM sodium acetate pH 4.5,1 M diammonium hydrogen phosphate) were then deposited in the reservoirs at the other extremity of the channels. </w:t>
      </w:r>
    </w:p>
    <w:p w14:paraId="22E957B7" w14:textId="77777777" w:rsidR="00675F54" w:rsidRPr="00675F54" w:rsidRDefault="00675F54" w:rsidP="00675F54">
      <w:pPr>
        <w:contextualSpacing/>
      </w:pPr>
    </w:p>
    <w:p w14:paraId="1EB83EB4" w14:textId="28F7CA1E" w:rsidR="00275F93" w:rsidRDefault="00C03D89" w:rsidP="00675F54">
      <w:pPr>
        <w:contextualSpacing/>
      </w:pPr>
      <w:r w:rsidRPr="00675F54">
        <w:t>The loading procedure is straightforward and does not take longer than five minutes (</w:t>
      </w:r>
      <w:r w:rsidRPr="00675F54">
        <w:rPr>
          <w:b/>
          <w:bCs/>
        </w:rPr>
        <w:t>Figure 2</w:t>
      </w:r>
      <w:r w:rsidRPr="00675F54">
        <w:t xml:space="preserve">). The </w:t>
      </w:r>
      <w:proofErr w:type="spellStart"/>
      <w:r w:rsidRPr="00675F54">
        <w:t>crystallant</w:t>
      </w:r>
      <w:proofErr w:type="spellEnd"/>
      <w:r w:rsidRPr="00675F54">
        <w:t xml:space="preserve"> then diffuses into the channels, creates a gradient of concentration that triggers crystal nucleation and growth. This gradient evolves dynamically and explores a continuum of supersaturation states</w:t>
      </w:r>
      <w:r w:rsidRPr="00675F54">
        <w:rPr>
          <w:vertAlign w:val="superscript"/>
        </w:rPr>
        <w:t>5,6</w:t>
      </w:r>
      <w:r w:rsidRPr="00675F54">
        <w:t xml:space="preserve"> until reaching an equilibrium of </w:t>
      </w:r>
      <w:proofErr w:type="spellStart"/>
      <w:r w:rsidRPr="00675F54">
        <w:t>crystallant</w:t>
      </w:r>
      <w:proofErr w:type="spellEnd"/>
      <w:r w:rsidRPr="00675F54">
        <w:t xml:space="preserve"> concentration between the channels and the reservoir. Crystallization assays are typically checked under the </w:t>
      </w:r>
      <w:proofErr w:type="spellStart"/>
      <w:r w:rsidRPr="00675F54">
        <w:t>micoscope</w:t>
      </w:r>
      <w:proofErr w:type="spellEnd"/>
      <w:r w:rsidRPr="00675F54">
        <w:t xml:space="preserve"> over a period of 2 – 4 weeks to track the growth of crystals. Bipyramidal crystals of CCA-adding enzyme appeared throughout the channels after a few days of incubation at 20</w:t>
      </w:r>
      <w:r w:rsidR="00A05590">
        <w:t xml:space="preserve"> </w:t>
      </w:r>
      <w:r w:rsidRPr="00675F54">
        <w:t>°C (</w:t>
      </w:r>
      <w:r w:rsidRPr="00675F54">
        <w:rPr>
          <w:b/>
          <w:bCs/>
        </w:rPr>
        <w:t>Figure 3</w:t>
      </w:r>
      <w:r w:rsidRPr="00675F54">
        <w:t>). The optional fluorescent labeling</w:t>
      </w:r>
      <w:r w:rsidRPr="00675F54">
        <w:rPr>
          <w:vertAlign w:val="superscript"/>
        </w:rPr>
        <w:t>7</w:t>
      </w:r>
      <w:r w:rsidRPr="00675F54">
        <w:t xml:space="preserve"> of the protein greatly facilitates the identification of protein crystals and their discrimination from salt crystals (</w:t>
      </w:r>
      <w:r w:rsidRPr="00675F54">
        <w:rPr>
          <w:b/>
          <w:bCs/>
        </w:rPr>
        <w:t>Figure 4</w:t>
      </w:r>
      <w:r w:rsidRPr="00675F54">
        <w:t xml:space="preserve">). </w:t>
      </w:r>
    </w:p>
    <w:p w14:paraId="10A075AB" w14:textId="77777777" w:rsidR="00675F54" w:rsidRPr="00675F54" w:rsidRDefault="00675F54" w:rsidP="00675F54">
      <w:pPr>
        <w:contextualSpacing/>
      </w:pPr>
    </w:p>
    <w:p w14:paraId="1D4A32CB" w14:textId="23E2B002" w:rsidR="00275F93" w:rsidRDefault="00C03D89" w:rsidP="00675F54">
      <w:pPr>
        <w:contextualSpacing/>
      </w:pPr>
      <w:r w:rsidRPr="00675F54">
        <w:t xml:space="preserve">We exploited the diffusive environment in chip channels to deliver a substrate to the enzyme that builds up the crystals. In the present case, </w:t>
      </w:r>
      <w:proofErr w:type="spellStart"/>
      <w:r w:rsidRPr="00675F54">
        <w:t>CMPcPP</w:t>
      </w:r>
      <w:proofErr w:type="spellEnd"/>
      <w:r w:rsidRPr="00675F54">
        <w:t>, a CTP analog, was added to the reservoir solutions at a final concentration of 3.75 mM (</w:t>
      </w:r>
      <w:r w:rsidRPr="00675F54">
        <w:rPr>
          <w:b/>
          <w:bCs/>
        </w:rPr>
        <w:t>Figure 5</w:t>
      </w:r>
      <w:r w:rsidRPr="00675F54">
        <w:t xml:space="preserve">). This addition was performed two days before the crystallographic analysis to allow </w:t>
      </w:r>
      <w:proofErr w:type="spellStart"/>
      <w:r w:rsidRPr="00675F54">
        <w:t>CMPcPP</w:t>
      </w:r>
      <w:proofErr w:type="spellEnd"/>
      <w:r w:rsidRPr="00675F54">
        <w:t xml:space="preserve"> to reach and occupy the catalytic site of the enzyme, as later confirmed by the crystal structure (see below).</w:t>
      </w:r>
    </w:p>
    <w:p w14:paraId="4A86FFC9" w14:textId="77777777" w:rsidR="00675F54" w:rsidRPr="00675F54" w:rsidRDefault="00675F54" w:rsidP="00675F54">
      <w:pPr>
        <w:contextualSpacing/>
      </w:pPr>
    </w:p>
    <w:p w14:paraId="428B6073" w14:textId="77777777" w:rsidR="00275F93" w:rsidRPr="00675F54" w:rsidRDefault="00C03D89" w:rsidP="00675F54">
      <w:pPr>
        <w:contextualSpacing/>
      </w:pPr>
      <w:r w:rsidRPr="00675F54">
        <w:t>We manufactured a chip holder (</w:t>
      </w:r>
      <w:r w:rsidRPr="00675F54">
        <w:rPr>
          <w:b/>
          <w:bCs/>
        </w:rPr>
        <w:t>Figure 6</w:t>
      </w:r>
      <w:r w:rsidRPr="00675F54">
        <w:t xml:space="preserve">) in polylactic acid using a 3D printer. The holder enables chip mounting on goniometers using standard magnetic heads. Hence the chip can be easily positioned and translated in the X-ray beam to bring the crystals in diffraction position. The data collection strategy needs to be adapted depending on beamline characteristics and on crystal properties. In the case of the CCA-adding enzyme, data were collected at X06DA and X10SA beamlines, Swiss Light Source (SLS), with an X-ray wavelength of 1.0 Å and Pilatus 2M-F and 6M pixel detectors, respectively. 30-60° of rotation were collected on each crystal at room temperature with images of 0.1° or 0.2° and 0.1 s exposure (see </w:t>
      </w:r>
      <w:r w:rsidRPr="00A05590">
        <w:rPr>
          <w:b/>
          <w:bCs/>
        </w:rPr>
        <w:t>Table 1</w:t>
      </w:r>
      <w:r w:rsidRPr="00675F54">
        <w:t xml:space="preserve">). Partial datasets were processed individually and cut when the resolution of diffraction patterns started to decay due to radiation damage (detected by the decrease of signal-to-noise ratio </w:t>
      </w:r>
      <w:r w:rsidRPr="00675F54">
        <w:rPr>
          <w:rFonts w:ascii="Cambria Math" w:hAnsi="Cambria Math" w:cs="Cambria Math"/>
        </w:rPr>
        <w:t>〈</w:t>
      </w:r>
      <w:r w:rsidRPr="00675F54">
        <w:rPr>
          <w:i/>
        </w:rPr>
        <w:t>I</w:t>
      </w:r>
      <w:r w:rsidRPr="00675F54">
        <w:t>/</w:t>
      </w:r>
      <w:r w:rsidRPr="00675F54">
        <w:rPr>
          <w:i/>
        </w:rPr>
        <w:t>σ</w:t>
      </w:r>
      <w:r w:rsidRPr="00675F54">
        <w:t>(</w:t>
      </w:r>
      <w:r w:rsidRPr="00675F54">
        <w:rPr>
          <w:i/>
        </w:rPr>
        <w:t>I</w:t>
      </w:r>
      <w:r w:rsidRPr="00675F54">
        <w:t>)</w:t>
      </w:r>
      <w:r w:rsidRPr="00675F54">
        <w:rPr>
          <w:rFonts w:ascii="Cambria Math" w:hAnsi="Cambria Math" w:cs="Cambria Math"/>
        </w:rPr>
        <w:t>〉</w:t>
      </w:r>
      <w:r w:rsidRPr="00675F54">
        <w:t xml:space="preserve"> and CC</w:t>
      </w:r>
      <w:r w:rsidRPr="00675F54">
        <w:rPr>
          <w:vertAlign w:val="subscript"/>
        </w:rPr>
        <w:t>1/2</w:t>
      </w:r>
      <w:r w:rsidRPr="00675F54">
        <w:t xml:space="preserve">, and an increase of </w:t>
      </w:r>
      <w:proofErr w:type="spellStart"/>
      <w:r w:rsidRPr="00675F54">
        <w:rPr>
          <w:i/>
          <w:iCs/>
        </w:rPr>
        <w:t>R</w:t>
      </w:r>
      <w:r w:rsidRPr="00675F54">
        <w:rPr>
          <w:vertAlign w:val="subscript"/>
        </w:rPr>
        <w:t>meas</w:t>
      </w:r>
      <w:proofErr w:type="spellEnd"/>
      <w:r w:rsidRPr="00675F54">
        <w:rPr>
          <w:vertAlign w:val="subscript"/>
        </w:rPr>
        <w:t xml:space="preserve"> </w:t>
      </w:r>
      <w:r w:rsidRPr="00675F54">
        <w:t xml:space="preserve">in the </w:t>
      </w:r>
      <w:proofErr w:type="gramStart"/>
      <w:r w:rsidRPr="00675F54">
        <w:t>high resolution</w:t>
      </w:r>
      <w:proofErr w:type="gramEnd"/>
      <w:r w:rsidRPr="00675F54">
        <w:t xml:space="preserve"> shell). Full datasets were reconstituted by merging data from 5 crystals (</w:t>
      </w:r>
      <w:r w:rsidRPr="00A05590">
        <w:rPr>
          <w:b/>
          <w:bCs/>
        </w:rPr>
        <w:t>Table 1</w:t>
      </w:r>
      <w:r w:rsidRPr="00675F54">
        <w:t>). Crystal structures were derived by molecular replacement using standard crystallographic packages and procedures for data processing</w:t>
      </w:r>
      <w:r w:rsidRPr="00675F54">
        <w:rPr>
          <w:vertAlign w:val="superscript"/>
        </w:rPr>
        <w:t>11</w:t>
      </w:r>
      <w:r w:rsidRPr="00675F54">
        <w:t xml:space="preserve"> and refinement</w:t>
      </w:r>
      <w:r w:rsidRPr="00675F54">
        <w:rPr>
          <w:vertAlign w:val="superscript"/>
        </w:rPr>
        <w:t>12</w:t>
      </w:r>
      <w:r w:rsidRPr="00675F54">
        <w:t xml:space="preserve">. The comparison of the structures of the enzyme and of its complex with </w:t>
      </w:r>
      <w:proofErr w:type="spellStart"/>
      <w:r w:rsidRPr="00675F54">
        <w:t>CMPcPP</w:t>
      </w:r>
      <w:proofErr w:type="spellEnd"/>
      <w:r w:rsidRPr="00675F54">
        <w:t xml:space="preserve"> reveals the local </w:t>
      </w:r>
      <w:r w:rsidRPr="00675F54">
        <w:lastRenderedPageBreak/>
        <w:t>conformational adaptation that accompanies substrate binding in the active site of the CCA-adding enzyme (</w:t>
      </w:r>
      <w:r w:rsidRPr="00675F54">
        <w:rPr>
          <w:b/>
          <w:bCs/>
        </w:rPr>
        <w:t>Figure 7</w:t>
      </w:r>
      <w:r w:rsidRPr="00675F54">
        <w:t>).</w:t>
      </w:r>
    </w:p>
    <w:p w14:paraId="1FED29B0" w14:textId="77777777" w:rsidR="00675F54" w:rsidRDefault="00675F54" w:rsidP="00675F54">
      <w:pPr>
        <w:contextualSpacing/>
      </w:pPr>
    </w:p>
    <w:p w14:paraId="20E8B17F" w14:textId="2EFF5ACB" w:rsidR="00275F93" w:rsidRPr="00675F54" w:rsidRDefault="00C03D89" w:rsidP="00675F54">
      <w:pPr>
        <w:contextualSpacing/>
        <w:rPr>
          <w:b/>
        </w:rPr>
      </w:pPr>
      <w:r w:rsidRPr="00675F54">
        <w:rPr>
          <w:b/>
        </w:rPr>
        <w:t>FIGURE AND TABLE LEGENDS:</w:t>
      </w:r>
      <w:r w:rsidRPr="00675F54">
        <w:t xml:space="preserve"> </w:t>
      </w:r>
    </w:p>
    <w:p w14:paraId="19EE09D0" w14:textId="7E2865DA" w:rsidR="00275F93" w:rsidRPr="00675F54" w:rsidRDefault="00C03D89" w:rsidP="00675F54">
      <w:pPr>
        <w:contextualSpacing/>
      </w:pPr>
      <w:r w:rsidRPr="00675F54">
        <w:rPr>
          <w:b/>
          <w:bCs/>
        </w:rPr>
        <w:t>Figure 1</w:t>
      </w:r>
      <w:r w:rsidRPr="00675F54">
        <w:t xml:space="preserve">: </w:t>
      </w:r>
      <w:proofErr w:type="spellStart"/>
      <w:r w:rsidRPr="00A05590">
        <w:rPr>
          <w:b/>
          <w:bCs/>
        </w:rPr>
        <w:t>ChipX</w:t>
      </w:r>
      <w:proofErr w:type="spellEnd"/>
      <w:r w:rsidRPr="00A05590">
        <w:rPr>
          <w:b/>
          <w:bCs/>
        </w:rPr>
        <w:t xml:space="preserve"> design.</w:t>
      </w:r>
      <w:r w:rsidRPr="00675F54">
        <w:t xml:space="preserve"> The chip consists of a top layer made of COC (thickness: 1 mm) in which eight microfluidic channels and reservoirs are imprinted. The entire chip is sealed with a layer of COC (thickness: 0.1 mm). All channels are connected to a single inlet on the </w:t>
      </w:r>
      <w:proofErr w:type="gramStart"/>
      <w:r w:rsidRPr="00675F54">
        <w:t>left hand</w:t>
      </w:r>
      <w:proofErr w:type="gramEnd"/>
      <w:r w:rsidRPr="00675F54">
        <w:t xml:space="preserve"> side for simultaneous sample injection and to individual reservoirs on the right hand side in which crystallization solutions are deposited. The channels, which constitute the actual crystallization chambers of the chip, are 4 cm long and have a cross section of 80 µm x 80 µm. Labels </w:t>
      </w:r>
      <w:r w:rsidR="00A05590" w:rsidRPr="00675F54">
        <w:t>(A</w:t>
      </w:r>
      <w:r w:rsidRPr="00675F54">
        <w:t xml:space="preserve">1, A2, A3, etc.) embossed along the channels facilitate crystal positioning under the microscope and the preparation of a sample list for data collection. </w:t>
      </w:r>
      <w:proofErr w:type="spellStart"/>
      <w:r w:rsidRPr="00675F54">
        <w:t>ChipX</w:t>
      </w:r>
      <w:proofErr w:type="spellEnd"/>
      <w:r w:rsidRPr="00675F54">
        <w:t xml:space="preserve"> has the size of a standard microscope slide (7.5 cm x 2.5 cm).</w:t>
      </w:r>
    </w:p>
    <w:p w14:paraId="5BFB3EA3" w14:textId="77777777" w:rsidR="00275F93" w:rsidRPr="00675F54" w:rsidRDefault="00275F93" w:rsidP="00675F54">
      <w:pPr>
        <w:contextualSpacing/>
        <w:rPr>
          <w:b/>
          <w:bCs/>
        </w:rPr>
      </w:pPr>
    </w:p>
    <w:p w14:paraId="509ED765" w14:textId="552F4C2C" w:rsidR="00275F93" w:rsidRPr="00675F54" w:rsidRDefault="00C03D89" w:rsidP="00675F54">
      <w:pPr>
        <w:contextualSpacing/>
      </w:pPr>
      <w:r w:rsidRPr="00675F54">
        <w:rPr>
          <w:b/>
          <w:bCs/>
        </w:rPr>
        <w:t>Figure 2</w:t>
      </w:r>
      <w:r w:rsidRPr="00675F54">
        <w:t xml:space="preserve">: </w:t>
      </w:r>
      <w:r w:rsidRPr="00A05590">
        <w:rPr>
          <w:b/>
          <w:bCs/>
        </w:rPr>
        <w:t xml:space="preserve">Setting up crystallization assays in </w:t>
      </w:r>
      <w:proofErr w:type="spellStart"/>
      <w:r w:rsidRPr="00A05590">
        <w:rPr>
          <w:b/>
          <w:bCs/>
        </w:rPr>
        <w:t>ChipX</w:t>
      </w:r>
      <w:proofErr w:type="spellEnd"/>
      <w:r w:rsidRPr="00A05590">
        <w:rPr>
          <w:b/>
          <w:bCs/>
        </w:rPr>
        <w:t>.</w:t>
      </w:r>
      <w:r w:rsidRPr="00675F54">
        <w:t xml:space="preserve"> 1) Deposit 5-6 μL of enzyme solutions using standard 10 μL pipet and tip. 2) Introduce the tip vertically in the sample inlet and inject the solution in the eight channels. 3) Pipet 1 μL of paraffin oil. 4) Introduce the tip vertically in the sample inlet and inject the oil </w:t>
      </w:r>
      <w:proofErr w:type="gramStart"/>
      <w:r w:rsidRPr="00675F54">
        <w:t>in order to</w:t>
      </w:r>
      <w:proofErr w:type="gramEnd"/>
      <w:r w:rsidRPr="00675F54">
        <w:t xml:space="preserve"> disconnect the channels from each other. 5)</w:t>
      </w:r>
      <w:r w:rsidR="00675F54">
        <w:t xml:space="preserve"> </w:t>
      </w:r>
      <w:r w:rsidRPr="00675F54">
        <w:t>Seal the inlet with a piece of tape. 6) Pipet 5 μL of crystallization solution using standard 10 μL pipet and tip. Solutions can be different in every reservoir (</w:t>
      </w:r>
      <w:r w:rsidR="00A05590">
        <w:t>e.g.,</w:t>
      </w:r>
      <w:r w:rsidRPr="00675F54">
        <w:t xml:space="preserve"> from a screening kit). 7) Orient the pipet tip towards the entry of the channel in the funnel shaped part of the reservoir (to avoid the formation of an air bubble upon solution deposition) and inject the </w:t>
      </w:r>
      <w:proofErr w:type="spellStart"/>
      <w:r w:rsidRPr="00675F54">
        <w:t>crystallant</w:t>
      </w:r>
      <w:proofErr w:type="spellEnd"/>
      <w:r w:rsidRPr="00675F54">
        <w:t xml:space="preserve"> solution in the reservoir. 8) Seal the reservoirs with a piece of tape and incubate the chip at controlled temperature.</w:t>
      </w:r>
    </w:p>
    <w:p w14:paraId="78BA11E8" w14:textId="77777777" w:rsidR="00275F93" w:rsidRPr="00675F54" w:rsidRDefault="00275F93" w:rsidP="00675F54">
      <w:pPr>
        <w:contextualSpacing/>
        <w:rPr>
          <w:b/>
          <w:bCs/>
        </w:rPr>
      </w:pPr>
    </w:p>
    <w:p w14:paraId="154DF7C8" w14:textId="77777777" w:rsidR="00275F93" w:rsidRPr="00675F54" w:rsidRDefault="00C03D89" w:rsidP="00675F54">
      <w:pPr>
        <w:contextualSpacing/>
      </w:pPr>
      <w:r w:rsidRPr="00675F54">
        <w:rPr>
          <w:b/>
          <w:bCs/>
        </w:rPr>
        <w:t>Figure 3:</w:t>
      </w:r>
      <w:r w:rsidRPr="00675F54">
        <w:t xml:space="preserve"> </w:t>
      </w:r>
      <w:r w:rsidRPr="00A05590">
        <w:rPr>
          <w:b/>
          <w:bCs/>
        </w:rPr>
        <w:t xml:space="preserve">Crystals of CCA-adding enzyme grown by counter-diffusion in the microfluidic channels of </w:t>
      </w:r>
      <w:proofErr w:type="spellStart"/>
      <w:r w:rsidRPr="00A05590">
        <w:rPr>
          <w:b/>
          <w:bCs/>
        </w:rPr>
        <w:t>ChipX</w:t>
      </w:r>
      <w:proofErr w:type="spellEnd"/>
      <w:r w:rsidRPr="00A05590">
        <w:rPr>
          <w:b/>
          <w:bCs/>
        </w:rPr>
        <w:t>.</w:t>
      </w:r>
      <w:r w:rsidRPr="00675F54">
        <w:t xml:space="preserve"> Scale bar is 0.1 mm.</w:t>
      </w:r>
    </w:p>
    <w:p w14:paraId="6B2768EE" w14:textId="77777777" w:rsidR="00275F93" w:rsidRPr="00675F54" w:rsidRDefault="00275F93" w:rsidP="00675F54">
      <w:pPr>
        <w:contextualSpacing/>
        <w:rPr>
          <w:b/>
          <w:bCs/>
        </w:rPr>
      </w:pPr>
    </w:p>
    <w:p w14:paraId="61F151EB" w14:textId="77777777" w:rsidR="00275F93" w:rsidRPr="00675F54" w:rsidRDefault="00C03D89" w:rsidP="00675F54">
      <w:pPr>
        <w:contextualSpacing/>
      </w:pPr>
      <w:r w:rsidRPr="00675F54">
        <w:rPr>
          <w:b/>
          <w:bCs/>
        </w:rPr>
        <w:t>Figure 4</w:t>
      </w:r>
      <w:r w:rsidRPr="00675F54">
        <w:t xml:space="preserve">: </w:t>
      </w:r>
      <w:r w:rsidRPr="00A05590">
        <w:rPr>
          <w:b/>
          <w:bCs/>
        </w:rPr>
        <w:t>Crystal soaking procedure.</w:t>
      </w:r>
      <w:r w:rsidRPr="00675F54">
        <w:t xml:space="preserve"> 1) Gently remove the tape from the reservoirs. 2) Deposit up to 5 μL of ligand solution using a 10 μL </w:t>
      </w:r>
      <w:proofErr w:type="spellStart"/>
      <w:r w:rsidRPr="00675F54">
        <w:t>micropipet</w:t>
      </w:r>
      <w:proofErr w:type="spellEnd"/>
      <w:r w:rsidRPr="00675F54">
        <w:t>. 3) Add the ligand to one or several reservoirs. 4) Seal again the reservoirs with a piece of tape and incubate the chip under controlled temperature for 24-48 h before data collection.</w:t>
      </w:r>
    </w:p>
    <w:p w14:paraId="01E08E19" w14:textId="77777777" w:rsidR="00275F93" w:rsidRPr="00675F54" w:rsidRDefault="00275F93" w:rsidP="00675F54">
      <w:pPr>
        <w:contextualSpacing/>
        <w:rPr>
          <w:b/>
          <w:bCs/>
        </w:rPr>
      </w:pPr>
    </w:p>
    <w:p w14:paraId="1EB813E0" w14:textId="77777777" w:rsidR="00275F93" w:rsidRPr="00675F54" w:rsidRDefault="00C03D89" w:rsidP="00675F54">
      <w:pPr>
        <w:contextualSpacing/>
      </w:pPr>
      <w:r w:rsidRPr="00675F54">
        <w:rPr>
          <w:b/>
          <w:bCs/>
        </w:rPr>
        <w:t>Figure 5</w:t>
      </w:r>
      <w:r w:rsidRPr="00675F54">
        <w:t xml:space="preserve">: </w:t>
      </w:r>
      <w:r w:rsidRPr="00A05590">
        <w:rPr>
          <w:b/>
          <w:bCs/>
        </w:rPr>
        <w:t xml:space="preserve">Trace fluorescent labeling discriminates protein (left) from salt (right) crystals. </w:t>
      </w:r>
      <w:r w:rsidRPr="00675F54">
        <w:t xml:space="preserve">The CCA-adding enzyme solution contained 0.4 % (w/w) of protein labeled with </w:t>
      </w:r>
      <w:proofErr w:type="spellStart"/>
      <w:r w:rsidRPr="00675F54">
        <w:t>carboxyrhodamine</w:t>
      </w:r>
      <w:proofErr w:type="spellEnd"/>
      <w:r w:rsidRPr="00675F54">
        <w:t>. On the right, c</w:t>
      </w:r>
      <w:r w:rsidRPr="00675F54">
        <w:rPr>
          <w:rFonts w:eastAsia="TimesNewRomanPSMT"/>
        </w:rPr>
        <w:t xml:space="preserve">rystals are illuminated with a 520 nm wavelength light source and the image is taken with a low pass filter at 550 nm (LP550); (inset) structure of </w:t>
      </w:r>
      <w:proofErr w:type="spellStart"/>
      <w:r w:rsidRPr="00675F54">
        <w:rPr>
          <w:rFonts w:eastAsia="TimesNewRomanPSMT"/>
        </w:rPr>
        <w:t>carboxyrhodamine-succinimidyl</w:t>
      </w:r>
      <w:proofErr w:type="spellEnd"/>
      <w:r w:rsidRPr="00675F54">
        <w:rPr>
          <w:rFonts w:eastAsia="TimesNewRomanPSMT"/>
        </w:rPr>
        <w:t xml:space="preserve"> ester.</w:t>
      </w:r>
    </w:p>
    <w:p w14:paraId="16DF3419" w14:textId="77777777" w:rsidR="00275F93" w:rsidRPr="00675F54" w:rsidRDefault="00275F93" w:rsidP="00675F54">
      <w:pPr>
        <w:contextualSpacing/>
      </w:pPr>
    </w:p>
    <w:p w14:paraId="0BDE64A6" w14:textId="77777777" w:rsidR="00275F93" w:rsidRPr="00A05590" w:rsidRDefault="00C03D89" w:rsidP="00675F54">
      <w:pPr>
        <w:contextualSpacing/>
        <w:rPr>
          <w:b/>
          <w:bCs/>
        </w:rPr>
      </w:pPr>
      <w:r w:rsidRPr="00675F54">
        <w:rPr>
          <w:b/>
          <w:bCs/>
        </w:rPr>
        <w:t>Figure 6</w:t>
      </w:r>
      <w:r w:rsidRPr="00675F54">
        <w:t xml:space="preserve">: </w:t>
      </w:r>
      <w:r w:rsidRPr="00A05590">
        <w:rPr>
          <w:b/>
          <w:bCs/>
        </w:rPr>
        <w:t xml:space="preserve">(Left) Drawing of the </w:t>
      </w:r>
      <w:proofErr w:type="spellStart"/>
      <w:r w:rsidRPr="00A05590">
        <w:rPr>
          <w:b/>
          <w:bCs/>
        </w:rPr>
        <w:t>ChipX</w:t>
      </w:r>
      <w:proofErr w:type="spellEnd"/>
      <w:r w:rsidRPr="00A05590">
        <w:rPr>
          <w:b/>
          <w:bCs/>
        </w:rPr>
        <w:t xml:space="preserve"> holder and (Right) </w:t>
      </w:r>
      <w:proofErr w:type="spellStart"/>
      <w:r w:rsidRPr="00A05590">
        <w:rPr>
          <w:b/>
          <w:bCs/>
        </w:rPr>
        <w:t>ChipX</w:t>
      </w:r>
      <w:proofErr w:type="spellEnd"/>
      <w:r w:rsidRPr="00A05590">
        <w:rPr>
          <w:b/>
          <w:bCs/>
        </w:rPr>
        <w:t xml:space="preserve"> mounted on the goniometer of beamline X06DA at SLS (</w:t>
      </w:r>
      <w:proofErr w:type="spellStart"/>
      <w:r w:rsidRPr="00A05590">
        <w:rPr>
          <w:b/>
          <w:bCs/>
        </w:rPr>
        <w:t>Villigen</w:t>
      </w:r>
      <w:proofErr w:type="spellEnd"/>
      <w:r w:rsidRPr="00A05590">
        <w:rPr>
          <w:b/>
          <w:bCs/>
        </w:rPr>
        <w:t>, Switzerland) for serial crystal analysis.</w:t>
      </w:r>
    </w:p>
    <w:p w14:paraId="5F54A7B1" w14:textId="77777777" w:rsidR="00275F93" w:rsidRPr="00675F54" w:rsidRDefault="00275F93" w:rsidP="00675F54">
      <w:pPr>
        <w:contextualSpacing/>
        <w:rPr>
          <w:b/>
          <w:bCs/>
        </w:rPr>
      </w:pPr>
    </w:p>
    <w:p w14:paraId="4DB21973" w14:textId="77777777" w:rsidR="00275F93" w:rsidRPr="00675F54" w:rsidRDefault="00C03D89" w:rsidP="00675F54">
      <w:pPr>
        <w:contextualSpacing/>
      </w:pPr>
      <w:r w:rsidRPr="00675F54">
        <w:rPr>
          <w:b/>
          <w:bCs/>
        </w:rPr>
        <w:t xml:space="preserve">Figure 7: </w:t>
      </w:r>
      <w:r w:rsidRPr="00A05590">
        <w:rPr>
          <w:b/>
          <w:bCs/>
        </w:rPr>
        <w:t xml:space="preserve">Comparison of CCA-adding enzyme active site in the apo form (in pink) and in the complex with a CTP analog (in green). </w:t>
      </w:r>
      <w:r w:rsidRPr="00675F54">
        <w:t xml:space="preserve">Although the overall conformation of the enzyme is not </w:t>
      </w:r>
      <w:r w:rsidRPr="00675F54">
        <w:lastRenderedPageBreak/>
        <w:t xml:space="preserve">affected, the binding of the </w:t>
      </w:r>
      <w:proofErr w:type="spellStart"/>
      <w:r w:rsidRPr="00675F54">
        <w:t>CMPcPP</w:t>
      </w:r>
      <w:proofErr w:type="spellEnd"/>
      <w:r w:rsidRPr="00675F54">
        <w:t xml:space="preserve"> ligand is accompanied by a slight reorganization of side chains in the active site. The 2</w:t>
      </w:r>
      <w:r w:rsidRPr="00675F54">
        <w:rPr>
          <w:i/>
          <w:iCs/>
        </w:rPr>
        <w:t>Fo-Fc</w:t>
      </w:r>
      <w:r w:rsidRPr="00675F54">
        <w:t xml:space="preserve"> electron density map (in blue) is contoured at 1.2 sigma. The difference electron density map contoured at 4 sigma (in green) confirms the presence of the ligand in the active site.</w:t>
      </w:r>
    </w:p>
    <w:p w14:paraId="44873D0C" w14:textId="77777777" w:rsidR="00275F93" w:rsidRPr="00675F54" w:rsidRDefault="00275F93" w:rsidP="00675F54">
      <w:pPr>
        <w:contextualSpacing/>
      </w:pPr>
    </w:p>
    <w:p w14:paraId="133DE142" w14:textId="77777777" w:rsidR="00275F93" w:rsidRPr="00A05590" w:rsidRDefault="00C03D89" w:rsidP="00675F54">
      <w:pPr>
        <w:contextualSpacing/>
        <w:rPr>
          <w:b/>
          <w:bCs/>
        </w:rPr>
      </w:pPr>
      <w:r w:rsidRPr="00675F54">
        <w:rPr>
          <w:b/>
          <w:bCs/>
        </w:rPr>
        <w:t xml:space="preserve">Table 1: </w:t>
      </w:r>
      <w:r w:rsidRPr="00A05590">
        <w:rPr>
          <w:b/>
          <w:bCs/>
        </w:rPr>
        <w:t>Data collection and refinement statistics</w:t>
      </w:r>
    </w:p>
    <w:p w14:paraId="47F76A08" w14:textId="77777777" w:rsidR="00275F93" w:rsidRPr="00675F54" w:rsidRDefault="00C03D89" w:rsidP="00675F54">
      <w:pPr>
        <w:contextualSpacing/>
      </w:pPr>
      <w:r w:rsidRPr="00675F54">
        <w:t xml:space="preserve">§ Redundancy-independent </w:t>
      </w:r>
      <w:proofErr w:type="spellStart"/>
      <w:r w:rsidRPr="00675F54">
        <w:rPr>
          <w:i/>
          <w:iCs/>
        </w:rPr>
        <w:t>Rmeas</w:t>
      </w:r>
      <w:proofErr w:type="spellEnd"/>
      <w:r w:rsidRPr="00675F54">
        <w:rPr>
          <w:i/>
          <w:iCs/>
        </w:rPr>
        <w:t xml:space="preserve"> </w:t>
      </w:r>
      <w:r w:rsidRPr="00675F54">
        <w:t xml:space="preserve">= </w:t>
      </w:r>
      <w:proofErr w:type="spellStart"/>
      <w:r w:rsidRPr="00675F54">
        <w:t>Σ</w:t>
      </w:r>
      <w:r w:rsidRPr="00675F54">
        <w:rPr>
          <w:i/>
          <w:iCs/>
          <w:vertAlign w:val="subscript"/>
        </w:rPr>
        <w:t>hkl</w:t>
      </w:r>
      <w:proofErr w:type="spellEnd"/>
      <w:r w:rsidRPr="00675F54">
        <w:rPr>
          <w:i/>
          <w:iCs/>
        </w:rPr>
        <w:t xml:space="preserve"> </w:t>
      </w:r>
      <w:r w:rsidRPr="00675F54">
        <w:t>(</w:t>
      </w:r>
      <w:r w:rsidRPr="00675F54">
        <w:rPr>
          <w:i/>
          <w:iCs/>
        </w:rPr>
        <w:t>N/N-1</w:t>
      </w:r>
      <w:r w:rsidRPr="00675F54">
        <w:t>)</w:t>
      </w:r>
      <w:r w:rsidRPr="00675F54">
        <w:rPr>
          <w:i/>
          <w:iCs/>
          <w:vertAlign w:val="superscript"/>
        </w:rPr>
        <w:t>1/2</w:t>
      </w:r>
      <w:r w:rsidRPr="00675F54">
        <w:rPr>
          <w:i/>
          <w:iCs/>
        </w:rPr>
        <w:t xml:space="preserve"> </w:t>
      </w:r>
      <w:proofErr w:type="spellStart"/>
      <w:r w:rsidRPr="00675F54">
        <w:t>Σ</w:t>
      </w:r>
      <w:r w:rsidRPr="00675F54">
        <w:rPr>
          <w:i/>
          <w:iCs/>
          <w:vertAlign w:val="subscript"/>
        </w:rPr>
        <w:t>i</w:t>
      </w:r>
      <w:proofErr w:type="spellEnd"/>
      <w:r w:rsidRPr="00675F54">
        <w:rPr>
          <w:i/>
          <w:iCs/>
        </w:rPr>
        <w:t xml:space="preserve"> </w:t>
      </w:r>
      <w:r w:rsidRPr="00675F54">
        <w:t>|</w:t>
      </w:r>
      <w:proofErr w:type="spellStart"/>
      <w:r w:rsidRPr="00675F54">
        <w:rPr>
          <w:i/>
          <w:iCs/>
        </w:rPr>
        <w:t>I</w:t>
      </w:r>
      <w:r w:rsidRPr="00675F54">
        <w:rPr>
          <w:i/>
          <w:iCs/>
          <w:vertAlign w:val="subscript"/>
        </w:rPr>
        <w:t>i</w:t>
      </w:r>
      <w:proofErr w:type="spellEnd"/>
      <w:r w:rsidRPr="00675F54">
        <w:t>(</w:t>
      </w:r>
      <w:proofErr w:type="spellStart"/>
      <w:r w:rsidRPr="00675F54">
        <w:rPr>
          <w:i/>
          <w:iCs/>
        </w:rPr>
        <w:t>hkl</w:t>
      </w:r>
      <w:proofErr w:type="spellEnd"/>
      <w:r w:rsidRPr="00675F54">
        <w:t>)</w:t>
      </w:r>
      <w:r w:rsidRPr="00675F54">
        <w:rPr>
          <w:i/>
          <w:iCs/>
        </w:rPr>
        <w:t xml:space="preserve"> </w:t>
      </w:r>
      <w:r w:rsidRPr="00675F54">
        <w:t>- &lt;</w:t>
      </w:r>
      <w:r w:rsidRPr="00675F54">
        <w:rPr>
          <w:i/>
          <w:iCs/>
        </w:rPr>
        <w:t>I</w:t>
      </w:r>
      <w:r w:rsidRPr="00675F54">
        <w:t>(</w:t>
      </w:r>
      <w:proofErr w:type="spellStart"/>
      <w:r w:rsidRPr="00675F54">
        <w:rPr>
          <w:i/>
          <w:iCs/>
        </w:rPr>
        <w:t>hkl</w:t>
      </w:r>
      <w:proofErr w:type="spellEnd"/>
      <w:r w:rsidRPr="00675F54">
        <w:t xml:space="preserve">)&gt;| / </w:t>
      </w:r>
      <w:proofErr w:type="spellStart"/>
      <w:r w:rsidRPr="00675F54">
        <w:t>Σ</w:t>
      </w:r>
      <w:r w:rsidRPr="00675F54">
        <w:rPr>
          <w:i/>
          <w:iCs/>
          <w:vertAlign w:val="subscript"/>
        </w:rPr>
        <w:t>hkl</w:t>
      </w:r>
      <w:proofErr w:type="spellEnd"/>
      <w:r w:rsidRPr="00675F54">
        <w:rPr>
          <w:i/>
          <w:iCs/>
        </w:rPr>
        <w:t xml:space="preserve"> </w:t>
      </w:r>
      <w:proofErr w:type="spellStart"/>
      <w:r w:rsidRPr="00675F54">
        <w:t>Σ</w:t>
      </w:r>
      <w:r w:rsidRPr="00675F54">
        <w:rPr>
          <w:i/>
          <w:iCs/>
          <w:vertAlign w:val="subscript"/>
        </w:rPr>
        <w:t>i</w:t>
      </w:r>
      <w:proofErr w:type="spellEnd"/>
      <w:r w:rsidRPr="00675F54">
        <w:rPr>
          <w:i/>
          <w:iCs/>
        </w:rPr>
        <w:t xml:space="preserve"> </w:t>
      </w:r>
      <w:proofErr w:type="spellStart"/>
      <w:r w:rsidRPr="00675F54">
        <w:rPr>
          <w:i/>
          <w:iCs/>
        </w:rPr>
        <w:t>I</w:t>
      </w:r>
      <w:r w:rsidRPr="00675F54">
        <w:rPr>
          <w:i/>
          <w:iCs/>
          <w:vertAlign w:val="subscript"/>
        </w:rPr>
        <w:t>i</w:t>
      </w:r>
      <w:proofErr w:type="spellEnd"/>
      <w:r w:rsidRPr="00675F54">
        <w:t>(</w:t>
      </w:r>
      <w:proofErr w:type="spellStart"/>
      <w:r w:rsidRPr="00675F54">
        <w:rPr>
          <w:i/>
          <w:iCs/>
        </w:rPr>
        <w:t>hkl</w:t>
      </w:r>
      <w:proofErr w:type="spellEnd"/>
      <w:r w:rsidRPr="00675F54">
        <w:t xml:space="preserve">), where N is the data multiplicity </w:t>
      </w:r>
      <w:r w:rsidRPr="00675F54">
        <w:rPr>
          <w:vertAlign w:val="superscript"/>
        </w:rPr>
        <w:t>17</w:t>
      </w:r>
      <w:r w:rsidRPr="00675F54">
        <w:t>.</w:t>
      </w:r>
    </w:p>
    <w:p w14:paraId="3BA5CC99" w14:textId="06F2AC6A" w:rsidR="00675F54" w:rsidRDefault="00C03D89" w:rsidP="00675F54">
      <w:pPr>
        <w:contextualSpacing/>
      </w:pPr>
      <w:r w:rsidRPr="00675F54">
        <w:t xml:space="preserve">£ Data with low &lt;I/σ(I)&gt; in outer shell (&lt;2.0) were included based on CC1/2 criterion (correlation between two random </w:t>
      </w:r>
      <w:r w:rsidR="0038365B" w:rsidRPr="00675F54">
        <w:t>halves</w:t>
      </w:r>
      <w:r w:rsidRPr="00675F54">
        <w:t xml:space="preserve"> of the dataset &gt; 50%) as proposed by Karplus &amp; </w:t>
      </w:r>
      <w:proofErr w:type="spellStart"/>
      <w:r w:rsidRPr="00675F54">
        <w:t>Diederichs</w:t>
      </w:r>
      <w:proofErr w:type="spellEnd"/>
      <w:r w:rsidRPr="00675F54">
        <w:t xml:space="preserve"> </w:t>
      </w:r>
      <w:r w:rsidRPr="00675F54">
        <w:rPr>
          <w:vertAlign w:val="superscript"/>
        </w:rPr>
        <w:t>18</w:t>
      </w:r>
      <w:r w:rsidRPr="00675F54">
        <w:t>.</w:t>
      </w:r>
    </w:p>
    <w:p w14:paraId="69D78149" w14:textId="77777777" w:rsidR="00675F54" w:rsidRDefault="00675F54" w:rsidP="00675F54">
      <w:pPr>
        <w:contextualSpacing/>
      </w:pPr>
    </w:p>
    <w:p w14:paraId="4622A077" w14:textId="1302B49C" w:rsidR="00275F93" w:rsidRPr="00675F54" w:rsidRDefault="00C03D89" w:rsidP="00675F54">
      <w:pPr>
        <w:contextualSpacing/>
      </w:pPr>
      <w:r w:rsidRPr="00675F54">
        <w:rPr>
          <w:b/>
        </w:rPr>
        <w:t xml:space="preserve">DISCUSSION: </w:t>
      </w:r>
    </w:p>
    <w:p w14:paraId="3972BC57" w14:textId="799EE87A" w:rsidR="00275F93" w:rsidRDefault="00C03D89" w:rsidP="00675F54">
      <w:pPr>
        <w:contextualSpacing/>
      </w:pPr>
      <w:r w:rsidRPr="00675F54">
        <w:t xml:space="preserve">Current protocols in </w:t>
      </w:r>
      <w:proofErr w:type="spellStart"/>
      <w:r w:rsidRPr="00675F54">
        <w:t>biocrystallography</w:t>
      </w:r>
      <w:proofErr w:type="spellEnd"/>
      <w:r w:rsidRPr="00675F54">
        <w:t xml:space="preserve"> involve the preparation of crystals using methods such as vapor diffusion or batch</w:t>
      </w:r>
      <w:r w:rsidRPr="00675F54">
        <w:rPr>
          <w:vertAlign w:val="superscript"/>
        </w:rPr>
        <w:t>13, 14</w:t>
      </w:r>
      <w:r w:rsidRPr="00675F54">
        <w:t xml:space="preserve">, and their transfer into a </w:t>
      </w:r>
      <w:proofErr w:type="spellStart"/>
      <w:r w:rsidRPr="00675F54">
        <w:t>microloop</w:t>
      </w:r>
      <w:proofErr w:type="spellEnd"/>
      <w:r w:rsidRPr="00675F54">
        <w:t xml:space="preserve"> for cryo-cooling</w:t>
      </w:r>
      <w:r w:rsidRPr="00675F54">
        <w:rPr>
          <w:vertAlign w:val="superscript"/>
        </w:rPr>
        <w:t>15, 16</w:t>
      </w:r>
      <w:r w:rsidRPr="00675F54">
        <w:t xml:space="preserve"> before performing the diffraction analysis in a nitrogen jet at cryogenic conditions. In contrast, direct crystal cryo-cooling is not possible in ChipX</w:t>
      </w:r>
      <w:r w:rsidRPr="00675F54">
        <w:rPr>
          <w:vertAlign w:val="superscript"/>
        </w:rPr>
        <w:t>3</w:t>
      </w:r>
      <w:r w:rsidRPr="00675F54">
        <w:t xml:space="preserve"> and crystals cannot be extracted from their microfluidic channel, which </w:t>
      </w:r>
      <w:proofErr w:type="gramStart"/>
      <w:r w:rsidRPr="00675F54">
        <w:t>can be seen as</w:t>
      </w:r>
      <w:proofErr w:type="gramEnd"/>
      <w:r w:rsidRPr="00675F54">
        <w:t xml:space="preserve"> limitations of this setup. However, the protocol described in the </w:t>
      </w:r>
      <w:r w:rsidR="0038365B">
        <w:t>article</w:t>
      </w:r>
      <w:r w:rsidRPr="00675F54">
        <w:t xml:space="preserve"> provides a fully integrated pipeline for the determination of crystal structures at room temperature</w:t>
      </w:r>
      <w:r w:rsidR="0038365B">
        <w:t xml:space="preserve"> (</w:t>
      </w:r>
      <w:r w:rsidR="00675F54">
        <w:t xml:space="preserve">i.e., </w:t>
      </w:r>
      <w:r w:rsidRPr="00675F54">
        <w:t>in more physiological conditions</w:t>
      </w:r>
      <w:r w:rsidR="0038365B">
        <w:t>)</w:t>
      </w:r>
      <w:r w:rsidRPr="00675F54">
        <w:t>. Even though data collection at room-temperature causes an increase of radiation damage</w:t>
      </w:r>
      <w:r w:rsidRPr="00675F54">
        <w:rPr>
          <w:vertAlign w:val="superscript"/>
        </w:rPr>
        <w:t>19</w:t>
      </w:r>
      <w:r w:rsidRPr="00675F54">
        <w:t xml:space="preserve">, this effect is counterbalanced by fast data acquisition time (a maximum of 60° rotation is collected on each crystal) and by merging of several partial datasets. Both </w:t>
      </w:r>
      <w:proofErr w:type="spellStart"/>
      <w:r w:rsidRPr="00675F54">
        <w:t>ChipX</w:t>
      </w:r>
      <w:proofErr w:type="spellEnd"/>
      <w:r w:rsidRPr="00675F54">
        <w:t xml:space="preserve"> design and material were optimized to reduce background scattering and diffraction signal attenuation</w:t>
      </w:r>
      <w:r w:rsidRPr="00675F54">
        <w:rPr>
          <w:vertAlign w:val="superscript"/>
        </w:rPr>
        <w:t>3</w:t>
      </w:r>
      <w:r w:rsidRPr="00675F54">
        <w:t>, and data collection can be performed on crystals with dimensions equivalent to half the size of the channels (40 μm)</w:t>
      </w:r>
      <w:r w:rsidRPr="00675F54">
        <w:rPr>
          <w:vertAlign w:val="superscript"/>
        </w:rPr>
        <w:t>4</w:t>
      </w:r>
      <w:r w:rsidRPr="00675F54">
        <w:t xml:space="preserve">. </w:t>
      </w:r>
    </w:p>
    <w:p w14:paraId="3B27ED73" w14:textId="77777777" w:rsidR="00675F54" w:rsidRPr="00675F54" w:rsidRDefault="00675F54" w:rsidP="00675F54">
      <w:pPr>
        <w:contextualSpacing/>
      </w:pPr>
    </w:p>
    <w:p w14:paraId="10770782" w14:textId="43C76BD6" w:rsidR="00275F93" w:rsidRDefault="00C03D89" w:rsidP="00675F54">
      <w:pPr>
        <w:contextualSpacing/>
      </w:pPr>
      <w:r w:rsidRPr="00675F54">
        <w:t>To summarize, the main advantages of the protocol are the following</w:t>
      </w:r>
      <w:r w:rsidR="0038365B">
        <w:t>. T</w:t>
      </w:r>
      <w:r w:rsidRPr="00675F54">
        <w:t>he crystals are produced in a convection-free environment (microfluidic channels)</w:t>
      </w:r>
      <w:r w:rsidR="0038365B">
        <w:t>,</w:t>
      </w:r>
      <w:r w:rsidRPr="00675F54">
        <w:t xml:space="preserve"> which is very favorable to the growth of </w:t>
      </w:r>
      <w:r w:rsidR="0038365B" w:rsidRPr="00675F54">
        <w:t>high-quality</w:t>
      </w:r>
      <w:r w:rsidRPr="00675F54">
        <w:t xml:space="preserve"> crystals</w:t>
      </w:r>
      <w:r w:rsidR="0038365B">
        <w:t>. T</w:t>
      </w:r>
      <w:r w:rsidRPr="00675F54">
        <w:t xml:space="preserve">he counter-diffusion method implemented in </w:t>
      </w:r>
      <w:proofErr w:type="spellStart"/>
      <w:r w:rsidRPr="00675F54">
        <w:t>ChipX</w:t>
      </w:r>
      <w:proofErr w:type="spellEnd"/>
      <w:r w:rsidRPr="00675F54">
        <w:t xml:space="preserve"> is very efficient at screening the supersaturation landscape; the diffusion of </w:t>
      </w:r>
      <w:proofErr w:type="spellStart"/>
      <w:r w:rsidRPr="00675F54">
        <w:t>crystallants</w:t>
      </w:r>
      <w:proofErr w:type="spellEnd"/>
      <w:r w:rsidRPr="00675F54">
        <w:t xml:space="preserve"> into the chip channel creates a concentration and supersaturation wave that helps determine appropriate nucleation and growth conditions</w:t>
      </w:r>
      <w:r w:rsidRPr="00675F54">
        <w:rPr>
          <w:vertAlign w:val="superscript"/>
        </w:rPr>
        <w:t>5</w:t>
      </w:r>
      <w:r w:rsidR="0038365B">
        <w:t>. C</w:t>
      </w:r>
      <w:r w:rsidRPr="00675F54">
        <w:t>rystals are never directly handled, but are analyzed in situ, inside the chip, which preserves their genuine diffraction properties</w:t>
      </w:r>
      <w:r w:rsidR="0038365B">
        <w:t xml:space="preserve"> (</w:t>
      </w:r>
      <w:r w:rsidR="00675F54">
        <w:t xml:space="preserve">i.e., </w:t>
      </w:r>
      <w:r w:rsidRPr="00675F54">
        <w:t xml:space="preserve">does not alter crystal </w:t>
      </w:r>
      <w:proofErr w:type="spellStart"/>
      <w:r w:rsidRPr="00675F54">
        <w:t>mosaicity</w:t>
      </w:r>
      <w:proofErr w:type="spellEnd"/>
      <w:r w:rsidRPr="00675F54">
        <w:t xml:space="preserve"> by physical interaction or cryocooling</w:t>
      </w:r>
      <w:r w:rsidR="0038365B" w:rsidRPr="0038365B">
        <w:t>)</w:t>
      </w:r>
      <w:r w:rsidRPr="00675F54">
        <w:rPr>
          <w:vertAlign w:val="superscript"/>
        </w:rPr>
        <w:t>20</w:t>
      </w:r>
      <w:r w:rsidR="0038365B">
        <w:t>. T</w:t>
      </w:r>
      <w:r w:rsidRPr="00675F54">
        <w:t>he diffraction analysis is performed on a series of crystals distributed along the chip channels with low dose exposure to minimize radiation damage, and a full dataset is assembled by merging partial data from the series</w:t>
      </w:r>
      <w:r w:rsidR="0038365B">
        <w:t>. T</w:t>
      </w:r>
      <w:r w:rsidRPr="00675F54">
        <w:t xml:space="preserve">he standard footprint and simple design of </w:t>
      </w:r>
      <w:proofErr w:type="spellStart"/>
      <w:r w:rsidRPr="00675F54">
        <w:t>ChipX</w:t>
      </w:r>
      <w:proofErr w:type="spellEnd"/>
      <w:r w:rsidRPr="00675F54">
        <w:t xml:space="preserve"> will allow in the future a complete automation of </w:t>
      </w:r>
      <w:r w:rsidRPr="00675F54">
        <w:rPr>
          <w:i/>
          <w:iCs/>
        </w:rPr>
        <w:t>in situ</w:t>
      </w:r>
      <w:r w:rsidRPr="00675F54">
        <w:t xml:space="preserve"> data collection using synchrotron or XFEL facilities.</w:t>
      </w:r>
      <w:r w:rsidR="0038365B">
        <w:t xml:space="preserve"> </w:t>
      </w:r>
      <w:r w:rsidRPr="00675F54">
        <w:t xml:space="preserve">All steps of the protocol are carried out in </w:t>
      </w:r>
      <w:proofErr w:type="spellStart"/>
      <w:r w:rsidRPr="00675F54">
        <w:t>ChipX</w:t>
      </w:r>
      <w:proofErr w:type="spellEnd"/>
      <w:r w:rsidRPr="00675F54">
        <w:t xml:space="preserve">. From the experimenter point-of-view, chip setup is simple and easy to perform with standard pipets and does not require any extra equipment. The tree-like channel connection at the sample inlet minimizes dead volumes in the system, which is important when working with samples that are difficult to purify or that are only available in limited quantity. </w:t>
      </w:r>
    </w:p>
    <w:p w14:paraId="0F089381" w14:textId="77777777" w:rsidR="00675F54" w:rsidRPr="00675F54" w:rsidRDefault="00675F54" w:rsidP="00675F54">
      <w:pPr>
        <w:contextualSpacing/>
      </w:pPr>
    </w:p>
    <w:p w14:paraId="4167CB50" w14:textId="77777777" w:rsidR="00275F93" w:rsidRPr="00675F54" w:rsidRDefault="00C03D89" w:rsidP="00675F54">
      <w:pPr>
        <w:contextualSpacing/>
      </w:pPr>
      <w:r w:rsidRPr="00675F54">
        <w:lastRenderedPageBreak/>
        <w:t xml:space="preserve">In conclusion, the lab-on-a-chip approach implemented in </w:t>
      </w:r>
      <w:proofErr w:type="spellStart"/>
      <w:r w:rsidRPr="00675F54">
        <w:t>ChipX</w:t>
      </w:r>
      <w:proofErr w:type="spellEnd"/>
      <w:r w:rsidRPr="00675F54">
        <w:t xml:space="preserve"> simplifies and efficiently miniaturizes the process of crystallization by counter-diffusion and crystal structure determination, allowing to go from the sample to its 3D structure in a single device. It is widely applicable and offers a user-friendly, cost-effective solution for routine serial </w:t>
      </w:r>
      <w:proofErr w:type="spellStart"/>
      <w:r w:rsidRPr="00675F54">
        <w:t>biocrystallography</w:t>
      </w:r>
      <w:proofErr w:type="spellEnd"/>
      <w:r w:rsidRPr="00675F54">
        <w:t xml:space="preserve"> investigations at room temperature.</w:t>
      </w:r>
    </w:p>
    <w:p w14:paraId="45EF81AC" w14:textId="77777777" w:rsidR="00275F93" w:rsidRPr="00675F54" w:rsidRDefault="00275F93" w:rsidP="00675F54">
      <w:pPr>
        <w:contextualSpacing/>
      </w:pPr>
    </w:p>
    <w:p w14:paraId="7DFBC860" w14:textId="77777777" w:rsidR="00675F54" w:rsidRDefault="00C03D89" w:rsidP="00675F54">
      <w:pPr>
        <w:contextualSpacing/>
        <w:rPr>
          <w:b/>
        </w:rPr>
      </w:pPr>
      <w:r w:rsidRPr="00675F54">
        <w:rPr>
          <w:b/>
        </w:rPr>
        <w:t xml:space="preserve">ACKNOWLEDGMENTS: </w:t>
      </w:r>
    </w:p>
    <w:p w14:paraId="104E7383" w14:textId="676DE51F" w:rsidR="00275F93" w:rsidRPr="00675F54" w:rsidRDefault="00C03D89" w:rsidP="00675F54">
      <w:pPr>
        <w:contextualSpacing/>
      </w:pPr>
      <w:r w:rsidRPr="00675F54">
        <w:t>The authors acknowledge the Swiss Light Source (</w:t>
      </w:r>
      <w:proofErr w:type="spellStart"/>
      <w:r w:rsidRPr="00675F54">
        <w:t>Villigen</w:t>
      </w:r>
      <w:proofErr w:type="spellEnd"/>
      <w:r w:rsidRPr="00675F54">
        <w:t xml:space="preserve">, Switzerland) for beamtime allocation to the project on beamlines X10SA (PXII) and X06DA (PXIII), Alexandra Bluhm for her contribution to structure refinement, Clarissa </w:t>
      </w:r>
      <w:proofErr w:type="spellStart"/>
      <w:r w:rsidRPr="00675F54">
        <w:t>Worsdale</w:t>
      </w:r>
      <w:proofErr w:type="spellEnd"/>
      <w:r w:rsidRPr="00675F54">
        <w:t xml:space="preserve"> for the recording of the voiceover and François Schnell (</w:t>
      </w:r>
      <w:proofErr w:type="spellStart"/>
      <w:r w:rsidRPr="00675F54">
        <w:t>Université</w:t>
      </w:r>
      <w:proofErr w:type="spellEnd"/>
      <w:r w:rsidRPr="00675F54">
        <w:t xml:space="preserve"> de Strasbourg) for his assistance in video editing and SFX. This work was supported by the French Centre National de la Recherche </w:t>
      </w:r>
      <w:proofErr w:type="spellStart"/>
      <w:r w:rsidRPr="00675F54">
        <w:t>Scientifique</w:t>
      </w:r>
      <w:proofErr w:type="spellEnd"/>
      <w:r w:rsidRPr="00675F54">
        <w:t xml:space="preserve"> (CNRS), the University of Strasbourg, the </w:t>
      </w:r>
      <w:proofErr w:type="spellStart"/>
      <w:r w:rsidRPr="00675F54">
        <w:t>LabEx</w:t>
      </w:r>
      <w:proofErr w:type="spellEnd"/>
      <w:r w:rsidRPr="00675F54">
        <w:t xml:space="preserve"> consortium “</w:t>
      </w:r>
      <w:proofErr w:type="spellStart"/>
      <w:r w:rsidRPr="00675F54">
        <w:t>NetRNA</w:t>
      </w:r>
      <w:proofErr w:type="spellEnd"/>
      <w:r w:rsidRPr="00675F54">
        <w:t xml:space="preserve">” (ANR-10-LABX-0036_NETRNA), a PhD funding to </w:t>
      </w:r>
      <w:proofErr w:type="spellStart"/>
      <w:r w:rsidRPr="00675F54">
        <w:t>R.dW</w:t>
      </w:r>
      <w:proofErr w:type="spellEnd"/>
      <w:r w:rsidRPr="00675F54">
        <w:t xml:space="preserve"> from the Excellence initiative (</w:t>
      </w:r>
      <w:proofErr w:type="spellStart"/>
      <w:r w:rsidRPr="00675F54">
        <w:t>IdEx</w:t>
      </w:r>
      <w:proofErr w:type="spellEnd"/>
      <w:r w:rsidRPr="00675F54">
        <w:t>) of the University of Strasbourg in the frame of the French National Program “</w:t>
      </w:r>
      <w:proofErr w:type="spellStart"/>
      <w:r w:rsidRPr="00675F54">
        <w:t>Investissements</w:t>
      </w:r>
      <w:proofErr w:type="spellEnd"/>
      <w:r w:rsidRPr="00675F54">
        <w:t xml:space="preserve"> </w:t>
      </w:r>
      <w:proofErr w:type="spellStart"/>
      <w:r w:rsidRPr="00675F54">
        <w:t>d’Avenir</w:t>
      </w:r>
      <w:proofErr w:type="spellEnd"/>
      <w:r w:rsidRPr="00675F54">
        <w:t xml:space="preserve">”, a PhD funding to K.R. from the French-German University (UFA-DFH, grant no. CT-30-19), the Deutsche </w:t>
      </w:r>
      <w:proofErr w:type="spellStart"/>
      <w:r w:rsidRPr="00675F54">
        <w:t>Forschungsgemeinschaft</w:t>
      </w:r>
      <w:proofErr w:type="spellEnd"/>
      <w:r w:rsidRPr="00675F54">
        <w:t xml:space="preserve"> (grant no. Mo 634/10-1). The authors benefitted from the PROCOPE Hubert </w:t>
      </w:r>
      <w:proofErr w:type="spellStart"/>
      <w:r w:rsidRPr="00675F54">
        <w:t>Curien</w:t>
      </w:r>
      <w:proofErr w:type="spellEnd"/>
      <w:r w:rsidRPr="00675F54">
        <w:t xml:space="preserve"> cooperation program (French Ministry of Foreign Affair and </w:t>
      </w:r>
      <w:proofErr w:type="spellStart"/>
      <w:r w:rsidRPr="00675F54">
        <w:t>Deutscher</w:t>
      </w:r>
      <w:proofErr w:type="spellEnd"/>
      <w:r w:rsidRPr="00675F54">
        <w:t xml:space="preserve"> </w:t>
      </w:r>
      <w:proofErr w:type="spellStart"/>
      <w:r w:rsidRPr="00675F54">
        <w:t>Akademischer</w:t>
      </w:r>
      <w:proofErr w:type="spellEnd"/>
      <w:r w:rsidRPr="00675F54">
        <w:t xml:space="preserve"> </w:t>
      </w:r>
      <w:proofErr w:type="spellStart"/>
      <w:r w:rsidRPr="00675F54">
        <w:t>Austauschdienst</w:t>
      </w:r>
      <w:proofErr w:type="spellEnd"/>
      <w:r w:rsidRPr="00675F54">
        <w:t>).</w:t>
      </w:r>
    </w:p>
    <w:p w14:paraId="2CB21BC4" w14:textId="77777777" w:rsidR="00275F93" w:rsidRPr="00675F54" w:rsidRDefault="00275F93" w:rsidP="00675F54">
      <w:pPr>
        <w:contextualSpacing/>
        <w:rPr>
          <w:b/>
        </w:rPr>
      </w:pPr>
    </w:p>
    <w:p w14:paraId="484C477B" w14:textId="77777777" w:rsidR="00675F54" w:rsidRDefault="00C03D89" w:rsidP="00675F54">
      <w:pPr>
        <w:contextualSpacing/>
        <w:rPr>
          <w:b/>
        </w:rPr>
      </w:pPr>
      <w:r w:rsidRPr="00675F54">
        <w:rPr>
          <w:b/>
        </w:rPr>
        <w:t xml:space="preserve">DISCLOSURES: </w:t>
      </w:r>
    </w:p>
    <w:p w14:paraId="78FA7BA8" w14:textId="79C8EA04" w:rsidR="00275F93" w:rsidRPr="00675F54" w:rsidRDefault="00C03D89" w:rsidP="00675F54">
      <w:pPr>
        <w:contextualSpacing/>
      </w:pPr>
      <w:r w:rsidRPr="00675F54">
        <w:t>The authors have nothing to disclose.</w:t>
      </w:r>
    </w:p>
    <w:p w14:paraId="3C66CF1F" w14:textId="77777777" w:rsidR="00275F93" w:rsidRPr="00675F54" w:rsidRDefault="00275F93" w:rsidP="00675F54">
      <w:pPr>
        <w:contextualSpacing/>
      </w:pPr>
    </w:p>
    <w:p w14:paraId="4DD1611E" w14:textId="4E3356B4" w:rsidR="00275F93" w:rsidRPr="00675F54" w:rsidRDefault="00C03D89" w:rsidP="00675F54">
      <w:pPr>
        <w:contextualSpacing/>
      </w:pPr>
      <w:r w:rsidRPr="00675F54">
        <w:rPr>
          <w:b/>
        </w:rPr>
        <w:t>REFERENCES:</w:t>
      </w:r>
      <w:r w:rsidRPr="00675F54">
        <w:t xml:space="preserve"> </w:t>
      </w:r>
    </w:p>
    <w:p w14:paraId="74879549" w14:textId="192EB39C"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w:t>
      </w:r>
      <w:r w:rsidRPr="00675F54">
        <w:rPr>
          <w:rFonts w:ascii="Calibri" w:hAnsi="Calibri" w:cs="Calibri"/>
        </w:rPr>
        <w:tab/>
      </w:r>
      <w:proofErr w:type="spellStart"/>
      <w:r w:rsidRPr="00675F54">
        <w:rPr>
          <w:rFonts w:ascii="Calibri" w:hAnsi="Calibri" w:cs="Calibri"/>
        </w:rPr>
        <w:t>Giegé</w:t>
      </w:r>
      <w:proofErr w:type="spellEnd"/>
      <w:r w:rsidRPr="00675F54">
        <w:rPr>
          <w:rFonts w:ascii="Calibri" w:hAnsi="Calibri" w:cs="Calibri"/>
        </w:rPr>
        <w:t xml:space="preserve">, R., Sauter, C. </w:t>
      </w:r>
      <w:proofErr w:type="spellStart"/>
      <w:r w:rsidRPr="00675F54">
        <w:rPr>
          <w:rFonts w:ascii="Calibri" w:hAnsi="Calibri" w:cs="Calibri"/>
        </w:rPr>
        <w:t>Biocrystallography</w:t>
      </w:r>
      <w:proofErr w:type="spellEnd"/>
      <w:r w:rsidRPr="00675F54">
        <w:rPr>
          <w:rFonts w:ascii="Calibri" w:hAnsi="Calibri" w:cs="Calibri"/>
        </w:rPr>
        <w:t xml:space="preserve">: past, present, future. </w:t>
      </w:r>
      <w:r w:rsidRPr="00675F54">
        <w:rPr>
          <w:rFonts w:ascii="Calibri" w:hAnsi="Calibri" w:cs="Calibri"/>
          <w:i/>
        </w:rPr>
        <w:t xml:space="preserve">HFSP </w:t>
      </w:r>
      <w:r w:rsidR="0038365B">
        <w:rPr>
          <w:rFonts w:ascii="Calibri" w:hAnsi="Calibri" w:cs="Calibri"/>
          <w:i/>
        </w:rPr>
        <w:t>J</w:t>
      </w:r>
      <w:r w:rsidRPr="00675F54">
        <w:rPr>
          <w:rFonts w:ascii="Calibri" w:hAnsi="Calibri" w:cs="Calibri"/>
          <w:i/>
        </w:rPr>
        <w:t>ournal</w:t>
      </w:r>
      <w:r w:rsidRPr="00675F54">
        <w:rPr>
          <w:rFonts w:ascii="Calibri" w:hAnsi="Calibri" w:cs="Calibri"/>
        </w:rPr>
        <w:t xml:space="preserve">. </w:t>
      </w:r>
      <w:r w:rsidRPr="00675F54">
        <w:rPr>
          <w:rFonts w:ascii="Calibri" w:hAnsi="Calibri" w:cs="Calibri"/>
          <w:b/>
        </w:rPr>
        <w:t>4</w:t>
      </w:r>
      <w:r w:rsidRPr="00675F54">
        <w:rPr>
          <w:rFonts w:ascii="Calibri" w:hAnsi="Calibri" w:cs="Calibri"/>
        </w:rPr>
        <w:t xml:space="preserve"> (3–4), 109–121 (2010).</w:t>
      </w:r>
    </w:p>
    <w:p w14:paraId="1077061C" w14:textId="618CB8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2.</w:t>
      </w:r>
      <w:r w:rsidRPr="00675F54">
        <w:rPr>
          <w:rFonts w:ascii="Calibri" w:hAnsi="Calibri" w:cs="Calibri"/>
        </w:rPr>
        <w:tab/>
      </w:r>
      <w:proofErr w:type="spellStart"/>
      <w:r w:rsidRPr="00675F54">
        <w:rPr>
          <w:rFonts w:ascii="Calibri" w:hAnsi="Calibri" w:cs="Calibri"/>
        </w:rPr>
        <w:t>Dhouib</w:t>
      </w:r>
      <w:proofErr w:type="spellEnd"/>
      <w:r w:rsidRPr="00675F54">
        <w:rPr>
          <w:rFonts w:ascii="Calibri" w:hAnsi="Calibri" w:cs="Calibri"/>
        </w:rPr>
        <w:t xml:space="preserve">, K. </w:t>
      </w:r>
      <w:r w:rsidR="0038365B" w:rsidRPr="0038365B">
        <w:rPr>
          <w:rFonts w:ascii="Calibri" w:hAnsi="Calibri" w:cs="Calibri"/>
        </w:rPr>
        <w:t>et al.</w:t>
      </w:r>
      <w:r w:rsidRPr="00675F54">
        <w:rPr>
          <w:rFonts w:ascii="Calibri" w:hAnsi="Calibri" w:cs="Calibri"/>
        </w:rPr>
        <w:t xml:space="preserve"> Microfluidic chips for the crystallization of biomacromolecules by counter-diffusion and on-chip crystal X-ray analysis. </w:t>
      </w:r>
      <w:r w:rsidRPr="00675F54">
        <w:rPr>
          <w:rFonts w:ascii="Calibri" w:hAnsi="Calibri" w:cs="Calibri"/>
          <w:i/>
        </w:rPr>
        <w:t>Lab on a Chip</w:t>
      </w:r>
      <w:r w:rsidRPr="00675F54">
        <w:rPr>
          <w:rFonts w:ascii="Calibri" w:hAnsi="Calibri" w:cs="Calibri"/>
        </w:rPr>
        <w:t xml:space="preserve">. </w:t>
      </w:r>
      <w:r w:rsidRPr="00675F54">
        <w:rPr>
          <w:rFonts w:ascii="Calibri" w:hAnsi="Calibri" w:cs="Calibri"/>
          <w:b/>
        </w:rPr>
        <w:t>9</w:t>
      </w:r>
      <w:r w:rsidRPr="00675F54">
        <w:rPr>
          <w:rFonts w:ascii="Calibri" w:hAnsi="Calibri" w:cs="Calibri"/>
        </w:rPr>
        <w:t xml:space="preserve"> (10), 1412–1421 (2009).</w:t>
      </w:r>
    </w:p>
    <w:p w14:paraId="41322BED" w14:textId="48E7D3AA"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3.</w:t>
      </w:r>
      <w:r w:rsidRPr="00675F54">
        <w:rPr>
          <w:rFonts w:ascii="Calibri" w:hAnsi="Calibri" w:cs="Calibri"/>
        </w:rPr>
        <w:tab/>
        <w:t xml:space="preserve">Pinker, F. </w:t>
      </w:r>
      <w:r w:rsidR="0038365B" w:rsidRPr="0038365B">
        <w:rPr>
          <w:rFonts w:ascii="Calibri" w:hAnsi="Calibri" w:cs="Calibri"/>
        </w:rPr>
        <w:t>et al.</w:t>
      </w:r>
      <w:r w:rsidRPr="00675F54">
        <w:rPr>
          <w:rFonts w:ascii="Calibri" w:hAnsi="Calibri" w:cs="Calibri"/>
        </w:rPr>
        <w:t xml:space="preserve"> </w:t>
      </w:r>
      <w:proofErr w:type="spellStart"/>
      <w:r w:rsidRPr="00675F54">
        <w:rPr>
          <w:rFonts w:ascii="Calibri" w:hAnsi="Calibri" w:cs="Calibri"/>
        </w:rPr>
        <w:t>ChipX</w:t>
      </w:r>
      <w:proofErr w:type="spellEnd"/>
      <w:r w:rsidRPr="00675F54">
        <w:rPr>
          <w:rFonts w:ascii="Calibri" w:hAnsi="Calibri" w:cs="Calibri"/>
        </w:rPr>
        <w:t xml:space="preserve">: A Novel Microfluidic Chip for Counter-Diffusion Crystallization of Biomolecules and in Situ Crystal Analysis at Room Temperature. </w:t>
      </w:r>
      <w:r w:rsidRPr="00675F54">
        <w:rPr>
          <w:rFonts w:ascii="Calibri" w:hAnsi="Calibri" w:cs="Calibri"/>
          <w:i/>
        </w:rPr>
        <w:t>Crystal Growth &amp; Design</w:t>
      </w:r>
      <w:r w:rsidRPr="00675F54">
        <w:rPr>
          <w:rFonts w:ascii="Calibri" w:hAnsi="Calibri" w:cs="Calibri"/>
        </w:rPr>
        <w:t xml:space="preserve">. </w:t>
      </w:r>
      <w:r w:rsidRPr="00675F54">
        <w:rPr>
          <w:rFonts w:ascii="Calibri" w:hAnsi="Calibri" w:cs="Calibri"/>
          <w:b/>
        </w:rPr>
        <w:t>13</w:t>
      </w:r>
      <w:r w:rsidRPr="00675F54">
        <w:rPr>
          <w:rFonts w:ascii="Calibri" w:hAnsi="Calibri" w:cs="Calibri"/>
        </w:rPr>
        <w:t xml:space="preserve"> (8), 3333–3340 (2013).</w:t>
      </w:r>
    </w:p>
    <w:p w14:paraId="3CCBEF13" w14:textId="00AFFECC"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4.</w:t>
      </w:r>
      <w:r w:rsidRPr="00675F54">
        <w:rPr>
          <w:rFonts w:ascii="Calibri" w:hAnsi="Calibri" w:cs="Calibri"/>
        </w:rPr>
        <w:tab/>
        <w:t xml:space="preserve">de </w:t>
      </w:r>
      <w:proofErr w:type="spellStart"/>
      <w:r w:rsidRPr="00675F54">
        <w:rPr>
          <w:rFonts w:ascii="Calibri" w:hAnsi="Calibri" w:cs="Calibri"/>
        </w:rPr>
        <w:t>Wijn</w:t>
      </w:r>
      <w:proofErr w:type="spellEnd"/>
      <w:r w:rsidRPr="00675F54">
        <w:rPr>
          <w:rFonts w:ascii="Calibri" w:hAnsi="Calibri" w:cs="Calibri"/>
        </w:rPr>
        <w:t xml:space="preserve">, R. </w:t>
      </w:r>
      <w:r w:rsidR="0038365B" w:rsidRPr="0038365B">
        <w:rPr>
          <w:rFonts w:ascii="Calibri" w:hAnsi="Calibri" w:cs="Calibri"/>
        </w:rPr>
        <w:t>et al.</w:t>
      </w:r>
      <w:r w:rsidRPr="00675F54">
        <w:rPr>
          <w:rFonts w:ascii="Calibri" w:hAnsi="Calibri" w:cs="Calibri"/>
        </w:rPr>
        <w:t xml:space="preserve"> A simple and versatile microfluidic device for efficient biomacromolecule crystallization and structural analysis by serial crystallography. </w:t>
      </w:r>
      <w:proofErr w:type="spellStart"/>
      <w:r w:rsidRPr="00675F54">
        <w:rPr>
          <w:rFonts w:ascii="Calibri" w:hAnsi="Calibri" w:cs="Calibri"/>
          <w:i/>
        </w:rPr>
        <w:t>IUCrJ</w:t>
      </w:r>
      <w:proofErr w:type="spellEnd"/>
      <w:r w:rsidRPr="00675F54">
        <w:rPr>
          <w:rFonts w:ascii="Calibri" w:hAnsi="Calibri" w:cs="Calibri"/>
        </w:rPr>
        <w:t xml:space="preserve">. </w:t>
      </w:r>
      <w:r w:rsidRPr="00675F54">
        <w:rPr>
          <w:rFonts w:ascii="Calibri" w:hAnsi="Calibri" w:cs="Calibri"/>
          <w:b/>
        </w:rPr>
        <w:t>6</w:t>
      </w:r>
      <w:r w:rsidRPr="00675F54">
        <w:rPr>
          <w:rFonts w:ascii="Calibri" w:hAnsi="Calibri" w:cs="Calibri"/>
        </w:rPr>
        <w:t xml:space="preserve"> (3), 454–464S2052252519003622 (2019).</w:t>
      </w:r>
    </w:p>
    <w:p w14:paraId="769F8CC8" w14:textId="044E10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5.</w:t>
      </w:r>
      <w:r w:rsidRPr="00675F54">
        <w:rPr>
          <w:rFonts w:ascii="Calibri" w:hAnsi="Calibri" w:cs="Calibri"/>
        </w:rPr>
        <w:tab/>
      </w:r>
      <w:proofErr w:type="spellStart"/>
      <w:r w:rsidRPr="00675F54">
        <w:rPr>
          <w:rFonts w:ascii="Calibri" w:hAnsi="Calibri" w:cs="Calibri"/>
        </w:rPr>
        <w:t>Garcı́a-Ruiz</w:t>
      </w:r>
      <w:proofErr w:type="spellEnd"/>
      <w:r w:rsidRPr="00675F54">
        <w:rPr>
          <w:rFonts w:ascii="Calibri" w:hAnsi="Calibri" w:cs="Calibri"/>
        </w:rPr>
        <w:t xml:space="preserve">, </w:t>
      </w:r>
      <w:proofErr w:type="spellStart"/>
      <w:r w:rsidRPr="00675F54">
        <w:rPr>
          <w:rFonts w:ascii="Calibri" w:hAnsi="Calibri" w:cs="Calibri"/>
        </w:rPr>
        <w:t>J.Ma</w:t>
      </w:r>
      <w:proofErr w:type="spellEnd"/>
      <w:r w:rsidR="0038365B" w:rsidRPr="00675F54">
        <w:rPr>
          <w:rFonts w:ascii="Calibri" w:hAnsi="Calibri" w:cs="Calibri"/>
        </w:rPr>
        <w:t xml:space="preserve">. </w:t>
      </w:r>
      <w:r w:rsidR="0038365B" w:rsidRPr="0038365B">
        <w:rPr>
          <w:rFonts w:ascii="Calibri" w:hAnsi="Calibri" w:cs="Calibri"/>
        </w:rPr>
        <w:t>et al.</w:t>
      </w:r>
      <w:r w:rsidR="0038365B" w:rsidRPr="00675F54">
        <w:rPr>
          <w:rFonts w:ascii="Calibri" w:hAnsi="Calibri" w:cs="Calibri"/>
        </w:rPr>
        <w:t xml:space="preserve"> </w:t>
      </w:r>
      <w:r w:rsidRPr="00675F54">
        <w:rPr>
          <w:rFonts w:ascii="Calibri" w:hAnsi="Calibri" w:cs="Calibri"/>
        </w:rPr>
        <w:t xml:space="preserve">A supersaturation wave of protein crystallization. </w:t>
      </w:r>
      <w:r w:rsidRPr="00675F54">
        <w:rPr>
          <w:rFonts w:ascii="Calibri" w:hAnsi="Calibri" w:cs="Calibri"/>
          <w:i/>
        </w:rPr>
        <w:t>Journal of Crystal Growth</w:t>
      </w:r>
      <w:r w:rsidRPr="00675F54">
        <w:rPr>
          <w:rFonts w:ascii="Calibri" w:hAnsi="Calibri" w:cs="Calibri"/>
        </w:rPr>
        <w:t xml:space="preserve">. </w:t>
      </w:r>
      <w:r w:rsidRPr="00675F54">
        <w:rPr>
          <w:rFonts w:ascii="Calibri" w:hAnsi="Calibri" w:cs="Calibri"/>
          <w:b/>
        </w:rPr>
        <w:t>232</w:t>
      </w:r>
      <w:r w:rsidRPr="00675F54">
        <w:rPr>
          <w:rFonts w:ascii="Calibri" w:hAnsi="Calibri" w:cs="Calibri"/>
        </w:rPr>
        <w:t xml:space="preserve"> (1–4), 149–155 (2001).</w:t>
      </w:r>
    </w:p>
    <w:p w14:paraId="61E8CF89" w14:textId="4A7F96AD"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6.</w:t>
      </w:r>
      <w:r w:rsidRPr="00675F54">
        <w:rPr>
          <w:rFonts w:ascii="Calibri" w:hAnsi="Calibri" w:cs="Calibri"/>
        </w:rPr>
        <w:tab/>
      </w:r>
      <w:proofErr w:type="spellStart"/>
      <w:r w:rsidRPr="00675F54">
        <w:rPr>
          <w:rFonts w:ascii="Calibri" w:hAnsi="Calibri" w:cs="Calibri"/>
        </w:rPr>
        <w:t>Otálora</w:t>
      </w:r>
      <w:proofErr w:type="spellEnd"/>
      <w:r w:rsidRPr="00675F54">
        <w:rPr>
          <w:rFonts w:ascii="Calibri" w:hAnsi="Calibri" w:cs="Calibri"/>
        </w:rPr>
        <w:t xml:space="preserve">, F., </w:t>
      </w:r>
      <w:proofErr w:type="spellStart"/>
      <w:r w:rsidRPr="00675F54">
        <w:rPr>
          <w:rFonts w:ascii="Calibri" w:hAnsi="Calibri" w:cs="Calibri"/>
        </w:rPr>
        <w:t>Gavira</w:t>
      </w:r>
      <w:proofErr w:type="spellEnd"/>
      <w:r w:rsidRPr="00675F54">
        <w:rPr>
          <w:rFonts w:ascii="Calibri" w:hAnsi="Calibri" w:cs="Calibri"/>
        </w:rPr>
        <w:t xml:space="preserve">, J.A., Ng, J.D., García-Ruiz, J.M. </w:t>
      </w:r>
      <w:proofErr w:type="spellStart"/>
      <w:r w:rsidRPr="00675F54">
        <w:rPr>
          <w:rFonts w:ascii="Calibri" w:hAnsi="Calibri" w:cs="Calibri"/>
        </w:rPr>
        <w:t>Counterdiffusion</w:t>
      </w:r>
      <w:proofErr w:type="spellEnd"/>
      <w:r w:rsidRPr="00675F54">
        <w:rPr>
          <w:rFonts w:ascii="Calibri" w:hAnsi="Calibri" w:cs="Calibri"/>
        </w:rPr>
        <w:t xml:space="preserve"> methods applied to protein crystallization. </w:t>
      </w:r>
      <w:r w:rsidRPr="00675F54">
        <w:rPr>
          <w:rFonts w:ascii="Calibri" w:hAnsi="Calibri" w:cs="Calibri"/>
          <w:i/>
        </w:rPr>
        <w:t xml:space="preserve">Progress in </w:t>
      </w:r>
      <w:r w:rsidR="0038365B" w:rsidRPr="00675F54">
        <w:rPr>
          <w:rFonts w:ascii="Calibri" w:hAnsi="Calibri" w:cs="Calibri"/>
          <w:i/>
        </w:rPr>
        <w:t xml:space="preserve">Biophysics </w:t>
      </w:r>
      <w:r w:rsidR="0038365B">
        <w:rPr>
          <w:rFonts w:ascii="Calibri" w:hAnsi="Calibri" w:cs="Calibri"/>
          <w:i/>
        </w:rPr>
        <w:t>a</w:t>
      </w:r>
      <w:r w:rsidR="0038365B" w:rsidRPr="00675F54">
        <w:rPr>
          <w:rFonts w:ascii="Calibri" w:hAnsi="Calibri" w:cs="Calibri"/>
          <w:i/>
        </w:rPr>
        <w:t>nd Molecular Biology</w:t>
      </w:r>
      <w:r w:rsidRPr="00675F54">
        <w:rPr>
          <w:rFonts w:ascii="Calibri" w:hAnsi="Calibri" w:cs="Calibri"/>
        </w:rPr>
        <w:t xml:space="preserve">. </w:t>
      </w:r>
      <w:r w:rsidRPr="00675F54">
        <w:rPr>
          <w:rFonts w:ascii="Calibri" w:hAnsi="Calibri" w:cs="Calibri"/>
          <w:b/>
        </w:rPr>
        <w:t>101</w:t>
      </w:r>
      <w:r w:rsidRPr="00675F54">
        <w:rPr>
          <w:rFonts w:ascii="Calibri" w:hAnsi="Calibri" w:cs="Calibri"/>
        </w:rPr>
        <w:t xml:space="preserve"> (1–3), 26–37 (2009).</w:t>
      </w:r>
    </w:p>
    <w:p w14:paraId="3B6EB6C7" w14:textId="538345FF"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7.</w:t>
      </w:r>
      <w:r w:rsidRPr="00675F54">
        <w:rPr>
          <w:rFonts w:ascii="Calibri" w:hAnsi="Calibri" w:cs="Calibri"/>
        </w:rPr>
        <w:tab/>
        <w:t xml:space="preserve">Pusey, M., </w:t>
      </w:r>
      <w:proofErr w:type="spellStart"/>
      <w:r w:rsidRPr="00675F54">
        <w:rPr>
          <w:rFonts w:ascii="Calibri" w:hAnsi="Calibri" w:cs="Calibri"/>
        </w:rPr>
        <w:t>Barcena</w:t>
      </w:r>
      <w:proofErr w:type="spellEnd"/>
      <w:r w:rsidRPr="00675F54">
        <w:rPr>
          <w:rFonts w:ascii="Calibri" w:hAnsi="Calibri" w:cs="Calibri"/>
        </w:rPr>
        <w:t xml:space="preserve">, J., Morris, M., Singhal, A., Yuan, Q., Ng, J. Trace fluorescent labeling for protein crystallization. </w:t>
      </w:r>
      <w:r w:rsidRPr="00675F54">
        <w:rPr>
          <w:rFonts w:ascii="Calibri" w:hAnsi="Calibri" w:cs="Calibri"/>
          <w:i/>
        </w:rPr>
        <w:t xml:space="preserve">Acta </w:t>
      </w:r>
      <w:proofErr w:type="spellStart"/>
      <w:r w:rsidRPr="00675F54">
        <w:rPr>
          <w:rFonts w:ascii="Calibri" w:hAnsi="Calibri" w:cs="Calibri"/>
          <w:i/>
        </w:rPr>
        <w:t>Crystallographica</w:t>
      </w:r>
      <w:proofErr w:type="spellEnd"/>
      <w:r w:rsidRPr="00675F54">
        <w:rPr>
          <w:rFonts w:ascii="Calibri" w:hAnsi="Calibri" w:cs="Calibri"/>
          <w:i/>
        </w:rPr>
        <w:t xml:space="preserve"> Section F Structural Biology Communications</w:t>
      </w:r>
      <w:r w:rsidRPr="00675F54">
        <w:rPr>
          <w:rFonts w:ascii="Calibri" w:hAnsi="Calibri" w:cs="Calibri"/>
        </w:rPr>
        <w:t xml:space="preserve">. </w:t>
      </w:r>
      <w:r w:rsidRPr="00675F54">
        <w:rPr>
          <w:rFonts w:ascii="Calibri" w:hAnsi="Calibri" w:cs="Calibri"/>
          <w:b/>
        </w:rPr>
        <w:t>71</w:t>
      </w:r>
      <w:r w:rsidRPr="00675F54">
        <w:rPr>
          <w:rFonts w:ascii="Calibri" w:hAnsi="Calibri" w:cs="Calibri"/>
        </w:rPr>
        <w:t xml:space="preserve"> (7), 806–814 (2015).</w:t>
      </w:r>
    </w:p>
    <w:p w14:paraId="2166BB60" w14:textId="6E212D63"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8.</w:t>
      </w:r>
      <w:r w:rsidRPr="00675F54">
        <w:rPr>
          <w:rFonts w:ascii="Calibri" w:hAnsi="Calibri" w:cs="Calibri"/>
        </w:rPr>
        <w:tab/>
        <w:t xml:space="preserve">Meyer, A., </w:t>
      </w:r>
      <w:proofErr w:type="spellStart"/>
      <w:r w:rsidRPr="00675F54">
        <w:rPr>
          <w:rFonts w:ascii="Calibri" w:hAnsi="Calibri" w:cs="Calibri"/>
        </w:rPr>
        <w:t>Betzel</w:t>
      </w:r>
      <w:proofErr w:type="spellEnd"/>
      <w:r w:rsidRPr="00675F54">
        <w:rPr>
          <w:rFonts w:ascii="Calibri" w:hAnsi="Calibri" w:cs="Calibri"/>
        </w:rPr>
        <w:t xml:space="preserve">, C., Pusey, M. Latest methods of fluorescence-based protein crystal identification. </w:t>
      </w:r>
      <w:r w:rsidRPr="00675F54">
        <w:rPr>
          <w:rFonts w:ascii="Calibri" w:hAnsi="Calibri" w:cs="Calibri"/>
          <w:i/>
        </w:rPr>
        <w:t xml:space="preserve">Acta </w:t>
      </w:r>
      <w:proofErr w:type="spellStart"/>
      <w:r w:rsidRPr="00675F54">
        <w:rPr>
          <w:rFonts w:ascii="Calibri" w:hAnsi="Calibri" w:cs="Calibri"/>
          <w:i/>
        </w:rPr>
        <w:t>Crystallographica</w:t>
      </w:r>
      <w:proofErr w:type="spellEnd"/>
      <w:r w:rsidRPr="00675F54">
        <w:rPr>
          <w:rFonts w:ascii="Calibri" w:hAnsi="Calibri" w:cs="Calibri"/>
          <w:i/>
        </w:rPr>
        <w:t xml:space="preserve"> Section F Structural Biology Communications</w:t>
      </w:r>
      <w:r w:rsidRPr="00675F54">
        <w:rPr>
          <w:rFonts w:ascii="Calibri" w:hAnsi="Calibri" w:cs="Calibri"/>
        </w:rPr>
        <w:t xml:space="preserve">. </w:t>
      </w:r>
      <w:r w:rsidRPr="00675F54">
        <w:rPr>
          <w:rFonts w:ascii="Calibri" w:hAnsi="Calibri" w:cs="Calibri"/>
          <w:b/>
        </w:rPr>
        <w:t>71</w:t>
      </w:r>
      <w:r w:rsidRPr="00675F54">
        <w:rPr>
          <w:rFonts w:ascii="Calibri" w:hAnsi="Calibri" w:cs="Calibri"/>
        </w:rPr>
        <w:t xml:space="preserve"> (2), 121–131 (2015).</w:t>
      </w:r>
    </w:p>
    <w:p w14:paraId="7D2F057F" w14:textId="09D7226F"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lastRenderedPageBreak/>
        <w:t>9.</w:t>
      </w:r>
      <w:r w:rsidRPr="00675F54">
        <w:rPr>
          <w:rFonts w:ascii="Calibri" w:hAnsi="Calibri" w:cs="Calibri"/>
        </w:rPr>
        <w:tab/>
      </w:r>
      <w:proofErr w:type="spellStart"/>
      <w:r w:rsidRPr="00675F54">
        <w:rPr>
          <w:rFonts w:ascii="Calibri" w:hAnsi="Calibri" w:cs="Calibri"/>
        </w:rPr>
        <w:t>Betat</w:t>
      </w:r>
      <w:proofErr w:type="spellEnd"/>
      <w:r w:rsidRPr="00675F54">
        <w:rPr>
          <w:rFonts w:ascii="Calibri" w:hAnsi="Calibri" w:cs="Calibri"/>
        </w:rPr>
        <w:t xml:space="preserve">, H., </w:t>
      </w:r>
      <w:proofErr w:type="spellStart"/>
      <w:r w:rsidRPr="00675F54">
        <w:rPr>
          <w:rFonts w:ascii="Calibri" w:hAnsi="Calibri" w:cs="Calibri"/>
        </w:rPr>
        <w:t>Rammelt</w:t>
      </w:r>
      <w:proofErr w:type="spellEnd"/>
      <w:r w:rsidRPr="00675F54">
        <w:rPr>
          <w:rFonts w:ascii="Calibri" w:hAnsi="Calibri" w:cs="Calibri"/>
        </w:rPr>
        <w:t xml:space="preserve">, C., </w:t>
      </w:r>
      <w:proofErr w:type="spellStart"/>
      <w:r w:rsidRPr="00675F54">
        <w:rPr>
          <w:rFonts w:ascii="Calibri" w:hAnsi="Calibri" w:cs="Calibri"/>
        </w:rPr>
        <w:t>Mörl</w:t>
      </w:r>
      <w:proofErr w:type="spellEnd"/>
      <w:r w:rsidRPr="00675F54">
        <w:rPr>
          <w:rFonts w:ascii="Calibri" w:hAnsi="Calibri" w:cs="Calibri"/>
        </w:rPr>
        <w:t xml:space="preserve">, M. tRNA </w:t>
      </w:r>
      <w:proofErr w:type="spellStart"/>
      <w:r w:rsidRPr="00675F54">
        <w:rPr>
          <w:rFonts w:ascii="Calibri" w:hAnsi="Calibri" w:cs="Calibri"/>
        </w:rPr>
        <w:t>nucleotidyltransferases</w:t>
      </w:r>
      <w:proofErr w:type="spellEnd"/>
      <w:r w:rsidRPr="00675F54">
        <w:rPr>
          <w:rFonts w:ascii="Calibri" w:hAnsi="Calibri" w:cs="Calibri"/>
        </w:rPr>
        <w:t xml:space="preserve">: ancient catalysts with an unusual mechanism of polymerization. </w:t>
      </w:r>
      <w:r w:rsidRPr="00675F54">
        <w:rPr>
          <w:rFonts w:ascii="Calibri" w:hAnsi="Calibri" w:cs="Calibri"/>
          <w:i/>
        </w:rPr>
        <w:t>Cellular and Molecular Life Sciences</w:t>
      </w:r>
      <w:r w:rsidRPr="00675F54">
        <w:rPr>
          <w:rFonts w:ascii="Calibri" w:hAnsi="Calibri" w:cs="Calibri"/>
        </w:rPr>
        <w:t xml:space="preserve">. </w:t>
      </w:r>
      <w:r w:rsidRPr="00675F54">
        <w:rPr>
          <w:rFonts w:ascii="Calibri" w:hAnsi="Calibri" w:cs="Calibri"/>
          <w:b/>
        </w:rPr>
        <w:t>67</w:t>
      </w:r>
      <w:r w:rsidRPr="00675F54">
        <w:rPr>
          <w:rFonts w:ascii="Calibri" w:hAnsi="Calibri" w:cs="Calibri"/>
        </w:rPr>
        <w:t xml:space="preserve"> (9), 1447–1463 (2010).</w:t>
      </w:r>
    </w:p>
    <w:p w14:paraId="0FF2DF1D" w14:textId="4644E6DC"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10.</w:t>
      </w:r>
      <w:r w:rsidRPr="00675F54">
        <w:rPr>
          <w:rFonts w:ascii="Calibri" w:hAnsi="Calibri" w:cs="Calibri"/>
        </w:rPr>
        <w:tab/>
        <w:t xml:space="preserve">Ernst, F.G.M., </w:t>
      </w:r>
      <w:proofErr w:type="spellStart"/>
      <w:r w:rsidRPr="00675F54">
        <w:rPr>
          <w:rFonts w:ascii="Calibri" w:hAnsi="Calibri" w:cs="Calibri"/>
        </w:rPr>
        <w:t>Erber</w:t>
      </w:r>
      <w:proofErr w:type="spellEnd"/>
      <w:r w:rsidRPr="00675F54">
        <w:rPr>
          <w:rFonts w:ascii="Calibri" w:hAnsi="Calibri" w:cs="Calibri"/>
        </w:rPr>
        <w:t xml:space="preserve">, L., </w:t>
      </w:r>
      <w:proofErr w:type="spellStart"/>
      <w:r w:rsidRPr="00675F54">
        <w:rPr>
          <w:rFonts w:ascii="Calibri" w:hAnsi="Calibri" w:cs="Calibri"/>
        </w:rPr>
        <w:t>Sammler</w:t>
      </w:r>
      <w:proofErr w:type="spellEnd"/>
      <w:r w:rsidRPr="00675F54">
        <w:rPr>
          <w:rFonts w:ascii="Calibri" w:hAnsi="Calibri" w:cs="Calibri"/>
        </w:rPr>
        <w:t xml:space="preserve">, J., </w:t>
      </w:r>
      <w:proofErr w:type="spellStart"/>
      <w:r w:rsidRPr="00675F54">
        <w:rPr>
          <w:rFonts w:ascii="Calibri" w:hAnsi="Calibri" w:cs="Calibri"/>
        </w:rPr>
        <w:t>Jühling</w:t>
      </w:r>
      <w:proofErr w:type="spellEnd"/>
      <w:r w:rsidRPr="00675F54">
        <w:rPr>
          <w:rFonts w:ascii="Calibri" w:hAnsi="Calibri" w:cs="Calibri"/>
        </w:rPr>
        <w:t xml:space="preserve">, F., </w:t>
      </w:r>
      <w:proofErr w:type="spellStart"/>
      <w:r w:rsidRPr="00675F54">
        <w:rPr>
          <w:rFonts w:ascii="Calibri" w:hAnsi="Calibri" w:cs="Calibri"/>
        </w:rPr>
        <w:t>Betat</w:t>
      </w:r>
      <w:proofErr w:type="spellEnd"/>
      <w:r w:rsidRPr="00675F54">
        <w:rPr>
          <w:rFonts w:ascii="Calibri" w:hAnsi="Calibri" w:cs="Calibri"/>
        </w:rPr>
        <w:t xml:space="preserve">, H., </w:t>
      </w:r>
      <w:proofErr w:type="spellStart"/>
      <w:r w:rsidRPr="00675F54">
        <w:rPr>
          <w:rFonts w:ascii="Calibri" w:hAnsi="Calibri" w:cs="Calibri"/>
        </w:rPr>
        <w:t>Mörl</w:t>
      </w:r>
      <w:proofErr w:type="spellEnd"/>
      <w:r w:rsidRPr="00675F54">
        <w:rPr>
          <w:rFonts w:ascii="Calibri" w:hAnsi="Calibri" w:cs="Calibri"/>
        </w:rPr>
        <w:t xml:space="preserve">, M. Cold adaptation of tRNA </w:t>
      </w:r>
      <w:proofErr w:type="spellStart"/>
      <w:r w:rsidRPr="00675F54">
        <w:rPr>
          <w:rFonts w:ascii="Calibri" w:hAnsi="Calibri" w:cs="Calibri"/>
        </w:rPr>
        <w:t>nucleotidyltransferases</w:t>
      </w:r>
      <w:proofErr w:type="spellEnd"/>
      <w:r w:rsidRPr="00675F54">
        <w:rPr>
          <w:rFonts w:ascii="Calibri" w:hAnsi="Calibri" w:cs="Calibri"/>
        </w:rPr>
        <w:t xml:space="preserve">: A tradeoff in activity, </w:t>
      </w:r>
      <w:proofErr w:type="gramStart"/>
      <w:r w:rsidRPr="00675F54">
        <w:rPr>
          <w:rFonts w:ascii="Calibri" w:hAnsi="Calibri" w:cs="Calibri"/>
        </w:rPr>
        <w:t>stability</w:t>
      </w:r>
      <w:proofErr w:type="gramEnd"/>
      <w:r w:rsidRPr="00675F54">
        <w:rPr>
          <w:rFonts w:ascii="Calibri" w:hAnsi="Calibri" w:cs="Calibri"/>
        </w:rPr>
        <w:t xml:space="preserve"> and fidelity. </w:t>
      </w:r>
      <w:r w:rsidRPr="00675F54">
        <w:rPr>
          <w:rFonts w:ascii="Calibri" w:hAnsi="Calibri" w:cs="Calibri"/>
          <w:i/>
        </w:rPr>
        <w:t xml:space="preserve">RNA </w:t>
      </w:r>
      <w:r w:rsidR="0038365B">
        <w:rPr>
          <w:rFonts w:ascii="Calibri" w:hAnsi="Calibri" w:cs="Calibri"/>
          <w:i/>
        </w:rPr>
        <w:t>B</w:t>
      </w:r>
      <w:r w:rsidRPr="00675F54">
        <w:rPr>
          <w:rFonts w:ascii="Calibri" w:hAnsi="Calibri" w:cs="Calibri"/>
          <w:i/>
        </w:rPr>
        <w:t>iology</w:t>
      </w:r>
      <w:r w:rsidRPr="00675F54">
        <w:rPr>
          <w:rFonts w:ascii="Calibri" w:hAnsi="Calibri" w:cs="Calibri"/>
        </w:rPr>
        <w:t xml:space="preserve">. </w:t>
      </w:r>
      <w:r w:rsidRPr="00675F54">
        <w:rPr>
          <w:rFonts w:ascii="Calibri" w:hAnsi="Calibri" w:cs="Calibri"/>
          <w:b/>
        </w:rPr>
        <w:t>15</w:t>
      </w:r>
      <w:r w:rsidRPr="00675F54">
        <w:rPr>
          <w:rFonts w:ascii="Calibri" w:hAnsi="Calibri" w:cs="Calibri"/>
        </w:rPr>
        <w:t xml:space="preserve"> (1), 144–155 (2018).</w:t>
      </w:r>
    </w:p>
    <w:p w14:paraId="73660651" w14:textId="5C596946"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11.</w:t>
      </w:r>
      <w:r w:rsidRPr="00675F54">
        <w:rPr>
          <w:rFonts w:ascii="Calibri" w:hAnsi="Calibri" w:cs="Calibri"/>
        </w:rPr>
        <w:tab/>
      </w:r>
      <w:proofErr w:type="spellStart"/>
      <w:r w:rsidRPr="00675F54">
        <w:rPr>
          <w:rFonts w:ascii="Calibri" w:hAnsi="Calibri" w:cs="Calibri"/>
        </w:rPr>
        <w:t>Kabsch</w:t>
      </w:r>
      <w:proofErr w:type="spellEnd"/>
      <w:r w:rsidRPr="00675F54">
        <w:rPr>
          <w:rFonts w:ascii="Calibri" w:hAnsi="Calibri" w:cs="Calibri"/>
        </w:rPr>
        <w:t xml:space="preserve">, W. XDS. </w:t>
      </w:r>
      <w:r w:rsidRPr="00675F54">
        <w:rPr>
          <w:rFonts w:ascii="Calibri" w:hAnsi="Calibri" w:cs="Calibri"/>
          <w:i/>
        </w:rPr>
        <w:t xml:space="preserve">Acta </w:t>
      </w:r>
      <w:proofErr w:type="spellStart"/>
      <w:r w:rsidRPr="00675F54">
        <w:rPr>
          <w:rFonts w:ascii="Calibri" w:hAnsi="Calibri" w:cs="Calibri"/>
          <w:i/>
        </w:rPr>
        <w:t>Crystallographica</w:t>
      </w:r>
      <w:proofErr w:type="spellEnd"/>
      <w:r w:rsidRPr="00675F54">
        <w:rPr>
          <w:rFonts w:ascii="Calibri" w:hAnsi="Calibri" w:cs="Calibri"/>
          <w:i/>
        </w:rPr>
        <w:t>. Section D, Biological Crystallography</w:t>
      </w:r>
      <w:r w:rsidRPr="00675F54">
        <w:rPr>
          <w:rFonts w:ascii="Calibri" w:hAnsi="Calibri" w:cs="Calibri"/>
        </w:rPr>
        <w:t xml:space="preserve">. </w:t>
      </w:r>
      <w:r w:rsidRPr="00675F54">
        <w:rPr>
          <w:rFonts w:ascii="Calibri" w:hAnsi="Calibri" w:cs="Calibri"/>
          <w:b/>
        </w:rPr>
        <w:t>66</w:t>
      </w:r>
      <w:r w:rsidRPr="00675F54">
        <w:rPr>
          <w:rFonts w:ascii="Calibri" w:hAnsi="Calibri" w:cs="Calibri"/>
        </w:rPr>
        <w:t xml:space="preserve"> (2), 125–132 (2010).</w:t>
      </w:r>
    </w:p>
    <w:p w14:paraId="2C0D46C4" w14:textId="4A1F3C18"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12.</w:t>
      </w:r>
      <w:r w:rsidRPr="00675F54">
        <w:rPr>
          <w:rFonts w:ascii="Calibri" w:hAnsi="Calibri" w:cs="Calibri"/>
        </w:rPr>
        <w:tab/>
        <w:t xml:space="preserve">Adams, P.D. </w:t>
      </w:r>
      <w:r w:rsidR="0038365B" w:rsidRPr="0038365B">
        <w:rPr>
          <w:rFonts w:ascii="Calibri" w:hAnsi="Calibri" w:cs="Calibri"/>
        </w:rPr>
        <w:t>et al.</w:t>
      </w:r>
      <w:r w:rsidRPr="00675F54">
        <w:rPr>
          <w:rFonts w:ascii="Calibri" w:hAnsi="Calibri" w:cs="Calibri"/>
        </w:rPr>
        <w:t xml:space="preserve"> PHENIX: a comprehensive Python-based system for macromolecular structure solution. </w:t>
      </w:r>
      <w:r w:rsidRPr="00675F54">
        <w:rPr>
          <w:rFonts w:ascii="Calibri" w:hAnsi="Calibri" w:cs="Calibri"/>
          <w:i/>
        </w:rPr>
        <w:t xml:space="preserve">Acta </w:t>
      </w:r>
      <w:proofErr w:type="spellStart"/>
      <w:r w:rsidRPr="00675F54">
        <w:rPr>
          <w:rFonts w:ascii="Calibri" w:hAnsi="Calibri" w:cs="Calibri"/>
          <w:i/>
        </w:rPr>
        <w:t>Crystallographica</w:t>
      </w:r>
      <w:proofErr w:type="spellEnd"/>
      <w:r w:rsidRPr="00675F54">
        <w:rPr>
          <w:rFonts w:ascii="Calibri" w:hAnsi="Calibri" w:cs="Calibri"/>
          <w:i/>
        </w:rPr>
        <w:t>. Section D, Biological Crystallography</w:t>
      </w:r>
      <w:r w:rsidRPr="00675F54">
        <w:rPr>
          <w:rFonts w:ascii="Calibri" w:hAnsi="Calibri" w:cs="Calibri"/>
        </w:rPr>
        <w:t xml:space="preserve">. </w:t>
      </w:r>
      <w:r w:rsidRPr="00675F54">
        <w:rPr>
          <w:rFonts w:ascii="Calibri" w:hAnsi="Calibri" w:cs="Calibri"/>
          <w:b/>
        </w:rPr>
        <w:t>66</w:t>
      </w:r>
      <w:r w:rsidRPr="00675F54">
        <w:rPr>
          <w:rFonts w:ascii="Calibri" w:hAnsi="Calibri" w:cs="Calibri"/>
        </w:rPr>
        <w:t xml:space="preserve"> (2), 213–221 (2010).</w:t>
      </w:r>
    </w:p>
    <w:p w14:paraId="14609211" w14:textId="777777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13.</w:t>
      </w:r>
      <w:r w:rsidRPr="00675F54">
        <w:rPr>
          <w:rFonts w:ascii="Calibri" w:hAnsi="Calibri" w:cs="Calibri"/>
        </w:rPr>
        <w:tab/>
        <w:t xml:space="preserve">Dessau, M.A., Modis, Y. Protein Crystallization for X-ray Crystallography. </w:t>
      </w:r>
      <w:r w:rsidRPr="00675F54">
        <w:rPr>
          <w:rFonts w:ascii="Calibri" w:hAnsi="Calibri" w:cs="Calibri"/>
          <w:i/>
        </w:rPr>
        <w:t>Journal of Visualized Experiments</w:t>
      </w:r>
      <w:r w:rsidRPr="00675F54">
        <w:rPr>
          <w:rFonts w:ascii="Calibri" w:hAnsi="Calibri" w:cs="Calibri"/>
        </w:rPr>
        <w:t xml:space="preserve">. </w:t>
      </w:r>
      <w:r w:rsidRPr="00675F54">
        <w:rPr>
          <w:rFonts w:ascii="Calibri" w:hAnsi="Calibri" w:cs="Calibri"/>
          <w:b/>
          <w:bCs/>
        </w:rPr>
        <w:t>47</w:t>
      </w:r>
      <w:r w:rsidRPr="00675F54">
        <w:rPr>
          <w:rFonts w:ascii="Calibri" w:hAnsi="Calibri" w:cs="Calibri"/>
        </w:rPr>
        <w:t xml:space="preserve">, </w:t>
      </w:r>
      <w:proofErr w:type="spellStart"/>
      <w:r w:rsidRPr="00675F54">
        <w:rPr>
          <w:rFonts w:ascii="Calibri" w:hAnsi="Calibri" w:cs="Calibri"/>
        </w:rPr>
        <w:t>doi</w:t>
      </w:r>
      <w:proofErr w:type="spellEnd"/>
      <w:r w:rsidRPr="00675F54">
        <w:rPr>
          <w:rFonts w:ascii="Calibri" w:hAnsi="Calibri" w:cs="Calibri"/>
        </w:rPr>
        <w:t>: 10.3791/2285 (2011).</w:t>
      </w:r>
    </w:p>
    <w:p w14:paraId="57D046E1" w14:textId="777777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14.</w:t>
      </w:r>
      <w:r w:rsidRPr="00675F54">
        <w:rPr>
          <w:rFonts w:ascii="Calibri" w:hAnsi="Calibri" w:cs="Calibri"/>
        </w:rPr>
        <w:tab/>
        <w:t xml:space="preserve">Sauter, C., Lorber, B., McPherson, A., </w:t>
      </w:r>
      <w:proofErr w:type="spellStart"/>
      <w:r w:rsidRPr="00675F54">
        <w:rPr>
          <w:rFonts w:ascii="Calibri" w:hAnsi="Calibri" w:cs="Calibri"/>
        </w:rPr>
        <w:t>Giegé</w:t>
      </w:r>
      <w:proofErr w:type="spellEnd"/>
      <w:r w:rsidRPr="00675F54">
        <w:rPr>
          <w:rFonts w:ascii="Calibri" w:hAnsi="Calibri" w:cs="Calibri"/>
        </w:rPr>
        <w:t xml:space="preserve">, Richard Crystallization - General Methods. </w:t>
      </w:r>
      <w:r w:rsidRPr="00675F54">
        <w:rPr>
          <w:rFonts w:ascii="Calibri" w:hAnsi="Calibri" w:cs="Calibri"/>
          <w:i/>
        </w:rPr>
        <w:t xml:space="preserve">In International Tables of Crystallography, Vol. F, Crystallography of Biological Macromolecules (2nd edition), E. Arnold, D.M. Himmel &amp; M.G. </w:t>
      </w:r>
      <w:proofErr w:type="spellStart"/>
      <w:r w:rsidRPr="00675F54">
        <w:rPr>
          <w:rFonts w:ascii="Calibri" w:hAnsi="Calibri" w:cs="Calibri"/>
          <w:i/>
        </w:rPr>
        <w:t>Rossmann</w:t>
      </w:r>
      <w:proofErr w:type="spellEnd"/>
      <w:r w:rsidRPr="00675F54">
        <w:rPr>
          <w:rFonts w:ascii="Calibri" w:hAnsi="Calibri" w:cs="Calibri"/>
          <w:i/>
        </w:rPr>
        <w:t xml:space="preserve"> (eds)</w:t>
      </w:r>
      <w:r w:rsidRPr="00675F54">
        <w:rPr>
          <w:rFonts w:ascii="Calibri" w:hAnsi="Calibri" w:cs="Calibri"/>
        </w:rPr>
        <w:t>. 99–120 (2012).</w:t>
      </w:r>
    </w:p>
    <w:p w14:paraId="6C3C021F" w14:textId="777777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15.</w:t>
      </w:r>
      <w:r w:rsidRPr="00675F54">
        <w:rPr>
          <w:rFonts w:ascii="Calibri" w:hAnsi="Calibri" w:cs="Calibri"/>
        </w:rPr>
        <w:tab/>
        <w:t xml:space="preserve">Garman, E. “Cool” crystals: macromolecular </w:t>
      </w:r>
      <w:proofErr w:type="spellStart"/>
      <w:r w:rsidRPr="00675F54">
        <w:rPr>
          <w:rFonts w:ascii="Calibri" w:hAnsi="Calibri" w:cs="Calibri"/>
        </w:rPr>
        <w:t>cryocrystallography</w:t>
      </w:r>
      <w:proofErr w:type="spellEnd"/>
      <w:r w:rsidRPr="00675F54">
        <w:rPr>
          <w:rFonts w:ascii="Calibri" w:hAnsi="Calibri" w:cs="Calibri"/>
        </w:rPr>
        <w:t xml:space="preserve"> and radiation damage. </w:t>
      </w:r>
      <w:r w:rsidRPr="00675F54">
        <w:rPr>
          <w:rFonts w:ascii="Calibri" w:hAnsi="Calibri" w:cs="Calibri"/>
          <w:i/>
        </w:rPr>
        <w:t>Current Opinion in Structural Biology</w:t>
      </w:r>
      <w:r w:rsidRPr="00675F54">
        <w:rPr>
          <w:rFonts w:ascii="Calibri" w:hAnsi="Calibri" w:cs="Calibri"/>
        </w:rPr>
        <w:t xml:space="preserve">. </w:t>
      </w:r>
      <w:r w:rsidRPr="00675F54">
        <w:rPr>
          <w:rFonts w:ascii="Calibri" w:hAnsi="Calibri" w:cs="Calibri"/>
          <w:b/>
        </w:rPr>
        <w:t>13</w:t>
      </w:r>
      <w:r w:rsidRPr="00675F54">
        <w:rPr>
          <w:rFonts w:ascii="Calibri" w:hAnsi="Calibri" w:cs="Calibri"/>
        </w:rPr>
        <w:t xml:space="preserve"> (5), 545–551 (2003).</w:t>
      </w:r>
    </w:p>
    <w:p w14:paraId="552A5E0A" w14:textId="7777777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16.</w:t>
      </w:r>
      <w:r w:rsidRPr="00675F54">
        <w:rPr>
          <w:rFonts w:ascii="Calibri" w:hAnsi="Calibri" w:cs="Calibri"/>
        </w:rPr>
        <w:tab/>
        <w:t xml:space="preserve">Li, D., Boland, C., </w:t>
      </w:r>
      <w:proofErr w:type="spellStart"/>
      <w:r w:rsidRPr="00675F54">
        <w:rPr>
          <w:rFonts w:ascii="Calibri" w:hAnsi="Calibri" w:cs="Calibri"/>
        </w:rPr>
        <w:t>Aragao</w:t>
      </w:r>
      <w:proofErr w:type="spellEnd"/>
      <w:r w:rsidRPr="00675F54">
        <w:rPr>
          <w:rFonts w:ascii="Calibri" w:hAnsi="Calibri" w:cs="Calibri"/>
        </w:rPr>
        <w:t xml:space="preserve">, D., Walsh, K., Caffrey, M. Harvesting and Cryo-cooling Crystals of Membrane Proteins Grown in Lipidic Mesophases for Structure Determination by Macromolecular Crystallography. </w:t>
      </w:r>
      <w:r w:rsidRPr="00675F54">
        <w:rPr>
          <w:rFonts w:ascii="Calibri" w:hAnsi="Calibri" w:cs="Calibri"/>
          <w:i/>
        </w:rPr>
        <w:t>Journal of Visualized Experiments</w:t>
      </w:r>
      <w:r w:rsidRPr="00675F54">
        <w:rPr>
          <w:rFonts w:ascii="Calibri" w:hAnsi="Calibri" w:cs="Calibri"/>
        </w:rPr>
        <w:t xml:space="preserve">. </w:t>
      </w:r>
      <w:r w:rsidRPr="00675F54">
        <w:rPr>
          <w:rFonts w:ascii="Calibri" w:hAnsi="Calibri" w:cs="Calibri"/>
          <w:b/>
          <w:bCs/>
        </w:rPr>
        <w:t>67</w:t>
      </w:r>
      <w:r w:rsidRPr="00675F54">
        <w:rPr>
          <w:rFonts w:ascii="Calibri" w:hAnsi="Calibri" w:cs="Calibri"/>
        </w:rPr>
        <w:t xml:space="preserve">, </w:t>
      </w:r>
      <w:proofErr w:type="spellStart"/>
      <w:r w:rsidRPr="00675F54">
        <w:rPr>
          <w:rFonts w:ascii="Calibri" w:hAnsi="Calibri" w:cs="Calibri"/>
        </w:rPr>
        <w:t>doi</w:t>
      </w:r>
      <w:proofErr w:type="spellEnd"/>
      <w:r w:rsidRPr="00675F54">
        <w:rPr>
          <w:rFonts w:ascii="Calibri" w:hAnsi="Calibri" w:cs="Calibri"/>
        </w:rPr>
        <w:t>: 10.3791/4001 (2012).</w:t>
      </w:r>
    </w:p>
    <w:p w14:paraId="55668C5C" w14:textId="2B513C29"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 xml:space="preserve">17. </w:t>
      </w:r>
      <w:proofErr w:type="spellStart"/>
      <w:r w:rsidRPr="00675F54">
        <w:rPr>
          <w:rFonts w:ascii="Calibri" w:hAnsi="Calibri" w:cs="Calibri"/>
        </w:rPr>
        <w:t>Diederichs</w:t>
      </w:r>
      <w:proofErr w:type="spellEnd"/>
      <w:r w:rsidRPr="00675F54">
        <w:rPr>
          <w:rFonts w:ascii="Calibri" w:hAnsi="Calibri" w:cs="Calibri"/>
        </w:rPr>
        <w:t xml:space="preserve">, K., Karplus, P.A. Improved R-factors for diffraction data analysis in macromolecular crystallography. </w:t>
      </w:r>
      <w:r w:rsidRPr="00675F54">
        <w:rPr>
          <w:rFonts w:ascii="Calibri" w:hAnsi="Calibri" w:cs="Calibri"/>
          <w:i/>
          <w:iCs/>
        </w:rPr>
        <w:t>Nature Structural Biology.</w:t>
      </w:r>
      <w:r w:rsidRPr="00675F54">
        <w:rPr>
          <w:rFonts w:ascii="Calibri" w:hAnsi="Calibri" w:cs="Calibri"/>
        </w:rPr>
        <w:t xml:space="preserve"> </w:t>
      </w:r>
      <w:r w:rsidRPr="00675F54">
        <w:rPr>
          <w:rFonts w:ascii="Calibri" w:hAnsi="Calibri" w:cs="Calibri"/>
          <w:b/>
          <w:bCs/>
        </w:rPr>
        <w:t>4</w:t>
      </w:r>
      <w:r w:rsidRPr="00675F54">
        <w:rPr>
          <w:rFonts w:ascii="Calibri" w:hAnsi="Calibri" w:cs="Calibri"/>
        </w:rPr>
        <w:t xml:space="preserve"> (4), 269–275 (1997).</w:t>
      </w:r>
    </w:p>
    <w:p w14:paraId="5A238062" w14:textId="02B201A7"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 xml:space="preserve">18. Karplus, P.A., </w:t>
      </w:r>
      <w:proofErr w:type="spellStart"/>
      <w:r w:rsidRPr="00675F54">
        <w:rPr>
          <w:rFonts w:ascii="Calibri" w:hAnsi="Calibri" w:cs="Calibri"/>
        </w:rPr>
        <w:t>Diederichs</w:t>
      </w:r>
      <w:proofErr w:type="spellEnd"/>
      <w:r w:rsidRPr="00675F54">
        <w:rPr>
          <w:rFonts w:ascii="Calibri" w:hAnsi="Calibri" w:cs="Calibri"/>
        </w:rPr>
        <w:t xml:space="preserve">, K. Linking Crystallographic Model and Data Quality. </w:t>
      </w:r>
      <w:r w:rsidRPr="00675F54">
        <w:rPr>
          <w:rFonts w:ascii="Calibri" w:hAnsi="Calibri" w:cs="Calibri"/>
          <w:i/>
          <w:iCs/>
        </w:rPr>
        <w:t>Science</w:t>
      </w:r>
      <w:r w:rsidRPr="00675F54">
        <w:rPr>
          <w:rFonts w:ascii="Calibri" w:hAnsi="Calibri" w:cs="Calibri"/>
        </w:rPr>
        <w:t xml:space="preserve">. </w:t>
      </w:r>
      <w:r w:rsidRPr="00675F54">
        <w:rPr>
          <w:rFonts w:ascii="Calibri" w:hAnsi="Calibri" w:cs="Calibri"/>
          <w:b/>
          <w:bCs/>
        </w:rPr>
        <w:t>336</w:t>
      </w:r>
      <w:r w:rsidRPr="00675F54">
        <w:rPr>
          <w:rFonts w:ascii="Calibri" w:hAnsi="Calibri" w:cs="Calibri"/>
        </w:rPr>
        <w:t xml:space="preserve"> (6084), 1030–1033, (2012).</w:t>
      </w:r>
    </w:p>
    <w:p w14:paraId="1F011D13" w14:textId="41A574B0"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 xml:space="preserve">19. de la Mora, E., </w:t>
      </w:r>
      <w:proofErr w:type="spellStart"/>
      <w:r w:rsidRPr="00675F54">
        <w:rPr>
          <w:rFonts w:ascii="Calibri" w:hAnsi="Calibri" w:cs="Calibri"/>
        </w:rPr>
        <w:t>Coquelle</w:t>
      </w:r>
      <w:proofErr w:type="spellEnd"/>
      <w:r w:rsidRPr="00675F54">
        <w:rPr>
          <w:rFonts w:ascii="Calibri" w:hAnsi="Calibri" w:cs="Calibri"/>
        </w:rPr>
        <w:t xml:space="preserve">, N., Bury, C.S., Rosenthal, M., Holton, J. M., Carmichael, I., Garman, E. F., </w:t>
      </w:r>
      <w:proofErr w:type="spellStart"/>
      <w:r w:rsidRPr="00675F54">
        <w:rPr>
          <w:rFonts w:ascii="Calibri" w:hAnsi="Calibri" w:cs="Calibri"/>
        </w:rPr>
        <w:t>Burghammer</w:t>
      </w:r>
      <w:proofErr w:type="spellEnd"/>
      <w:r w:rsidRPr="00675F54">
        <w:rPr>
          <w:rFonts w:ascii="Calibri" w:hAnsi="Calibri" w:cs="Calibri"/>
        </w:rPr>
        <w:t xml:space="preserve">, M., </w:t>
      </w:r>
      <w:proofErr w:type="spellStart"/>
      <w:r w:rsidRPr="00675F54">
        <w:rPr>
          <w:rFonts w:ascii="Calibri" w:hAnsi="Calibri" w:cs="Calibri"/>
        </w:rPr>
        <w:t>Colletier</w:t>
      </w:r>
      <w:proofErr w:type="spellEnd"/>
      <w:r w:rsidRPr="00675F54">
        <w:rPr>
          <w:rFonts w:ascii="Calibri" w:hAnsi="Calibri" w:cs="Calibri"/>
        </w:rPr>
        <w:t xml:space="preserve">, J-P., and </w:t>
      </w:r>
      <w:proofErr w:type="spellStart"/>
      <w:r w:rsidRPr="00675F54">
        <w:rPr>
          <w:rFonts w:ascii="Calibri" w:hAnsi="Calibri" w:cs="Calibri"/>
        </w:rPr>
        <w:t>Weik</w:t>
      </w:r>
      <w:proofErr w:type="spellEnd"/>
      <w:r w:rsidRPr="00675F54">
        <w:rPr>
          <w:rFonts w:ascii="Calibri" w:hAnsi="Calibri" w:cs="Calibri"/>
        </w:rPr>
        <w:t xml:space="preserve">, M. Radiation damage and dose limits in serial synchrotron crystallography at cryo- and room temperatures. </w:t>
      </w:r>
      <w:r w:rsidR="0038365B" w:rsidRPr="0038365B">
        <w:rPr>
          <w:rFonts w:ascii="Calibri" w:hAnsi="Calibri" w:cs="Calibri"/>
          <w:i/>
          <w:iCs/>
        </w:rPr>
        <w:t xml:space="preserve">Proceedings of the National Academy </w:t>
      </w:r>
      <w:r w:rsidR="0038365B">
        <w:rPr>
          <w:rFonts w:ascii="Calibri" w:hAnsi="Calibri" w:cs="Calibri"/>
          <w:i/>
          <w:iCs/>
        </w:rPr>
        <w:t>o</w:t>
      </w:r>
      <w:r w:rsidR="0038365B" w:rsidRPr="0038365B">
        <w:rPr>
          <w:rFonts w:ascii="Calibri" w:hAnsi="Calibri" w:cs="Calibri"/>
          <w:i/>
          <w:iCs/>
        </w:rPr>
        <w:t xml:space="preserve">f Sciences of the United States </w:t>
      </w:r>
      <w:r w:rsidR="0038365B">
        <w:rPr>
          <w:rFonts w:ascii="Calibri" w:hAnsi="Calibri" w:cs="Calibri"/>
          <w:i/>
          <w:iCs/>
        </w:rPr>
        <w:t>o</w:t>
      </w:r>
      <w:r w:rsidR="0038365B" w:rsidRPr="0038365B">
        <w:rPr>
          <w:rFonts w:ascii="Calibri" w:hAnsi="Calibri" w:cs="Calibri"/>
          <w:i/>
          <w:iCs/>
        </w:rPr>
        <w:t>f America</w:t>
      </w:r>
      <w:r w:rsidRPr="00675F54">
        <w:rPr>
          <w:rFonts w:ascii="Calibri" w:hAnsi="Calibri" w:cs="Calibri"/>
        </w:rPr>
        <w:t xml:space="preserve">. </w:t>
      </w:r>
      <w:r w:rsidRPr="00675F54">
        <w:rPr>
          <w:rFonts w:ascii="Calibri" w:hAnsi="Calibri" w:cs="Calibri"/>
          <w:b/>
        </w:rPr>
        <w:t>117</w:t>
      </w:r>
      <w:r w:rsidRPr="00675F54">
        <w:rPr>
          <w:rFonts w:ascii="Calibri" w:hAnsi="Calibri" w:cs="Calibri"/>
        </w:rPr>
        <w:t xml:space="preserve"> (8), 4142-4151</w:t>
      </w:r>
      <w:r w:rsidRPr="00675F54">
        <w:rPr>
          <w:rStyle w:val="highwire-cite-metadata-doi"/>
          <w:rFonts w:ascii="Calibri" w:hAnsi="Calibri" w:cs="Calibri"/>
        </w:rPr>
        <w:t xml:space="preserve"> (2020).</w:t>
      </w:r>
    </w:p>
    <w:p w14:paraId="08C523D8" w14:textId="11FB89C5" w:rsidR="00275F93" w:rsidRPr="00675F54" w:rsidRDefault="00C03D89" w:rsidP="00675F54">
      <w:pPr>
        <w:pStyle w:val="Bibliographie1"/>
        <w:tabs>
          <w:tab w:val="clear" w:pos="384"/>
        </w:tabs>
        <w:spacing w:line="240" w:lineRule="auto"/>
        <w:ind w:left="0" w:firstLine="0"/>
        <w:contextualSpacing/>
        <w:rPr>
          <w:rFonts w:ascii="Calibri" w:hAnsi="Calibri" w:cs="Calibri"/>
        </w:rPr>
      </w:pPr>
      <w:r w:rsidRPr="00675F54">
        <w:rPr>
          <w:rFonts w:ascii="Calibri" w:hAnsi="Calibri" w:cs="Calibri"/>
        </w:rPr>
        <w:t xml:space="preserve">20. Nave, C. A., Description of Imperfections in Protein Crystals. </w:t>
      </w:r>
      <w:r w:rsidRPr="00675F54">
        <w:rPr>
          <w:rFonts w:ascii="Calibri" w:hAnsi="Calibri" w:cs="Calibri"/>
          <w:i/>
        </w:rPr>
        <w:t xml:space="preserve">Acta </w:t>
      </w:r>
      <w:proofErr w:type="spellStart"/>
      <w:r w:rsidRPr="00675F54">
        <w:rPr>
          <w:rFonts w:ascii="Calibri" w:hAnsi="Calibri" w:cs="Calibri"/>
          <w:i/>
        </w:rPr>
        <w:t>Crystallographica</w:t>
      </w:r>
      <w:proofErr w:type="spellEnd"/>
      <w:r w:rsidRPr="00675F54">
        <w:rPr>
          <w:rFonts w:ascii="Calibri" w:hAnsi="Calibri" w:cs="Calibri"/>
          <w:i/>
        </w:rPr>
        <w:t>. Section D, Biological Crystallography</w:t>
      </w:r>
      <w:r w:rsidRPr="00675F54">
        <w:rPr>
          <w:rFonts w:ascii="Calibri" w:hAnsi="Calibri" w:cs="Calibri"/>
        </w:rPr>
        <w:t xml:space="preserve">. </w:t>
      </w:r>
      <w:r w:rsidRPr="00675F54">
        <w:rPr>
          <w:rFonts w:ascii="Calibri" w:hAnsi="Calibri" w:cs="Calibri"/>
          <w:b/>
        </w:rPr>
        <w:t xml:space="preserve">54 </w:t>
      </w:r>
      <w:r w:rsidRPr="00675F54">
        <w:rPr>
          <w:rFonts w:ascii="Calibri" w:hAnsi="Calibri" w:cs="Calibri"/>
        </w:rPr>
        <w:t>(5), 848–853</w:t>
      </w:r>
      <w:r w:rsidR="0038365B">
        <w:rPr>
          <w:rFonts w:ascii="Calibri" w:hAnsi="Calibri" w:cs="Calibri"/>
        </w:rPr>
        <w:t xml:space="preserve"> </w:t>
      </w:r>
      <w:r w:rsidRPr="00675F54">
        <w:rPr>
          <w:rFonts w:ascii="Calibri" w:hAnsi="Calibri" w:cs="Calibri"/>
        </w:rPr>
        <w:t>(1998).</w:t>
      </w:r>
    </w:p>
    <w:p w14:paraId="0DFCC2F4" w14:textId="77777777" w:rsidR="00275F93" w:rsidRPr="00675F54" w:rsidRDefault="00275F93" w:rsidP="00675F54">
      <w:pPr>
        <w:contextualSpacing/>
      </w:pPr>
    </w:p>
    <w:sectPr w:rsidR="00275F93" w:rsidRPr="00675F54" w:rsidSect="00675F54">
      <w:headerReference w:type="default" r:id="rId19"/>
      <w:pgSz w:w="12240" w:h="15840"/>
      <w:pgMar w:top="1440" w:right="1440" w:bottom="1440" w:left="1440" w:header="720" w:footer="0" w:gutter="0"/>
      <w:lnNumType w:countBy="1"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B9E84" w14:textId="77777777" w:rsidR="00416D2D" w:rsidRDefault="00416D2D">
      <w:r>
        <w:separator/>
      </w:r>
    </w:p>
  </w:endnote>
  <w:endnote w:type="continuationSeparator" w:id="0">
    <w:p w14:paraId="36BE352A" w14:textId="77777777" w:rsidR="00416D2D" w:rsidRDefault="0041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Mono">
    <w:altName w:val="Courier New"/>
    <w:charset w:val="01"/>
    <w:family w:val="roman"/>
    <w:pitch w:val="variable"/>
  </w:font>
  <w:font w:name="Mangal">
    <w:panose1 w:val="00000400000000000000"/>
    <w:charset w:val="00"/>
    <w:family w:val="roman"/>
    <w:pitch w:val="variable"/>
    <w:sig w:usb0="00008003" w:usb1="00000000" w:usb2="00000000" w:usb3="00000000" w:csb0="00000001" w:csb1="00000000"/>
  </w:font>
  <w:font w:name="TimesNewRomanPSM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8DCF9" w14:textId="77777777" w:rsidR="00416D2D" w:rsidRDefault="00416D2D">
      <w:r>
        <w:separator/>
      </w:r>
    </w:p>
  </w:footnote>
  <w:footnote w:type="continuationSeparator" w:id="0">
    <w:p w14:paraId="479BFB4D" w14:textId="77777777" w:rsidR="00416D2D" w:rsidRDefault="00416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DD37" w14:textId="77777777" w:rsidR="00275F93" w:rsidRDefault="00C03D89">
    <w:pPr>
      <w:tabs>
        <w:tab w:val="center" w:pos="4680"/>
        <w:tab w:val="left" w:pos="5724"/>
        <w:tab w:val="right" w:pos="9360"/>
      </w:tabs>
      <w:rPr>
        <w:color w:val="000000"/>
        <w:sz w:val="22"/>
        <w:szCs w:val="22"/>
      </w:rPr>
    </w:pPr>
    <w:bookmarkStart w:id="1" w:name="_26in1rg"/>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C47A5"/>
    <w:multiLevelType w:val="multilevel"/>
    <w:tmpl w:val="A2A2A1A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25654C1A"/>
    <w:multiLevelType w:val="hybridMultilevel"/>
    <w:tmpl w:val="D880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9365A"/>
    <w:multiLevelType w:val="multilevel"/>
    <w:tmpl w:val="CA50063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30207F68"/>
    <w:multiLevelType w:val="multilevel"/>
    <w:tmpl w:val="3BC8D3A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32E25401"/>
    <w:multiLevelType w:val="multilevel"/>
    <w:tmpl w:val="CEB81E8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5" w15:restartNumberingAfterBreak="0">
    <w:nsid w:val="4866303B"/>
    <w:multiLevelType w:val="multilevel"/>
    <w:tmpl w:val="F56494C4"/>
    <w:lvl w:ilvl="0">
      <w:start w:val="1"/>
      <w:numFmt w:val="decimal"/>
      <w:lvlText w:val="%1"/>
      <w:lvlJc w:val="left"/>
      <w:pPr>
        <w:tabs>
          <w:tab w:val="num" w:pos="0"/>
        </w:tabs>
        <w:ind w:left="900" w:hanging="360"/>
      </w:pPr>
    </w:lvl>
    <w:lvl w:ilvl="1">
      <w:start w:val="1"/>
      <w:numFmt w:val="bullet"/>
      <w:lvlText w:val="o"/>
      <w:lvlJc w:val="left"/>
      <w:pPr>
        <w:tabs>
          <w:tab w:val="num" w:pos="0"/>
        </w:tabs>
        <w:ind w:left="1620" w:hanging="360"/>
      </w:pPr>
      <w:rPr>
        <w:rFonts w:ascii="Courier New" w:hAnsi="Courier New" w:cs="Courier New" w:hint="default"/>
      </w:rPr>
    </w:lvl>
    <w:lvl w:ilvl="2">
      <w:start w:val="1"/>
      <w:numFmt w:val="bullet"/>
      <w:lvlText w:val=""/>
      <w:lvlJc w:val="left"/>
      <w:pPr>
        <w:tabs>
          <w:tab w:val="num" w:pos="0"/>
        </w:tabs>
        <w:ind w:left="2520" w:hanging="360"/>
      </w:pPr>
      <w:rPr>
        <w:rFonts w:ascii="Symbol" w:hAnsi="Symbol" w:cs="Symbol"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
      <w:lvlJc w:val="left"/>
      <w:pPr>
        <w:tabs>
          <w:tab w:val="num" w:pos="0"/>
        </w:tabs>
        <w:ind w:left="4320" w:hanging="360"/>
      </w:pPr>
      <w:rPr>
        <w:rFonts w:ascii="Symbol" w:hAnsi="Symbol" w:cs="Symbol" w:hint="default"/>
      </w:rPr>
    </w:lvl>
    <w:lvl w:ilvl="5">
      <w:start w:val="1"/>
      <w:numFmt w:val="bullet"/>
      <w:lvlText w:val=""/>
      <w:lvlJc w:val="left"/>
      <w:pPr>
        <w:tabs>
          <w:tab w:val="num" w:pos="0"/>
        </w:tabs>
        <w:ind w:left="5220" w:hanging="360"/>
      </w:pPr>
      <w:rPr>
        <w:rFonts w:ascii="Symbol" w:hAnsi="Symbol" w:cs="Symbol"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
      <w:lvlJc w:val="left"/>
      <w:pPr>
        <w:tabs>
          <w:tab w:val="num" w:pos="0"/>
        </w:tabs>
        <w:ind w:left="7020" w:hanging="360"/>
      </w:pPr>
      <w:rPr>
        <w:rFonts w:ascii="Symbol" w:hAnsi="Symbol" w:cs="Symbol" w:hint="default"/>
      </w:rPr>
    </w:lvl>
    <w:lvl w:ilvl="8">
      <w:start w:val="1"/>
      <w:numFmt w:val="bullet"/>
      <w:lvlText w:val=""/>
      <w:lvlJc w:val="left"/>
      <w:pPr>
        <w:tabs>
          <w:tab w:val="num" w:pos="0"/>
        </w:tabs>
        <w:ind w:left="7920" w:hanging="360"/>
      </w:pPr>
      <w:rPr>
        <w:rFonts w:ascii="Symbol" w:hAnsi="Symbol" w:cs="Symbol" w:hint="default"/>
      </w:rPr>
    </w:lvl>
  </w:abstractNum>
  <w:abstractNum w:abstractNumId="6" w15:restartNumberingAfterBreak="0">
    <w:nsid w:val="560C4EA5"/>
    <w:multiLevelType w:val="multilevel"/>
    <w:tmpl w:val="C040EC8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15:restartNumberingAfterBreak="0">
    <w:nsid w:val="59107E75"/>
    <w:multiLevelType w:val="multilevel"/>
    <w:tmpl w:val="59EE8516"/>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8" w15:restartNumberingAfterBreak="0">
    <w:nsid w:val="5F1A3F10"/>
    <w:multiLevelType w:val="multilevel"/>
    <w:tmpl w:val="FEA0C6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2AA3259"/>
    <w:multiLevelType w:val="multilevel"/>
    <w:tmpl w:val="765AC99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7D254920"/>
    <w:multiLevelType w:val="multilevel"/>
    <w:tmpl w:val="2342E0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6"/>
  </w:num>
  <w:num w:numId="4">
    <w:abstractNumId w:val="7"/>
  </w:num>
  <w:num w:numId="5">
    <w:abstractNumId w:val="0"/>
  </w:num>
  <w:num w:numId="6">
    <w:abstractNumId w:val="2"/>
  </w:num>
  <w:num w:numId="7">
    <w:abstractNumId w:val="9"/>
  </w:num>
  <w:num w:numId="8">
    <w:abstractNumId w:val="4"/>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446"/>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F93"/>
    <w:rsid w:val="00275F93"/>
    <w:rsid w:val="0038365B"/>
    <w:rsid w:val="00416D2D"/>
    <w:rsid w:val="00675F54"/>
    <w:rsid w:val="007344A0"/>
    <w:rsid w:val="009F47A8"/>
    <w:rsid w:val="00A05590"/>
    <w:rsid w:val="00C03D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47B3"/>
  <w15:docId w15:val="{F26D6C26-A578-4FDD-A42F-6B6AFEA3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pPr>
    <w:rPr>
      <w:sz w:val="24"/>
    </w:rPr>
  </w:style>
  <w:style w:type="paragraph" w:styleId="Heading1">
    <w:name w:val="heading 1"/>
    <w:basedOn w:val="Normal"/>
    <w:next w:val="Normal"/>
    <w:uiPriority w:val="9"/>
    <w:qFormat/>
    <w:pPr>
      <w:keepNext/>
      <w:spacing w:before="240" w:after="60"/>
      <w:jc w:val="left"/>
      <w:outlineLvl w:val="0"/>
    </w:pPr>
    <w:rPr>
      <w:b/>
      <w:sz w:val="28"/>
      <w:szCs w:val="28"/>
    </w:rPr>
  </w:style>
  <w:style w:type="paragraph" w:styleId="Heading2">
    <w:name w:val="heading 2"/>
    <w:basedOn w:val="Normal"/>
    <w:next w:val="Normal"/>
    <w:uiPriority w:val="9"/>
    <w:unhideWhenUsed/>
    <w:qFormat/>
    <w:pPr>
      <w:keepNext/>
      <w:jc w:val="left"/>
      <w:outlineLvl w:val="1"/>
    </w:pPr>
    <w:rPr>
      <w:b/>
    </w:rPr>
  </w:style>
  <w:style w:type="paragraph" w:styleId="Heading3">
    <w:name w:val="heading 3"/>
    <w:basedOn w:val="Normal"/>
    <w:next w:val="Normal"/>
    <w:uiPriority w:val="9"/>
    <w:unhideWhenUsed/>
    <w:qFormat/>
    <w:pPr>
      <w:keepNext/>
      <w:keepLines/>
      <w:spacing w:before="200"/>
      <w:jc w:val="left"/>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jc w:val="left"/>
      <w:outlineLvl w:val="3"/>
    </w:pPr>
    <w:rPr>
      <w:b/>
    </w:rPr>
  </w:style>
  <w:style w:type="paragraph" w:styleId="Heading5">
    <w:name w:val="heading 5"/>
    <w:basedOn w:val="Normal"/>
    <w:next w:val="Normal"/>
    <w:uiPriority w:val="9"/>
    <w:semiHidden/>
    <w:unhideWhenUsed/>
    <w:qFormat/>
    <w:pPr>
      <w:keepNext/>
      <w:keepLines/>
      <w:spacing w:before="220" w:after="40"/>
      <w:jc w:val="left"/>
      <w:outlineLvl w:val="4"/>
    </w:pPr>
    <w:rPr>
      <w:b/>
      <w:sz w:val="22"/>
      <w:szCs w:val="22"/>
    </w:rPr>
  </w:style>
  <w:style w:type="paragraph" w:styleId="Heading6">
    <w:name w:val="heading 6"/>
    <w:basedOn w:val="Normal"/>
    <w:next w:val="Normal"/>
    <w:uiPriority w:val="9"/>
    <w:semiHidden/>
    <w:unhideWhenUsed/>
    <w:qFormat/>
    <w:pPr>
      <w:keepNext/>
      <w:keepLines/>
      <w:spacing w:before="200" w:after="40"/>
      <w:jc w:val="left"/>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Pr>
      <w:color w:val="000080"/>
      <w:u w:val="single"/>
    </w:rPr>
  </w:style>
  <w:style w:type="character" w:customStyle="1" w:styleId="IUCrauthorpunctuation">
    <w:name w:val="IUCr author punctuation"/>
    <w:qFormat/>
    <w:rPr>
      <w:rFonts w:ascii="Arial" w:hAnsi="Arial"/>
      <w:sz w:val="24"/>
    </w:rPr>
  </w:style>
  <w:style w:type="character" w:customStyle="1" w:styleId="IUCraffiliationtext">
    <w:name w:val="IUCr affiliation text"/>
    <w:qFormat/>
    <w:rPr>
      <w:rFonts w:ascii="Arial" w:hAnsi="Arial"/>
      <w:sz w:val="22"/>
    </w:rPr>
  </w:style>
  <w:style w:type="character" w:customStyle="1" w:styleId="Caractresdenumrotation">
    <w:name w:val="Caractères de numérotation"/>
    <w:qFormat/>
  </w:style>
  <w:style w:type="character" w:customStyle="1" w:styleId="citation-doi">
    <w:name w:val="citation-doi"/>
    <w:basedOn w:val="DefaultParagraphFont"/>
    <w:qFormat/>
  </w:style>
  <w:style w:type="character" w:customStyle="1" w:styleId="highwire-cite-metadata-doi">
    <w:name w:val="highwire-cite-metadata-doi"/>
    <w:basedOn w:val="DefaultParagraphFont"/>
    <w:qFormat/>
  </w:style>
  <w:style w:type="paragraph" w:customStyle="1" w:styleId="Titre">
    <w:name w:val="Titre"/>
    <w:basedOn w:val="Normal"/>
    <w:next w:val="BodyText"/>
    <w:qFormat/>
    <w:pPr>
      <w:keepNext/>
      <w:spacing w:before="240" w:after="120"/>
    </w:pPr>
    <w:rPr>
      <w:rFonts w:ascii="Arial" w:eastAsia="SimSun"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ascii="Arial" w:hAnsi="Arial" w:cs="Lucida Sans"/>
    </w:rPr>
  </w:style>
  <w:style w:type="paragraph" w:styleId="Caption">
    <w:name w:val="caption"/>
    <w:basedOn w:val="Normal"/>
    <w:qFormat/>
    <w:pPr>
      <w:suppressLineNumbers/>
      <w:spacing w:before="120" w:after="120"/>
    </w:pPr>
    <w:rPr>
      <w:rFonts w:ascii="Arial" w:hAnsi="Arial" w:cs="Lucida Sans"/>
      <w:i/>
      <w:iCs/>
    </w:rPr>
  </w:style>
  <w:style w:type="paragraph" w:customStyle="1" w:styleId="Index">
    <w:name w:val="Index"/>
    <w:basedOn w:val="Normal"/>
    <w:qFormat/>
    <w:pPr>
      <w:suppressLineNumbers/>
    </w:pPr>
    <w:rPr>
      <w:rFonts w:ascii="Arial" w:hAnsi="Arial" w:cs="Lucida Sans"/>
    </w:rPr>
  </w:style>
  <w:style w:type="paragraph" w:customStyle="1" w:styleId="LO-normal">
    <w:name w:val="LO-normal"/>
    <w:qFormat/>
    <w:pPr>
      <w:overflowPunct w:val="0"/>
      <w:jc w:val="both"/>
    </w:pPr>
    <w:rPr>
      <w:sz w:val="24"/>
    </w:rPr>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tteetpieddepage">
    <w:name w:val="En-tête et pied de page"/>
    <w:basedOn w:val="Normal"/>
    <w:qFormat/>
  </w:style>
  <w:style w:type="paragraph" w:styleId="Header">
    <w:name w:val="header"/>
    <w:basedOn w:val="Normal"/>
  </w:style>
  <w:style w:type="paragraph" w:styleId="NormalWeb">
    <w:name w:val="Normal (Web)"/>
    <w:basedOn w:val="Normal"/>
    <w:qFormat/>
    <w:pPr>
      <w:spacing w:before="280" w:after="280"/>
    </w:pPr>
  </w:style>
  <w:style w:type="paragraph" w:customStyle="1" w:styleId="Contenudetableau">
    <w:name w:val="Contenu de tableau"/>
    <w:basedOn w:val="Normal"/>
    <w:qFormat/>
    <w:pPr>
      <w:suppressLineNumbers/>
    </w:pPr>
  </w:style>
  <w:style w:type="paragraph" w:customStyle="1" w:styleId="Bibliographie1">
    <w:name w:val="Bibliographie 1"/>
    <w:basedOn w:val="Index"/>
    <w:qFormat/>
    <w:pPr>
      <w:tabs>
        <w:tab w:val="left" w:pos="384"/>
      </w:tabs>
      <w:spacing w:line="240" w:lineRule="atLeast"/>
      <w:ind w:left="384" w:hanging="384"/>
    </w:pPr>
  </w:style>
  <w:style w:type="paragraph" w:customStyle="1" w:styleId="Texteprformat">
    <w:name w:val="Texte préformaté"/>
    <w:basedOn w:val="Normal"/>
    <w:qFormat/>
    <w:rPr>
      <w:rFonts w:ascii="Liberation Mono" w:eastAsia="Courier New" w:hAnsi="Liberation Mono" w:cs="Liberation Mono"/>
      <w:sz w:val="20"/>
      <w:szCs w:val="20"/>
    </w:rPr>
  </w:style>
  <w:style w:type="character" w:styleId="LineNumber">
    <w:name w:val="line number"/>
    <w:basedOn w:val="DefaultParagraphFont"/>
    <w:uiPriority w:val="99"/>
    <w:semiHidden/>
    <w:unhideWhenUsed/>
    <w:rsid w:val="00675F54"/>
  </w:style>
  <w:style w:type="paragraph" w:styleId="Footer">
    <w:name w:val="footer"/>
    <w:basedOn w:val="Normal"/>
    <w:link w:val="FooterChar"/>
    <w:uiPriority w:val="99"/>
    <w:unhideWhenUsed/>
    <w:rsid w:val="00675F5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75F54"/>
    <w:rPr>
      <w:rFonts w:cs="Mangal"/>
      <w:sz w:val="24"/>
      <w:szCs w:val="21"/>
    </w:rPr>
  </w:style>
  <w:style w:type="paragraph" w:styleId="ListParagraph">
    <w:name w:val="List Paragraph"/>
    <w:basedOn w:val="Normal"/>
    <w:uiPriority w:val="34"/>
    <w:qFormat/>
    <w:rsid w:val="00675F54"/>
    <w:pPr>
      <w:ind w:left="720"/>
      <w:contextualSpacing/>
    </w:pPr>
    <w:rPr>
      <w:rFonts w:cs="Mangal"/>
      <w:szCs w:val="21"/>
    </w:rPr>
  </w:style>
  <w:style w:type="character" w:styleId="Hyperlink">
    <w:name w:val="Hyperlink"/>
    <w:basedOn w:val="DefaultParagraphFont"/>
    <w:uiPriority w:val="99"/>
    <w:unhideWhenUsed/>
    <w:rsid w:val="00A05590"/>
    <w:rPr>
      <w:color w:val="0563C1" w:themeColor="hyperlink"/>
      <w:u w:val="single"/>
    </w:rPr>
  </w:style>
  <w:style w:type="character" w:styleId="UnresolvedMention">
    <w:name w:val="Unresolved Mention"/>
    <w:basedOn w:val="DefaultParagraphFont"/>
    <w:uiPriority w:val="99"/>
    <w:semiHidden/>
    <w:unhideWhenUsed/>
    <w:rsid w:val="00A05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rollet@ibmc-cnrs.unistra.fr" TargetMode="External"/><Relationship Id="rId13" Type="http://schemas.openxmlformats.org/officeDocument/2006/relationships/hyperlink" Target="mailto:c.paulus@unistra.fr" TargetMode="External"/><Relationship Id="rId18" Type="http://schemas.openxmlformats.org/officeDocument/2006/relationships/hyperlink" Target="mailto:sauter@ibmc-cnrs.unistra.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phael.de.wijn@xfel.eu" TargetMode="External"/><Relationship Id="rId12" Type="http://schemas.openxmlformats.org/officeDocument/2006/relationships/hyperlink" Target="mailto:camille.nous@cogitamus.fr" TargetMode="External"/><Relationship Id="rId17" Type="http://schemas.openxmlformats.org/officeDocument/2006/relationships/hyperlink" Target="mailto:c.sauter@ibmc-cnrs.unistra.fr" TargetMode="External"/><Relationship Id="rId2" Type="http://schemas.openxmlformats.org/officeDocument/2006/relationships/styles" Target="styles.xml"/><Relationship Id="rId16" Type="http://schemas.openxmlformats.org/officeDocument/2006/relationships/hyperlink" Target="mailto:mario.moerl@uni-leipzig.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i7@online.de" TargetMode="External"/><Relationship Id="rId5" Type="http://schemas.openxmlformats.org/officeDocument/2006/relationships/footnotes" Target="footnotes.xml"/><Relationship Id="rId15" Type="http://schemas.openxmlformats.org/officeDocument/2006/relationships/hyperlink" Target="mailto:heike.betat@uni-leipzig.de" TargetMode="External"/><Relationship Id="rId10" Type="http://schemas.openxmlformats.org/officeDocument/2006/relationships/hyperlink" Target="mailto:oliver.hennig@uni-leipzig.d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nvent.olieric@psi.ch" TargetMode="External"/><Relationship Id="rId14" Type="http://schemas.openxmlformats.org/officeDocument/2006/relationships/hyperlink" Target="mailto:b.lorber@ibmc-cnrs.unistr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1601</TotalTime>
  <Pages>11</Pages>
  <Words>4291</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DESY</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Wijn, Raphael</dc:creator>
  <dc:description/>
  <cp:lastModifiedBy>Nam Nguyen</cp:lastModifiedBy>
  <cp:revision>26</cp:revision>
  <dcterms:created xsi:type="dcterms:W3CDTF">2020-12-02T17:22:00Z</dcterms:created>
  <dcterms:modified xsi:type="dcterms:W3CDTF">2021-02-01T19:52:00Z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DESY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