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672AF" w14:textId="651D6D2C" w:rsidR="00190AEA" w:rsidRDefault="00190AEA" w:rsidP="00657C19">
      <w:pPr>
        <w:spacing w:before="100" w:beforeAutospacing="1" w:after="100" w:afterAutospacing="1"/>
        <w:rPr>
          <w:rFonts w:ascii="Helvetica" w:eastAsia="Times New Roman" w:hAnsi="Helvetica" w:cs="Times New Roman"/>
          <w:color w:val="000000"/>
          <w:sz w:val="18"/>
          <w:szCs w:val="18"/>
        </w:rPr>
      </w:pPr>
    </w:p>
    <w:p w14:paraId="3484D790" w14:textId="77777777" w:rsidR="00190AEA" w:rsidRPr="00190AEA" w:rsidRDefault="00190AEA" w:rsidP="00190AEA">
      <w:pPr>
        <w:autoSpaceDE w:val="0"/>
        <w:autoSpaceDN w:val="0"/>
        <w:adjustRightInd w:val="0"/>
        <w:rPr>
          <w:rFonts w:ascii="Times New Roman" w:eastAsia="Calibri" w:hAnsi="Times New Roman" w:cs="Times New Roman"/>
          <w:color w:val="0033CD"/>
          <w:sz w:val="22"/>
          <w:szCs w:val="22"/>
        </w:rPr>
      </w:pPr>
      <w:r w:rsidRPr="00190AEA">
        <w:rPr>
          <w:rFonts w:ascii="Times New Roman" w:eastAsia="Calibri" w:hAnsi="Times New Roman" w:cs="Times New Roman"/>
          <w:color w:val="0033CD"/>
          <w:sz w:val="22"/>
          <w:szCs w:val="22"/>
        </w:rPr>
        <w:t xml:space="preserve">Dear </w:t>
      </w:r>
      <w:proofErr w:type="spellStart"/>
      <w:r w:rsidRPr="00190AEA">
        <w:rPr>
          <w:rFonts w:ascii="Times New Roman" w:eastAsia="Calibri" w:hAnsi="Times New Roman" w:cs="Times New Roman"/>
          <w:color w:val="0033CD"/>
          <w:sz w:val="22"/>
          <w:szCs w:val="22"/>
        </w:rPr>
        <w:t>JoVE</w:t>
      </w:r>
      <w:proofErr w:type="spellEnd"/>
      <w:r w:rsidRPr="00190AEA">
        <w:rPr>
          <w:rFonts w:ascii="Times New Roman" w:eastAsia="Calibri" w:hAnsi="Times New Roman" w:cs="Times New Roman"/>
          <w:color w:val="0033CD"/>
          <w:sz w:val="22"/>
          <w:szCs w:val="22"/>
        </w:rPr>
        <w:t xml:space="preserve"> editor &amp; reviewers,</w:t>
      </w:r>
    </w:p>
    <w:p w14:paraId="674E6D93" w14:textId="77777777" w:rsidR="00190AEA" w:rsidRPr="00190AEA" w:rsidRDefault="00190AEA" w:rsidP="00190AEA">
      <w:pPr>
        <w:tabs>
          <w:tab w:val="left" w:pos="180"/>
        </w:tabs>
        <w:autoSpaceDE w:val="0"/>
        <w:autoSpaceDN w:val="0"/>
        <w:adjustRightInd w:val="0"/>
        <w:ind w:firstLine="720"/>
        <w:rPr>
          <w:rFonts w:ascii="Times New Roman" w:eastAsia="Calibri" w:hAnsi="Times New Roman" w:cs="Times New Roman"/>
          <w:color w:val="0033CD"/>
          <w:sz w:val="22"/>
          <w:szCs w:val="22"/>
        </w:rPr>
      </w:pPr>
      <w:r w:rsidRPr="00190AEA">
        <w:rPr>
          <w:rFonts w:ascii="Times New Roman" w:eastAsia="Calibri" w:hAnsi="Times New Roman" w:cs="Times New Roman"/>
          <w:color w:val="0033CD"/>
          <w:sz w:val="22"/>
          <w:szCs w:val="22"/>
        </w:rPr>
        <w:t>We greatly appreciate your insightful critiques, thank you for the opportunity to revise. We have</w:t>
      </w:r>
    </w:p>
    <w:p w14:paraId="46CE9E6E" w14:textId="5B71C19E" w:rsidR="00190AEA" w:rsidRPr="00190AEA" w:rsidRDefault="00190AEA" w:rsidP="00190AEA">
      <w:pPr>
        <w:autoSpaceDE w:val="0"/>
        <w:autoSpaceDN w:val="0"/>
        <w:adjustRightInd w:val="0"/>
        <w:rPr>
          <w:rFonts w:ascii="Times New Roman" w:eastAsia="Calibri" w:hAnsi="Times New Roman" w:cs="Times New Roman"/>
          <w:color w:val="0033CD"/>
          <w:sz w:val="22"/>
          <w:szCs w:val="22"/>
        </w:rPr>
      </w:pPr>
      <w:r w:rsidRPr="00190AEA">
        <w:rPr>
          <w:rFonts w:ascii="Times New Roman" w:eastAsia="Calibri" w:hAnsi="Times New Roman" w:cs="Times New Roman"/>
          <w:color w:val="0033CD"/>
          <w:sz w:val="22"/>
          <w:szCs w:val="22"/>
        </w:rPr>
        <w:t>carefully revised our manuscript</w:t>
      </w:r>
      <w:r w:rsidR="00C72DC4">
        <w:rPr>
          <w:rFonts w:ascii="Times New Roman" w:eastAsia="Calibri" w:hAnsi="Times New Roman" w:cs="Times New Roman"/>
          <w:color w:val="0033CD"/>
          <w:sz w:val="22"/>
          <w:szCs w:val="22"/>
        </w:rPr>
        <w:t xml:space="preserve"> 2</w:t>
      </w:r>
      <w:r w:rsidR="00C72DC4" w:rsidRPr="00D876E5">
        <w:rPr>
          <w:rFonts w:ascii="Times New Roman" w:eastAsia="Calibri" w:hAnsi="Times New Roman" w:cs="Times New Roman"/>
          <w:color w:val="0033CD"/>
          <w:sz w:val="22"/>
          <w:szCs w:val="22"/>
          <w:vertAlign w:val="superscript"/>
        </w:rPr>
        <w:t>nd</w:t>
      </w:r>
      <w:r w:rsidR="00C72DC4">
        <w:rPr>
          <w:rFonts w:ascii="Times New Roman" w:eastAsia="Calibri" w:hAnsi="Times New Roman" w:cs="Times New Roman"/>
          <w:color w:val="0033CD"/>
          <w:sz w:val="22"/>
          <w:szCs w:val="22"/>
        </w:rPr>
        <w:t xml:space="preserve"> time</w:t>
      </w:r>
      <w:r w:rsidRPr="00190AEA">
        <w:rPr>
          <w:rFonts w:ascii="Times New Roman" w:eastAsia="Calibri" w:hAnsi="Times New Roman" w:cs="Times New Roman"/>
          <w:color w:val="0033CD"/>
          <w:sz w:val="22"/>
          <w:szCs w:val="22"/>
        </w:rPr>
        <w:t>; below please see our point-by-point responses to the reviewers'</w:t>
      </w:r>
    </w:p>
    <w:p w14:paraId="7FA0CFBA" w14:textId="5B896CE3" w:rsidR="00190AEA" w:rsidRPr="00190AEA" w:rsidRDefault="00190AEA" w:rsidP="00190AEA">
      <w:pPr>
        <w:autoSpaceDE w:val="0"/>
        <w:autoSpaceDN w:val="0"/>
        <w:adjustRightInd w:val="0"/>
        <w:rPr>
          <w:rFonts w:ascii="Times New Roman" w:eastAsia="Calibri" w:hAnsi="Times New Roman" w:cs="Times New Roman"/>
          <w:color w:val="0033CD"/>
          <w:sz w:val="22"/>
          <w:szCs w:val="22"/>
        </w:rPr>
      </w:pPr>
      <w:r w:rsidRPr="00190AEA">
        <w:rPr>
          <w:rFonts w:ascii="Times New Roman" w:eastAsia="Calibri" w:hAnsi="Times New Roman" w:cs="Times New Roman"/>
          <w:color w:val="0033CD"/>
          <w:sz w:val="22"/>
          <w:szCs w:val="22"/>
        </w:rPr>
        <w:t xml:space="preserve">comments (in blue text). To note, some </w:t>
      </w:r>
      <w:r w:rsidR="007D2729">
        <w:rPr>
          <w:rFonts w:ascii="Times New Roman" w:eastAsia="Calibri" w:hAnsi="Times New Roman" w:cs="Times New Roman"/>
          <w:color w:val="0033CD"/>
          <w:sz w:val="22"/>
          <w:szCs w:val="22"/>
        </w:rPr>
        <w:t xml:space="preserve">of </w:t>
      </w:r>
      <w:r w:rsidRPr="00190AEA">
        <w:rPr>
          <w:rFonts w:ascii="Times New Roman" w:eastAsia="Calibri" w:hAnsi="Times New Roman" w:cs="Times New Roman"/>
          <w:color w:val="0033CD"/>
          <w:sz w:val="22"/>
          <w:szCs w:val="22"/>
        </w:rPr>
        <w:t>the procedure numbers may be shifted due to the revision.</w:t>
      </w:r>
    </w:p>
    <w:p w14:paraId="574E16BE" w14:textId="77777777" w:rsidR="00190AEA" w:rsidRPr="00190AEA" w:rsidRDefault="00190AEA" w:rsidP="00190AEA">
      <w:pPr>
        <w:autoSpaceDE w:val="0"/>
        <w:autoSpaceDN w:val="0"/>
        <w:adjustRightInd w:val="0"/>
        <w:rPr>
          <w:rFonts w:ascii="Times New Roman" w:eastAsia="Calibri" w:hAnsi="Times New Roman" w:cs="Times New Roman"/>
          <w:color w:val="0033CD"/>
          <w:sz w:val="22"/>
          <w:szCs w:val="22"/>
        </w:rPr>
      </w:pPr>
    </w:p>
    <w:p w14:paraId="69CB60BF" w14:textId="77777777" w:rsidR="00190AEA" w:rsidRPr="00190AEA" w:rsidRDefault="00190AEA" w:rsidP="00190AEA">
      <w:pPr>
        <w:autoSpaceDE w:val="0"/>
        <w:autoSpaceDN w:val="0"/>
        <w:adjustRightInd w:val="0"/>
        <w:rPr>
          <w:rFonts w:ascii="Times New Roman" w:eastAsia="Calibri" w:hAnsi="Times New Roman" w:cs="Times New Roman"/>
          <w:color w:val="0033CD"/>
          <w:sz w:val="22"/>
          <w:szCs w:val="22"/>
        </w:rPr>
      </w:pPr>
      <w:r w:rsidRPr="00190AEA">
        <w:rPr>
          <w:rFonts w:ascii="Times New Roman" w:eastAsia="Calibri" w:hAnsi="Times New Roman" w:cs="Times New Roman"/>
          <w:color w:val="0033CD"/>
          <w:sz w:val="22"/>
          <w:szCs w:val="22"/>
        </w:rPr>
        <w:t>Thank you so much!</w:t>
      </w:r>
    </w:p>
    <w:p w14:paraId="3A4B648A" w14:textId="77777777" w:rsidR="00190AEA" w:rsidRPr="00190AEA" w:rsidRDefault="00190AEA" w:rsidP="00190AEA">
      <w:pPr>
        <w:autoSpaceDE w:val="0"/>
        <w:autoSpaceDN w:val="0"/>
        <w:adjustRightInd w:val="0"/>
        <w:rPr>
          <w:rFonts w:ascii="Times New Roman" w:eastAsia="Calibri" w:hAnsi="Times New Roman" w:cs="Times New Roman"/>
          <w:color w:val="0033CD"/>
          <w:sz w:val="22"/>
          <w:szCs w:val="22"/>
        </w:rPr>
      </w:pPr>
    </w:p>
    <w:p w14:paraId="795CE436" w14:textId="77777777" w:rsidR="00190AEA" w:rsidRPr="00190AEA" w:rsidRDefault="00190AEA" w:rsidP="00190AEA">
      <w:pPr>
        <w:autoSpaceDE w:val="0"/>
        <w:autoSpaceDN w:val="0"/>
        <w:adjustRightInd w:val="0"/>
        <w:rPr>
          <w:rFonts w:ascii="Times New Roman" w:eastAsia="Calibri" w:hAnsi="Times New Roman" w:cs="Times New Roman"/>
          <w:b/>
          <w:bCs/>
          <w:sz w:val="22"/>
          <w:szCs w:val="22"/>
          <w:u w:val="single"/>
        </w:rPr>
      </w:pPr>
      <w:r w:rsidRPr="00190AEA">
        <w:rPr>
          <w:rFonts w:ascii="Times New Roman" w:eastAsia="Calibri" w:hAnsi="Times New Roman" w:cs="Times New Roman"/>
          <w:b/>
          <w:bCs/>
          <w:sz w:val="22"/>
          <w:szCs w:val="22"/>
          <w:u w:val="single"/>
        </w:rPr>
        <w:t xml:space="preserve">Changes recommended by the </w:t>
      </w:r>
      <w:proofErr w:type="spellStart"/>
      <w:r w:rsidRPr="00190AEA">
        <w:rPr>
          <w:rFonts w:ascii="Times New Roman" w:eastAsia="Calibri" w:hAnsi="Times New Roman" w:cs="Times New Roman"/>
          <w:b/>
          <w:bCs/>
          <w:sz w:val="22"/>
          <w:szCs w:val="22"/>
          <w:u w:val="single"/>
        </w:rPr>
        <w:t>JoVE</w:t>
      </w:r>
      <w:proofErr w:type="spellEnd"/>
      <w:r w:rsidRPr="00190AEA">
        <w:rPr>
          <w:rFonts w:ascii="Times New Roman" w:eastAsia="Calibri" w:hAnsi="Times New Roman" w:cs="Times New Roman"/>
          <w:b/>
          <w:bCs/>
          <w:sz w:val="22"/>
          <w:szCs w:val="22"/>
          <w:u w:val="single"/>
        </w:rPr>
        <w:t xml:space="preserve"> Scientific Review Editor:</w:t>
      </w:r>
    </w:p>
    <w:p w14:paraId="6E8B3341" w14:textId="6100CA86" w:rsidR="002B6060" w:rsidRDefault="00657C19" w:rsidP="00657C19">
      <w:pPr>
        <w:spacing w:before="100" w:beforeAutospacing="1" w:after="100" w:afterAutospacing="1"/>
        <w:rPr>
          <w:rFonts w:ascii="Helvetica" w:eastAsia="Times New Roman" w:hAnsi="Helvetica" w:cs="Times New Roman"/>
          <w:color w:val="000000"/>
          <w:sz w:val="18"/>
          <w:szCs w:val="18"/>
        </w:rPr>
      </w:pPr>
      <w:r w:rsidRPr="00657C19">
        <w:rPr>
          <w:rFonts w:ascii="Helvetica" w:eastAsia="Times New Roman" w:hAnsi="Helvetica" w:cs="Times New Roman"/>
          <w:color w:val="000000"/>
          <w:sz w:val="18"/>
          <w:szCs w:val="18"/>
        </w:rPr>
        <w:br/>
      </w:r>
      <w:r w:rsidRPr="00657C19">
        <w:rPr>
          <w:rFonts w:ascii="Helvetica" w:eastAsia="Times New Roman" w:hAnsi="Helvetica" w:cs="Times New Roman"/>
          <w:b/>
          <w:bCs/>
          <w:color w:val="0000FF"/>
          <w:sz w:val="18"/>
          <w:szCs w:val="18"/>
          <w:u w:val="single"/>
        </w:rPr>
        <w:t>Reviewers' comments:</w:t>
      </w:r>
      <w:r w:rsidRPr="00657C19">
        <w:rPr>
          <w:rFonts w:ascii="Helvetica" w:eastAsia="Times New Roman" w:hAnsi="Helvetica" w:cs="Times New Roman"/>
          <w:color w:val="000000"/>
          <w:sz w:val="18"/>
          <w:szCs w:val="18"/>
        </w:rPr>
        <w:br/>
      </w:r>
      <w:r w:rsidRPr="00657C19">
        <w:rPr>
          <w:rFonts w:ascii="Helvetica" w:eastAsia="Times New Roman" w:hAnsi="Helvetica" w:cs="Times New Roman"/>
          <w:b/>
          <w:bCs/>
          <w:color w:val="000000"/>
          <w:sz w:val="18"/>
          <w:szCs w:val="18"/>
        </w:rPr>
        <w:t>Reviewer #1: </w:t>
      </w:r>
      <w:r w:rsidRPr="00657C19">
        <w:rPr>
          <w:rFonts w:ascii="Helvetica" w:eastAsia="Times New Roman" w:hAnsi="Helvetica" w:cs="Times New Roman"/>
          <w:color w:val="000000"/>
          <w:sz w:val="18"/>
          <w:szCs w:val="18"/>
        </w:rPr>
        <w:br/>
        <w:t>Manuscript Summary:</w:t>
      </w:r>
      <w:r w:rsidRPr="00657C19">
        <w:rPr>
          <w:rFonts w:ascii="Helvetica" w:eastAsia="Times New Roman" w:hAnsi="Helvetica" w:cs="Times New Roman"/>
          <w:color w:val="000000"/>
          <w:sz w:val="18"/>
          <w:szCs w:val="18"/>
        </w:rPr>
        <w:br/>
        <w:t xml:space="preserve">The manuscript entitled "A comprehensive protocol for isolation, culture, polarization and real-time glycolytic functional analysis of bone marrow-derived macrophages" by Eshghjoo et al provides detailed protocol for a visual demonstration of the workflow to assess the glycolysis in bone marrow derived macrophages, however a </w:t>
      </w:r>
      <w:r w:rsidRPr="00452706">
        <w:rPr>
          <w:rFonts w:ascii="Helvetica" w:eastAsia="Times New Roman" w:hAnsi="Helvetica" w:cs="Times New Roman"/>
          <w:color w:val="000000"/>
          <w:sz w:val="18"/>
          <w:szCs w:val="18"/>
        </w:rPr>
        <w:t>brief account on measurement of mitochondrial function characteristics (total respiration, basal mitochondrial respiration, ATP production, proton leak, maximal respiration and spare respiratory capacity) will add</w:t>
      </w:r>
      <w:r w:rsidRPr="00657C19">
        <w:rPr>
          <w:rFonts w:ascii="Helvetica" w:eastAsia="Times New Roman" w:hAnsi="Helvetica" w:cs="Times New Roman"/>
          <w:color w:val="000000"/>
          <w:sz w:val="18"/>
          <w:szCs w:val="18"/>
        </w:rPr>
        <w:t xml:space="preserve"> to this comprehensive protocol.</w:t>
      </w:r>
    </w:p>
    <w:p w14:paraId="64582440" w14:textId="02F42443" w:rsidR="001B14F2" w:rsidRDefault="00D51835" w:rsidP="00D51835">
      <w:pPr>
        <w:spacing w:before="100" w:beforeAutospacing="1" w:after="100" w:afterAutospacing="1"/>
        <w:rPr>
          <w:rFonts w:ascii="Times New Roman" w:eastAsia="Calibri" w:hAnsi="Times New Roman" w:cs="Times New Roman"/>
          <w:color w:val="0033CD"/>
          <w:sz w:val="22"/>
          <w:szCs w:val="22"/>
        </w:rPr>
      </w:pPr>
      <w:r w:rsidRPr="00D51835">
        <w:rPr>
          <w:rFonts w:ascii="Times New Roman" w:eastAsia="Calibri" w:hAnsi="Times New Roman" w:cs="Times New Roman"/>
          <w:color w:val="0033CD"/>
          <w:sz w:val="22"/>
          <w:szCs w:val="22"/>
        </w:rPr>
        <w:t>We appreciate the reviewer’s insightful comment</w:t>
      </w:r>
      <w:r>
        <w:rPr>
          <w:rFonts w:ascii="Times New Roman" w:eastAsia="Calibri" w:hAnsi="Times New Roman" w:cs="Times New Roman"/>
          <w:color w:val="0033CD"/>
          <w:sz w:val="22"/>
          <w:szCs w:val="22"/>
        </w:rPr>
        <w:t>.</w:t>
      </w:r>
      <w:r w:rsidRPr="001B14F2">
        <w:rPr>
          <w:rFonts w:ascii="Times New Roman" w:eastAsia="Calibri" w:hAnsi="Times New Roman" w:cs="Times New Roman"/>
          <w:color w:val="0033CD"/>
          <w:sz w:val="22"/>
          <w:szCs w:val="22"/>
        </w:rPr>
        <w:t xml:space="preserve"> </w:t>
      </w:r>
      <w:r w:rsidR="003B3951">
        <w:rPr>
          <w:rFonts w:ascii="Times New Roman" w:eastAsia="Calibri" w:hAnsi="Times New Roman" w:cs="Times New Roman"/>
          <w:color w:val="0033CD"/>
          <w:sz w:val="22"/>
          <w:szCs w:val="22"/>
        </w:rPr>
        <w:t>Mitochondria function is indeed a very relevant aspect of macrophages. H</w:t>
      </w:r>
      <w:r w:rsidR="001B14F2">
        <w:rPr>
          <w:rFonts w:ascii="Times New Roman" w:eastAsia="Calibri" w:hAnsi="Times New Roman" w:cs="Times New Roman"/>
          <w:color w:val="0033CD"/>
          <w:sz w:val="22"/>
          <w:szCs w:val="22"/>
        </w:rPr>
        <w:t>owever</w:t>
      </w:r>
      <w:r w:rsidR="007D2729">
        <w:rPr>
          <w:rFonts w:ascii="Times New Roman" w:eastAsia="Calibri" w:hAnsi="Times New Roman" w:cs="Times New Roman"/>
          <w:color w:val="0033CD"/>
          <w:sz w:val="22"/>
          <w:szCs w:val="22"/>
        </w:rPr>
        <w:t>,</w:t>
      </w:r>
      <w:r w:rsidR="001B14F2">
        <w:rPr>
          <w:rFonts w:ascii="Times New Roman" w:eastAsia="Calibri" w:hAnsi="Times New Roman" w:cs="Times New Roman"/>
          <w:color w:val="0033CD"/>
          <w:sz w:val="22"/>
          <w:szCs w:val="22"/>
        </w:rPr>
        <w:t xml:space="preserve"> our main purpose </w:t>
      </w:r>
      <w:r w:rsidR="00C72DC4">
        <w:rPr>
          <w:rFonts w:ascii="Times New Roman" w:eastAsia="Calibri" w:hAnsi="Times New Roman" w:cs="Times New Roman"/>
          <w:color w:val="0033CD"/>
          <w:sz w:val="22"/>
          <w:szCs w:val="22"/>
        </w:rPr>
        <w:t>of</w:t>
      </w:r>
      <w:r w:rsidR="001B14F2">
        <w:rPr>
          <w:rFonts w:ascii="Times New Roman" w:eastAsia="Calibri" w:hAnsi="Times New Roman" w:cs="Times New Roman"/>
          <w:color w:val="0033CD"/>
          <w:sz w:val="22"/>
          <w:szCs w:val="22"/>
        </w:rPr>
        <w:t xml:space="preserve"> this </w:t>
      </w:r>
      <w:r w:rsidR="00C72DC4">
        <w:rPr>
          <w:rFonts w:ascii="Times New Roman" w:eastAsia="Calibri" w:hAnsi="Times New Roman" w:cs="Times New Roman"/>
          <w:color w:val="0033CD"/>
          <w:sz w:val="22"/>
          <w:szCs w:val="22"/>
        </w:rPr>
        <w:t xml:space="preserve">protocol </w:t>
      </w:r>
      <w:r w:rsidR="004A7FC0">
        <w:rPr>
          <w:rFonts w:ascii="Times New Roman" w:eastAsia="Calibri" w:hAnsi="Times New Roman" w:cs="Times New Roman"/>
          <w:color w:val="0033CD"/>
          <w:sz w:val="22"/>
          <w:szCs w:val="22"/>
        </w:rPr>
        <w:t>i</w:t>
      </w:r>
      <w:r w:rsidR="001B14F2">
        <w:rPr>
          <w:rFonts w:ascii="Times New Roman" w:eastAsia="Calibri" w:hAnsi="Times New Roman" w:cs="Times New Roman"/>
          <w:color w:val="0033CD"/>
          <w:sz w:val="22"/>
          <w:szCs w:val="22"/>
        </w:rPr>
        <w:t>s to</w:t>
      </w:r>
      <w:r w:rsidR="003B3951">
        <w:rPr>
          <w:rFonts w:ascii="Times New Roman" w:eastAsia="Calibri" w:hAnsi="Times New Roman" w:cs="Times New Roman"/>
          <w:color w:val="0033CD"/>
          <w:sz w:val="22"/>
          <w:szCs w:val="22"/>
        </w:rPr>
        <w:t xml:space="preserve"> </w:t>
      </w:r>
      <w:r w:rsidR="004A7FC0">
        <w:rPr>
          <w:rFonts w:ascii="Times New Roman" w:eastAsia="Calibri" w:hAnsi="Times New Roman" w:cs="Times New Roman"/>
          <w:color w:val="0033CD"/>
          <w:sz w:val="22"/>
          <w:szCs w:val="22"/>
        </w:rPr>
        <w:t xml:space="preserve">assess the </w:t>
      </w:r>
      <w:r w:rsidR="003B3951">
        <w:rPr>
          <w:rFonts w:ascii="Times New Roman" w:eastAsia="Calibri" w:hAnsi="Times New Roman" w:cs="Times New Roman"/>
          <w:color w:val="0033CD"/>
          <w:sz w:val="22"/>
          <w:szCs w:val="22"/>
        </w:rPr>
        <w:t>pro-inflammatory state of macrophages, so we</w:t>
      </w:r>
      <w:r w:rsidR="003727F9">
        <w:rPr>
          <w:rFonts w:ascii="Times New Roman" w:eastAsia="Calibri" w:hAnsi="Times New Roman" w:cs="Times New Roman"/>
          <w:color w:val="0033CD"/>
          <w:sz w:val="22"/>
          <w:szCs w:val="22"/>
        </w:rPr>
        <w:t xml:space="preserve"> only discussed </w:t>
      </w:r>
      <w:r w:rsidR="001B14F2">
        <w:rPr>
          <w:rFonts w:ascii="Times New Roman" w:eastAsia="Calibri" w:hAnsi="Times New Roman" w:cs="Times New Roman"/>
          <w:color w:val="0033CD"/>
          <w:sz w:val="22"/>
          <w:szCs w:val="22"/>
        </w:rPr>
        <w:t>glycolysis</w:t>
      </w:r>
      <w:r w:rsidR="003727F9">
        <w:rPr>
          <w:rFonts w:ascii="Times New Roman" w:eastAsia="Calibri" w:hAnsi="Times New Roman" w:cs="Times New Roman"/>
          <w:color w:val="0033CD"/>
          <w:sz w:val="22"/>
          <w:szCs w:val="22"/>
        </w:rPr>
        <w:t xml:space="preserve"> aspect in detail</w:t>
      </w:r>
      <w:r w:rsidR="001B14F2">
        <w:rPr>
          <w:rFonts w:ascii="Times New Roman" w:eastAsia="Calibri" w:hAnsi="Times New Roman" w:cs="Times New Roman"/>
          <w:color w:val="0033CD"/>
          <w:sz w:val="22"/>
          <w:szCs w:val="22"/>
        </w:rPr>
        <w:t xml:space="preserve">. </w:t>
      </w:r>
    </w:p>
    <w:p w14:paraId="6D3A287E" w14:textId="4929B82A" w:rsidR="002B6060" w:rsidRPr="00452706" w:rsidRDefault="00393E02" w:rsidP="00452706">
      <w:pPr>
        <w:spacing w:before="100" w:beforeAutospacing="1" w:after="100" w:afterAutospacing="1"/>
        <w:rPr>
          <w:rFonts w:ascii="Times New Roman" w:eastAsia="Calibri" w:hAnsi="Times New Roman" w:cs="Times New Roman"/>
          <w:color w:val="0033CD"/>
          <w:sz w:val="22"/>
          <w:szCs w:val="22"/>
        </w:rPr>
      </w:pPr>
      <w:r>
        <w:rPr>
          <w:rFonts w:ascii="Times New Roman" w:eastAsia="Calibri" w:hAnsi="Times New Roman" w:cs="Times New Roman"/>
          <w:color w:val="0033CD"/>
          <w:sz w:val="22"/>
          <w:szCs w:val="22"/>
        </w:rPr>
        <w:t xml:space="preserve">Per the reviewer’s suggestion, we now have added following paragraph in the discussion lines </w:t>
      </w:r>
      <w:r w:rsidR="00670AD2">
        <w:rPr>
          <w:rFonts w:ascii="Times New Roman" w:eastAsia="Calibri" w:hAnsi="Times New Roman" w:cs="Times New Roman"/>
          <w:color w:val="0033CD"/>
          <w:sz w:val="22"/>
          <w:szCs w:val="22"/>
        </w:rPr>
        <w:t>44</w:t>
      </w:r>
      <w:r w:rsidR="0098305A">
        <w:rPr>
          <w:rFonts w:ascii="Times New Roman" w:eastAsia="Calibri" w:hAnsi="Times New Roman" w:cs="Times New Roman"/>
          <w:color w:val="0033CD"/>
          <w:sz w:val="22"/>
          <w:szCs w:val="22"/>
        </w:rPr>
        <w:t>2</w:t>
      </w:r>
      <w:r>
        <w:rPr>
          <w:rFonts w:ascii="Times New Roman" w:eastAsia="Calibri" w:hAnsi="Times New Roman" w:cs="Times New Roman"/>
          <w:color w:val="0033CD"/>
          <w:sz w:val="22"/>
          <w:szCs w:val="22"/>
        </w:rPr>
        <w:t xml:space="preserve">- </w:t>
      </w:r>
      <w:r w:rsidR="00670AD2">
        <w:rPr>
          <w:rFonts w:ascii="Times New Roman" w:eastAsia="Calibri" w:hAnsi="Times New Roman" w:cs="Times New Roman"/>
          <w:color w:val="0033CD"/>
          <w:sz w:val="22"/>
          <w:szCs w:val="22"/>
        </w:rPr>
        <w:t>44</w:t>
      </w:r>
      <w:r w:rsidR="0098305A">
        <w:rPr>
          <w:rFonts w:ascii="Times New Roman" w:eastAsia="Calibri" w:hAnsi="Times New Roman" w:cs="Times New Roman"/>
          <w:color w:val="0033CD"/>
          <w:sz w:val="22"/>
          <w:szCs w:val="22"/>
        </w:rPr>
        <w:t>8</w:t>
      </w:r>
      <w:r>
        <w:rPr>
          <w:rFonts w:ascii="Times New Roman" w:eastAsia="Calibri" w:hAnsi="Times New Roman" w:cs="Times New Roman"/>
          <w:color w:val="0033CD"/>
          <w:sz w:val="22"/>
          <w:szCs w:val="22"/>
        </w:rPr>
        <w:t>:</w:t>
      </w:r>
      <w:r w:rsidR="00657C19" w:rsidRPr="00657C19">
        <w:rPr>
          <w:rFonts w:ascii="Helvetica" w:eastAsia="Times New Roman" w:hAnsi="Helvetica" w:cs="Times New Roman"/>
          <w:color w:val="000000"/>
          <w:sz w:val="18"/>
          <w:szCs w:val="18"/>
        </w:rPr>
        <w:br/>
      </w:r>
      <w:r w:rsidR="00657C19" w:rsidRPr="00657C19">
        <w:rPr>
          <w:rFonts w:ascii="Helvetica" w:eastAsia="Times New Roman" w:hAnsi="Helvetica" w:cs="Times New Roman"/>
          <w:color w:val="000000"/>
          <w:sz w:val="18"/>
          <w:szCs w:val="18"/>
        </w:rPr>
        <w:br/>
        <w:t>Major Concerns:</w:t>
      </w:r>
      <w:r w:rsidR="00657C19" w:rsidRPr="00657C19">
        <w:rPr>
          <w:rFonts w:ascii="Helvetica" w:eastAsia="Times New Roman" w:hAnsi="Helvetica" w:cs="Times New Roman"/>
          <w:color w:val="000000"/>
          <w:sz w:val="18"/>
          <w:szCs w:val="18"/>
        </w:rPr>
        <w:br/>
        <w:t>- How would you differentiate if the proton leakage in analysis is due to error in an assay or a real phenomenon?</w:t>
      </w:r>
    </w:p>
    <w:p w14:paraId="0611E0A2" w14:textId="77777777" w:rsidR="00FF1776" w:rsidRPr="00CC2360" w:rsidRDefault="00FF1776" w:rsidP="00CC2360">
      <w:pPr>
        <w:rPr>
          <w:rFonts w:ascii="Times New Roman" w:eastAsia="Calibri" w:hAnsi="Times New Roman" w:cs="Times New Roman"/>
          <w:color w:val="0033CD"/>
          <w:sz w:val="22"/>
          <w:szCs w:val="22"/>
        </w:rPr>
      </w:pPr>
    </w:p>
    <w:p w14:paraId="517A3523" w14:textId="1AC8A828" w:rsidR="00D75B7C" w:rsidRDefault="000F627E" w:rsidP="00D75B7C">
      <w:pPr>
        <w:rPr>
          <w:rFonts w:ascii="Times New Roman" w:eastAsia="Calibri" w:hAnsi="Times New Roman" w:cs="Times New Roman"/>
          <w:color w:val="0033CD"/>
          <w:sz w:val="22"/>
          <w:szCs w:val="22"/>
        </w:rPr>
      </w:pPr>
      <w:r w:rsidRPr="001B14F2">
        <w:rPr>
          <w:rFonts w:ascii="Times New Roman" w:eastAsia="Calibri" w:hAnsi="Times New Roman" w:cs="Times New Roman"/>
          <w:color w:val="0033CD"/>
          <w:sz w:val="22"/>
          <w:szCs w:val="22"/>
        </w:rPr>
        <w:t>This is a great point.</w:t>
      </w:r>
      <w:r w:rsidR="00C91E50" w:rsidRPr="001B14F2">
        <w:rPr>
          <w:rFonts w:ascii="Times New Roman" w:eastAsia="Calibri" w:hAnsi="Times New Roman" w:cs="Times New Roman"/>
          <w:color w:val="0033CD"/>
          <w:sz w:val="22"/>
          <w:szCs w:val="22"/>
        </w:rPr>
        <w:t xml:space="preserve"> In figure 4C, </w:t>
      </w:r>
      <w:r w:rsidR="005A0E70">
        <w:rPr>
          <w:rFonts w:ascii="Times New Roman" w:eastAsia="Calibri" w:hAnsi="Times New Roman" w:cs="Times New Roman"/>
          <w:color w:val="0033CD"/>
          <w:sz w:val="22"/>
          <w:szCs w:val="22"/>
        </w:rPr>
        <w:t>the</w:t>
      </w:r>
      <w:r w:rsidR="00417F20">
        <w:rPr>
          <w:rFonts w:ascii="Times New Roman" w:eastAsia="Calibri" w:hAnsi="Times New Roman" w:cs="Times New Roman"/>
          <w:color w:val="0033CD"/>
          <w:sz w:val="22"/>
          <w:szCs w:val="22"/>
        </w:rPr>
        <w:t xml:space="preserve"> orange box indicates</w:t>
      </w:r>
      <w:r w:rsidR="00C91E50" w:rsidRPr="001B14F2">
        <w:rPr>
          <w:rFonts w:ascii="Times New Roman" w:eastAsia="Calibri" w:hAnsi="Times New Roman" w:cs="Times New Roman"/>
          <w:color w:val="0033CD"/>
          <w:sz w:val="22"/>
          <w:szCs w:val="22"/>
        </w:rPr>
        <w:t xml:space="preserve"> non-glycolytic acidification, </w:t>
      </w:r>
      <w:r w:rsidR="003A20A3" w:rsidRPr="001B14F2">
        <w:rPr>
          <w:rFonts w:ascii="Times New Roman" w:eastAsia="Calibri" w:hAnsi="Times New Roman" w:cs="Times New Roman"/>
          <w:color w:val="0033CD"/>
          <w:sz w:val="22"/>
          <w:szCs w:val="22"/>
        </w:rPr>
        <w:t xml:space="preserve">we </w:t>
      </w:r>
      <w:r w:rsidR="00DD1205">
        <w:rPr>
          <w:rFonts w:ascii="Times New Roman" w:eastAsia="Calibri" w:hAnsi="Times New Roman" w:cs="Times New Roman"/>
          <w:color w:val="0033CD"/>
          <w:sz w:val="22"/>
          <w:szCs w:val="22"/>
        </w:rPr>
        <w:t xml:space="preserve">interpret </w:t>
      </w:r>
      <w:r w:rsidR="003A20A3" w:rsidRPr="001B14F2">
        <w:rPr>
          <w:rFonts w:ascii="Times New Roman" w:eastAsia="Calibri" w:hAnsi="Times New Roman" w:cs="Times New Roman"/>
          <w:color w:val="0033CD"/>
          <w:sz w:val="22"/>
          <w:szCs w:val="22"/>
        </w:rPr>
        <w:t xml:space="preserve">the </w:t>
      </w:r>
      <w:r w:rsidR="005A0E70">
        <w:rPr>
          <w:rFonts w:ascii="Times New Roman" w:eastAsia="Calibri" w:hAnsi="Times New Roman" w:cs="Times New Roman"/>
          <w:color w:val="0033CD"/>
          <w:sz w:val="22"/>
          <w:szCs w:val="22"/>
        </w:rPr>
        <w:t xml:space="preserve">basal </w:t>
      </w:r>
      <w:r w:rsidR="003A20A3" w:rsidRPr="001B14F2">
        <w:rPr>
          <w:rFonts w:ascii="Times New Roman" w:eastAsia="Calibri" w:hAnsi="Times New Roman" w:cs="Times New Roman"/>
          <w:color w:val="0033CD"/>
          <w:sz w:val="22"/>
          <w:szCs w:val="22"/>
        </w:rPr>
        <w:t xml:space="preserve">acidification detected by the Extracellular flux analyzer as </w:t>
      </w:r>
      <w:r w:rsidR="007D2729">
        <w:rPr>
          <w:rFonts w:ascii="Times New Roman" w:eastAsia="Calibri" w:hAnsi="Times New Roman" w:cs="Times New Roman"/>
          <w:color w:val="0033CD"/>
          <w:sz w:val="22"/>
          <w:szCs w:val="22"/>
        </w:rPr>
        <w:t>non-glycolysis</w:t>
      </w:r>
      <w:r w:rsidR="004A7FC0">
        <w:rPr>
          <w:rFonts w:ascii="Times New Roman" w:eastAsia="Calibri" w:hAnsi="Times New Roman" w:cs="Times New Roman"/>
          <w:color w:val="0033CD"/>
          <w:sz w:val="22"/>
          <w:szCs w:val="22"/>
        </w:rPr>
        <w:t xml:space="preserve"> </w:t>
      </w:r>
      <w:r w:rsidR="007D2729">
        <w:rPr>
          <w:rFonts w:ascii="Times New Roman" w:eastAsia="Calibri" w:hAnsi="Times New Roman" w:cs="Times New Roman"/>
          <w:color w:val="0033CD"/>
          <w:sz w:val="22"/>
          <w:szCs w:val="22"/>
        </w:rPr>
        <w:t>related</w:t>
      </w:r>
      <w:r w:rsidR="003A20A3" w:rsidRPr="001B14F2">
        <w:rPr>
          <w:rFonts w:ascii="Times New Roman" w:eastAsia="Calibri" w:hAnsi="Times New Roman" w:cs="Times New Roman"/>
          <w:color w:val="0033CD"/>
          <w:sz w:val="22"/>
          <w:szCs w:val="22"/>
        </w:rPr>
        <w:t xml:space="preserve"> acidification which </w:t>
      </w:r>
      <w:r w:rsidR="00AD46F7">
        <w:rPr>
          <w:rFonts w:ascii="Times New Roman" w:eastAsia="Calibri" w:hAnsi="Times New Roman" w:cs="Times New Roman"/>
          <w:color w:val="0033CD"/>
          <w:sz w:val="22"/>
          <w:szCs w:val="22"/>
        </w:rPr>
        <w:t xml:space="preserve">is </w:t>
      </w:r>
      <w:r w:rsidR="003A20A3" w:rsidRPr="001B14F2">
        <w:rPr>
          <w:rFonts w:ascii="Times New Roman" w:eastAsia="Calibri" w:hAnsi="Times New Roman" w:cs="Times New Roman"/>
          <w:color w:val="0033CD"/>
          <w:sz w:val="22"/>
          <w:szCs w:val="22"/>
        </w:rPr>
        <w:t xml:space="preserve">due to </w:t>
      </w:r>
      <w:r w:rsidR="00D75B7C">
        <w:rPr>
          <w:rFonts w:ascii="Times New Roman" w:eastAsia="Calibri" w:hAnsi="Times New Roman" w:cs="Times New Roman"/>
          <w:color w:val="0033CD"/>
          <w:sz w:val="22"/>
          <w:szCs w:val="22"/>
        </w:rPr>
        <w:t xml:space="preserve">Proton leak, </w:t>
      </w:r>
      <w:r w:rsidR="003A20A3" w:rsidRPr="001B14F2">
        <w:rPr>
          <w:rFonts w:ascii="Times New Roman" w:eastAsia="Calibri" w:hAnsi="Times New Roman" w:cs="Times New Roman"/>
          <w:color w:val="0033CD"/>
          <w:sz w:val="22"/>
          <w:szCs w:val="22"/>
        </w:rPr>
        <w:t>TCA cycle</w:t>
      </w:r>
      <w:r w:rsidR="007D2729">
        <w:rPr>
          <w:rFonts w:ascii="Times New Roman" w:eastAsia="Calibri" w:hAnsi="Times New Roman" w:cs="Times New Roman"/>
          <w:color w:val="0033CD"/>
          <w:sz w:val="22"/>
          <w:szCs w:val="22"/>
        </w:rPr>
        <w:t>,</w:t>
      </w:r>
      <w:r w:rsidR="003A20A3" w:rsidRPr="001B14F2">
        <w:rPr>
          <w:rFonts w:ascii="Times New Roman" w:eastAsia="Calibri" w:hAnsi="Times New Roman" w:cs="Times New Roman"/>
          <w:color w:val="0033CD"/>
          <w:sz w:val="22"/>
          <w:szCs w:val="22"/>
        </w:rPr>
        <w:t xml:space="preserve"> or phenomenon</w:t>
      </w:r>
      <w:r w:rsidR="00D75B7C">
        <w:rPr>
          <w:rFonts w:ascii="Times New Roman" w:eastAsia="Calibri" w:hAnsi="Times New Roman" w:cs="Times New Roman"/>
          <w:color w:val="0033CD"/>
          <w:sz w:val="22"/>
          <w:szCs w:val="22"/>
        </w:rPr>
        <w:t xml:space="preserve"> </w:t>
      </w:r>
      <w:r w:rsidR="006016CD">
        <w:rPr>
          <w:rFonts w:ascii="Times New Roman" w:eastAsia="Calibri" w:hAnsi="Times New Roman" w:cs="Times New Roman"/>
          <w:color w:val="0033CD"/>
          <w:sz w:val="22"/>
          <w:szCs w:val="22"/>
        </w:rPr>
        <w:t xml:space="preserve">other </w:t>
      </w:r>
      <w:r w:rsidR="00D75B7C">
        <w:rPr>
          <w:rFonts w:ascii="Times New Roman" w:eastAsia="Calibri" w:hAnsi="Times New Roman" w:cs="Times New Roman"/>
          <w:color w:val="0033CD"/>
          <w:sz w:val="22"/>
          <w:szCs w:val="22"/>
        </w:rPr>
        <w:t>than glycolysis</w:t>
      </w:r>
      <w:r w:rsidR="003A20A3" w:rsidRPr="001B14F2">
        <w:rPr>
          <w:rFonts w:ascii="Times New Roman" w:eastAsia="Calibri" w:hAnsi="Times New Roman" w:cs="Times New Roman"/>
          <w:color w:val="0033CD"/>
          <w:sz w:val="22"/>
          <w:szCs w:val="22"/>
        </w:rPr>
        <w:t xml:space="preserve">. Since the basal media does not have any glucose, by adding glucose to the media during the first injection we rule out the basal acidification </w:t>
      </w:r>
      <w:r w:rsidR="00D75B7C" w:rsidRPr="001B14F2">
        <w:rPr>
          <w:rFonts w:ascii="Times New Roman" w:eastAsia="Calibri" w:hAnsi="Times New Roman" w:cs="Times New Roman"/>
          <w:color w:val="0033CD"/>
          <w:sz w:val="22"/>
          <w:szCs w:val="22"/>
        </w:rPr>
        <w:t>(which</w:t>
      </w:r>
      <w:r w:rsidR="003A20A3" w:rsidRPr="001B14F2">
        <w:rPr>
          <w:rFonts w:ascii="Times New Roman" w:eastAsia="Calibri" w:hAnsi="Times New Roman" w:cs="Times New Roman"/>
          <w:color w:val="0033CD"/>
          <w:sz w:val="22"/>
          <w:szCs w:val="22"/>
        </w:rPr>
        <w:t xml:space="preserve"> </w:t>
      </w:r>
      <w:r w:rsidR="006016CD">
        <w:rPr>
          <w:rFonts w:ascii="Times New Roman" w:eastAsia="Calibri" w:hAnsi="Times New Roman" w:cs="Times New Roman"/>
          <w:color w:val="0033CD"/>
          <w:sz w:val="22"/>
          <w:szCs w:val="22"/>
        </w:rPr>
        <w:t xml:space="preserve">reflects </w:t>
      </w:r>
      <w:r w:rsidR="003A20A3" w:rsidRPr="001B14F2">
        <w:rPr>
          <w:rFonts w:ascii="Times New Roman" w:eastAsia="Calibri" w:hAnsi="Times New Roman" w:cs="Times New Roman"/>
          <w:color w:val="0033CD"/>
          <w:sz w:val="22"/>
          <w:szCs w:val="22"/>
        </w:rPr>
        <w:t>proton leakage, assay error</w:t>
      </w:r>
      <w:r w:rsidR="007D2729">
        <w:rPr>
          <w:rFonts w:ascii="Times New Roman" w:eastAsia="Calibri" w:hAnsi="Times New Roman" w:cs="Times New Roman"/>
          <w:color w:val="0033CD"/>
          <w:sz w:val="22"/>
          <w:szCs w:val="22"/>
        </w:rPr>
        <w:t>,</w:t>
      </w:r>
      <w:r w:rsidR="003A20A3" w:rsidRPr="001B14F2">
        <w:rPr>
          <w:rFonts w:ascii="Times New Roman" w:eastAsia="Calibri" w:hAnsi="Times New Roman" w:cs="Times New Roman"/>
          <w:color w:val="0033CD"/>
          <w:sz w:val="22"/>
          <w:szCs w:val="22"/>
        </w:rPr>
        <w:t xml:space="preserve"> or </w:t>
      </w:r>
      <w:r w:rsidR="007D2729">
        <w:rPr>
          <w:rFonts w:ascii="Times New Roman" w:eastAsia="Calibri" w:hAnsi="Times New Roman" w:cs="Times New Roman"/>
          <w:color w:val="0033CD"/>
          <w:sz w:val="22"/>
          <w:szCs w:val="22"/>
        </w:rPr>
        <w:t>other phenomena</w:t>
      </w:r>
      <w:r w:rsidR="003A20A3" w:rsidRPr="001B14F2">
        <w:rPr>
          <w:rFonts w:ascii="Times New Roman" w:eastAsia="Calibri" w:hAnsi="Times New Roman" w:cs="Times New Roman"/>
          <w:color w:val="0033CD"/>
          <w:sz w:val="22"/>
          <w:szCs w:val="22"/>
        </w:rPr>
        <w:t>) from total acidification (as mentioned in glycolysis equation formula in figure 4B)</w:t>
      </w:r>
      <w:r w:rsidR="00DD1205">
        <w:rPr>
          <w:rFonts w:ascii="Times New Roman" w:eastAsia="Calibri" w:hAnsi="Times New Roman" w:cs="Times New Roman"/>
          <w:color w:val="0033CD"/>
          <w:sz w:val="22"/>
          <w:szCs w:val="22"/>
        </w:rPr>
        <w:t xml:space="preserve">. </w:t>
      </w:r>
      <w:r w:rsidR="006016CD">
        <w:rPr>
          <w:rFonts w:ascii="Times New Roman" w:eastAsia="Calibri" w:hAnsi="Times New Roman" w:cs="Times New Roman"/>
          <w:color w:val="0033CD"/>
          <w:sz w:val="22"/>
          <w:szCs w:val="22"/>
        </w:rPr>
        <w:t>T</w:t>
      </w:r>
      <w:r w:rsidR="00DD1205">
        <w:rPr>
          <w:rFonts w:ascii="Times New Roman" w:eastAsia="Calibri" w:hAnsi="Times New Roman" w:cs="Times New Roman"/>
          <w:color w:val="0033CD"/>
          <w:sz w:val="22"/>
          <w:szCs w:val="22"/>
        </w:rPr>
        <w:t xml:space="preserve">he comparison of these data would allow one to determine </w:t>
      </w:r>
      <w:r w:rsidR="005A0E70">
        <w:rPr>
          <w:rFonts w:ascii="Times New Roman" w:eastAsia="Calibri" w:hAnsi="Times New Roman" w:cs="Times New Roman"/>
          <w:color w:val="0033CD"/>
          <w:sz w:val="22"/>
          <w:szCs w:val="22"/>
        </w:rPr>
        <w:t xml:space="preserve">the </w:t>
      </w:r>
      <w:r w:rsidR="00AD46F7">
        <w:rPr>
          <w:rFonts w:ascii="Times New Roman" w:eastAsia="Calibri" w:hAnsi="Times New Roman" w:cs="Times New Roman"/>
          <w:color w:val="0033CD"/>
          <w:sz w:val="22"/>
          <w:szCs w:val="22"/>
        </w:rPr>
        <w:t>source</w:t>
      </w:r>
      <w:r w:rsidR="006016CD">
        <w:rPr>
          <w:rFonts w:ascii="Times New Roman" w:eastAsia="Calibri" w:hAnsi="Times New Roman" w:cs="Times New Roman"/>
          <w:color w:val="0033CD"/>
          <w:sz w:val="22"/>
          <w:szCs w:val="22"/>
        </w:rPr>
        <w:t xml:space="preserve"> of the </w:t>
      </w:r>
      <w:r w:rsidR="005A0E70">
        <w:rPr>
          <w:rFonts w:ascii="Times New Roman" w:eastAsia="Calibri" w:hAnsi="Times New Roman" w:cs="Times New Roman"/>
          <w:color w:val="0033CD"/>
          <w:sz w:val="22"/>
          <w:szCs w:val="22"/>
        </w:rPr>
        <w:t xml:space="preserve">proton leakage. </w:t>
      </w:r>
    </w:p>
    <w:p w14:paraId="64896FEE" w14:textId="2545E1C8" w:rsidR="00FF1776" w:rsidRDefault="00FF1776" w:rsidP="00D75B7C">
      <w:pPr>
        <w:rPr>
          <w:rFonts w:ascii="Times New Roman" w:eastAsia="Calibri" w:hAnsi="Times New Roman" w:cs="Times New Roman"/>
          <w:color w:val="0033CD"/>
          <w:sz w:val="22"/>
          <w:szCs w:val="22"/>
        </w:rPr>
      </w:pPr>
    </w:p>
    <w:p w14:paraId="04F37EDD" w14:textId="3E6E3143" w:rsidR="00845160" w:rsidRDefault="00845160" w:rsidP="00D75B7C">
      <w:pPr>
        <w:rPr>
          <w:rFonts w:ascii="Times New Roman" w:eastAsia="Calibri" w:hAnsi="Times New Roman" w:cs="Times New Roman"/>
          <w:color w:val="0033CD"/>
          <w:sz w:val="22"/>
          <w:szCs w:val="22"/>
        </w:rPr>
      </w:pPr>
      <w:r>
        <w:rPr>
          <w:rFonts w:ascii="Times New Roman" w:eastAsia="Calibri" w:hAnsi="Times New Roman" w:cs="Times New Roman"/>
          <w:color w:val="0033CD"/>
          <w:sz w:val="22"/>
          <w:szCs w:val="22"/>
        </w:rPr>
        <w:t>Figure 4 B&amp;C.</w:t>
      </w:r>
    </w:p>
    <w:p w14:paraId="6B7E24DA" w14:textId="16AF28CF" w:rsidR="00FF1776" w:rsidRDefault="00845160" w:rsidP="00D75B7C">
      <w:pPr>
        <w:rPr>
          <w:rFonts w:ascii="Times New Roman" w:eastAsia="Calibri" w:hAnsi="Times New Roman" w:cs="Times New Roman"/>
          <w:color w:val="0033CD"/>
          <w:sz w:val="22"/>
          <w:szCs w:val="22"/>
        </w:rPr>
      </w:pPr>
      <w:r w:rsidRPr="00845160">
        <w:rPr>
          <w:rFonts w:ascii="Times New Roman" w:eastAsia="Calibri" w:hAnsi="Times New Roman" w:cs="Times New Roman"/>
          <w:noProof/>
          <w:color w:val="0033CD"/>
          <w:sz w:val="22"/>
          <w:szCs w:val="22"/>
        </w:rPr>
        <w:lastRenderedPageBreak/>
        <w:drawing>
          <wp:inline distT="0" distB="0" distL="0" distR="0" wp14:anchorId="58BD5CFF" wp14:editId="257C984A">
            <wp:extent cx="5943600" cy="1936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936115"/>
                    </a:xfrm>
                    <a:prstGeom prst="rect">
                      <a:avLst/>
                    </a:prstGeom>
                  </pic:spPr>
                </pic:pic>
              </a:graphicData>
            </a:graphic>
          </wp:inline>
        </w:drawing>
      </w:r>
    </w:p>
    <w:p w14:paraId="6B30488E" w14:textId="1CBD4D29" w:rsidR="003A20A3" w:rsidRDefault="00657C19" w:rsidP="000F627E">
      <w:pPr>
        <w:spacing w:before="100" w:beforeAutospacing="1" w:after="100" w:afterAutospacing="1"/>
        <w:rPr>
          <w:rFonts w:ascii="Helvetica" w:eastAsia="Times New Roman" w:hAnsi="Helvetica" w:cs="Times New Roman"/>
          <w:color w:val="000000"/>
          <w:sz w:val="18"/>
          <w:szCs w:val="18"/>
        </w:rPr>
      </w:pPr>
      <w:r w:rsidRPr="00657C19">
        <w:rPr>
          <w:rFonts w:ascii="Helvetica" w:eastAsia="Times New Roman" w:hAnsi="Helvetica" w:cs="Times New Roman"/>
          <w:color w:val="000000"/>
          <w:sz w:val="18"/>
          <w:szCs w:val="18"/>
        </w:rPr>
        <w:br/>
        <w:t>- What is the sensitivity of the assay in terms of number of cells?</w:t>
      </w:r>
      <w:bookmarkStart w:id="0" w:name="_GoBack"/>
      <w:bookmarkEnd w:id="0"/>
    </w:p>
    <w:p w14:paraId="365C673F" w14:textId="1EE7C459" w:rsidR="003A20A3" w:rsidRDefault="00400025" w:rsidP="003A20A3">
      <w:pPr>
        <w:autoSpaceDE w:val="0"/>
        <w:autoSpaceDN w:val="0"/>
        <w:adjustRightInd w:val="0"/>
        <w:rPr>
          <w:rFonts w:ascii="Times New Roman" w:eastAsia="Calibri" w:hAnsi="Times New Roman" w:cs="Times New Roman"/>
          <w:color w:val="0033CD"/>
          <w:sz w:val="22"/>
          <w:szCs w:val="22"/>
        </w:rPr>
      </w:pPr>
      <w:r>
        <w:rPr>
          <w:rFonts w:ascii="Times New Roman" w:eastAsia="Calibri" w:hAnsi="Times New Roman" w:cs="Times New Roman"/>
          <w:color w:val="0033CD"/>
          <w:sz w:val="22"/>
          <w:szCs w:val="22"/>
        </w:rPr>
        <w:t>Addressed in line 19</w:t>
      </w:r>
      <w:r w:rsidR="002B417B">
        <w:rPr>
          <w:rFonts w:ascii="Times New Roman" w:eastAsia="Calibri" w:hAnsi="Times New Roman" w:cs="Times New Roman"/>
          <w:color w:val="0033CD"/>
          <w:sz w:val="22"/>
          <w:szCs w:val="22"/>
        </w:rPr>
        <w:t>6</w:t>
      </w:r>
      <w:r>
        <w:rPr>
          <w:rFonts w:ascii="Times New Roman" w:eastAsia="Calibri" w:hAnsi="Times New Roman" w:cs="Times New Roman"/>
          <w:color w:val="0033CD"/>
          <w:sz w:val="22"/>
          <w:szCs w:val="22"/>
        </w:rPr>
        <w:t>-199</w:t>
      </w:r>
      <w:r w:rsidR="003A20A3" w:rsidRPr="001B14F2">
        <w:rPr>
          <w:rFonts w:ascii="Times New Roman" w:eastAsia="Calibri" w:hAnsi="Times New Roman" w:cs="Times New Roman"/>
          <w:color w:val="0033CD"/>
          <w:sz w:val="22"/>
          <w:szCs w:val="22"/>
        </w:rPr>
        <w:t xml:space="preserve">. Normally </w:t>
      </w:r>
      <w:r w:rsidR="007D2729">
        <w:rPr>
          <w:rFonts w:ascii="Times New Roman" w:eastAsia="Calibri" w:hAnsi="Times New Roman" w:cs="Times New Roman"/>
          <w:color w:val="0033CD"/>
          <w:sz w:val="22"/>
          <w:szCs w:val="22"/>
        </w:rPr>
        <w:t xml:space="preserve">a </w:t>
      </w:r>
      <w:r w:rsidR="003A20A3" w:rsidRPr="001B14F2">
        <w:rPr>
          <w:rFonts w:ascii="Times New Roman" w:eastAsia="Calibri" w:hAnsi="Times New Roman" w:cs="Times New Roman"/>
          <w:color w:val="0033CD"/>
          <w:sz w:val="22"/>
          <w:szCs w:val="22"/>
        </w:rPr>
        <w:t>minimum of 40K cells is required to conduct this assay.</w:t>
      </w:r>
      <w:r w:rsidR="00621F87">
        <w:rPr>
          <w:rFonts w:ascii="Times New Roman" w:eastAsia="Calibri" w:hAnsi="Times New Roman" w:cs="Times New Roman"/>
          <w:color w:val="0033CD"/>
          <w:sz w:val="22"/>
          <w:szCs w:val="22"/>
        </w:rPr>
        <w:t xml:space="preserve"> </w:t>
      </w:r>
      <w:r w:rsidR="007D2729">
        <w:rPr>
          <w:rFonts w:ascii="Times New Roman" w:eastAsia="Calibri" w:hAnsi="Times New Roman" w:cs="Times New Roman"/>
          <w:color w:val="0033CD"/>
          <w:sz w:val="22"/>
          <w:szCs w:val="22"/>
        </w:rPr>
        <w:t>The highest</w:t>
      </w:r>
      <w:r w:rsidR="00621F87">
        <w:rPr>
          <w:rFonts w:ascii="Times New Roman" w:eastAsia="Calibri" w:hAnsi="Times New Roman" w:cs="Times New Roman"/>
          <w:color w:val="0033CD"/>
          <w:sz w:val="22"/>
          <w:szCs w:val="22"/>
        </w:rPr>
        <w:t xml:space="preserve"> number that has been used for BMDMs extracellular flux assays </w:t>
      </w:r>
      <w:r w:rsidR="00604BFD">
        <w:rPr>
          <w:rFonts w:ascii="Times New Roman" w:eastAsia="Calibri" w:hAnsi="Times New Roman" w:cs="Times New Roman"/>
          <w:color w:val="0033CD"/>
          <w:sz w:val="22"/>
          <w:szCs w:val="22"/>
        </w:rPr>
        <w:t xml:space="preserve">is </w:t>
      </w:r>
      <w:r w:rsidR="00621F87">
        <w:rPr>
          <w:rFonts w:ascii="Times New Roman" w:eastAsia="Calibri" w:hAnsi="Times New Roman" w:cs="Times New Roman"/>
          <w:color w:val="0033CD"/>
          <w:sz w:val="22"/>
          <w:szCs w:val="22"/>
        </w:rPr>
        <w:t xml:space="preserve">80K cells per well. </w:t>
      </w:r>
    </w:p>
    <w:p w14:paraId="360B5418" w14:textId="3C645E8D" w:rsidR="00621F87" w:rsidRPr="001B14F2" w:rsidRDefault="00621F87" w:rsidP="003A20A3">
      <w:pPr>
        <w:autoSpaceDE w:val="0"/>
        <w:autoSpaceDN w:val="0"/>
        <w:adjustRightInd w:val="0"/>
        <w:rPr>
          <w:rFonts w:ascii="Times New Roman" w:eastAsia="Calibri" w:hAnsi="Times New Roman" w:cs="Times New Roman"/>
          <w:color w:val="0033CD"/>
          <w:sz w:val="22"/>
          <w:szCs w:val="22"/>
        </w:rPr>
      </w:pPr>
      <w:r>
        <w:rPr>
          <w:rFonts w:ascii="Times New Roman" w:eastAsia="Calibri" w:hAnsi="Times New Roman" w:cs="Times New Roman"/>
          <w:color w:val="0033CD"/>
          <w:sz w:val="22"/>
          <w:szCs w:val="22"/>
        </w:rPr>
        <w:t xml:space="preserve">Normally </w:t>
      </w:r>
      <w:r w:rsidR="007D2729">
        <w:rPr>
          <w:rFonts w:ascii="Times New Roman" w:eastAsia="Calibri" w:hAnsi="Times New Roman" w:cs="Times New Roman"/>
          <w:color w:val="0033CD"/>
          <w:sz w:val="22"/>
          <w:szCs w:val="22"/>
        </w:rPr>
        <w:t xml:space="preserve">the </w:t>
      </w:r>
      <w:r>
        <w:rPr>
          <w:rFonts w:ascii="Times New Roman" w:eastAsia="Calibri" w:hAnsi="Times New Roman" w:cs="Times New Roman"/>
          <w:color w:val="0033CD"/>
          <w:sz w:val="22"/>
          <w:szCs w:val="22"/>
        </w:rPr>
        <w:t>increased number of cells requires increased doses of the injections. Our protocol has been optimized for 50K cells. We have tested 40K as well</w:t>
      </w:r>
      <w:r w:rsidR="00AD46F7" w:rsidRPr="00AD46F7">
        <w:rPr>
          <w:rFonts w:ascii="Times New Roman" w:eastAsia="Calibri" w:hAnsi="Times New Roman" w:cs="Times New Roman"/>
          <w:color w:val="0033CD"/>
          <w:sz w:val="22"/>
          <w:szCs w:val="22"/>
        </w:rPr>
        <w:t xml:space="preserve"> </w:t>
      </w:r>
      <w:r w:rsidR="00AD46F7">
        <w:rPr>
          <w:rFonts w:ascii="Times New Roman" w:eastAsia="Calibri" w:hAnsi="Times New Roman" w:cs="Times New Roman"/>
          <w:color w:val="0033CD"/>
          <w:sz w:val="22"/>
          <w:szCs w:val="22"/>
        </w:rPr>
        <w:t>in the same experiment</w:t>
      </w:r>
      <w:r w:rsidR="001E2CEE">
        <w:rPr>
          <w:rFonts w:ascii="Times New Roman" w:eastAsia="Calibri" w:hAnsi="Times New Roman" w:cs="Times New Roman"/>
          <w:color w:val="0033CD"/>
          <w:sz w:val="22"/>
          <w:szCs w:val="22"/>
        </w:rPr>
        <w:t>,</w:t>
      </w:r>
      <w:r>
        <w:rPr>
          <w:rFonts w:ascii="Times New Roman" w:eastAsia="Calibri" w:hAnsi="Times New Roman" w:cs="Times New Roman"/>
          <w:color w:val="0033CD"/>
          <w:sz w:val="22"/>
          <w:szCs w:val="22"/>
        </w:rPr>
        <w:t xml:space="preserve"> the results with 50K </w:t>
      </w:r>
      <w:r w:rsidR="007D2729">
        <w:rPr>
          <w:rFonts w:ascii="Times New Roman" w:eastAsia="Calibri" w:hAnsi="Times New Roman" w:cs="Times New Roman"/>
          <w:color w:val="0033CD"/>
          <w:sz w:val="22"/>
          <w:szCs w:val="22"/>
        </w:rPr>
        <w:t>were</w:t>
      </w:r>
      <w:r>
        <w:rPr>
          <w:rFonts w:ascii="Times New Roman" w:eastAsia="Calibri" w:hAnsi="Times New Roman" w:cs="Times New Roman"/>
          <w:color w:val="0033CD"/>
          <w:sz w:val="22"/>
          <w:szCs w:val="22"/>
        </w:rPr>
        <w:t xml:space="preserve"> </w:t>
      </w:r>
      <w:r w:rsidR="001E2CEE">
        <w:rPr>
          <w:rFonts w:ascii="Times New Roman" w:eastAsia="Calibri" w:hAnsi="Times New Roman" w:cs="Times New Roman"/>
          <w:color w:val="0033CD"/>
          <w:sz w:val="22"/>
          <w:szCs w:val="22"/>
        </w:rPr>
        <w:t>more consistent</w:t>
      </w:r>
      <w:r>
        <w:rPr>
          <w:rFonts w:ascii="Times New Roman" w:eastAsia="Calibri" w:hAnsi="Times New Roman" w:cs="Times New Roman"/>
          <w:color w:val="0033CD"/>
          <w:sz w:val="22"/>
          <w:szCs w:val="22"/>
        </w:rPr>
        <w:t xml:space="preserve">. </w:t>
      </w:r>
    </w:p>
    <w:p w14:paraId="014E2CD1" w14:textId="4B12EF26" w:rsidR="003A20A3" w:rsidRDefault="00657C19" w:rsidP="000F627E">
      <w:pPr>
        <w:spacing w:before="100" w:beforeAutospacing="1" w:after="100" w:afterAutospacing="1"/>
        <w:rPr>
          <w:rFonts w:ascii="Helvetica" w:eastAsia="Times New Roman" w:hAnsi="Helvetica" w:cs="Times New Roman"/>
          <w:color w:val="000000"/>
          <w:sz w:val="18"/>
          <w:szCs w:val="18"/>
        </w:rPr>
      </w:pPr>
      <w:r w:rsidRPr="00657C19">
        <w:rPr>
          <w:rFonts w:ascii="Helvetica" w:eastAsia="Times New Roman" w:hAnsi="Helvetica" w:cs="Times New Roman"/>
          <w:color w:val="000000"/>
          <w:sz w:val="18"/>
          <w:szCs w:val="18"/>
        </w:rPr>
        <w:br/>
        <w:t xml:space="preserve">-How do you cell number </w:t>
      </w:r>
      <w:r w:rsidR="00BE5D73" w:rsidRPr="00657C19">
        <w:rPr>
          <w:rFonts w:ascii="Helvetica" w:eastAsia="Times New Roman" w:hAnsi="Helvetica" w:cs="Times New Roman"/>
          <w:color w:val="000000"/>
          <w:sz w:val="18"/>
          <w:szCs w:val="18"/>
        </w:rPr>
        <w:t>normalization?</w:t>
      </w:r>
    </w:p>
    <w:p w14:paraId="10B240C1" w14:textId="384E6EBC" w:rsidR="002B3AFC" w:rsidRPr="00452706" w:rsidRDefault="003A20A3" w:rsidP="00452706">
      <w:pPr>
        <w:autoSpaceDE w:val="0"/>
        <w:autoSpaceDN w:val="0"/>
        <w:adjustRightInd w:val="0"/>
        <w:rPr>
          <w:rFonts w:ascii="Times New Roman" w:eastAsia="Calibri" w:hAnsi="Times New Roman" w:cs="Times New Roman"/>
          <w:color w:val="0033CD"/>
          <w:sz w:val="22"/>
          <w:szCs w:val="22"/>
        </w:rPr>
      </w:pPr>
      <w:r w:rsidRPr="001B14F2">
        <w:rPr>
          <w:rFonts w:ascii="Times New Roman" w:eastAsia="Calibri" w:hAnsi="Times New Roman" w:cs="Times New Roman"/>
          <w:color w:val="0033CD"/>
          <w:sz w:val="22"/>
          <w:szCs w:val="22"/>
        </w:rPr>
        <w:t>Addressed in the text</w:t>
      </w:r>
      <w:r w:rsidR="005A0E70">
        <w:rPr>
          <w:rFonts w:ascii="Times New Roman" w:eastAsia="Calibri" w:hAnsi="Times New Roman" w:cs="Times New Roman"/>
          <w:color w:val="0033CD"/>
          <w:sz w:val="22"/>
          <w:szCs w:val="22"/>
        </w:rPr>
        <w:t xml:space="preserve"> in line</w:t>
      </w:r>
      <w:r w:rsidR="001E2CEE">
        <w:rPr>
          <w:rFonts w:ascii="Times New Roman" w:eastAsia="Calibri" w:hAnsi="Times New Roman" w:cs="Times New Roman"/>
          <w:color w:val="0033CD"/>
          <w:sz w:val="22"/>
          <w:szCs w:val="22"/>
        </w:rPr>
        <w:t>s</w:t>
      </w:r>
      <w:r w:rsidR="005A0E70">
        <w:rPr>
          <w:rFonts w:ascii="Times New Roman" w:eastAsia="Calibri" w:hAnsi="Times New Roman" w:cs="Times New Roman"/>
          <w:color w:val="0033CD"/>
          <w:sz w:val="22"/>
          <w:szCs w:val="22"/>
        </w:rPr>
        <w:t xml:space="preserve"> 2</w:t>
      </w:r>
      <w:r w:rsidR="00BE5D73">
        <w:rPr>
          <w:rFonts w:ascii="Times New Roman" w:eastAsia="Calibri" w:hAnsi="Times New Roman" w:cs="Times New Roman"/>
          <w:color w:val="0033CD"/>
          <w:sz w:val="22"/>
          <w:szCs w:val="22"/>
        </w:rPr>
        <w:t>4</w:t>
      </w:r>
      <w:r w:rsidR="00C56FBB">
        <w:rPr>
          <w:rFonts w:ascii="Times New Roman" w:eastAsia="Calibri" w:hAnsi="Times New Roman" w:cs="Times New Roman"/>
          <w:color w:val="0033CD"/>
          <w:sz w:val="22"/>
          <w:szCs w:val="22"/>
        </w:rPr>
        <w:t>5</w:t>
      </w:r>
      <w:r w:rsidR="005A0E70">
        <w:rPr>
          <w:rFonts w:ascii="Times New Roman" w:eastAsia="Calibri" w:hAnsi="Times New Roman" w:cs="Times New Roman"/>
          <w:color w:val="0033CD"/>
          <w:sz w:val="22"/>
          <w:szCs w:val="22"/>
        </w:rPr>
        <w:t xml:space="preserve"> to 256</w:t>
      </w:r>
      <w:r w:rsidR="00BE5D73">
        <w:rPr>
          <w:rFonts w:ascii="Times New Roman" w:eastAsia="Calibri" w:hAnsi="Times New Roman" w:cs="Times New Roman"/>
          <w:color w:val="0033CD"/>
          <w:sz w:val="22"/>
          <w:szCs w:val="22"/>
        </w:rPr>
        <w:t xml:space="preserve"> Section.9.</w:t>
      </w:r>
      <w:r w:rsidR="003330F5">
        <w:rPr>
          <w:rFonts w:ascii="Times New Roman" w:eastAsia="Calibri" w:hAnsi="Times New Roman" w:cs="Times New Roman"/>
          <w:color w:val="0033CD"/>
          <w:sz w:val="22"/>
          <w:szCs w:val="22"/>
        </w:rPr>
        <w:t>8</w:t>
      </w:r>
      <w:r w:rsidR="00BE5D73">
        <w:rPr>
          <w:rFonts w:ascii="Times New Roman" w:eastAsia="Calibri" w:hAnsi="Times New Roman" w:cs="Times New Roman"/>
          <w:color w:val="0033CD"/>
          <w:sz w:val="22"/>
          <w:szCs w:val="22"/>
        </w:rPr>
        <w:t xml:space="preserve"> to 9.15)</w:t>
      </w:r>
      <w:r w:rsidRPr="001B14F2">
        <w:rPr>
          <w:rFonts w:ascii="Times New Roman" w:eastAsia="Calibri" w:hAnsi="Times New Roman" w:cs="Times New Roman"/>
          <w:color w:val="0033CD"/>
          <w:sz w:val="22"/>
          <w:szCs w:val="22"/>
        </w:rPr>
        <w:t>. Cells are normalized based on naïve macrophages cell count.</w:t>
      </w:r>
      <w:r w:rsidR="00452706">
        <w:rPr>
          <w:rFonts w:ascii="Times New Roman" w:eastAsia="Calibri" w:hAnsi="Times New Roman" w:cs="Times New Roman"/>
          <w:color w:val="0033CD"/>
          <w:sz w:val="22"/>
          <w:szCs w:val="22"/>
        </w:rPr>
        <w:t xml:space="preserve"> Using a DNA based </w:t>
      </w:r>
      <w:proofErr w:type="spellStart"/>
      <w:r w:rsidR="00452706">
        <w:rPr>
          <w:rFonts w:ascii="Times New Roman" w:eastAsia="Calibri" w:hAnsi="Times New Roman" w:cs="Times New Roman"/>
          <w:color w:val="0033CD"/>
          <w:sz w:val="22"/>
          <w:szCs w:val="22"/>
        </w:rPr>
        <w:t>CyQuant</w:t>
      </w:r>
      <w:proofErr w:type="spellEnd"/>
      <w:r w:rsidR="00452706">
        <w:rPr>
          <w:rFonts w:ascii="Times New Roman" w:eastAsia="Calibri" w:hAnsi="Times New Roman" w:cs="Times New Roman"/>
          <w:color w:val="0033CD"/>
          <w:sz w:val="22"/>
          <w:szCs w:val="22"/>
        </w:rPr>
        <w:t xml:space="preserve"> proliferation kit, </w:t>
      </w:r>
      <w:r w:rsidR="00AD46F7">
        <w:rPr>
          <w:rFonts w:ascii="Times New Roman" w:eastAsia="Calibri" w:hAnsi="Times New Roman" w:cs="Times New Roman"/>
          <w:color w:val="0033CD"/>
          <w:sz w:val="22"/>
          <w:szCs w:val="22"/>
        </w:rPr>
        <w:t>we</w:t>
      </w:r>
      <w:r w:rsidR="0021771F">
        <w:rPr>
          <w:rFonts w:ascii="Times New Roman" w:eastAsia="Calibri" w:hAnsi="Times New Roman" w:cs="Times New Roman"/>
          <w:color w:val="0033CD"/>
          <w:sz w:val="22"/>
          <w:szCs w:val="22"/>
        </w:rPr>
        <w:t xml:space="preserve"> </w:t>
      </w:r>
      <w:r w:rsidR="00B806DC">
        <w:rPr>
          <w:rFonts w:ascii="Times New Roman" w:eastAsia="Calibri" w:hAnsi="Times New Roman" w:cs="Times New Roman"/>
          <w:color w:val="0033CD"/>
          <w:sz w:val="22"/>
          <w:szCs w:val="22"/>
        </w:rPr>
        <w:t>l</w:t>
      </w:r>
      <w:r w:rsidR="004B55FB">
        <w:rPr>
          <w:rFonts w:ascii="Times New Roman" w:eastAsia="Calibri" w:hAnsi="Times New Roman" w:cs="Times New Roman"/>
          <w:color w:val="0033CD"/>
          <w:sz w:val="22"/>
          <w:szCs w:val="22"/>
        </w:rPr>
        <w:t>ys</w:t>
      </w:r>
      <w:r w:rsidR="00B806DC">
        <w:rPr>
          <w:rFonts w:ascii="Times New Roman" w:eastAsia="Calibri" w:hAnsi="Times New Roman" w:cs="Times New Roman"/>
          <w:color w:val="0033CD"/>
          <w:sz w:val="22"/>
          <w:szCs w:val="22"/>
        </w:rPr>
        <w:t xml:space="preserve">ed the cells and measured the </w:t>
      </w:r>
      <w:r w:rsidR="004B55FB">
        <w:rPr>
          <w:rFonts w:ascii="Times New Roman" w:eastAsia="Calibri" w:hAnsi="Times New Roman" w:cs="Times New Roman"/>
          <w:color w:val="0033CD"/>
          <w:sz w:val="22"/>
          <w:szCs w:val="22"/>
        </w:rPr>
        <w:t>fluorescence</w:t>
      </w:r>
      <w:r w:rsidR="00B806DC">
        <w:rPr>
          <w:rFonts w:ascii="Times New Roman" w:eastAsia="Calibri" w:hAnsi="Times New Roman" w:cs="Times New Roman"/>
          <w:color w:val="0033CD"/>
          <w:sz w:val="22"/>
          <w:szCs w:val="22"/>
        </w:rPr>
        <w:t xml:space="preserve"> </w:t>
      </w:r>
      <w:r w:rsidR="00B806DC" w:rsidRPr="00B806DC">
        <w:rPr>
          <w:rFonts w:ascii="Times New Roman" w:eastAsia="Calibri" w:hAnsi="Times New Roman" w:cs="Times New Roman"/>
          <w:color w:val="0033CD"/>
          <w:sz w:val="22"/>
          <w:szCs w:val="22"/>
        </w:rPr>
        <w:t>480nm Excitation and 520nm Emission wavelengths using a plate reader</w:t>
      </w:r>
      <w:r w:rsidR="0098305A">
        <w:rPr>
          <w:rFonts w:ascii="Times New Roman" w:eastAsia="Calibri" w:hAnsi="Times New Roman" w:cs="Times New Roman"/>
          <w:color w:val="0033CD"/>
          <w:sz w:val="22"/>
          <w:szCs w:val="22"/>
        </w:rPr>
        <w:t>.</w:t>
      </w:r>
      <w:r w:rsidR="0021771F">
        <w:rPr>
          <w:rFonts w:ascii="Times New Roman" w:eastAsia="Calibri" w:hAnsi="Times New Roman" w:cs="Times New Roman"/>
          <w:color w:val="0033CD"/>
          <w:sz w:val="22"/>
          <w:szCs w:val="22"/>
        </w:rPr>
        <w:t xml:space="preserve"> W</w:t>
      </w:r>
      <w:r w:rsidR="00452706">
        <w:rPr>
          <w:rFonts w:ascii="Times New Roman" w:eastAsia="Calibri" w:hAnsi="Times New Roman" w:cs="Times New Roman"/>
          <w:color w:val="0033CD"/>
          <w:sz w:val="22"/>
          <w:szCs w:val="22"/>
        </w:rPr>
        <w:t xml:space="preserve">e </w:t>
      </w:r>
      <w:r w:rsidR="0021771F">
        <w:rPr>
          <w:rFonts w:ascii="Times New Roman" w:eastAsia="Calibri" w:hAnsi="Times New Roman" w:cs="Times New Roman"/>
          <w:color w:val="0033CD"/>
          <w:sz w:val="22"/>
          <w:szCs w:val="22"/>
        </w:rPr>
        <w:t xml:space="preserve">then </w:t>
      </w:r>
      <w:r w:rsidR="00452706">
        <w:rPr>
          <w:rFonts w:ascii="Times New Roman" w:eastAsia="Calibri" w:hAnsi="Times New Roman" w:cs="Times New Roman"/>
          <w:color w:val="0033CD"/>
          <w:sz w:val="22"/>
          <w:szCs w:val="22"/>
        </w:rPr>
        <w:t xml:space="preserve">divided the cell number of each well </w:t>
      </w:r>
      <w:r w:rsidR="0021771F">
        <w:rPr>
          <w:rFonts w:ascii="Times New Roman" w:eastAsia="Calibri" w:hAnsi="Times New Roman" w:cs="Times New Roman"/>
          <w:color w:val="0033CD"/>
          <w:sz w:val="22"/>
          <w:szCs w:val="22"/>
        </w:rPr>
        <w:t xml:space="preserve">of the polarized cells </w:t>
      </w:r>
      <w:r w:rsidR="00452706">
        <w:rPr>
          <w:rFonts w:ascii="Times New Roman" w:eastAsia="Calibri" w:hAnsi="Times New Roman" w:cs="Times New Roman"/>
          <w:color w:val="0033CD"/>
          <w:sz w:val="22"/>
          <w:szCs w:val="22"/>
        </w:rPr>
        <w:t>by the average cell number of naïve M0 BMDMs.</w:t>
      </w:r>
      <w:r w:rsidR="004B55FB">
        <w:rPr>
          <w:rFonts w:ascii="Times New Roman" w:eastAsia="Calibri" w:hAnsi="Times New Roman" w:cs="Times New Roman"/>
          <w:color w:val="0033CD"/>
          <w:sz w:val="22"/>
          <w:szCs w:val="22"/>
        </w:rPr>
        <w:t xml:space="preserve"> We will make sure to show the normalization panel </w:t>
      </w:r>
      <w:r w:rsidR="00634E28">
        <w:rPr>
          <w:rFonts w:ascii="Times New Roman" w:eastAsia="Calibri" w:hAnsi="Times New Roman" w:cs="Times New Roman"/>
          <w:color w:val="0033CD"/>
          <w:sz w:val="22"/>
          <w:szCs w:val="22"/>
        </w:rPr>
        <w:t>of the</w:t>
      </w:r>
      <w:r w:rsidR="004B55FB">
        <w:rPr>
          <w:rFonts w:ascii="Times New Roman" w:eastAsia="Calibri" w:hAnsi="Times New Roman" w:cs="Times New Roman"/>
          <w:color w:val="0033CD"/>
          <w:sz w:val="22"/>
          <w:szCs w:val="22"/>
        </w:rPr>
        <w:t xml:space="preserve"> </w:t>
      </w:r>
      <w:r w:rsidR="00634E28">
        <w:rPr>
          <w:rFonts w:ascii="Times New Roman" w:eastAsia="Calibri" w:hAnsi="Times New Roman" w:cs="Times New Roman"/>
          <w:color w:val="0033CD"/>
          <w:sz w:val="22"/>
          <w:szCs w:val="22"/>
        </w:rPr>
        <w:t xml:space="preserve">wave software in </w:t>
      </w:r>
      <w:r w:rsidR="004B55FB">
        <w:rPr>
          <w:rFonts w:ascii="Times New Roman" w:eastAsia="Calibri" w:hAnsi="Times New Roman" w:cs="Times New Roman"/>
          <w:color w:val="0033CD"/>
          <w:sz w:val="22"/>
          <w:szCs w:val="22"/>
        </w:rPr>
        <w:t>the video.</w:t>
      </w:r>
      <w:r w:rsidR="00657C19" w:rsidRPr="00657C19">
        <w:rPr>
          <w:rFonts w:ascii="Helvetica" w:eastAsia="Times New Roman" w:hAnsi="Helvetica" w:cs="Times New Roman"/>
          <w:color w:val="000000"/>
          <w:sz w:val="18"/>
          <w:szCs w:val="18"/>
        </w:rPr>
        <w:br/>
      </w:r>
      <w:r w:rsidR="00657C19" w:rsidRPr="00657C19">
        <w:rPr>
          <w:rFonts w:ascii="Helvetica" w:eastAsia="Times New Roman" w:hAnsi="Helvetica" w:cs="Times New Roman"/>
          <w:color w:val="000000"/>
          <w:sz w:val="18"/>
          <w:szCs w:val="18"/>
        </w:rPr>
        <w:br/>
        <w:t>Minor Concerns:</w:t>
      </w:r>
      <w:r w:rsidR="00657C19" w:rsidRPr="00657C19">
        <w:rPr>
          <w:rFonts w:ascii="Helvetica" w:eastAsia="Times New Roman" w:hAnsi="Helvetica" w:cs="Times New Roman"/>
          <w:color w:val="000000"/>
          <w:sz w:val="18"/>
          <w:szCs w:val="18"/>
        </w:rPr>
        <w:br/>
        <w:t>- Is this protocol applicable to suspension cells also, like T-cells and B-</w:t>
      </w:r>
      <w:r w:rsidR="00400025" w:rsidRPr="00657C19">
        <w:rPr>
          <w:rFonts w:ascii="Helvetica" w:eastAsia="Times New Roman" w:hAnsi="Helvetica" w:cs="Times New Roman"/>
          <w:color w:val="000000"/>
          <w:sz w:val="18"/>
          <w:szCs w:val="18"/>
        </w:rPr>
        <w:t>cells?</w:t>
      </w:r>
    </w:p>
    <w:p w14:paraId="792E865E" w14:textId="75FC8959" w:rsidR="001A14BE" w:rsidRPr="001B14F2" w:rsidRDefault="002B3AFC" w:rsidP="001B14F2">
      <w:pPr>
        <w:autoSpaceDE w:val="0"/>
        <w:autoSpaceDN w:val="0"/>
        <w:adjustRightInd w:val="0"/>
        <w:rPr>
          <w:rFonts w:ascii="Times New Roman" w:eastAsia="Calibri" w:hAnsi="Times New Roman" w:cs="Times New Roman"/>
          <w:color w:val="0033CD"/>
          <w:sz w:val="22"/>
          <w:szCs w:val="22"/>
        </w:rPr>
      </w:pPr>
      <w:r w:rsidRPr="001B14F2">
        <w:rPr>
          <w:rFonts w:ascii="Times New Roman" w:eastAsia="Calibri" w:hAnsi="Times New Roman" w:cs="Times New Roman"/>
          <w:color w:val="0033CD"/>
          <w:sz w:val="22"/>
          <w:szCs w:val="22"/>
        </w:rPr>
        <w:t xml:space="preserve">Yes, </w:t>
      </w:r>
      <w:r w:rsidR="001B14F2" w:rsidRPr="001B14F2">
        <w:rPr>
          <w:rFonts w:ascii="Times New Roman" w:eastAsia="Calibri" w:hAnsi="Times New Roman" w:cs="Times New Roman"/>
          <w:color w:val="0033CD"/>
          <w:sz w:val="22"/>
          <w:szCs w:val="22"/>
        </w:rPr>
        <w:t>but</w:t>
      </w:r>
      <w:r w:rsidRPr="001B14F2">
        <w:rPr>
          <w:rFonts w:ascii="Times New Roman" w:eastAsia="Calibri" w:hAnsi="Times New Roman" w:cs="Times New Roman"/>
          <w:color w:val="0033CD"/>
          <w:sz w:val="22"/>
          <w:szCs w:val="22"/>
        </w:rPr>
        <w:t xml:space="preserve"> since T cells and B cells are not as adhesive as macrophages to the extracellular flux microplates, the microplates need to be pre-treated or precoated</w:t>
      </w:r>
      <w:r w:rsidR="003905F2">
        <w:rPr>
          <w:rFonts w:ascii="Times New Roman" w:eastAsia="Calibri" w:hAnsi="Times New Roman" w:cs="Times New Roman"/>
          <w:color w:val="0033CD"/>
          <w:sz w:val="22"/>
          <w:szCs w:val="22"/>
        </w:rPr>
        <w:t xml:space="preserve">, so </w:t>
      </w:r>
      <w:r w:rsidRPr="001B14F2">
        <w:rPr>
          <w:rFonts w:ascii="Times New Roman" w:eastAsia="Calibri" w:hAnsi="Times New Roman" w:cs="Times New Roman"/>
          <w:color w:val="0033CD"/>
          <w:sz w:val="22"/>
          <w:szCs w:val="22"/>
        </w:rPr>
        <w:t>T or B cells can attach to the bottom of the plate</w:t>
      </w:r>
      <w:r w:rsidR="003905F2">
        <w:rPr>
          <w:rFonts w:ascii="Times New Roman" w:eastAsia="Calibri" w:hAnsi="Times New Roman" w:cs="Times New Roman"/>
          <w:color w:val="0033CD"/>
          <w:sz w:val="22"/>
          <w:szCs w:val="22"/>
        </w:rPr>
        <w:t>s</w:t>
      </w:r>
      <w:r w:rsidRPr="001B14F2">
        <w:rPr>
          <w:rFonts w:ascii="Times New Roman" w:eastAsia="Calibri" w:hAnsi="Times New Roman" w:cs="Times New Roman"/>
          <w:color w:val="0033CD"/>
          <w:sz w:val="22"/>
          <w:szCs w:val="22"/>
        </w:rPr>
        <w:t>.</w:t>
      </w:r>
    </w:p>
    <w:p w14:paraId="1D097955" w14:textId="77777777" w:rsidR="00BD0D0D" w:rsidRDefault="00657C19" w:rsidP="000F627E">
      <w:pPr>
        <w:spacing w:before="100" w:beforeAutospacing="1" w:after="100" w:afterAutospacing="1"/>
        <w:rPr>
          <w:rFonts w:ascii="Helvetica" w:eastAsia="Times New Roman" w:hAnsi="Helvetica" w:cs="Times New Roman"/>
          <w:color w:val="000000"/>
          <w:sz w:val="18"/>
          <w:szCs w:val="18"/>
        </w:rPr>
      </w:pPr>
      <w:r w:rsidRPr="00657C19">
        <w:rPr>
          <w:rFonts w:ascii="Helvetica" w:eastAsia="Times New Roman" w:hAnsi="Helvetica" w:cs="Times New Roman"/>
          <w:color w:val="000000"/>
          <w:sz w:val="18"/>
          <w:szCs w:val="18"/>
        </w:rPr>
        <w:br/>
        <w:t>- Author's contribution need to be added.</w:t>
      </w:r>
    </w:p>
    <w:p w14:paraId="607EECD2" w14:textId="0403F4D1" w:rsidR="00BD0D0D" w:rsidRDefault="00657C19" w:rsidP="000F627E">
      <w:pPr>
        <w:spacing w:before="100" w:beforeAutospacing="1" w:after="100" w:afterAutospacing="1"/>
        <w:rPr>
          <w:rFonts w:ascii="Times New Roman" w:eastAsia="Calibri" w:hAnsi="Times New Roman" w:cs="Times New Roman"/>
          <w:color w:val="0033CD"/>
          <w:sz w:val="22"/>
          <w:szCs w:val="22"/>
        </w:rPr>
      </w:pPr>
      <w:r w:rsidRPr="00657C19">
        <w:rPr>
          <w:rFonts w:ascii="Helvetica" w:eastAsia="Times New Roman" w:hAnsi="Helvetica" w:cs="Times New Roman"/>
          <w:color w:val="000000"/>
          <w:sz w:val="18"/>
          <w:szCs w:val="18"/>
        </w:rPr>
        <w:br/>
      </w:r>
      <w:r w:rsidR="00397145" w:rsidRPr="001B14F2">
        <w:rPr>
          <w:rFonts w:ascii="Times New Roman" w:eastAsia="Calibri" w:hAnsi="Times New Roman" w:cs="Times New Roman"/>
          <w:color w:val="0033CD"/>
          <w:sz w:val="22"/>
          <w:szCs w:val="22"/>
        </w:rPr>
        <w:t xml:space="preserve">Revised, </w:t>
      </w:r>
      <w:r w:rsidR="007D2729">
        <w:rPr>
          <w:rFonts w:ascii="Times New Roman" w:eastAsia="Calibri" w:hAnsi="Times New Roman" w:cs="Times New Roman"/>
          <w:color w:val="0033CD"/>
          <w:sz w:val="22"/>
          <w:szCs w:val="22"/>
        </w:rPr>
        <w:t xml:space="preserve">the </w:t>
      </w:r>
      <w:r w:rsidR="00397145" w:rsidRPr="001B14F2">
        <w:rPr>
          <w:rFonts w:ascii="Times New Roman" w:eastAsia="Calibri" w:hAnsi="Times New Roman" w:cs="Times New Roman"/>
          <w:color w:val="0033CD"/>
          <w:sz w:val="22"/>
          <w:szCs w:val="22"/>
        </w:rPr>
        <w:t>authors contribution added to line</w:t>
      </w:r>
      <w:r w:rsidR="007D2729">
        <w:rPr>
          <w:rFonts w:ascii="Times New Roman" w:eastAsia="Calibri" w:hAnsi="Times New Roman" w:cs="Times New Roman"/>
          <w:color w:val="0033CD"/>
          <w:sz w:val="22"/>
          <w:szCs w:val="22"/>
        </w:rPr>
        <w:t>s</w:t>
      </w:r>
      <w:r w:rsidR="00397145" w:rsidRPr="001B14F2">
        <w:rPr>
          <w:rFonts w:ascii="Times New Roman" w:eastAsia="Calibri" w:hAnsi="Times New Roman" w:cs="Times New Roman"/>
          <w:color w:val="0033CD"/>
          <w:sz w:val="22"/>
          <w:szCs w:val="22"/>
        </w:rPr>
        <w:t xml:space="preserve"> 4</w:t>
      </w:r>
      <w:r w:rsidR="002B417B">
        <w:rPr>
          <w:rFonts w:ascii="Times New Roman" w:eastAsia="Calibri" w:hAnsi="Times New Roman" w:cs="Times New Roman"/>
          <w:color w:val="0033CD"/>
          <w:sz w:val="22"/>
          <w:szCs w:val="22"/>
        </w:rPr>
        <w:t>5</w:t>
      </w:r>
      <w:r w:rsidR="00A24728">
        <w:rPr>
          <w:rFonts w:ascii="Times New Roman" w:eastAsia="Calibri" w:hAnsi="Times New Roman" w:cs="Times New Roman"/>
          <w:color w:val="0033CD"/>
          <w:sz w:val="22"/>
          <w:szCs w:val="22"/>
        </w:rPr>
        <w:t>6</w:t>
      </w:r>
      <w:r w:rsidR="00FF10B2">
        <w:rPr>
          <w:rFonts w:ascii="Times New Roman" w:eastAsia="Calibri" w:hAnsi="Times New Roman" w:cs="Times New Roman"/>
          <w:color w:val="0033CD"/>
          <w:sz w:val="22"/>
          <w:szCs w:val="22"/>
        </w:rPr>
        <w:t xml:space="preserve"> to </w:t>
      </w:r>
      <w:r w:rsidR="00A24728">
        <w:rPr>
          <w:rFonts w:ascii="Times New Roman" w:eastAsia="Calibri" w:hAnsi="Times New Roman" w:cs="Times New Roman"/>
          <w:color w:val="0033CD"/>
          <w:sz w:val="22"/>
          <w:szCs w:val="22"/>
        </w:rPr>
        <w:t>460</w:t>
      </w:r>
      <w:r w:rsidR="00397145" w:rsidRPr="001B14F2">
        <w:rPr>
          <w:rFonts w:ascii="Times New Roman" w:eastAsia="Calibri" w:hAnsi="Times New Roman" w:cs="Times New Roman"/>
          <w:color w:val="0033CD"/>
          <w:sz w:val="22"/>
          <w:szCs w:val="22"/>
        </w:rPr>
        <w:t>.</w:t>
      </w:r>
    </w:p>
    <w:p w14:paraId="6DCDAEED" w14:textId="4D4D9771" w:rsidR="001A14BE" w:rsidRDefault="00657C19" w:rsidP="000F627E">
      <w:pPr>
        <w:spacing w:before="100" w:beforeAutospacing="1" w:after="100" w:afterAutospacing="1"/>
        <w:rPr>
          <w:rFonts w:ascii="Helvetica" w:eastAsia="Times New Roman" w:hAnsi="Helvetica" w:cs="Times New Roman"/>
          <w:color w:val="4472C4" w:themeColor="accent1"/>
          <w:sz w:val="18"/>
          <w:szCs w:val="18"/>
        </w:rPr>
      </w:pPr>
      <w:r w:rsidRPr="00657C19">
        <w:rPr>
          <w:rFonts w:ascii="Helvetica" w:eastAsia="Times New Roman" w:hAnsi="Helvetica" w:cs="Times New Roman"/>
          <w:color w:val="000000"/>
          <w:sz w:val="18"/>
          <w:szCs w:val="18"/>
        </w:rPr>
        <w:br/>
      </w:r>
      <w:r w:rsidRPr="00657C19">
        <w:rPr>
          <w:rFonts w:ascii="Helvetica" w:eastAsia="Times New Roman" w:hAnsi="Helvetica" w:cs="Times New Roman"/>
          <w:color w:val="000000"/>
          <w:sz w:val="18"/>
          <w:szCs w:val="18"/>
        </w:rPr>
        <w:br/>
      </w:r>
      <w:r w:rsidRPr="00657C19">
        <w:rPr>
          <w:rFonts w:ascii="Helvetica" w:eastAsia="Times New Roman" w:hAnsi="Helvetica" w:cs="Times New Roman"/>
          <w:b/>
          <w:bCs/>
          <w:color w:val="000000"/>
          <w:sz w:val="18"/>
          <w:szCs w:val="18"/>
        </w:rPr>
        <w:t>Reviewer #4: </w:t>
      </w:r>
      <w:r w:rsidRPr="00657C19">
        <w:rPr>
          <w:rFonts w:ascii="Helvetica" w:eastAsia="Times New Roman" w:hAnsi="Helvetica" w:cs="Times New Roman"/>
          <w:color w:val="000000"/>
          <w:sz w:val="18"/>
          <w:szCs w:val="18"/>
        </w:rPr>
        <w:br/>
        <w:t>Manuscript Summary:</w:t>
      </w:r>
      <w:r w:rsidRPr="00657C19">
        <w:rPr>
          <w:rFonts w:ascii="Helvetica" w:eastAsia="Times New Roman" w:hAnsi="Helvetica" w:cs="Times New Roman"/>
          <w:color w:val="000000"/>
          <w:sz w:val="18"/>
          <w:szCs w:val="18"/>
        </w:rPr>
        <w:br/>
        <w:t xml:space="preserve">This manuscript provides a simple approach to assess a set of glycolytic parameters in the polarized bone marrow derived macrophages (BMDMs). There are two separate kits provided by Agilent Technology: Agilent Seahorse XF glycolysis stress test kit and Glycolysis rate assay kit, which uses ECAR and PER, respectively as metrics of extracellular acidifications in Seahorse XF analyzers. Although PER additionally accounts for the buffer factor in its calculation, the implication of the compensatory glycolysis is not altered using ECAR instead of PER. The authors arranged the sequence of the inhibitors appropriately so that glycolytic capacity and compensatory glycolysis could be measured at once. The treatment of oligomycin prior to Rot/AA does not interfere with the implications of each </w:t>
      </w:r>
      <w:r w:rsidRPr="00657C19">
        <w:rPr>
          <w:rFonts w:ascii="Helvetica" w:eastAsia="Times New Roman" w:hAnsi="Helvetica" w:cs="Times New Roman"/>
          <w:color w:val="000000"/>
          <w:sz w:val="18"/>
          <w:szCs w:val="18"/>
        </w:rPr>
        <w:lastRenderedPageBreak/>
        <w:t>parameter. Overall, their findings are significant in simplifying the method that has originally been measured separately. Following minor points are recommended to be corrected before considering the manuscript for publication:</w:t>
      </w:r>
      <w:r w:rsidRPr="00657C19">
        <w:rPr>
          <w:rFonts w:ascii="Helvetica" w:eastAsia="Times New Roman" w:hAnsi="Helvetica" w:cs="Times New Roman"/>
          <w:color w:val="000000"/>
          <w:sz w:val="18"/>
          <w:szCs w:val="18"/>
        </w:rPr>
        <w:br/>
      </w:r>
    </w:p>
    <w:p w14:paraId="216AE28D" w14:textId="0BE7BCCC" w:rsidR="004A0F97" w:rsidRDefault="00657C19" w:rsidP="000F627E">
      <w:pPr>
        <w:spacing w:before="100" w:beforeAutospacing="1" w:after="100" w:afterAutospacing="1"/>
        <w:rPr>
          <w:rFonts w:ascii="Helvetica" w:eastAsia="Times New Roman" w:hAnsi="Helvetica" w:cs="Times New Roman"/>
          <w:color w:val="000000"/>
          <w:sz w:val="18"/>
          <w:szCs w:val="18"/>
        </w:rPr>
      </w:pPr>
      <w:r w:rsidRPr="00657C19">
        <w:rPr>
          <w:rFonts w:ascii="Helvetica" w:eastAsia="Times New Roman" w:hAnsi="Helvetica" w:cs="Times New Roman"/>
          <w:color w:val="000000"/>
          <w:sz w:val="18"/>
          <w:szCs w:val="18"/>
        </w:rPr>
        <w:br/>
        <w:t>Minor Concerns:</w:t>
      </w:r>
      <w:r w:rsidRPr="00657C19">
        <w:rPr>
          <w:rFonts w:ascii="Helvetica" w:eastAsia="Times New Roman" w:hAnsi="Helvetica" w:cs="Times New Roman"/>
          <w:color w:val="000000"/>
          <w:sz w:val="18"/>
          <w:szCs w:val="18"/>
        </w:rPr>
        <w:br/>
        <w:t>1. Since this manuscript mainly elucidates the glycolytic states of the polarized BMDMs, the comparison of the BMDM polarization status with the glycolytic parameters is critical. Although the authors mentioned the confirmation in the manuscript, a figure demonstrating BMDM polarization status by flow cytometry may be required.</w:t>
      </w:r>
    </w:p>
    <w:p w14:paraId="38271D59" w14:textId="77777777" w:rsidR="00CC4384" w:rsidRPr="00CC4384" w:rsidRDefault="00CC4384" w:rsidP="00CC4384">
      <w:pPr>
        <w:spacing w:before="100" w:beforeAutospacing="1" w:after="100" w:afterAutospacing="1"/>
        <w:rPr>
          <w:rFonts w:ascii="Times New Roman" w:eastAsia="Calibri" w:hAnsi="Times New Roman" w:cs="Times New Roman"/>
          <w:color w:val="0033CD"/>
          <w:sz w:val="22"/>
          <w:szCs w:val="22"/>
        </w:rPr>
      </w:pPr>
      <w:r w:rsidRPr="00CC4384">
        <w:rPr>
          <w:rFonts w:ascii="Times New Roman" w:eastAsia="Calibri" w:hAnsi="Times New Roman" w:cs="Times New Roman"/>
          <w:color w:val="0033CD"/>
          <w:sz w:val="22"/>
          <w:szCs w:val="22"/>
        </w:rPr>
        <w:t xml:space="preserve">While the principle is the same, BMDM derived from different animals may show a different profile. Thus, we feel including data figures from our experiments in this method paper may be misleading. </w:t>
      </w:r>
    </w:p>
    <w:p w14:paraId="20AFEEFE" w14:textId="77777777" w:rsidR="00CC4384" w:rsidRDefault="00CC4384" w:rsidP="00CC4384">
      <w:pPr>
        <w:spacing w:before="100" w:beforeAutospacing="1" w:after="100" w:afterAutospacing="1"/>
        <w:rPr>
          <w:rFonts w:ascii="Times New Roman" w:eastAsia="Calibri" w:hAnsi="Times New Roman" w:cs="Times New Roman"/>
          <w:color w:val="0033CD"/>
          <w:sz w:val="22"/>
          <w:szCs w:val="22"/>
        </w:rPr>
      </w:pPr>
      <w:r w:rsidRPr="00CC4384">
        <w:rPr>
          <w:rFonts w:ascii="Times New Roman" w:eastAsia="Calibri" w:hAnsi="Times New Roman" w:cs="Times New Roman"/>
          <w:color w:val="0033CD"/>
          <w:sz w:val="22"/>
          <w:szCs w:val="22"/>
        </w:rPr>
        <w:t xml:space="preserve">However, here we share two figures of polarized BMDMs of our unpublished data with the reviewer; CD38 was used as an M1 marker, and CD206 was used as an M2 Marker. </w:t>
      </w:r>
    </w:p>
    <w:p w14:paraId="5FE4BEFF" w14:textId="67E6EA1B" w:rsidR="00954B70" w:rsidRDefault="001819F7" w:rsidP="00CC4384">
      <w:pPr>
        <w:spacing w:before="100" w:beforeAutospacing="1" w:after="100" w:afterAutospacing="1"/>
        <w:rPr>
          <w:rFonts w:ascii="Helvetica" w:eastAsia="Times New Roman" w:hAnsi="Helvetica" w:cs="Times New Roman"/>
          <w:color w:val="000000"/>
          <w:sz w:val="18"/>
          <w:szCs w:val="18"/>
        </w:rPr>
      </w:pPr>
      <w:r w:rsidRPr="001819F7">
        <w:rPr>
          <w:rFonts w:ascii="Helvetica" w:eastAsia="Times New Roman" w:hAnsi="Helvetica" w:cs="Times New Roman"/>
          <w:noProof/>
          <w:color w:val="000000"/>
          <w:sz w:val="18"/>
          <w:szCs w:val="18"/>
        </w:rPr>
        <w:drawing>
          <wp:inline distT="0" distB="0" distL="0" distR="0" wp14:anchorId="0879E7F6" wp14:editId="2D9D473C">
            <wp:extent cx="5943600" cy="1675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675130"/>
                    </a:xfrm>
                    <a:prstGeom prst="rect">
                      <a:avLst/>
                    </a:prstGeom>
                  </pic:spPr>
                </pic:pic>
              </a:graphicData>
            </a:graphic>
          </wp:inline>
        </w:drawing>
      </w:r>
    </w:p>
    <w:p w14:paraId="6B24EFC4" w14:textId="710944C0" w:rsidR="00954B70" w:rsidRPr="001B14F2" w:rsidRDefault="00954B70" w:rsidP="001B14F2">
      <w:pPr>
        <w:spacing w:before="100" w:beforeAutospacing="1" w:after="100" w:afterAutospacing="1"/>
        <w:rPr>
          <w:rFonts w:ascii="Times New Roman" w:eastAsia="Calibri" w:hAnsi="Times New Roman" w:cs="Times New Roman"/>
          <w:color w:val="0033CD"/>
          <w:sz w:val="22"/>
          <w:szCs w:val="22"/>
        </w:rPr>
      </w:pPr>
      <w:r w:rsidRPr="001B14F2">
        <w:rPr>
          <w:rFonts w:ascii="Times New Roman" w:eastAsia="Calibri" w:hAnsi="Times New Roman" w:cs="Times New Roman"/>
          <w:color w:val="0033CD"/>
          <w:sz w:val="22"/>
          <w:szCs w:val="22"/>
        </w:rPr>
        <w:t>BMDM Polarization demonstration by flow cytometry.</w:t>
      </w:r>
    </w:p>
    <w:p w14:paraId="030F1FD4" w14:textId="36E6BB78" w:rsidR="00954B70" w:rsidRPr="001B14F2" w:rsidRDefault="00954B70" w:rsidP="001B14F2">
      <w:pPr>
        <w:spacing w:before="100" w:beforeAutospacing="1" w:after="100" w:afterAutospacing="1"/>
        <w:rPr>
          <w:rFonts w:ascii="Times New Roman" w:eastAsia="Calibri" w:hAnsi="Times New Roman" w:cs="Times New Roman"/>
          <w:color w:val="0033CD"/>
          <w:sz w:val="22"/>
          <w:szCs w:val="22"/>
        </w:rPr>
      </w:pPr>
      <w:r w:rsidRPr="001B14F2">
        <w:rPr>
          <w:rFonts w:ascii="Times New Roman" w:eastAsia="Calibri" w:hAnsi="Times New Roman" w:cs="Times New Roman"/>
          <w:color w:val="0033CD"/>
          <w:sz w:val="22"/>
          <w:szCs w:val="22"/>
        </w:rPr>
        <w:t>Day 7 BMDMs were stimulated with polarization skews for 24 hours. M0 (Media), M1 (10ng/ml LPS) M2 (20ng/ml IL-4)</w:t>
      </w:r>
      <w:r w:rsidR="00065FAE">
        <w:rPr>
          <w:rFonts w:ascii="Times New Roman" w:eastAsia="Calibri" w:hAnsi="Times New Roman" w:cs="Times New Roman"/>
          <w:color w:val="0033CD"/>
          <w:sz w:val="22"/>
          <w:szCs w:val="22"/>
        </w:rPr>
        <w:t>.</w:t>
      </w:r>
      <w:r w:rsidRPr="001B14F2">
        <w:rPr>
          <w:rFonts w:ascii="Times New Roman" w:eastAsia="Calibri" w:hAnsi="Times New Roman" w:cs="Times New Roman"/>
          <w:color w:val="0033CD"/>
          <w:sz w:val="22"/>
          <w:szCs w:val="22"/>
        </w:rPr>
        <w:t xml:space="preserve"> Flow cytometric analysis of BMDMs from WT mice, (2x 10</w:t>
      </w:r>
      <w:r w:rsidRPr="00065FAE">
        <w:rPr>
          <w:rFonts w:ascii="Times New Roman" w:eastAsia="Calibri" w:hAnsi="Times New Roman" w:cs="Times New Roman"/>
          <w:color w:val="0033CD"/>
          <w:sz w:val="22"/>
          <w:szCs w:val="22"/>
          <w:vertAlign w:val="superscript"/>
        </w:rPr>
        <w:t>5</w:t>
      </w:r>
      <w:r w:rsidRPr="001B14F2">
        <w:rPr>
          <w:rFonts w:ascii="Times New Roman" w:eastAsia="Calibri" w:hAnsi="Times New Roman" w:cs="Times New Roman"/>
          <w:color w:val="0033CD"/>
          <w:sz w:val="22"/>
          <w:szCs w:val="22"/>
        </w:rPr>
        <w:t xml:space="preserve">) cells stained extracellularly for CD11b and F4/80 as macrophage markers and CD38 as M1 marker (A) and CD206 as M2 marker (B) using FACS. </w:t>
      </w:r>
      <w:r w:rsidR="007D2729">
        <w:rPr>
          <w:rFonts w:ascii="Times New Roman" w:eastAsia="Calibri" w:hAnsi="Times New Roman" w:cs="Times New Roman"/>
          <w:color w:val="0033CD"/>
          <w:sz w:val="22"/>
          <w:szCs w:val="22"/>
        </w:rPr>
        <w:t>The percentage</w:t>
      </w:r>
      <w:r w:rsidRPr="001B14F2">
        <w:rPr>
          <w:rFonts w:ascii="Times New Roman" w:eastAsia="Calibri" w:hAnsi="Times New Roman" w:cs="Times New Roman"/>
          <w:color w:val="0033CD"/>
          <w:sz w:val="22"/>
          <w:szCs w:val="22"/>
        </w:rPr>
        <w:t xml:space="preserve"> of CD38-positive and CD206-positive cells are indicated on plots. </w:t>
      </w:r>
    </w:p>
    <w:p w14:paraId="1C82006C" w14:textId="7BBC8A2B" w:rsidR="00657C19" w:rsidRPr="00657C19" w:rsidRDefault="00657C19" w:rsidP="00954B70">
      <w:pPr>
        <w:spacing w:before="100" w:beforeAutospacing="1" w:after="100" w:afterAutospacing="1"/>
        <w:rPr>
          <w:rFonts w:ascii="Helvetica" w:eastAsia="Times New Roman" w:hAnsi="Helvetica" w:cs="Times New Roman"/>
          <w:color w:val="000000"/>
          <w:sz w:val="18"/>
          <w:szCs w:val="18"/>
        </w:rPr>
      </w:pPr>
      <w:r w:rsidRPr="00657C19">
        <w:rPr>
          <w:rFonts w:ascii="Helvetica" w:eastAsia="Times New Roman" w:hAnsi="Helvetica" w:cs="Times New Roman"/>
          <w:color w:val="000000"/>
          <w:sz w:val="18"/>
          <w:szCs w:val="18"/>
        </w:rPr>
        <w:br/>
        <w:t xml:space="preserve">2. The interpretation of most glycolytic parameters does not interfere with the suggested protocol. However, although the implication of glycolytic reserve does not change in the new combined system, the calculation scheme is altered slightly. In the Agilent Seahorse XF Glycolysis Stress Test, </w:t>
      </w:r>
      <w:r w:rsidRPr="0020278E">
        <w:rPr>
          <w:rFonts w:ascii="Helvetica" w:eastAsia="Times New Roman" w:hAnsi="Helvetica" w:cs="Times New Roman"/>
          <w:color w:val="000000"/>
          <w:sz w:val="18"/>
          <w:szCs w:val="18"/>
          <w:u w:val="single"/>
        </w:rPr>
        <w:t>Glycolytic reserve</w:t>
      </w:r>
      <w:r w:rsidRPr="00657C19">
        <w:rPr>
          <w:rFonts w:ascii="Helvetica" w:eastAsia="Times New Roman" w:hAnsi="Helvetica" w:cs="Times New Roman"/>
          <w:color w:val="000000"/>
          <w:sz w:val="18"/>
          <w:szCs w:val="18"/>
        </w:rPr>
        <w:t xml:space="preserve"> is calculated by </w:t>
      </w:r>
      <w:proofErr w:type="spellStart"/>
      <w:r w:rsidRPr="00657C19">
        <w:rPr>
          <w:rFonts w:ascii="Helvetica" w:eastAsia="Times New Roman" w:hAnsi="Helvetica" w:cs="Times New Roman"/>
          <w:color w:val="000000"/>
          <w:sz w:val="18"/>
          <w:szCs w:val="18"/>
        </w:rPr>
        <w:t>Avg.ECAR</w:t>
      </w:r>
      <w:proofErr w:type="spellEnd"/>
      <w:r w:rsidRPr="00657C19">
        <w:rPr>
          <w:rFonts w:ascii="Helvetica" w:eastAsia="Times New Roman" w:hAnsi="Helvetica" w:cs="Times New Roman"/>
          <w:color w:val="000000"/>
          <w:sz w:val="18"/>
          <w:szCs w:val="18"/>
        </w:rPr>
        <w:t>(7,8,9)-</w:t>
      </w:r>
      <w:proofErr w:type="spellStart"/>
      <w:r w:rsidRPr="00657C19">
        <w:rPr>
          <w:rFonts w:ascii="Helvetica" w:eastAsia="Times New Roman" w:hAnsi="Helvetica" w:cs="Times New Roman"/>
          <w:color w:val="000000"/>
          <w:sz w:val="18"/>
          <w:szCs w:val="18"/>
        </w:rPr>
        <w:t>Avg.ECAR</w:t>
      </w:r>
      <w:proofErr w:type="spellEnd"/>
      <w:r w:rsidRPr="00657C19">
        <w:rPr>
          <w:rFonts w:ascii="Helvetica" w:eastAsia="Times New Roman" w:hAnsi="Helvetica" w:cs="Times New Roman"/>
          <w:color w:val="000000"/>
          <w:sz w:val="18"/>
          <w:szCs w:val="18"/>
        </w:rPr>
        <w:t xml:space="preserve">(4,5,6), while it is estimated by </w:t>
      </w:r>
      <w:proofErr w:type="spellStart"/>
      <w:r w:rsidRPr="00657C19">
        <w:rPr>
          <w:rFonts w:ascii="Helvetica" w:eastAsia="Times New Roman" w:hAnsi="Helvetica" w:cs="Times New Roman"/>
          <w:color w:val="000000"/>
          <w:sz w:val="18"/>
          <w:szCs w:val="18"/>
        </w:rPr>
        <w:t>Avg.ECAR</w:t>
      </w:r>
      <w:proofErr w:type="spellEnd"/>
      <w:r w:rsidRPr="00657C19">
        <w:rPr>
          <w:rFonts w:ascii="Helvetica" w:eastAsia="Times New Roman" w:hAnsi="Helvetica" w:cs="Times New Roman"/>
          <w:color w:val="000000"/>
          <w:sz w:val="18"/>
          <w:szCs w:val="18"/>
        </w:rPr>
        <w:t>(10,11,12)-</w:t>
      </w:r>
      <w:proofErr w:type="spellStart"/>
      <w:r w:rsidRPr="00657C19">
        <w:rPr>
          <w:rFonts w:ascii="Helvetica" w:eastAsia="Times New Roman" w:hAnsi="Helvetica" w:cs="Times New Roman"/>
          <w:color w:val="000000"/>
          <w:sz w:val="18"/>
          <w:szCs w:val="18"/>
        </w:rPr>
        <w:t>Avg.ECAR</w:t>
      </w:r>
      <w:proofErr w:type="spellEnd"/>
      <w:r w:rsidRPr="00657C19">
        <w:rPr>
          <w:rFonts w:ascii="Helvetica" w:eastAsia="Times New Roman" w:hAnsi="Helvetica" w:cs="Times New Roman"/>
          <w:color w:val="000000"/>
          <w:sz w:val="18"/>
          <w:szCs w:val="18"/>
        </w:rPr>
        <w:t xml:space="preserve">(4,5,6) in the new combined </w:t>
      </w:r>
      <w:proofErr w:type="gramStart"/>
      <w:r w:rsidRPr="00657C19">
        <w:rPr>
          <w:rFonts w:ascii="Helvetica" w:eastAsia="Times New Roman" w:hAnsi="Helvetica" w:cs="Times New Roman"/>
          <w:color w:val="000000"/>
          <w:sz w:val="18"/>
          <w:szCs w:val="18"/>
        </w:rPr>
        <w:t>system(</w:t>
      </w:r>
      <w:proofErr w:type="gramEnd"/>
      <w:r w:rsidRPr="00657C19">
        <w:rPr>
          <w:rFonts w:ascii="Helvetica" w:eastAsia="Times New Roman" w:hAnsi="Helvetica" w:cs="Times New Roman"/>
          <w:color w:val="000000"/>
          <w:sz w:val="18"/>
          <w:szCs w:val="18"/>
        </w:rPr>
        <w:t>Figure 4B). It is recommended to discuss on the altered calculation scheme in order for readers not to confuse the definition of the glycolytic reserve.</w:t>
      </w:r>
    </w:p>
    <w:p w14:paraId="1CA427C1" w14:textId="7E2E0F12" w:rsidR="003C399F" w:rsidRPr="001B14F2" w:rsidRDefault="003C399F" w:rsidP="00657C19">
      <w:pPr>
        <w:rPr>
          <w:rFonts w:ascii="Times New Roman" w:eastAsia="Calibri" w:hAnsi="Times New Roman" w:cs="Times New Roman"/>
          <w:color w:val="0033CD"/>
          <w:sz w:val="22"/>
          <w:szCs w:val="22"/>
        </w:rPr>
      </w:pPr>
      <w:r w:rsidRPr="001B14F2">
        <w:rPr>
          <w:rFonts w:ascii="Times New Roman" w:eastAsia="Calibri" w:hAnsi="Times New Roman" w:cs="Times New Roman"/>
          <w:color w:val="0033CD"/>
          <w:sz w:val="22"/>
          <w:szCs w:val="22"/>
        </w:rPr>
        <w:t>Thank you for th</w:t>
      </w:r>
      <w:r w:rsidR="000B4702">
        <w:rPr>
          <w:rFonts w:ascii="Times New Roman" w:eastAsia="Calibri" w:hAnsi="Times New Roman" w:cs="Times New Roman"/>
          <w:color w:val="0033CD"/>
          <w:sz w:val="22"/>
          <w:szCs w:val="22"/>
        </w:rPr>
        <w:t>e suggestion</w:t>
      </w:r>
      <w:r w:rsidRPr="001B14F2">
        <w:rPr>
          <w:rFonts w:ascii="Times New Roman" w:eastAsia="Calibri" w:hAnsi="Times New Roman" w:cs="Times New Roman"/>
          <w:color w:val="0033CD"/>
          <w:sz w:val="22"/>
          <w:szCs w:val="22"/>
        </w:rPr>
        <w:t>. The clarification is addressed in the discussion line (</w:t>
      </w:r>
      <w:r w:rsidR="00AE6DF1">
        <w:rPr>
          <w:rFonts w:ascii="Times New Roman" w:eastAsia="Calibri" w:hAnsi="Times New Roman" w:cs="Times New Roman"/>
          <w:color w:val="0033CD"/>
          <w:sz w:val="22"/>
          <w:szCs w:val="22"/>
        </w:rPr>
        <w:t>38</w:t>
      </w:r>
      <w:r w:rsidR="003F5CDE">
        <w:rPr>
          <w:rFonts w:ascii="Times New Roman" w:eastAsia="Calibri" w:hAnsi="Times New Roman" w:cs="Times New Roman"/>
          <w:color w:val="0033CD"/>
          <w:sz w:val="22"/>
          <w:szCs w:val="22"/>
        </w:rPr>
        <w:t>6</w:t>
      </w:r>
      <w:r w:rsidR="00683317">
        <w:rPr>
          <w:rFonts w:ascii="Times New Roman" w:eastAsia="Calibri" w:hAnsi="Times New Roman" w:cs="Times New Roman"/>
          <w:color w:val="0033CD"/>
          <w:sz w:val="22"/>
          <w:szCs w:val="22"/>
        </w:rPr>
        <w:t xml:space="preserve"> </w:t>
      </w:r>
      <w:r w:rsidRPr="001B14F2">
        <w:rPr>
          <w:rFonts w:ascii="Times New Roman" w:eastAsia="Calibri" w:hAnsi="Times New Roman" w:cs="Times New Roman"/>
          <w:color w:val="0033CD"/>
          <w:sz w:val="22"/>
          <w:szCs w:val="22"/>
        </w:rPr>
        <w:t xml:space="preserve">to </w:t>
      </w:r>
      <w:r w:rsidR="00AE6DF1">
        <w:rPr>
          <w:rFonts w:ascii="Times New Roman" w:eastAsia="Calibri" w:hAnsi="Times New Roman" w:cs="Times New Roman"/>
          <w:color w:val="0033CD"/>
          <w:sz w:val="22"/>
          <w:szCs w:val="22"/>
        </w:rPr>
        <w:t>39</w:t>
      </w:r>
      <w:r w:rsidR="003F5CDE">
        <w:rPr>
          <w:rFonts w:ascii="Times New Roman" w:eastAsia="Calibri" w:hAnsi="Times New Roman" w:cs="Times New Roman"/>
          <w:color w:val="0033CD"/>
          <w:sz w:val="22"/>
          <w:szCs w:val="22"/>
        </w:rPr>
        <w:t>1</w:t>
      </w:r>
      <w:r w:rsidRPr="001B14F2">
        <w:rPr>
          <w:rFonts w:ascii="Times New Roman" w:eastAsia="Calibri" w:hAnsi="Times New Roman" w:cs="Times New Roman"/>
          <w:color w:val="0033CD"/>
          <w:sz w:val="22"/>
          <w:szCs w:val="22"/>
        </w:rPr>
        <w:t>)</w:t>
      </w:r>
      <w:r w:rsidR="007B2C7B">
        <w:rPr>
          <w:rFonts w:ascii="Times New Roman" w:eastAsia="Calibri" w:hAnsi="Times New Roman" w:cs="Times New Roman"/>
          <w:color w:val="0033CD"/>
          <w:sz w:val="22"/>
          <w:szCs w:val="22"/>
        </w:rPr>
        <w:t>.</w:t>
      </w:r>
    </w:p>
    <w:p w14:paraId="70E54DDB" w14:textId="77777777" w:rsidR="003C399F" w:rsidRPr="001B14F2" w:rsidRDefault="003C399F" w:rsidP="00657C19">
      <w:pPr>
        <w:rPr>
          <w:rFonts w:ascii="Times New Roman" w:eastAsia="Calibri" w:hAnsi="Times New Roman" w:cs="Times New Roman"/>
          <w:color w:val="0033CD"/>
          <w:sz w:val="22"/>
          <w:szCs w:val="22"/>
        </w:rPr>
      </w:pPr>
    </w:p>
    <w:p w14:paraId="44E7BAAB" w14:textId="77777777" w:rsidR="008479B2" w:rsidRDefault="00CC4384"/>
    <w:sectPr w:rsidR="008479B2" w:rsidSect="00397B4D">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D71B0" w16cex:dateUtc="2021-01-16T20:07:00Z"/>
  <w16cex:commentExtensible w16cex:durableId="23AD72B5" w16cex:dateUtc="2021-01-16T20:12:00Z"/>
  <w16cex:commentExtensible w16cex:durableId="23ACAE43" w16cex:dateUtc="2021-01-16T06:13:00Z"/>
  <w16cex:commentExtensible w16cex:durableId="23AD74F4" w16cex:dateUtc="2021-01-16T20:2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9E0FC2"/>
    <w:multiLevelType w:val="hybridMultilevel"/>
    <w:tmpl w:val="68B8C422"/>
    <w:lvl w:ilvl="0" w:tplc="8CAE8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19"/>
    <w:rsid w:val="00030EB3"/>
    <w:rsid w:val="000368D5"/>
    <w:rsid w:val="00065FAE"/>
    <w:rsid w:val="0008735B"/>
    <w:rsid w:val="000B4702"/>
    <w:rsid w:val="000D4A1C"/>
    <w:rsid w:val="000F627E"/>
    <w:rsid w:val="0016500D"/>
    <w:rsid w:val="001704FA"/>
    <w:rsid w:val="001819F7"/>
    <w:rsid w:val="00190AEA"/>
    <w:rsid w:val="001A14BE"/>
    <w:rsid w:val="001B14F2"/>
    <w:rsid w:val="001C43B0"/>
    <w:rsid w:val="001E2CEE"/>
    <w:rsid w:val="0020278E"/>
    <w:rsid w:val="0020564A"/>
    <w:rsid w:val="00212140"/>
    <w:rsid w:val="0021771F"/>
    <w:rsid w:val="00267251"/>
    <w:rsid w:val="002B12AE"/>
    <w:rsid w:val="002B198C"/>
    <w:rsid w:val="002B3AFC"/>
    <w:rsid w:val="002B417B"/>
    <w:rsid w:val="002B6060"/>
    <w:rsid w:val="002C276A"/>
    <w:rsid w:val="003107D6"/>
    <w:rsid w:val="003202F4"/>
    <w:rsid w:val="00326102"/>
    <w:rsid w:val="003330F5"/>
    <w:rsid w:val="003727F9"/>
    <w:rsid w:val="003905F2"/>
    <w:rsid w:val="00393E02"/>
    <w:rsid w:val="00395CFF"/>
    <w:rsid w:val="00397145"/>
    <w:rsid w:val="00397B4D"/>
    <w:rsid w:val="003A20A3"/>
    <w:rsid w:val="003B3951"/>
    <w:rsid w:val="003C399F"/>
    <w:rsid w:val="003D69D7"/>
    <w:rsid w:val="003E31A3"/>
    <w:rsid w:val="003E6F74"/>
    <w:rsid w:val="003F35C2"/>
    <w:rsid w:val="003F5CDE"/>
    <w:rsid w:val="00400025"/>
    <w:rsid w:val="00417F20"/>
    <w:rsid w:val="00423B31"/>
    <w:rsid w:val="00452706"/>
    <w:rsid w:val="004648E9"/>
    <w:rsid w:val="00481D93"/>
    <w:rsid w:val="004A0F97"/>
    <w:rsid w:val="004A7FC0"/>
    <w:rsid w:val="004B55FB"/>
    <w:rsid w:val="004D7ADE"/>
    <w:rsid w:val="00556728"/>
    <w:rsid w:val="005949A5"/>
    <w:rsid w:val="005A0E70"/>
    <w:rsid w:val="005C3D80"/>
    <w:rsid w:val="005D7267"/>
    <w:rsid w:val="005F3044"/>
    <w:rsid w:val="005F5286"/>
    <w:rsid w:val="006016CD"/>
    <w:rsid w:val="006048C0"/>
    <w:rsid w:val="00604BFD"/>
    <w:rsid w:val="00621F87"/>
    <w:rsid w:val="00634E28"/>
    <w:rsid w:val="006409AE"/>
    <w:rsid w:val="006474F8"/>
    <w:rsid w:val="00657C19"/>
    <w:rsid w:val="00670AD2"/>
    <w:rsid w:val="00682158"/>
    <w:rsid w:val="00683317"/>
    <w:rsid w:val="006B70BF"/>
    <w:rsid w:val="006E6C71"/>
    <w:rsid w:val="006F081A"/>
    <w:rsid w:val="006F67E3"/>
    <w:rsid w:val="00703D73"/>
    <w:rsid w:val="00716703"/>
    <w:rsid w:val="00716895"/>
    <w:rsid w:val="00717633"/>
    <w:rsid w:val="007431BB"/>
    <w:rsid w:val="0077461F"/>
    <w:rsid w:val="007B2C7B"/>
    <w:rsid w:val="007C66AA"/>
    <w:rsid w:val="007D2729"/>
    <w:rsid w:val="007F21FA"/>
    <w:rsid w:val="007F3B5B"/>
    <w:rsid w:val="007F580B"/>
    <w:rsid w:val="00832A1E"/>
    <w:rsid w:val="00845160"/>
    <w:rsid w:val="008B149B"/>
    <w:rsid w:val="008E1B7E"/>
    <w:rsid w:val="008F5DDC"/>
    <w:rsid w:val="0090167C"/>
    <w:rsid w:val="00904E78"/>
    <w:rsid w:val="00912FD5"/>
    <w:rsid w:val="009234D8"/>
    <w:rsid w:val="00954B70"/>
    <w:rsid w:val="0096338F"/>
    <w:rsid w:val="00970EDA"/>
    <w:rsid w:val="0098305A"/>
    <w:rsid w:val="00991318"/>
    <w:rsid w:val="009B57F0"/>
    <w:rsid w:val="009D0691"/>
    <w:rsid w:val="00A17936"/>
    <w:rsid w:val="00A24728"/>
    <w:rsid w:val="00A300F4"/>
    <w:rsid w:val="00A35C8A"/>
    <w:rsid w:val="00A41902"/>
    <w:rsid w:val="00A5533D"/>
    <w:rsid w:val="00A83C43"/>
    <w:rsid w:val="00A90D97"/>
    <w:rsid w:val="00A9566E"/>
    <w:rsid w:val="00AD46F7"/>
    <w:rsid w:val="00AE6DF1"/>
    <w:rsid w:val="00B06E02"/>
    <w:rsid w:val="00B07517"/>
    <w:rsid w:val="00B0790B"/>
    <w:rsid w:val="00B43C5D"/>
    <w:rsid w:val="00B47DDC"/>
    <w:rsid w:val="00B806DC"/>
    <w:rsid w:val="00B90048"/>
    <w:rsid w:val="00BD0D0D"/>
    <w:rsid w:val="00BD3D6A"/>
    <w:rsid w:val="00BD52BE"/>
    <w:rsid w:val="00BD558F"/>
    <w:rsid w:val="00BE5D73"/>
    <w:rsid w:val="00C157E3"/>
    <w:rsid w:val="00C30AA8"/>
    <w:rsid w:val="00C41265"/>
    <w:rsid w:val="00C4267A"/>
    <w:rsid w:val="00C56FBB"/>
    <w:rsid w:val="00C6529C"/>
    <w:rsid w:val="00C72DC4"/>
    <w:rsid w:val="00C77FE8"/>
    <w:rsid w:val="00C80307"/>
    <w:rsid w:val="00C8662E"/>
    <w:rsid w:val="00C91E50"/>
    <w:rsid w:val="00C93A6F"/>
    <w:rsid w:val="00CB7C3F"/>
    <w:rsid w:val="00CB7F2E"/>
    <w:rsid w:val="00CC2360"/>
    <w:rsid w:val="00CC4384"/>
    <w:rsid w:val="00CE3C04"/>
    <w:rsid w:val="00D13FAA"/>
    <w:rsid w:val="00D51835"/>
    <w:rsid w:val="00D71836"/>
    <w:rsid w:val="00D75B7C"/>
    <w:rsid w:val="00D876E5"/>
    <w:rsid w:val="00DA7EAF"/>
    <w:rsid w:val="00DD1205"/>
    <w:rsid w:val="00E02686"/>
    <w:rsid w:val="00E10858"/>
    <w:rsid w:val="00E820D6"/>
    <w:rsid w:val="00E844FC"/>
    <w:rsid w:val="00EB2659"/>
    <w:rsid w:val="00EC346C"/>
    <w:rsid w:val="00F67814"/>
    <w:rsid w:val="00F75876"/>
    <w:rsid w:val="00F76DF2"/>
    <w:rsid w:val="00F85250"/>
    <w:rsid w:val="00FA5AB8"/>
    <w:rsid w:val="00FC5B5D"/>
    <w:rsid w:val="00FF10B2"/>
    <w:rsid w:val="00FF1776"/>
    <w:rsid w:val="00FF25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14BC"/>
  <w15:chartTrackingRefBased/>
  <w15:docId w15:val="{CE3EB7D5-F4CE-1445-A17B-AEE6D778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57C19"/>
  </w:style>
  <w:style w:type="character" w:styleId="Hyperlink">
    <w:name w:val="Hyperlink"/>
    <w:basedOn w:val="DefaultParagraphFont"/>
    <w:uiPriority w:val="99"/>
    <w:unhideWhenUsed/>
    <w:rsid w:val="00657C19"/>
    <w:rPr>
      <w:color w:val="0000FF"/>
      <w:u w:val="single"/>
    </w:rPr>
  </w:style>
  <w:style w:type="paragraph" w:styleId="NormalWeb">
    <w:name w:val="Normal (Web)"/>
    <w:basedOn w:val="Normal"/>
    <w:uiPriority w:val="99"/>
    <w:semiHidden/>
    <w:unhideWhenUsed/>
    <w:rsid w:val="00657C1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57C19"/>
    <w:rPr>
      <w:b/>
      <w:bCs/>
    </w:rPr>
  </w:style>
  <w:style w:type="paragraph" w:styleId="ListParagraph">
    <w:name w:val="List Paragraph"/>
    <w:basedOn w:val="Normal"/>
    <w:uiPriority w:val="34"/>
    <w:qFormat/>
    <w:rsid w:val="00CC2360"/>
    <w:pPr>
      <w:ind w:left="720"/>
      <w:contextualSpacing/>
    </w:pPr>
  </w:style>
  <w:style w:type="character" w:styleId="CommentReference">
    <w:name w:val="annotation reference"/>
    <w:basedOn w:val="DefaultParagraphFont"/>
    <w:uiPriority w:val="99"/>
    <w:semiHidden/>
    <w:unhideWhenUsed/>
    <w:rsid w:val="003727F9"/>
    <w:rPr>
      <w:sz w:val="16"/>
      <w:szCs w:val="16"/>
    </w:rPr>
  </w:style>
  <w:style w:type="paragraph" w:styleId="CommentText">
    <w:name w:val="annotation text"/>
    <w:basedOn w:val="Normal"/>
    <w:link w:val="CommentTextChar"/>
    <w:uiPriority w:val="99"/>
    <w:unhideWhenUsed/>
    <w:rsid w:val="003727F9"/>
    <w:rPr>
      <w:sz w:val="20"/>
      <w:szCs w:val="20"/>
    </w:rPr>
  </w:style>
  <w:style w:type="character" w:customStyle="1" w:styleId="CommentTextChar">
    <w:name w:val="Comment Text Char"/>
    <w:basedOn w:val="DefaultParagraphFont"/>
    <w:link w:val="CommentText"/>
    <w:uiPriority w:val="99"/>
    <w:rsid w:val="003727F9"/>
    <w:rPr>
      <w:sz w:val="20"/>
      <w:szCs w:val="20"/>
    </w:rPr>
  </w:style>
  <w:style w:type="paragraph" w:styleId="CommentSubject">
    <w:name w:val="annotation subject"/>
    <w:basedOn w:val="CommentText"/>
    <w:next w:val="CommentText"/>
    <w:link w:val="CommentSubjectChar"/>
    <w:uiPriority w:val="99"/>
    <w:semiHidden/>
    <w:unhideWhenUsed/>
    <w:rsid w:val="003727F9"/>
    <w:rPr>
      <w:b/>
      <w:bCs/>
    </w:rPr>
  </w:style>
  <w:style w:type="character" w:customStyle="1" w:styleId="CommentSubjectChar">
    <w:name w:val="Comment Subject Char"/>
    <w:basedOn w:val="CommentTextChar"/>
    <w:link w:val="CommentSubject"/>
    <w:uiPriority w:val="99"/>
    <w:semiHidden/>
    <w:rsid w:val="003727F9"/>
    <w:rPr>
      <w:b/>
      <w:bCs/>
      <w:sz w:val="20"/>
      <w:szCs w:val="20"/>
    </w:rPr>
  </w:style>
  <w:style w:type="paragraph" w:styleId="BalloonText">
    <w:name w:val="Balloon Text"/>
    <w:basedOn w:val="Normal"/>
    <w:link w:val="BalloonTextChar"/>
    <w:uiPriority w:val="99"/>
    <w:semiHidden/>
    <w:unhideWhenUsed/>
    <w:rsid w:val="00D876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6E5"/>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21771F"/>
    <w:rPr>
      <w:color w:val="605E5C"/>
      <w:shd w:val="clear" w:color="auto" w:fill="E1DFDD"/>
    </w:rPr>
  </w:style>
  <w:style w:type="character" w:styleId="FollowedHyperlink">
    <w:name w:val="FollowedHyperlink"/>
    <w:basedOn w:val="DefaultParagraphFont"/>
    <w:uiPriority w:val="99"/>
    <w:semiHidden/>
    <w:unhideWhenUsed/>
    <w:rsid w:val="009234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71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151783-243A-1244-BE24-9C3CBCA70AD3}">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14</TotalTime>
  <Pages>3</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eshghjoo</dc:creator>
  <cp:keywords/>
  <dc:description/>
  <cp:lastModifiedBy>sahar eshghjoo</cp:lastModifiedBy>
  <cp:revision>7</cp:revision>
  <dcterms:created xsi:type="dcterms:W3CDTF">2021-01-16T22:52:00Z</dcterms:created>
  <dcterms:modified xsi:type="dcterms:W3CDTF">2021-01-16T23:36:00Z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documentId_7601</vt:lpwstr>
  </property>
  <property fmtid="{D5CDD505-2E9C-101B-9397-08002B2CF9AE}" pid="3" name="grammarly_documentContext">
    <vt:lpwstr>{"goals":[],"domain":"general","emotions":[],"dialect":"american"}</vt:lpwstr>
  </property>
</Properties>
</file>