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Electric-Field-Induced Neural Precursor Cell Differentiation in Microfluidic Devices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Hui-Fang Chang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Shih-En Chou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Ji-Yen Cheng</w:t>
      </w:r>
      <w:r>
        <w:rPr>
          <w:rFonts w:ascii="Calibri" w:hAnsi="Calibri" w:cs="Calibri" w:eastAsia="Calibri"/>
          <w:color w:val="auto"/>
          <w:spacing w:val="0"/>
          <w:position w:val="0"/>
          <w:sz w:val="24"/>
          <w:shd w:fill="auto" w:val="clear"/>
          <w:vertAlign w:val="superscript"/>
        </w:rPr>
        <w:t xml:space="preserve">1,2,3,4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Research Center for Applied Sciences, Academia Sinica, Taipei11529,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Biophotonics, National Yang-Ming University, Taipei 11221, Taiwan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Mechanical and Mechatronic Engineering, National Taiwan Ocean University, Keelung 20224, Taiwan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College of Engineering, Chang Gung University, Taoyuan 33302,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Hui-Fang Chang (emily16@gate.sinica.edu.tw)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Shih-En Chou (angel30711@gmail.com)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Ji-Yen Cheng (jycheng@gate.sinica.edu.tw)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Electric fields, neural stem and progenitor cells, differentiation, polymethyl methacrylate, PMMA, microfluidic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present a protocol for the differentiation of neural stem and progenitor cells (NPCs) solely induced by direct current (DC) pulse stimulation in a microfluidic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Physiological electric fields (EF) play vital roles in cell migration, differentiation, division, and death. This paper describes a microfluidic cell culture system that was used for a long-term cell differentiation study using microscopy. The microfluidic system consists of the following major components: an optically transparent electrotactic chip, a transparent indium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oxide (ITO) heater, a culture media-filling pump, an electrical power supply, a high-frequency power amplifier, an EF multiplexer, a programmable X-Y-Z motorized stage, and an inverted phase-contrast microscope equipped with a digital camera. The microfluidic system is beneficial in simplifying the overall experimental setup and, in turn, the reagent and sample consumption. This work involves the differentiation of neural stem and progenitor cells (NPCs) induced by direct current (DC) pulse stimulation. In the stem cell maintenance medium, the mouse NPCs (mNPCs) differentiated into neurons, astrocytes, and oligodendrocytes after the DC pulse stimulation. The results suggest that simple DC pulse treatment could control the fate of mNPCs and could be used to develop therapeutic strategies for nervous system disorders. The system can be used for cell culture in multiple channels, for long-term EF stimulation, for cell morphological observation, and for automatic time-lapse image acquisition. This microfluidic system not only shortens the required experimental time, but also increases the accuracy of control on the microenvironment.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Neural precursor cells (NPCs, also known as neural stem and progenitor cells) can be as a promising candidate for neurodegenerative therapeutic strategy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undifferentiated NPCs have self-renewal capacity, multi-potency, and proliferative ability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 previous study has reported that the extracellular matrix and molecular mediators regulate differentiation of NPC. The epidermal growth factor (EGF) and basic fibroblast growth factor (bFGF) promote NPC proliferation, thus maintaining the undifferentiated state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reported that electrical stimulation can regulate cell physiologic activities such as division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migration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differentiation</w:t>
      </w:r>
      <w:r>
        <w:rPr>
          <w:rFonts w:ascii="Calibri" w:hAnsi="Calibri" w:cs="Calibri" w:eastAsia="Calibri"/>
          <w:color w:val="auto"/>
          <w:spacing w:val="0"/>
          <w:position w:val="0"/>
          <w:sz w:val="24"/>
          <w:shd w:fill="auto" w:val="clear"/>
          <w:vertAlign w:val="superscript"/>
        </w:rPr>
        <w:t xml:space="preserve">1,9,10</w:t>
      </w:r>
      <w:r>
        <w:rPr>
          <w:rFonts w:ascii="Calibri" w:hAnsi="Calibri" w:cs="Calibri" w:eastAsia="Calibri"/>
          <w:color w:val="auto"/>
          <w:spacing w:val="0"/>
          <w:position w:val="0"/>
          <w:sz w:val="24"/>
          <w:shd w:fill="auto" w:val="clear"/>
        </w:rPr>
        <w:t xml:space="preserve">, and cell death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Electric fields (EFs) play vital roles in the development and regeneration of the central nervous system development</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From 2009 to 2019, this laboratory has investigated cellular responses to the application of EF in the microfluidic system</w:t>
      </w:r>
      <w:r>
        <w:rPr>
          <w:rFonts w:ascii="Calibri" w:hAnsi="Calibri" w:cs="Calibri" w:eastAsia="Calibri"/>
          <w:color w:val="auto"/>
          <w:spacing w:val="0"/>
          <w:position w:val="0"/>
          <w:sz w:val="24"/>
          <w:shd w:fill="auto" w:val="clear"/>
          <w:vertAlign w:val="superscript"/>
        </w:rPr>
        <w:t xml:space="preserve">1,6-8,15-17</w:t>
      </w:r>
      <w:r>
        <w:rPr>
          <w:rFonts w:ascii="Calibri" w:hAnsi="Calibri" w:cs="Calibri" w:eastAsia="Calibri"/>
          <w:color w:val="auto"/>
          <w:spacing w:val="0"/>
          <w:position w:val="0"/>
          <w:sz w:val="24"/>
          <w:shd w:fill="auto" w:val="clear"/>
        </w:rPr>
        <w:t xml:space="preserve">. A multichannel, optically transparent, electrotactic (MOE) chip was designed to be suitable for immunofluorescence staining for confocal microscopy. The chip had high optical transparency and good durability and allowed the simultaneous conduct of three independent stimulation experiments and several immunostained conditions in a single study. The microfluidic system is beneficial in simplifying the overall experimental setup and, in turn, the reagent and sample consumption. This paper describes the development of a microfluidic cell culture system that was used for a long-term cell differentiation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Design and fabrication of the MOE chip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Draw patterns for individual polymethyl methacrylate (PMMA) layers and the double-sided tape using appropriate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 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Cut both the PMMA sheets and the double-sided tape with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laser machine scriber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Switch on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laser scriber and connect it to a personal computer. Open the designed pattern file using the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Place the PMMA sheets (275 mm x 400 mm) or double-sided tape (210 mm x 297 mm) on the platform of the laser scriber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Focus the laser onto the surface of the PMMA sheets or the double-sided tape using the auto-focus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Select the laser scriber as the printer, and then “print” the pattern using the laser scriber to start the direct ablation on the PMMA sheet or double-sided tape and obtain individual patterns on the PMMA sheet or tape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Remove the protective film from the PMMA sheets, and clean the surface using nitrogen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drawing of the PMMA pattern and direct machining of the PMMA sheet were performed according to a previous report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For bonding together multiple layers of PMMA sheets, stack three pieces of 1 mm PMMA sheets (Layers 1, 2, and 3), and bond them under a pressure of 5 kg/cm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in a thermal bonder for 30 min at 110 &amp;#176;C to form the flow/electrical stimulation channel assembly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Different batches of commercially obtained PMMA sheet have slightly different glass transition temperature (Tg). The optimal bonding temperature needs to be tested at 5 &amp;#176;C increments close to the Tg.</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Adhere 12 pieces of adaptors to the individual openings in Layer 1 of the MOE chip assembly with fast-acting cyanoacrylate glue.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adaptors are made of PMMA by injection molding. The flat surfaces at the bottom are for connecting to the MOE chip. The adaptors bearing 1/4W-28 female screw thread are for connecting white finger-tight plugs, flat bottom connectors, or Luer adaptors. Be careful when using fast-acting cyanoacrylate glue. Avoid splashing into the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Disinfect the 1 mm PMMA substrates (Layers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the double-sided tape (Layer 4), and the 3 mm optical grade PMMA (Layer 5) using ultraviolet (UV) irradiation for 30 min before assembling the chip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Adhere the 1 mm PMMA substrates (Layers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on the 3 mm optical grade PMMA (Layer 5) with the double-sided tape (Layer 4) to complete the PMMA assembly (Layers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Prepare the clean cover glass for the assembly on the chip.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 Fill a ten-fold dilution of the detergent in a staining jar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clean the cover glass in this detergent using an ultrasonic cleaner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 Thoroughly rinse the staining jar under running tap water to remove all traces of the detergent.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 Continue rinsing with distilled water to remove all traces of tap water, and repeat step 1.8.2 two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1.7.4. Dry the cleaned cover glass by blowing it with nitrogen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Disinfect the PMMA assembly (Layers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the double-sided tape (Layer 6), and the cover glass (Layer 7) using UV irradiation inside a biosafety cabinet for 30 min before assembling the chip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Adhere the cleaned cover glass (Layer 7) to the PMMA assembly (Layers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with the double-sided tape (Layer 6)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Incubate the MOE chip in a vacuum chamber overnight; use the MOE chip assembly for subsequent procedures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Coating poly-L-lysine (PLL) on the substrate in the cell culture regions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polytetrafluoroethylene tube, flat-bottom connector, cone connector, cone-Luer adaptor, white finger-tight plug (also called stopper), Luer adaptor, Luer lock syringe, and black rubber bung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 Sterilize all the above components in an autoclave at 121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Seal the openings of the agar bridge adaptors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with the white finger-tight plugs. Connect the flat-bottom connector to the MOE chip assembly via the medium inlet and outlet adaptors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Connect the cone-Luer adaptor to the 3-way stopcocks.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Add 2 mL of 0.01% PLL solution using a 3 mL syringe that connects to the 3-way stopcock of the medium inlet (</w:t>
      </w:r>
      <w:r>
        <w:rPr>
          <w:rFonts w:ascii="Calibri" w:hAnsi="Calibri" w:cs="Calibri" w:eastAsia="Calibri"/>
          <w:b/>
          <w:color w:val="auto"/>
          <w:spacing w:val="0"/>
          <w:position w:val="0"/>
          <w:sz w:val="24"/>
          <w:shd w:fill="FFFF00" w:val="clear"/>
        </w:rPr>
        <w:t xml:space="preserve">Figure 4B-</w:t>
      </w:r>
      <w:r>
        <w:rPr>
          <w:rFonts w:ascii="Segoe UI Symbol" w:hAnsi="Segoe UI Symbol" w:cs="Segoe UI Symbol" w:eastAsia="Segoe UI Symbol"/>
          <w:b/>
          <w:color w:val="auto"/>
          <w:spacing w:val="0"/>
          <w:position w:val="0"/>
          <w:sz w:val="24"/>
          <w:shd w:fill="FFFF00" w:val="clear"/>
        </w:rPr>
        <w:t xml:space="preserve">①</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Connect an empty 3 mL syringe to the 3-way stopcock of the medium outlet (</w:t>
      </w:r>
      <w:r>
        <w:rPr>
          <w:rFonts w:ascii="Calibri" w:hAnsi="Calibri" w:cs="Calibri" w:eastAsia="Calibri"/>
          <w:b/>
          <w:color w:val="auto"/>
          <w:spacing w:val="0"/>
          <w:position w:val="0"/>
          <w:sz w:val="24"/>
          <w:shd w:fill="FFFF00" w:val="clear"/>
        </w:rPr>
        <w:t xml:space="preserve">Figure 4B-</w:t>
      </w:r>
      <w:r>
        <w:rPr>
          <w:rFonts w:ascii="Segoe UI Symbol" w:hAnsi="Segoe UI Symbol" w:cs="Segoe UI Symbol" w:eastAsia="Segoe UI Symbol"/>
          <w:b/>
          <w:color w:val="auto"/>
          <w:spacing w:val="0"/>
          <w:position w:val="0"/>
          <w:sz w:val="24"/>
          <w:shd w:fill="FFFF00" w:val="clear"/>
        </w:rPr>
        <w:t xml:space="preserve">②</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Fill the cell culture regions with the PLL solution. Manually pump the coating solution back and forth slowly. Close the two 3-way stopcocks to seal the solution inside the culture regions.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Incubate the MOE chip at 37 &amp;#176;C overnight in an incubator filled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atmosphere.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the salt bridge network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Following step 2.6, open the two 3-way stopcocks and flush away the bubbles in the channels by manually pumping the coating solution back and forth in the channel using the two syringes.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Draw 3 mL of complete medium (stem cell maintenance medium consisting of Dulbecco’s modified Eagle’s medium/Ham's nutrient mixture F-12 (DMEM/F12), 2% B-27 supplement, 20 ng/mL EGF, and 20 ng/mL bFGF) into a 3 mL syringe that connects to the 3-way stopcock of the medium inlet (</w:t>
      </w:r>
      <w:r>
        <w:rPr>
          <w:rFonts w:ascii="Calibri" w:hAnsi="Calibri" w:cs="Calibri" w:eastAsia="Calibri"/>
          <w:b/>
          <w:color w:val="auto"/>
          <w:spacing w:val="0"/>
          <w:position w:val="0"/>
          <w:sz w:val="24"/>
          <w:shd w:fill="FFFF00" w:val="clear"/>
        </w:rPr>
        <w:t xml:space="preserve">Figure 4B-</w:t>
      </w:r>
      <w:r>
        <w:rPr>
          <w:rFonts w:ascii="Segoe UI Symbol" w:hAnsi="Segoe UI Symbol" w:cs="Segoe UI Symbol" w:eastAsia="Segoe UI Symbol"/>
          <w:b/>
          <w:color w:val="auto"/>
          <w:spacing w:val="0"/>
          <w:position w:val="0"/>
          <w:sz w:val="24"/>
          <w:shd w:fill="FFFF00" w:val="clear"/>
        </w:rPr>
        <w:t xml:space="preserve">①</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Figure 4B-</w:t>
      </w:r>
      <w:r>
        <w:rPr>
          <w:rFonts w:ascii="Segoe UI Symbol" w:hAnsi="Segoe UI Symbol" w:cs="Segoe UI Symbol" w:eastAsia="Segoe UI Symbol"/>
          <w:b/>
          <w:color w:val="auto"/>
          <w:spacing w:val="0"/>
          <w:position w:val="0"/>
          <w:sz w:val="24"/>
          <w:shd w:fill="FFFF00" w:val="clear"/>
        </w:rPr>
        <w:t xml:space="preserve">③</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Add 3 mL of complete medium to replace the coating solution in the cell culture regions. Connect an empty 5 mL syringe to the 3-way stopcock of the medium outlet (</w:t>
      </w:r>
      <w:r>
        <w:rPr>
          <w:rFonts w:ascii="Calibri" w:hAnsi="Calibri" w:cs="Calibri" w:eastAsia="Calibri"/>
          <w:b/>
          <w:color w:val="auto"/>
          <w:spacing w:val="0"/>
          <w:position w:val="0"/>
          <w:sz w:val="24"/>
          <w:shd w:fill="FFFF00" w:val="clear"/>
        </w:rPr>
        <w:t xml:space="preserve">Figure 4B-</w:t>
      </w:r>
      <w:r>
        <w:rPr>
          <w:rFonts w:ascii="Segoe UI Symbol" w:hAnsi="Segoe UI Symbol" w:cs="Segoe UI Symbol" w:eastAsia="Segoe UI Symbol"/>
          <w:b/>
          <w:color w:val="auto"/>
          <w:spacing w:val="0"/>
          <w:position w:val="0"/>
          <w:sz w:val="24"/>
          <w:shd w:fill="FFFF00" w:val="clear"/>
        </w:rPr>
        <w:t xml:space="preserve">④</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Prepare the salt bridge network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Cut the black rubber bung to produce a gap, and insert the silver (Ag)/silver chloride (AgCl) electrodes through the black rubber bung and into the Luer lock syringe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Replace the white fingertight plug with the Luer adaptor, and inject 3% hot agarose to fill the Luer adaptor.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preparation of the hot agarose, dissolve 3 g of agarose powder in 100 mL of phosphate-buffered saline (PBS) and sterilize in an autoclave at 121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w:t>
      </w:r>
      <w:r>
        <w:rPr>
          <w:rFonts w:ascii="Calibri" w:hAnsi="Calibri" w:cs="Calibri" w:eastAsia="Calibri"/>
          <w:color w:val="auto"/>
          <w:spacing w:val="0"/>
          <w:position w:val="0"/>
          <w:sz w:val="24"/>
          <w:shd w:fill="FFFFFF" w:val="clear"/>
        </w:rPr>
        <w:t xml:space="preserve">Connect the Luer lock syringe to the Luer adaptor. Inject 3% hot agarose through the</w:t>
      </w:r>
      <w:r>
        <w:rPr>
          <w:rFonts w:ascii="Calibri" w:hAnsi="Calibri" w:cs="Calibri" w:eastAsia="Calibri"/>
          <w:color w:val="auto"/>
          <w:spacing w:val="0"/>
          <w:position w:val="0"/>
          <w:sz w:val="24"/>
          <w:shd w:fill="FFFF00" w:val="clear"/>
        </w:rPr>
        <w:t xml:space="preserve"> black rubber bung</w:t>
      </w:r>
      <w:r>
        <w:rPr>
          <w:rFonts w:ascii="Calibri" w:hAnsi="Calibri" w:cs="Calibri" w:eastAsia="Calibri"/>
          <w:color w:val="auto"/>
          <w:spacing w:val="0"/>
          <w:position w:val="0"/>
          <w:sz w:val="24"/>
          <w:shd w:fill="FFFFFF" w:val="clear"/>
        </w:rPr>
        <w:t xml:space="preserve"> to fill the Luer lock syringe using the syringe with needle. Allow 10 to 20 mins for the agarose to cool down and solidify.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increase the volume capacity of the agarose, the Luer lock syringe is mounted on the Luer adaptor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Then, the large electrodes are inserted into the Luer lock syringe. The electrode is capable of providing a stable electrical stimulation for the long-term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Preparation of mNPCs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Culture the mNPCs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complete medium in a 25T cell culture flask at 37 &amp;#176;C in an incubator filled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Subculture the cells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and perform all experiments with cells that have undergone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passages from the original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Transfer the cell suspension to a 15 mL conical tube, and spin-down the neurospheres at 100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Aspirate the supernatant, and wash the neurospheres with 1x Dulbecco’s PBS (DPBS). Spin-down the neurospheres at 100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Aspirate the 1x DPBS and then resuspend the neurospheres in the complete medium. Mix thoroughly and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Add 1 mL of the neurosphere suspension using a 1 mL syringe that connects to the 3-way stopcock of the outlet (</w:t>
      </w:r>
      <w:r>
        <w:rPr>
          <w:rFonts w:ascii="Calibri" w:hAnsi="Calibri" w:cs="Calibri" w:eastAsia="Calibri"/>
          <w:b/>
          <w:color w:val="auto"/>
          <w:spacing w:val="0"/>
          <w:position w:val="0"/>
          <w:sz w:val="24"/>
          <w:shd w:fill="auto" w:val="clear"/>
        </w:rPr>
        <w:t xml:space="preserve">Figure 4B-</w:t>
      </w:r>
      <w:r>
        <w:rPr>
          <w:rFonts w:ascii="Segoe UI Symbol" w:hAnsi="Segoe UI Symbol" w:cs="Segoe UI Symbol" w:eastAsia="Segoe UI Symbol"/>
          <w:b/>
          <w:color w:val="auto"/>
          <w:spacing w:val="0"/>
          <w:position w:val="0"/>
          <w:sz w:val="24"/>
          <w:shd w:fill="auto" w:val="clear"/>
        </w:rPr>
        <w:t xml:space="preserve">②</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Setup of the microfluidic system for DC pulse stimulation (Figure 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Install the cell-seeded MOE chip onto the transparent ITO heater that is fastened on a programmable X-Y-Z motorized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ITO surface temperature is controlled by a proportional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integral</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derivative controller and maintained at 37 &amp;#176;C.</w:t>
      </w:r>
      <w:r>
        <w:rPr>
          <w:rFonts w:ascii="Calibri" w:hAnsi="Calibri" w:cs="Calibri" w:eastAsia="Calibri"/>
          <w:color w:val="auto"/>
          <w:spacing w:val="0"/>
          <w:position w:val="0"/>
          <w:sz w:val="24"/>
          <w:shd w:fill="auto" w:val="clear"/>
        </w:rPr>
        <w:t xml:space="preserve"> A K-type thermocouple is clamped between the chip and the ITO heater to monitor the temperature of the cell culture regions within the chip. The MOE chip is installed on a programmable X-Y-Z motorized stage and is suitable for automatic time-lapse image acquisition at individual channel sections. The fabrication of the ITO heater and the setup of the cell culture heating system have been described previously</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Infuse the mNPCs by manual pumping into the MOE chip via the medium outlet. Incubate the cell-seeded MOE chip on the 37 &amp;#176;C ITO heater for 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After 4 h, pump the complete medium through the MOE chip via the medium inlet at a flow rate of 20 &amp;#181;L/h using a syringe pump.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mNPCs are grown and maintained in the chip for an additional 24 h before EF stimulation to allow cell attachment and growth. The waste liquid is collected in an empty 5 mL syringe connected to the 3-way stopcock of the outlet, shown as "waste"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The MOE microfluidic system configuration is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microfluidic system provides a continuous supply of nutrition to the cells. The complete fresh medium is continuously pumped into the MOE chip to maintain a constant pH value. Therefore, the cells can be cultured outside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Use electrical wires to connect an EF multiplexer to the MOE chip via the Ag/AgCl electrodes on the chip. Connect an EF multiplexer and a function generator to an amplifier to output square-wave DC pulses with a magnitude of 300 mV/mm at a frequency of 100 Hz at 50% duty cycles (50% time-on and 50% time-off) (</w:t>
      </w:r>
      <w:r>
        <w:rPr>
          <w:rFonts w:ascii="Calibri" w:hAnsi="Calibri" w:cs="Calibri" w:eastAsia="Calibri"/>
          <w:b/>
          <w:color w:val="auto"/>
          <w:spacing w:val="0"/>
          <w:position w:val="0"/>
          <w:sz w:val="24"/>
          <w:shd w:fill="FFFF00" w:val="clear"/>
        </w:rPr>
        <w:t xml:space="preserve">Figure 6B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Connect the electrical wires to the EF multiplexer. Connect the electrical wires to the MOE chip via the Ag/AgCl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 Connect the EF multiplexer to the amplifier using electrical wires. Connect the function generator to the amplifier and the digital oscilloscope.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EF multiplexer is a circuit that includes the impedance of the culture chamber in the circuit and connects all individual chambers in a parallel electronic network. Each of the three culture chambers is electrically connected in serial to a variable resistor (Vr) and an ammeter (shown as &amp;#181;A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in the multiplexer. The electric current through each culture chamber is varied by controlling the Vr, and the current is shown on the corresponding ammeter. The electric field strength in each cell culture region was calculated by Ohm’s Law, I= &amp;#963;EA, where I is the electric current, &amp;#963; (set as 1.38 S·m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DMEM/F12</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is the electrical conductivity of the culture medium, E is the electric field, and A is the cross-sectional area of the electrotactic chamber. For the cell culture region dimension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electric current is ~87 mA and ~44 mA for DC and DC pulse at 50% duty cycle, respectively.</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Subject the mNPCs to square DC pulses with a magnitude of 300 mV/mm at the frequency of 100 Hz for 48h. Continuously pump the complete medium at a rate of 10 &amp;#181;L/h to supply adequate nutrition to the cells and to maintain a constant pH value in the medium.</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Immunofluorescence assays of mNPCs after pulsed DC stimulation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step, all reagent is pumped via the medium inlet using a syringe pump.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After 3, 7, or 14 days in vitro (DIV) culturing after seeding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wash the cells with 1x PBS at a flow rate of 25 &amp;#181;L/min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Fix the cells with 4% paraformaldehyde (PFA). Pump 4% PFA into the chip at a flow rate of 25 &amp;#181;L/min for 20 min to replace the 1x PBS. To replace the 4% PFA, wash the cells with 1x PBS at a flow rate of 25 &amp;#181;L/min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Pump 0.1% Triton X-100 into the chip at a flow rate of 50 &amp;#181;L/min for 6 min to permeabilize the cells. Reduce the flow rate to 50 &amp;#181;L/h for an additional 30 min to react with the cells. To replace the 0.1% Triton X-100, wash the cells with 1x PBS at a flow rate of 50 &amp;#181;L/min for 6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Block the cells with PBS containing 1% bovine serum albumin (BSA) to reduce nonspecific antibody binding. Pump 1% BSA into the chip at a flow rate of 50 &amp;#181;L/min for 6 min. Reduce the flow rate to 100 &amp;#181;L/h and pump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Pump the antibodies for double immunostaining into the chip at a flow rate of 50 &amp;#181;L/min for 6 min, and incubate the chip for 18 h at 4 &amp;#176;C. Wash the cells with 1x PBS at a flow rate of 50 &amp;#181;L/min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Pump the Alexa Fluor-conjugated secondary antibodies into the chip at a flow rate of 50 &amp;#181;L/min for 6 min. Reduce the flow rate to 50 &amp;#181;L/h, and pump the antibodies for 1 h at room temperature in the dark. Wash the cells with 1x PBS at a flow rate of 50 &amp;#181;L/min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For nuclear staining, pump Hoechst 33342 into the chip at a flow rate of 20 &amp;#181;L/min for 10 min at room temperature in the dark. Wash the cells with 1x PBS at a flow rate of 50 &amp;#181;L/min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After immunostaining, observe the cells using a confocal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Image analysis and data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Analyze the fluorescent images using software with built-in measurement tools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Compare the Hoechst-counterstained nuclei (total number of cells) in the control and treatment groups, and calculate the percentage of cells expressing each phenotypic marker.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detailed configuration of the MOE chip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microfluidic chip provides a beneficial approach for reducing the experimental setup size, sample volume, and reagent volume. The MOE chip was designed to perform three independent EF stimulation experiments and several immunostaining conditions simultaneously in a single study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addition, the MOE chip, which has a high optical transparency is suitable for confocal microscopy examinations. The MOE chip is also designed to investigate the effects of different cell culture conditions (e.g., multiple EF stimulation, several drugs, different coating substrate, multiple series of cells) simultaneously in a single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mNPCs were exposed to square-wave DC pulses (magnitude 300 mV/mm at a frequency of 100 Hz). The DC pulse stimulation was conducted for 48 h. The differentiated cells were immunostained with Tuj1 (neuron-specific class III &amp;#946;-tubulin), glial fibrillary acidic protein (GFAP to identify astrocytes), and oligodendrocyte marker O4. After the DC pulse treatment, the mNPCs expressed significantly high numbers of neurons (Tuj1+ cells) at DIV 7. At DIV 3, astrocytes (GFAP+ cells) were present at relatively higher levels in the stimulation groups than in the control (CTL) group. Compared with the CTL group, oligodendrocytes (O4+ cells) were significantly higher in the stimulation group at DIV 7 and DIV 14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These results show that the DC pulse stimulation resulted in mNPCs differentiating into neurons, astrocytes, and oligodendrocytes simultaneously in stem cell maintenance medium. These results suggest that the MOE microfluidic system is suitable for a long-term cell differentiation study by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detailed configuration of the multichannel optically transparent electrotactic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Exploded view of the MOE chip assembly. The MOE chip consists of PMMA sheets (50 mm x 25 mm x 1 mm), double-sided tape (50 mm x 25 mm x 0.07 mm), adaptors (10 mm x 10 mm x 6 mm), optical grade PMMA sheet (50 mm x 75 mm x 3 mm), double-sided tape (24 mm x 60 mm x 0.07 mm), and a cover glass (24 mm &amp;#215; 60 mm). There are three cell culture chambers in the MOE chip. The MOE chip has connecting holes for the medium inlet/outlet and the agar salt bridges. Cells were cultured in the cell culture region (width 3 mm x length 42 mm x height 0.07 mm).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has been modified from Chang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 of the MOE chip comprising adaptors, PMMA sheets, double-sided tape, and cover glass. Abbreviations: MOE= multichannel optically transparent electrotactic; PMMA = polymethyl methacrylate.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fabrication and assembling processes of the MOE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designed patterns of the PMMA sheets or double-sided tape were fabricated using laser micromachining.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individual PMMA sheets were cut by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laser scriber.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multiple layers of the cleaned PMMA sheets were bonded together by a thermal bonder. Abbreviations: MOE= multichannel optically transparent electrotactic; PMMA = polymethyl methacrylate;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carbon dioxide.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photograph of the MOE chip. </w:t>
      </w:r>
      <w:r>
        <w:rPr>
          <w:rFonts w:ascii="Calibri" w:hAnsi="Calibri" w:cs="Calibri" w:eastAsia="Calibri"/>
          <w:color w:val="auto"/>
          <w:spacing w:val="0"/>
          <w:position w:val="0"/>
          <w:sz w:val="24"/>
          <w:shd w:fill="auto" w:val="clear"/>
        </w:rPr>
        <w:t xml:space="preserve">This figure has been modified from Chang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Abbreviation: MOE= multichannel optically transparent electrotactic.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Medium and electrical connection to the MOE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 of the components for the medium flow network and the EF network in the MOE microfluidic system, including the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PTFE tube, flat-bottom connector, cone connector, cone-Luer adaptor, white finger-tight plug, Luer adaptor, Luer lock syringe, black rubber bung, and the Ag/AgCl electrodes.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Photograph of the configuration for the medium flow network. Abbreviations: MOE= multichannel optically transparent electrotactic; EF = electric field; PTFE = polytetrafluoroethylene; Ag = silver; AgCl = silver chloride.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 photograph showing the MOE chip on a microscope. </w:t>
      </w:r>
      <w:r>
        <w:rPr>
          <w:rFonts w:ascii="Calibri" w:hAnsi="Calibri" w:cs="Calibri" w:eastAsia="Calibri"/>
          <w:color w:val="auto"/>
          <w:spacing w:val="0"/>
          <w:position w:val="0"/>
          <w:sz w:val="24"/>
          <w:shd w:fill="auto" w:val="clear"/>
        </w:rPr>
        <w:t xml:space="preserve">Abbreviations: MOE= multichannel optically transparent electrotactic; Ag = silver; AgCl = silver chloride; ITO = indium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configuration and the system used for the DC pulse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configuration of the entire system for the DC pulse stimulation. The syringes connected to the MOE chip were used for medium infusion and waste efflux. The DC pulse in the chip was provided by a power supply conducted through the Ag/AgCl electrodes. The device setup was installed on the X-Y-Z motorized stage of an inverted phase-contrast microscope equipped with a digital camera.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photograph showing the setup on a laboratory bench. Abbreviations: MOE= multichannel optically transparent electrotactic; Ag = silver; AgCl = silver chloride; ITO = indium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oxide; EF = electric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00FFFF" w:val="clear"/>
        </w:rPr>
      </w:pPr>
      <w:r>
        <w:rPr>
          <w:rFonts w:ascii="Calibri" w:hAnsi="Calibri" w:cs="Calibri" w:eastAsia="Calibri"/>
          <w:b/>
          <w:color w:val="auto"/>
          <w:spacing w:val="0"/>
          <w:position w:val="0"/>
          <w:sz w:val="24"/>
          <w:shd w:fill="auto" w:val="clear"/>
        </w:rPr>
        <w:t xml:space="preserve">Figure 7: Differentiation of the mNPC cells in the control group (CTL) and in the DC pulse stimulation group at DIV 3, 7, and 14. </w:t>
      </w:r>
      <w:r>
        <w:rPr>
          <w:rFonts w:ascii="Calibri" w:hAnsi="Calibri" w:cs="Calibri" w:eastAsia="Calibri"/>
          <w:color w:val="auto"/>
          <w:spacing w:val="0"/>
          <w:position w:val="0"/>
          <w:sz w:val="24"/>
          <w:shd w:fill="auto" w:val="clear"/>
        </w:rPr>
        <w:t xml:space="preserve">The percentage of neuron (Tuj1+ cells), astrocytes (GFAP+ cells), and oligodendrocytes (O4+ cells) in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CTL group and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 the stimulation (DC pulses) group. This figure has been published by Chang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Abbreviations: CTL: control; DC = direct current; Tuj1 = neuron-specific class III &amp;#946;-tubulin; GFAP = glial fibrillary acidic protein; O4 = oligodendrocyte marker O4.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fabrication of the MOE chip, the adaptors are attached to the Layer 1 of the MOE chip with fast-acting cyanoacrylate glue. The glue is applied to 4 corners of the adaptors, and then pressure is applied evenly over the adaptors. Excess amount of glue must be avoided to ensure complete polymerization of the glue. Moreover, the completed MOE chip assembly is incubated in a vacuum chamber. This step helps to remove the bubbles between the PMMA layer, the double-sided tape, and the cover glass.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choice of the electrode material is based on the fact that chloride ions, which are abundantly present in the medium, are the electrolytic products flowing through the cell culture region. During the EF stimulation experiment, the pH around the electrodes remained constant. A simpler configuration using platinum (Pt) as the electrode material electrolyzes water and generates hydrogen ions (H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hydroxide ions (OH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at the positive electrode and the negative electrode, respectively, inducing pH changes in the culture region. Avoiding the use of Pt electrodes circumvents the problem of pH changes during the EF stimulation experiment.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hot agarose and bubble-free agarose are essential during the preparation of the salt bridge network. The hot agarose has high fluidity and can be easily injected into the salt bridge network. Connect the Luer lock syringe to the Luer adaptor after injecting the 3% hot agarose into the Luer adaptor. During this step, the agarose will be pushed up into the Luer lock syringe so that a bubble-free firm connection of the salt bridge network can be achieved. Bubbles in the salt bridges increase the electrical resistance and hence, the anticipated electric current cannot be reached. After the agarose injection, it is important to wait for the agarose to cool down and solidify at room temperature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to prevent the formation of solidified agarose debris in the cell culture region.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The MOE chip is placed onto an ITO heater that is locked on a programmable X-Y-Z motorized stage. The entire system is built onto an inverted phase-contrast microscope equipped with a digital camera to monitor cell differentiation within the cell culture regions in the chip. It is convenient to observe the cell morphology and acquisition of the automatic time-lapse images in the MOE microfluidic system outside an incubator. This microfluidic system not only shortens the required experimental time, but also increases the accuracy of control on the microenvironment.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mNPC cells grow as a suspension in culture media. However, mNPCs adhering to the PLL-coated plate in the MOE chip are critical for differentiation. Neurospheres formed by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cells are preferred for initiating mNPC differentiation. Overgrowth of mNPCs will impair cell survival during the differentiation process. Furthermore, after the pulsed DC stimulation, the immunofluorescence staining experimental can be affected by the flow rate. Hence, use several flow rates for different steps to avoid detaching cells during the wash.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limitation of this technique is that the MOE chip cannot be reused because of the difficulty in thorough cleaning of the chip. However, the MOE chip can be placed under a phase-contrast microscope or a scanning confocal microscope directly. The water-tight design of the reported microfluidic system ensures that buffer/medium evaporation does not occur, maintaining the accurate concentration of the buffer/medium and the corresponding electrical properties. By reducing reagent volumes and the corresponding operation time, the MOE microfluidic system provides an efficient approach for studying cell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study has shown that EGF and bFGF promote NPC survival, expansion, and maintenance in the undifferentiated state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this study, the DC pulses induced the differentiation of the mNPCs in the stem cell maintenance medium that contained EGF and bFGF. Previous studies have reported that EF promotes differentiation of NPCs into neurons and/or astrocytes in differentiation medium without EGF and bFGF</w:t>
      </w:r>
      <w:r>
        <w:rPr>
          <w:rFonts w:ascii="Calibri" w:hAnsi="Calibri" w:cs="Calibri" w:eastAsia="Calibri"/>
          <w:color w:val="auto"/>
          <w:spacing w:val="0"/>
          <w:position w:val="0"/>
          <w:sz w:val="24"/>
          <w:shd w:fill="auto" w:val="clear"/>
          <w:vertAlign w:val="superscript"/>
        </w:rPr>
        <w:t xml:space="preserve">14,21,22</w:t>
      </w:r>
      <w:r>
        <w:rPr>
          <w:rFonts w:ascii="Calibri" w:hAnsi="Calibri" w:cs="Calibri" w:eastAsia="Calibri"/>
          <w:color w:val="auto"/>
          <w:spacing w:val="0"/>
          <w:position w:val="0"/>
          <w:sz w:val="24"/>
          <w:shd w:fill="auto" w:val="clear"/>
        </w:rPr>
        <w:t xml:space="preserve">. These results show that the mNPCs differentiated into neurons, astrocytes, and oligodendrocytes after the DC pulse stimulation. They also suggest that simple DC pulse treatment could control the fate of NPCs. With further optimization on the stimulation time, EF strength, or duty cycle, DC pulses may be applied to manipulate NPC differentiation and may be used for the development of therapeutic strategies that employ NPCs to treat nervous system disorders.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Professor Tang K. Tang, Institute of Biomedical Sciences, Academia Sinica, for his assistance in providing mouse neural stem and progenitor cells (mNPCs). The authors also thank Professor Tang K. Tang and Ms. Ying-Shan Lee, for their valuable discussion on the differentiation of mNPCs.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Chang, H. F., Lee, Y. S., Tang, T. K., Cheng, J. Y. Pulsed DC electric field-induced differentiation of cortical neural precursor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e0158133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 S., Li, H., Wang, Z. Orientation of spiral ganglion neurite extension in electrical fields of charge-balanced biphasic pulses and direct current in vitro. </w:t>
      </w:r>
      <w:r>
        <w:rPr>
          <w:rFonts w:ascii="Calibri" w:hAnsi="Calibri" w:cs="Calibri" w:eastAsia="Calibri"/>
          <w:i/>
          <w:color w:val="auto"/>
          <w:spacing w:val="0"/>
          <w:position w:val="0"/>
          <w:sz w:val="24"/>
          <w:shd w:fill="auto" w:val="clear"/>
        </w:rPr>
        <w:t xml:space="preserve">Hearing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Rajnicek, A. M., Robinson, K. R., McCaig, C. D. The direction of neurite growth in a weak DC electric field depends on the substratum: contributions of adhesivity and net surface charge.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(2), 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Kim, Y.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Differential regulation of proliferation and differentiation in neural precursor cells by the Jak pathway.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 1816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Cunha, F., Rajnicek, A. M., McCaig, C. D. Electrical stimulation directs migration, enhances and orients cell division and upregulates the chemokine receptors CXCR4 and CXCR2 in endothelial cells. </w:t>
      </w:r>
      <w:r>
        <w:rPr>
          <w:rFonts w:ascii="Calibri" w:hAnsi="Calibri" w:cs="Calibri" w:eastAsia="Calibri"/>
          <w:i/>
          <w:color w:val="auto"/>
          <w:spacing w:val="0"/>
          <w:position w:val="0"/>
          <w:sz w:val="24"/>
          <w:shd w:fill="auto" w:val="clear"/>
        </w:rPr>
        <w:t xml:space="preserve">Journal of 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Chang, H. F., Cheng, H. T., Chen, H. Y., Yeung, W. K., Cheng, J. Y. Doxycycline inhibits electric field-induced migration of non-small cell lung cancer (NSCLC)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8094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Tsai, H. F., Peng, S. W., Wu, C. Y., Chang, H. F., Cheng, J. Y. Electrotaxis of oral squamous cell carcinoma cells in a multiple-electric-field chip with uniform flow field.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34116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Huang, C. W., Cheng, J. Y., Yen, M. H., Young, T. H. Electrotaxis of lung cancer cells in a multiple-electric-field chip.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(12), 3510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3516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Jing,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Study of electrical stimulation with different electric-field intensities in the regulation of the differentiation of PC12 cells. </w:t>
      </w:r>
      <w:r>
        <w:rPr>
          <w:rFonts w:ascii="Calibri" w:hAnsi="Calibri" w:cs="Calibri" w:eastAsia="Calibri"/>
          <w:i/>
          <w:color w:val="auto"/>
          <w:spacing w:val="0"/>
          <w:position w:val="0"/>
          <w:sz w:val="24"/>
          <w:shd w:fill="auto" w:val="clear"/>
        </w:rPr>
        <w:t xml:space="preserve">American Chemical Society Chemical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Guo,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Self-powered electrical stimulation for enhancing neural differentiation of mesenchymal stem cells on graphene-poly(3,4-ethylenedioxythiophene) hybrid microfibers. </w:t>
      </w:r>
      <w:r>
        <w:rPr>
          <w:rFonts w:ascii="Calibri" w:hAnsi="Calibri" w:cs="Calibri" w:eastAsia="Calibri"/>
          <w:i/>
          <w:color w:val="auto"/>
          <w:spacing w:val="0"/>
          <w:position w:val="0"/>
          <w:sz w:val="24"/>
          <w:shd w:fill="auto" w:val="clear"/>
        </w:rPr>
        <w:t xml:space="preserve">American Chemical Society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5086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5095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Manabe, M., Mie, M., Yanagida, Y., Aizawa, M., Kobatake, E. Combined effect of electrical stimulation and cisplatin in HeLa cell death.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(6), 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Liu,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Protective effect of moderate exogenous electric field stimulation on activating netrin-1/DCC expression against mechanical stretch-induced injury in spinal cord neurons. </w:t>
      </w:r>
      <w:r>
        <w:rPr>
          <w:rFonts w:ascii="Calibri" w:hAnsi="Calibri" w:cs="Calibri" w:eastAsia="Calibri"/>
          <w:i/>
          <w:color w:val="auto"/>
          <w:spacing w:val="0"/>
          <w:position w:val="0"/>
          <w:sz w:val="24"/>
          <w:shd w:fill="auto" w:val="clear"/>
        </w:rPr>
        <w:t xml:space="preserve">Neurotoxicity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Haan, N., Song, B. Therapeutic application of electric fields in the injured nervous system. </w:t>
      </w:r>
      <w:r>
        <w:rPr>
          <w:rFonts w:ascii="Calibri" w:hAnsi="Calibri" w:cs="Calibri" w:eastAsia="Calibri"/>
          <w:i/>
          <w:color w:val="auto"/>
          <w:spacing w:val="0"/>
          <w:position w:val="0"/>
          <w:sz w:val="24"/>
          <w:shd w:fill="auto" w:val="clear"/>
        </w:rPr>
        <w:t xml:space="preserve">Advances in Wound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Ariza, 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influence of electric fields on hippocampal neural progenitor cells. </w:t>
      </w:r>
      <w:r>
        <w:rPr>
          <w:rFonts w:ascii="Calibri" w:hAnsi="Calibri" w:cs="Calibri" w:eastAsia="Calibri"/>
          <w:i/>
          <w:color w:val="auto"/>
          <w:spacing w:val="0"/>
          <w:position w:val="0"/>
          <w:sz w:val="24"/>
          <w:shd w:fill="auto" w:val="clear"/>
        </w:rPr>
        <w:t xml:space="preserve">Stem Cell Reviews and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Huang, C.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 expression of human lung cancer cell line CL1-5 in response to a direct current electric field.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e25928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Sun, Y. S., Peng, S. W., Lin, K. H., Cheng, J. Y. Electrotaxis of lung cancer cells in ordered three-dimensional scaffolds.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14102-14114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Hou, H. S., Chang, H. F., Cheng, J. Y. Electrotaxis studies of lung cancer cells using a multichannel dual-electric-field microfluidic chip.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e53340, doi:10.3791/53340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Cheng, J.-Y., Yen, M.-H., Hsu, W.-C., Jhang, J.-H., Young, T.-H. ITO patterning by a low power Q-switched green laser and its use in the fabrication of a transparent flow meter. </w:t>
      </w:r>
      <w:r>
        <w:rPr>
          <w:rFonts w:ascii="Calibri" w:hAnsi="Calibri" w:cs="Calibri" w:eastAsia="Calibri"/>
          <w:i/>
          <w:color w:val="auto"/>
          <w:spacing w:val="0"/>
          <w:position w:val="0"/>
          <w:sz w:val="24"/>
          <w:shd w:fill="auto" w:val="clear"/>
        </w:rPr>
        <w:t xml:space="preserve">Journal of Micromechanics and Microengineering.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2316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Cheng, J. Y., Yen, M. H., Kuo, C. T., Young, T. H. A transparent cell-culture microchamber with a variably controlled concentration gradient generator and flow field rectifier.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24105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Fuhr, G., Shirley, S. G. Cell handling and characterization using micron and submicron electrode arrays: state of the art and perspectives of semiconductor microtools. </w:t>
      </w:r>
      <w:r>
        <w:rPr>
          <w:rFonts w:ascii="Calibri" w:hAnsi="Calibri" w:cs="Calibri" w:eastAsia="Calibri"/>
          <w:i/>
          <w:color w:val="auto"/>
          <w:spacing w:val="0"/>
          <w:position w:val="0"/>
          <w:sz w:val="24"/>
          <w:shd w:fill="auto" w:val="clear"/>
        </w:rPr>
        <w:t xml:space="preserve">Journal of Micromechanics and Microengineering.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Chang,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Biphasic electrical currents stimulation promotes both proliferation and differentiation of fetal neural stem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e18738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Lim, J. H., McCullen, S. D., Piedrahita, J. A., Loboa, E. G., Olby, N. J. Alternating current electric fields of varying frequencies: effects on proliferation and differentiation of porcine neural progenitor cells. </w:t>
      </w:r>
      <w:r>
        <w:rPr>
          <w:rFonts w:ascii="Calibri" w:hAnsi="Calibri" w:cs="Calibri" w:eastAsia="Calibri"/>
          <w:i/>
          <w:color w:val="auto"/>
          <w:spacing w:val="0"/>
          <w:position w:val="0"/>
          <w:sz w:val="24"/>
          <w:shd w:fill="auto" w:val="clear"/>
        </w:rPr>
        <w:t xml:space="preserve">Cell Reprogram.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