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D6B" w:rsidRDefault="001240B8">
      <w:pPr>
        <w:ind w:right="-440"/>
        <w:rPr>
          <w:b/>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4511039</wp:posOffset>
                </wp:positionH>
                <wp:positionV relativeFrom="paragraph">
                  <wp:posOffset>-42530</wp:posOffset>
                </wp:positionV>
                <wp:extent cx="1734259" cy="1020725"/>
                <wp:effectExtent l="0" t="0" r="5715" b="0"/>
                <wp:wrapNone/>
                <wp:docPr id="2" name="Rectangle 2"/>
                <wp:cNvGraphicFramePr/>
                <a:graphic xmlns:a="http://schemas.openxmlformats.org/drawingml/2006/main">
                  <a:graphicData uri="http://schemas.microsoft.com/office/word/2010/wordprocessingShape">
                    <wps:wsp>
                      <wps:cNvSpPr/>
                      <wps:spPr>
                        <a:xfrm>
                          <a:off x="0" y="0"/>
                          <a:ext cx="1734259" cy="1020725"/>
                        </a:xfrm>
                        <a:prstGeom prst="rect">
                          <a:avLst/>
                        </a:prstGeom>
                        <a:solidFill>
                          <a:srgbClr val="FFFFFF"/>
                        </a:solidFill>
                        <a:ln>
                          <a:noFill/>
                        </a:ln>
                      </wps:spPr>
                      <wps:txbx>
                        <w:txbxContent>
                          <w:p w:rsidR="00912D6B" w:rsidRDefault="00BA3044">
                            <w:pPr>
                              <w:spacing w:line="275" w:lineRule="auto"/>
                              <w:jc w:val="right"/>
                              <w:textDirection w:val="btLr"/>
                            </w:pPr>
                            <w:r>
                              <w:rPr>
                                <w:rFonts w:ascii="Libre Franklin Medium" w:eastAsia="Libre Franklin Medium" w:hAnsi="Libre Franklin Medium" w:cs="Libre Franklin Medium"/>
                                <w:i/>
                                <w:color w:val="808080"/>
                                <w:sz w:val="20"/>
                              </w:rPr>
                              <w:t>Catherine A. Blish, M.D., Ph.D.</w:t>
                            </w:r>
                          </w:p>
                          <w:p w:rsidR="00912D6B" w:rsidRDefault="00BA3044">
                            <w:pPr>
                              <w:spacing w:line="275" w:lineRule="auto"/>
                              <w:jc w:val="right"/>
                              <w:textDirection w:val="btLr"/>
                            </w:pPr>
                            <w:r>
                              <w:rPr>
                                <w:rFonts w:ascii="Libre Franklin Medium" w:eastAsia="Libre Franklin Medium" w:hAnsi="Libre Franklin Medium" w:cs="Libre Franklin Medium"/>
                                <w:i/>
                                <w:color w:val="808080"/>
                                <w:sz w:val="20"/>
                              </w:rPr>
                              <w:t>Associate Professor</w:t>
                            </w:r>
                          </w:p>
                          <w:p w:rsidR="00912D6B" w:rsidRDefault="00BA3044">
                            <w:pPr>
                              <w:spacing w:line="275" w:lineRule="auto"/>
                              <w:jc w:val="right"/>
                              <w:textDirection w:val="btLr"/>
                            </w:pPr>
                            <w:r>
                              <w:rPr>
                                <w:rFonts w:ascii="Libre Franklin Medium" w:eastAsia="Libre Franklin Medium" w:hAnsi="Libre Franklin Medium" w:cs="Libre Franklin Medium"/>
                                <w:i/>
                                <w:color w:val="808080"/>
                                <w:sz w:val="18"/>
                              </w:rPr>
                              <w:t>Office:  650/725-5132</w:t>
                            </w:r>
                          </w:p>
                          <w:p w:rsidR="00912D6B" w:rsidRDefault="00BA3044">
                            <w:pPr>
                              <w:spacing w:line="275" w:lineRule="auto"/>
                              <w:jc w:val="right"/>
                              <w:textDirection w:val="btLr"/>
                            </w:pPr>
                            <w:r>
                              <w:rPr>
                                <w:rFonts w:ascii="Libre Franklin Medium" w:eastAsia="Libre Franklin Medium" w:hAnsi="Libre Franklin Medium" w:cs="Libre Franklin Medium"/>
                                <w:i/>
                                <w:color w:val="808080"/>
                                <w:sz w:val="18"/>
                              </w:rPr>
                              <w:t>Fax:  650/723-3474</w:t>
                            </w:r>
                          </w:p>
                          <w:p w:rsidR="00912D6B" w:rsidRDefault="00BA3044">
                            <w:pPr>
                              <w:spacing w:line="275" w:lineRule="auto"/>
                              <w:jc w:val="right"/>
                              <w:textDirection w:val="btLr"/>
                            </w:pPr>
                            <w:r>
                              <w:rPr>
                                <w:rFonts w:ascii="Libre Franklin Medium" w:eastAsia="Libre Franklin Medium" w:hAnsi="Libre Franklin Medium" w:cs="Libre Franklin Medium"/>
                                <w:i/>
                                <w:color w:val="808080"/>
                                <w:sz w:val="18"/>
                              </w:rPr>
                              <w:t>E-Mail:  cblish@stanford.edu</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55.2pt;margin-top:-3.35pt;width:136.55pt;height: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" stroked="f">
                <v:textbox inset="2.53958mm,1.2694mm,2.53958mm,1.2694mm">
                  <w:txbxContent>
                    <w:p w:rsidR="00912D6B" w:rsidRDefault="00BA3044">
                      <w:pPr>
                        <w:spacing w:line="275" w:lineRule="auto"/>
                        <w:jc w:val="right"/>
                        <w:textDirection w:val="btLr"/>
                      </w:pPr>
                      <w:r>
                        <w:rPr>
                          <w:rFonts w:ascii="Libre Franklin Medium" w:eastAsia="Libre Franklin Medium" w:hAnsi="Libre Franklin Medium" w:cs="Libre Franklin Medium"/>
                          <w:i/>
                          <w:color w:val="808080"/>
                          <w:sz w:val="20"/>
                        </w:rPr>
                        <w:t xml:space="preserve">Catherine A. </w:t>
                      </w:r>
                      <w:proofErr w:type="spellStart"/>
                      <w:r>
                        <w:rPr>
                          <w:rFonts w:ascii="Libre Franklin Medium" w:eastAsia="Libre Franklin Medium" w:hAnsi="Libre Franklin Medium" w:cs="Libre Franklin Medium"/>
                          <w:i/>
                          <w:color w:val="808080"/>
                          <w:sz w:val="20"/>
                        </w:rPr>
                        <w:t>Blish</w:t>
                      </w:r>
                      <w:proofErr w:type="spellEnd"/>
                      <w:r>
                        <w:rPr>
                          <w:rFonts w:ascii="Libre Franklin Medium" w:eastAsia="Libre Franklin Medium" w:hAnsi="Libre Franklin Medium" w:cs="Libre Franklin Medium"/>
                          <w:i/>
                          <w:color w:val="808080"/>
                          <w:sz w:val="20"/>
                        </w:rPr>
                        <w:t>, M.D., Ph.D.</w:t>
                      </w:r>
                    </w:p>
                    <w:p w:rsidR="00912D6B" w:rsidRDefault="00BA3044">
                      <w:pPr>
                        <w:spacing w:line="275" w:lineRule="auto"/>
                        <w:jc w:val="right"/>
                        <w:textDirection w:val="btLr"/>
                      </w:pPr>
                      <w:r>
                        <w:rPr>
                          <w:rFonts w:ascii="Libre Franklin Medium" w:eastAsia="Libre Franklin Medium" w:hAnsi="Libre Franklin Medium" w:cs="Libre Franklin Medium"/>
                          <w:i/>
                          <w:color w:val="808080"/>
                          <w:sz w:val="20"/>
                        </w:rPr>
                        <w:t>Associate Professor</w:t>
                      </w:r>
                    </w:p>
                    <w:p w:rsidR="00912D6B" w:rsidRDefault="00BA3044">
                      <w:pPr>
                        <w:spacing w:line="275" w:lineRule="auto"/>
                        <w:jc w:val="right"/>
                        <w:textDirection w:val="btLr"/>
                      </w:pPr>
                      <w:r>
                        <w:rPr>
                          <w:rFonts w:ascii="Libre Franklin Medium" w:eastAsia="Libre Franklin Medium" w:hAnsi="Libre Franklin Medium" w:cs="Libre Franklin Medium"/>
                          <w:i/>
                          <w:color w:val="808080"/>
                          <w:sz w:val="18"/>
                        </w:rPr>
                        <w:t>Office:  650/725-5132</w:t>
                      </w:r>
                    </w:p>
                    <w:p w:rsidR="00912D6B" w:rsidRDefault="00BA3044">
                      <w:pPr>
                        <w:spacing w:line="275" w:lineRule="auto"/>
                        <w:jc w:val="right"/>
                        <w:textDirection w:val="btLr"/>
                      </w:pPr>
                      <w:r>
                        <w:rPr>
                          <w:rFonts w:ascii="Libre Franklin Medium" w:eastAsia="Libre Franklin Medium" w:hAnsi="Libre Franklin Medium" w:cs="Libre Franklin Medium"/>
                          <w:i/>
                          <w:color w:val="808080"/>
                          <w:sz w:val="18"/>
                        </w:rPr>
                        <w:t>Fax:  650/723-3474</w:t>
                      </w:r>
                    </w:p>
                    <w:p w:rsidR="00912D6B" w:rsidRDefault="00BA3044">
                      <w:pPr>
                        <w:spacing w:line="275" w:lineRule="auto"/>
                        <w:jc w:val="right"/>
                        <w:textDirection w:val="btLr"/>
                      </w:pPr>
                      <w:r>
                        <w:rPr>
                          <w:rFonts w:ascii="Libre Franklin Medium" w:eastAsia="Libre Franklin Medium" w:hAnsi="Libre Franklin Medium" w:cs="Libre Franklin Medium"/>
                          <w:i/>
                          <w:color w:val="808080"/>
                          <w:sz w:val="18"/>
                        </w:rPr>
                        <w:t>E-Mail:  cblish@stanford.edu</w:t>
                      </w:r>
                    </w:p>
                  </w:txbxContent>
                </v:textbox>
              </v:rect>
            </w:pict>
          </mc:Fallback>
        </mc:AlternateContent>
      </w:r>
      <w:r w:rsidR="00BA3044">
        <w:rPr>
          <w:b/>
          <w:noProof/>
        </w:rPr>
        <w:drawing>
          <wp:inline distT="0" distB="0" distL="114300" distR="114300">
            <wp:extent cx="2434590" cy="66992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2434590" cy="669925"/>
                    </a:xfrm>
                    <a:prstGeom prst="rect">
                      <a:avLst/>
                    </a:prstGeom>
                    <a:ln/>
                  </pic:spPr>
                </pic:pic>
              </a:graphicData>
            </a:graphic>
          </wp:inline>
        </w:drawing>
      </w:r>
      <w:r w:rsidR="00BA3044">
        <w:rPr>
          <w:b/>
        </w:rPr>
        <w:tab/>
      </w:r>
      <w:r w:rsidR="00BA3044">
        <w:rPr>
          <w:noProof/>
        </w:rPr>
        <w:drawing>
          <wp:inline distT="0" distB="0" distL="0" distR="0">
            <wp:extent cx="1767840" cy="57912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767840" cy="579120"/>
                    </a:xfrm>
                    <a:prstGeom prst="rect">
                      <a:avLst/>
                    </a:prstGeom>
                    <a:ln/>
                  </pic:spPr>
                </pic:pic>
              </a:graphicData>
            </a:graphic>
          </wp:inline>
        </w:drawing>
      </w:r>
      <w:r w:rsidR="00BA3044">
        <w:rPr>
          <w:b/>
        </w:rPr>
        <w:t xml:space="preserve">    </w:t>
      </w:r>
      <w:bookmarkStart w:id="0" w:name="_gjdgxs" w:colFirst="0" w:colLast="0"/>
      <w:bookmarkEnd w:id="0"/>
    </w:p>
    <w:p w:rsidR="00912D6B" w:rsidRDefault="00BA3044">
      <w:r>
        <w:rPr>
          <w:noProof/>
        </w:rPr>
        <mc:AlternateContent>
          <mc:Choice Requires="wpg">
            <w:drawing>
              <wp:anchor distT="0" distB="0" distL="114300" distR="114300" simplePos="0" relativeHeight="251659264" behindDoc="0" locked="0" layoutInCell="1" hidden="0" allowOverlap="1">
                <wp:simplePos x="0" y="0"/>
                <wp:positionH relativeFrom="column">
                  <wp:posOffset>-63499</wp:posOffset>
                </wp:positionH>
                <wp:positionV relativeFrom="paragraph">
                  <wp:posOffset>38100</wp:posOffset>
                </wp:positionV>
                <wp:extent cx="3781425" cy="563880"/>
                <wp:effectExtent l="0" t="0" r="0" b="0"/>
                <wp:wrapNone/>
                <wp:docPr id="1" name="Rectangle 1"/>
                <wp:cNvGraphicFramePr/>
                <a:graphic xmlns:a="http://schemas.openxmlformats.org/drawingml/2006/main">
                  <a:graphicData uri="http://schemas.microsoft.com/office/word/2010/wordprocessingShape">
                    <wps:wsp>
                      <wps:cNvSpPr/>
                      <wps:spPr>
                        <a:xfrm>
                          <a:off x="3460050" y="3502823"/>
                          <a:ext cx="3771900" cy="554355"/>
                        </a:xfrm>
                        <a:prstGeom prst="rect">
                          <a:avLst/>
                        </a:prstGeom>
                        <a:solidFill>
                          <a:srgbClr val="FFFFFF"/>
                        </a:solidFill>
                        <a:ln>
                          <a:noFill/>
                        </a:ln>
                      </wps:spPr>
                      <wps:txbx>
                        <w:txbxContent>
                          <w:p w:rsidR="00912D6B" w:rsidRDefault="00BA3044">
                            <w:pPr>
                              <w:spacing w:line="275" w:lineRule="auto"/>
                              <w:textDirection w:val="btLr"/>
                            </w:pPr>
                            <w:r>
                              <w:rPr>
                                <w:rFonts w:ascii="Libre Franklin Medium" w:eastAsia="Libre Franklin Medium" w:hAnsi="Libre Franklin Medium" w:cs="Libre Franklin Medium"/>
                                <w:i/>
                                <w:color w:val="808080"/>
                                <w:sz w:val="20"/>
                              </w:rPr>
                              <w:t>Division of Infectious Diseases and Geographic Medicine</w:t>
                            </w:r>
                          </w:p>
                          <w:p w:rsidR="00912D6B" w:rsidRDefault="00BA3044">
                            <w:pPr>
                              <w:spacing w:line="240" w:lineRule="auto"/>
                              <w:textDirection w:val="btLr"/>
                            </w:pPr>
                            <w:r>
                              <w:rPr>
                                <w:rFonts w:ascii="Libre Franklin Medium" w:eastAsia="Libre Franklin Medium" w:hAnsi="Libre Franklin Medium" w:cs="Libre Franklin Medium"/>
                                <w:i/>
                                <w:color w:val="808080"/>
                                <w:sz w:val="20"/>
                              </w:rPr>
                              <w:t>300 Pasteur Dr., Lane Building, L-134</w:t>
                            </w:r>
                          </w:p>
                          <w:p w:rsidR="00912D6B" w:rsidRDefault="00BA3044">
                            <w:pPr>
                              <w:spacing w:line="275" w:lineRule="auto"/>
                              <w:textDirection w:val="btLr"/>
                            </w:pPr>
                            <w:r>
                              <w:rPr>
                                <w:rFonts w:ascii="Libre Franklin Medium" w:eastAsia="Libre Franklin Medium" w:hAnsi="Libre Franklin Medium" w:cs="Libre Franklin Medium"/>
                                <w:i/>
                                <w:color w:val="808080"/>
                                <w:sz w:val="20"/>
                              </w:rPr>
                              <w:t>Stanford, CA  94305-5107</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38100</wp:posOffset>
                </wp:positionV>
                <wp:extent cx="3781425" cy="563880"/>
                <wp:effectExtent b="0" l="0" r="0" t="0"/>
                <wp:wrapNone/>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781425" cy="563880"/>
                        </a:xfrm>
                        <a:prstGeom prst="rect"/>
                        <a:ln/>
                      </pic:spPr>
                    </pic:pic>
                  </a:graphicData>
                </a:graphic>
              </wp:anchor>
            </w:drawing>
          </mc:Fallback>
        </mc:AlternateContent>
      </w:r>
    </w:p>
    <w:p w:rsidR="00912D6B" w:rsidRDefault="00912D6B"/>
    <w:p w:rsidR="00912D6B" w:rsidRDefault="00912D6B">
      <w:pPr>
        <w:ind w:right="1440"/>
        <w:jc w:val="right"/>
      </w:pPr>
    </w:p>
    <w:p w:rsidR="00912D6B" w:rsidRDefault="00912D6B">
      <w:pPr>
        <w:ind w:right="1440"/>
        <w:jc w:val="right"/>
      </w:pPr>
    </w:p>
    <w:p w:rsidR="00912D6B" w:rsidRDefault="00912D6B">
      <w:pPr>
        <w:spacing w:line="288" w:lineRule="auto"/>
        <w:jc w:val="both"/>
      </w:pPr>
    </w:p>
    <w:p w:rsidR="00912D6B" w:rsidRDefault="00BA3044">
      <w:pPr>
        <w:spacing w:line="288" w:lineRule="auto"/>
        <w:jc w:val="both"/>
      </w:pPr>
      <w:r>
        <w:t>October 16, 2020</w:t>
      </w:r>
    </w:p>
    <w:p w:rsidR="00912D6B" w:rsidRDefault="00BA3044">
      <w:pPr>
        <w:spacing w:line="288" w:lineRule="auto"/>
        <w:jc w:val="both"/>
      </w:pPr>
      <w:r>
        <w:t xml:space="preserve"> </w:t>
      </w:r>
    </w:p>
    <w:p w:rsidR="00912D6B" w:rsidRDefault="00BA3044">
      <w:pPr>
        <w:spacing w:line="288" w:lineRule="auto"/>
        <w:ind w:right="80"/>
        <w:jc w:val="both"/>
      </w:pPr>
      <w:r>
        <w:t>Dear Dr. Nguyen,</w:t>
      </w:r>
    </w:p>
    <w:p w:rsidR="00912D6B" w:rsidRDefault="00BA3044">
      <w:pPr>
        <w:spacing w:line="288" w:lineRule="auto"/>
        <w:jc w:val="both"/>
      </w:pPr>
      <w:r>
        <w:t xml:space="preserve"> </w:t>
      </w:r>
    </w:p>
    <w:p w:rsidR="00912D6B" w:rsidRDefault="00BA3044">
      <w:r>
        <w:t>Thank you for the opportunity to submit our revised manuscript, “Profiling of the human natural killer cell receptor-ligand repertoire”, to JoVE. We appreciate the reviewers’ thorough evaluation of our method and thoughtful comments, and we hope you now find it suitable for publication. Please find attached our point-by-point responses to the specific comments that were raised by the editor and each reviewer.</w:t>
      </w:r>
    </w:p>
    <w:p w:rsidR="00912D6B" w:rsidRDefault="00912D6B">
      <w:pPr>
        <w:spacing w:line="288" w:lineRule="auto"/>
        <w:jc w:val="both"/>
      </w:pPr>
    </w:p>
    <w:p w:rsidR="00912D6B" w:rsidRDefault="00BA3044">
      <w:pPr>
        <w:spacing w:line="288" w:lineRule="auto"/>
        <w:jc w:val="both"/>
      </w:pPr>
      <w:r>
        <w:t>Please let us know if further information is needed. Thank you for your consideration.</w:t>
      </w:r>
    </w:p>
    <w:p w:rsidR="00912D6B" w:rsidRDefault="00912D6B"/>
    <w:p w:rsidR="00912D6B" w:rsidRDefault="00BA3044">
      <w:pPr>
        <w:spacing w:line="288" w:lineRule="auto"/>
        <w:jc w:val="both"/>
      </w:pPr>
      <w:r>
        <w:t xml:space="preserve">Sincerely, </w:t>
      </w:r>
    </w:p>
    <w:p w:rsidR="00912D6B" w:rsidRDefault="00BA3044">
      <w:pPr>
        <w:spacing w:line="288" w:lineRule="auto"/>
        <w:jc w:val="both"/>
      </w:pPr>
      <w:r>
        <w:rPr>
          <w:noProof/>
        </w:rPr>
        <w:drawing>
          <wp:inline distT="114300" distB="114300" distL="114300" distR="114300">
            <wp:extent cx="1092200" cy="5715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092200" cy="571500"/>
                    </a:xfrm>
                    <a:prstGeom prst="rect">
                      <a:avLst/>
                    </a:prstGeom>
                    <a:ln/>
                  </pic:spPr>
                </pic:pic>
              </a:graphicData>
            </a:graphic>
          </wp:inline>
        </w:drawing>
      </w:r>
    </w:p>
    <w:p w:rsidR="00912D6B" w:rsidRDefault="00BA3044">
      <w:pPr>
        <w:spacing w:line="331" w:lineRule="auto"/>
      </w:pPr>
      <w:r>
        <w:t>Catherine A. Blish, M.D., Ph.D., FIDSA</w:t>
      </w:r>
    </w:p>
    <w:p w:rsidR="00912D6B" w:rsidRDefault="00BA3044">
      <w:pPr>
        <w:spacing w:line="331" w:lineRule="auto"/>
      </w:pPr>
      <w:r>
        <w:t>Associate Professor, Department of Medicine and Stanford Immunology</w:t>
      </w:r>
    </w:p>
    <w:p w:rsidR="00912D6B" w:rsidRDefault="00BA3044">
      <w:pPr>
        <w:spacing w:line="331" w:lineRule="auto"/>
      </w:pPr>
      <w:r>
        <w:t xml:space="preserve">Associate Director, Stanford Medical Scientist Training Program (MSTP) </w:t>
      </w:r>
    </w:p>
    <w:p w:rsidR="00912D6B" w:rsidRDefault="00BA3044">
      <w:pPr>
        <w:spacing w:line="331" w:lineRule="auto"/>
      </w:pPr>
      <w:r>
        <w:t xml:space="preserve">Chan Zuckerberg Investigator, Chan Zuckerberg Biohub </w:t>
      </w:r>
    </w:p>
    <w:p w:rsidR="00912D6B" w:rsidRDefault="00BA3044">
      <w:pPr>
        <w:spacing w:line="331" w:lineRule="auto"/>
      </w:pPr>
      <w:r>
        <w:t xml:space="preserve">Tashia and John Morgridge Faculty Scholar, Stanford Child Health Research Institute Fellow, Stanford Center for Innovation in Global Health (CIGH) </w:t>
      </w:r>
    </w:p>
    <w:p w:rsidR="00912D6B" w:rsidRDefault="00912D6B">
      <w:pPr>
        <w:spacing w:line="331" w:lineRule="auto"/>
      </w:pPr>
    </w:p>
    <w:p w:rsidR="00912D6B" w:rsidRDefault="00BA3044">
      <w:pPr>
        <w:rPr>
          <w:b/>
          <w:color w:val="FF0000"/>
          <w:highlight w:val="white"/>
          <w:u w:val="single"/>
        </w:rPr>
      </w:pPr>
      <w:r>
        <w:br w:type="page"/>
      </w:r>
    </w:p>
    <w:p w:rsidR="00912D6B" w:rsidRDefault="00BA3044">
      <w:pPr>
        <w:rPr>
          <w:b/>
          <w:highlight w:val="white"/>
          <w:u w:val="single"/>
        </w:rPr>
      </w:pPr>
      <w:r>
        <w:rPr>
          <w:b/>
          <w:highlight w:val="white"/>
          <w:u w:val="single"/>
        </w:rPr>
        <w:lastRenderedPageBreak/>
        <w:t>Editorial comments:</w:t>
      </w:r>
    </w:p>
    <w:p w:rsidR="00912D6B" w:rsidRDefault="00BA3044">
      <w:pPr>
        <w:rPr>
          <w:color w:val="201F1E"/>
          <w:highlight w:val="white"/>
        </w:rPr>
      </w:pPr>
      <w:r>
        <w:rPr>
          <w:color w:val="201F1E"/>
          <w:highlight w:val="white"/>
        </w:rPr>
        <w:t>Changes to be made by the Author(s):</w:t>
      </w:r>
    </w:p>
    <w:p w:rsidR="00912D6B" w:rsidRDefault="00BA3044">
      <w:pPr>
        <w:rPr>
          <w:i/>
          <w:color w:val="201F1E"/>
          <w:highlight w:val="white"/>
        </w:rPr>
      </w:pPr>
      <w:r>
        <w:rPr>
          <w:i/>
          <w:color w:val="201F1E"/>
          <w:highlight w:val="white"/>
        </w:rPr>
        <w:t>1. Please take this opportunity to thoroughly proofread the manuscript to ensure that there are no spelling or grammar issues. Please define all abbreviations at first use.</w:t>
      </w:r>
    </w:p>
    <w:p w:rsidR="00912D6B" w:rsidRDefault="00912D6B">
      <w:pPr>
        <w:rPr>
          <w:color w:val="201F1E"/>
          <w:highlight w:val="white"/>
        </w:rPr>
      </w:pPr>
    </w:p>
    <w:p w:rsidR="00912D6B" w:rsidRDefault="00BA3044">
      <w:pPr>
        <w:rPr>
          <w:color w:val="4A86E8"/>
          <w:highlight w:val="white"/>
        </w:rPr>
      </w:pPr>
      <w:r>
        <w:rPr>
          <w:color w:val="4A86E8"/>
          <w:highlight w:val="white"/>
        </w:rPr>
        <w:t>We have gone through the manuscript and made these corrections.</w:t>
      </w:r>
    </w:p>
    <w:p w:rsidR="00912D6B" w:rsidRDefault="00912D6B">
      <w:pPr>
        <w:rPr>
          <w:color w:val="201F1E"/>
          <w:highlight w:val="white"/>
        </w:rPr>
      </w:pPr>
    </w:p>
    <w:p w:rsidR="00912D6B" w:rsidRDefault="00BA3044">
      <w:pPr>
        <w:rPr>
          <w:i/>
          <w:color w:val="201F1E"/>
          <w:highlight w:val="white"/>
        </w:rPr>
      </w:pPr>
      <w:r>
        <w:rPr>
          <w:i/>
          <w:color w:val="201F1E"/>
          <w:highlight w:val="white"/>
        </w:rPr>
        <w:t>2. Please provide at least 6 keywords or phrases.</w:t>
      </w:r>
    </w:p>
    <w:p w:rsidR="00912D6B" w:rsidRDefault="00912D6B">
      <w:pPr>
        <w:rPr>
          <w:color w:val="201F1E"/>
          <w:highlight w:val="white"/>
        </w:rPr>
      </w:pPr>
    </w:p>
    <w:p w:rsidR="00912D6B" w:rsidRDefault="00BA3044">
      <w:pPr>
        <w:rPr>
          <w:color w:val="4A86E8"/>
          <w:highlight w:val="white"/>
        </w:rPr>
      </w:pPr>
      <w:r>
        <w:rPr>
          <w:color w:val="4A86E8"/>
          <w:highlight w:val="white"/>
        </w:rPr>
        <w:t>This edit has been made.</w:t>
      </w:r>
    </w:p>
    <w:p w:rsidR="00912D6B" w:rsidRDefault="00912D6B">
      <w:pPr>
        <w:rPr>
          <w:color w:val="201F1E"/>
          <w:highlight w:val="white"/>
        </w:rPr>
      </w:pPr>
    </w:p>
    <w:p w:rsidR="00912D6B" w:rsidRDefault="00BA3044">
      <w:pPr>
        <w:rPr>
          <w:i/>
          <w:color w:val="201F1E"/>
          <w:highlight w:val="white"/>
        </w:rPr>
      </w:pPr>
      <w:r>
        <w:rPr>
          <w:i/>
          <w:color w:val="201F1E"/>
          <w:highlight w:val="white"/>
        </w:rPr>
        <w:t>3. Please adjust the numbering of the Protocol to follow the JoVE Instructions for Authors. For example, 1 should be followed by 1.1 and then 1.1.1 and 1.1.2 if necessary. Please refrain from using bullets or dashes.</w:t>
      </w:r>
    </w:p>
    <w:p w:rsidR="00912D6B" w:rsidRDefault="00912D6B">
      <w:pPr>
        <w:rPr>
          <w:color w:val="201F1E"/>
          <w:highlight w:val="white"/>
        </w:rPr>
      </w:pPr>
    </w:p>
    <w:p w:rsidR="00912D6B" w:rsidRDefault="00BA3044">
      <w:pPr>
        <w:rPr>
          <w:color w:val="4A86E8"/>
          <w:highlight w:val="white"/>
        </w:rPr>
      </w:pPr>
      <w:r>
        <w:rPr>
          <w:color w:val="4A86E8"/>
          <w:highlight w:val="white"/>
        </w:rPr>
        <w:t xml:space="preserve">This edit has been made. </w:t>
      </w:r>
    </w:p>
    <w:p w:rsidR="00912D6B" w:rsidRDefault="00912D6B">
      <w:pPr>
        <w:rPr>
          <w:color w:val="201F1E"/>
          <w:highlight w:val="white"/>
        </w:rPr>
      </w:pPr>
    </w:p>
    <w:p w:rsidR="00912D6B" w:rsidRDefault="00BA3044">
      <w:pPr>
        <w:rPr>
          <w:i/>
          <w:color w:val="201F1E"/>
          <w:highlight w:val="white"/>
        </w:rPr>
      </w:pPr>
      <w:r>
        <w:rPr>
          <w:i/>
          <w:color w:val="201F1E"/>
          <w:highlight w:val="white"/>
        </w:rPr>
        <w:t>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rsidR="00912D6B" w:rsidRDefault="00912D6B">
      <w:pPr>
        <w:rPr>
          <w:color w:val="201F1E"/>
          <w:highlight w:val="white"/>
        </w:rPr>
      </w:pPr>
    </w:p>
    <w:p w:rsidR="00912D6B" w:rsidRDefault="00BA3044">
      <w:pPr>
        <w:rPr>
          <w:color w:val="4A86E8"/>
          <w:highlight w:val="white"/>
        </w:rPr>
      </w:pPr>
      <w:r>
        <w:rPr>
          <w:color w:val="4A86E8"/>
          <w:highlight w:val="white"/>
        </w:rPr>
        <w:t xml:space="preserve">The protocol details were </w:t>
      </w:r>
      <w:r w:rsidR="001E69F5">
        <w:rPr>
          <w:color w:val="4A86E8"/>
          <w:highlight w:val="white"/>
        </w:rPr>
        <w:t>verified,</w:t>
      </w:r>
      <w:r>
        <w:rPr>
          <w:color w:val="4A86E8"/>
          <w:highlight w:val="white"/>
        </w:rPr>
        <w:t xml:space="preserve"> and the protocol contains everything we would like shown in the video. However, please note that due to COVID-19 related restrictions of access to Stanford University campus we may not be able to complete video production at this time. </w:t>
      </w:r>
    </w:p>
    <w:p w:rsidR="00912D6B" w:rsidRDefault="00912D6B">
      <w:pPr>
        <w:rPr>
          <w:color w:val="201F1E"/>
          <w:highlight w:val="white"/>
        </w:rPr>
      </w:pPr>
    </w:p>
    <w:p w:rsidR="00912D6B" w:rsidRDefault="00BA3044">
      <w:pPr>
        <w:rPr>
          <w:i/>
          <w:color w:val="201F1E"/>
          <w:highlight w:val="white"/>
        </w:rPr>
      </w:pPr>
      <w:r>
        <w:rPr>
          <w:i/>
          <w:color w:val="201F1E"/>
          <w:highlight w:val="white"/>
        </w:rP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912D6B" w:rsidRDefault="00BA3044">
      <w:pPr>
        <w:rPr>
          <w:i/>
          <w:color w:val="201F1E"/>
          <w:highlight w:val="white"/>
        </w:rPr>
      </w:pPr>
      <w:r>
        <w:rPr>
          <w:i/>
          <w:color w:val="201F1E"/>
          <w:highlight w:val="white"/>
        </w:rPr>
        <w:t>For example: NanoDrop, Maxpar® XB antibody labeling kits, “We have worked with Biolyph,…” Miltenyi Biotec’s NK cell Isolation Kit etc</w:t>
      </w:r>
    </w:p>
    <w:p w:rsidR="00912D6B" w:rsidRDefault="00912D6B">
      <w:pPr>
        <w:rPr>
          <w:color w:val="201F1E"/>
          <w:highlight w:val="white"/>
        </w:rPr>
      </w:pPr>
    </w:p>
    <w:p w:rsidR="00912D6B" w:rsidRDefault="00BA3044">
      <w:pPr>
        <w:rPr>
          <w:i/>
          <w:color w:val="4A86E8"/>
          <w:highlight w:val="white"/>
        </w:rPr>
      </w:pPr>
      <w:r>
        <w:rPr>
          <w:color w:val="4A86E8"/>
          <w:highlight w:val="white"/>
        </w:rPr>
        <w:t xml:space="preserve">Any references to commercial products were removed from the protocol. </w:t>
      </w:r>
    </w:p>
    <w:p w:rsidR="00912D6B" w:rsidRDefault="00912D6B">
      <w:pPr>
        <w:rPr>
          <w:color w:val="201F1E"/>
          <w:highlight w:val="white"/>
        </w:rPr>
      </w:pPr>
    </w:p>
    <w:p w:rsidR="00912D6B" w:rsidRDefault="00BA3044">
      <w:pPr>
        <w:rPr>
          <w:i/>
          <w:color w:val="201F1E"/>
          <w:highlight w:val="white"/>
        </w:rPr>
      </w:pPr>
      <w:r>
        <w:rPr>
          <w:i/>
          <w:color w:val="201F1E"/>
          <w:highlight w:val="white"/>
        </w:rPr>
        <w:t>6. 1: did you purchase or synthesize the antibodies? Which antibodies did you use in this study?</w:t>
      </w:r>
    </w:p>
    <w:p w:rsidR="00912D6B" w:rsidRDefault="00912D6B">
      <w:pPr>
        <w:rPr>
          <w:color w:val="201F1E"/>
          <w:highlight w:val="white"/>
        </w:rPr>
      </w:pPr>
    </w:p>
    <w:p w:rsidR="00912D6B" w:rsidRDefault="00BA3044">
      <w:pPr>
        <w:rPr>
          <w:color w:val="4A86E8"/>
          <w:highlight w:val="white"/>
        </w:rPr>
      </w:pPr>
      <w:r>
        <w:rPr>
          <w:color w:val="4A86E8"/>
          <w:highlight w:val="white"/>
        </w:rPr>
        <w:t xml:space="preserve">Antibodies were purchased for this protocol. This is now clarified in step 1 of the protocol. </w:t>
      </w:r>
    </w:p>
    <w:p w:rsidR="00912D6B" w:rsidRDefault="00912D6B">
      <w:pPr>
        <w:rPr>
          <w:color w:val="201F1E"/>
          <w:highlight w:val="white"/>
        </w:rPr>
      </w:pPr>
    </w:p>
    <w:p w:rsidR="00912D6B" w:rsidRDefault="00BA3044">
      <w:pPr>
        <w:rPr>
          <w:i/>
          <w:color w:val="201F1E"/>
          <w:highlight w:val="white"/>
        </w:rPr>
      </w:pPr>
      <w:r>
        <w:rPr>
          <w:i/>
          <w:color w:val="201F1E"/>
          <w:highlight w:val="white"/>
        </w:rPr>
        <w:lastRenderedPageBreak/>
        <w:t>7. 5: Please describe the procedure for antibody titration, and add data in the figures (cite them also) and show the signal intensity and separation of populations in the video.</w:t>
      </w:r>
    </w:p>
    <w:p w:rsidR="00912D6B" w:rsidRDefault="00912D6B">
      <w:pPr>
        <w:rPr>
          <w:color w:val="201F1E"/>
          <w:highlight w:val="white"/>
        </w:rPr>
      </w:pPr>
    </w:p>
    <w:p w:rsidR="00912D6B" w:rsidRDefault="00BA3044">
      <w:pPr>
        <w:rPr>
          <w:color w:val="4A86E8"/>
          <w:highlight w:val="white"/>
        </w:rPr>
      </w:pPr>
      <w:r>
        <w:rPr>
          <w:color w:val="4A86E8"/>
          <w:highlight w:val="white"/>
        </w:rPr>
        <w:t>More specific details are now provided for antibody titrations, including a citation to the figures.</w:t>
      </w:r>
    </w:p>
    <w:p w:rsidR="00912D6B" w:rsidRDefault="00912D6B">
      <w:pPr>
        <w:rPr>
          <w:i/>
          <w:color w:val="201F1E"/>
          <w:highlight w:val="white"/>
        </w:rPr>
      </w:pPr>
    </w:p>
    <w:p w:rsidR="00912D6B" w:rsidRDefault="00BA3044">
      <w:pPr>
        <w:rPr>
          <w:i/>
          <w:color w:val="201F1E"/>
          <w:highlight w:val="white"/>
        </w:rPr>
      </w:pPr>
      <w:r>
        <w:rPr>
          <w:i/>
          <w:color w:val="201F1E"/>
          <w:highlight w:val="white"/>
        </w:rPr>
        <w:t>8. 14: What do the MS columns contain? What are their dimensions and volume?</w:t>
      </w:r>
    </w:p>
    <w:p w:rsidR="00912D6B" w:rsidRDefault="00912D6B">
      <w:pPr>
        <w:rPr>
          <w:i/>
          <w:color w:val="201F1E"/>
          <w:highlight w:val="white"/>
        </w:rPr>
      </w:pPr>
    </w:p>
    <w:p w:rsidR="00912D6B" w:rsidRDefault="00BA3044">
      <w:pPr>
        <w:rPr>
          <w:color w:val="4A86E8"/>
          <w:highlight w:val="white"/>
        </w:rPr>
      </w:pPr>
      <w:r>
        <w:rPr>
          <w:color w:val="4A86E8"/>
          <w:highlight w:val="white"/>
        </w:rPr>
        <w:t xml:space="preserve">MS columns are commercially available through Miltenyi and contain a matrix composed of superparamagnetic spheres. Given the term “MS columns” is specific to Miltenyi, it </w:t>
      </w:r>
      <w:r w:rsidR="001E69F5">
        <w:rPr>
          <w:color w:val="4A86E8"/>
          <w:highlight w:val="white"/>
        </w:rPr>
        <w:t xml:space="preserve">was </w:t>
      </w:r>
      <w:r>
        <w:rPr>
          <w:color w:val="4A86E8"/>
          <w:highlight w:val="white"/>
        </w:rPr>
        <w:t>substituted with a more generic “elution column”.</w:t>
      </w:r>
    </w:p>
    <w:p w:rsidR="00912D6B" w:rsidRDefault="00912D6B">
      <w:pPr>
        <w:rPr>
          <w:i/>
          <w:color w:val="201F1E"/>
          <w:highlight w:val="white"/>
        </w:rPr>
      </w:pPr>
    </w:p>
    <w:p w:rsidR="00912D6B" w:rsidRDefault="00BA3044">
      <w:pPr>
        <w:rPr>
          <w:i/>
          <w:color w:val="201F1E"/>
          <w:highlight w:val="white"/>
        </w:rPr>
      </w:pPr>
      <w:r>
        <w:rPr>
          <w:i/>
          <w:color w:val="201F1E"/>
          <w:highlight w:val="white"/>
        </w:rPr>
        <w:t>9. The Discussion already has information that covers most of the points listed below. However, there is some material in the Representative Results that can be moved to the Discussion to further describe these points. Hence, please revise the Discussion to explicitly cover the following in detail in 3-6 paragraphs with citations.</w:t>
      </w:r>
    </w:p>
    <w:p w:rsidR="00912D6B" w:rsidRDefault="00BA3044">
      <w:pPr>
        <w:rPr>
          <w:i/>
          <w:color w:val="201F1E"/>
          <w:highlight w:val="white"/>
        </w:rPr>
      </w:pPr>
      <w:r>
        <w:rPr>
          <w:i/>
          <w:color w:val="201F1E"/>
          <w:highlight w:val="white"/>
        </w:rPr>
        <w:t>a) Critical steps within the protocol</w:t>
      </w:r>
    </w:p>
    <w:p w:rsidR="00912D6B" w:rsidRDefault="00BA3044">
      <w:pPr>
        <w:rPr>
          <w:i/>
          <w:color w:val="201F1E"/>
          <w:highlight w:val="white"/>
        </w:rPr>
      </w:pPr>
      <w:r>
        <w:rPr>
          <w:i/>
          <w:color w:val="201F1E"/>
          <w:highlight w:val="white"/>
        </w:rPr>
        <w:t>b) Any modifications and troubleshooting of the technique</w:t>
      </w:r>
    </w:p>
    <w:p w:rsidR="00912D6B" w:rsidRDefault="00BA3044">
      <w:pPr>
        <w:rPr>
          <w:i/>
          <w:color w:val="201F1E"/>
          <w:highlight w:val="white"/>
        </w:rPr>
      </w:pPr>
      <w:r>
        <w:rPr>
          <w:i/>
          <w:color w:val="201F1E"/>
          <w:highlight w:val="white"/>
        </w:rPr>
        <w:t>c) Any limitations of the technique</w:t>
      </w:r>
    </w:p>
    <w:p w:rsidR="00912D6B" w:rsidRDefault="00BA3044">
      <w:pPr>
        <w:rPr>
          <w:i/>
          <w:color w:val="201F1E"/>
          <w:highlight w:val="white"/>
        </w:rPr>
      </w:pPr>
      <w:r>
        <w:rPr>
          <w:i/>
          <w:color w:val="201F1E"/>
          <w:highlight w:val="white"/>
        </w:rPr>
        <w:t>d) The significance with respect to existing methods</w:t>
      </w:r>
    </w:p>
    <w:p w:rsidR="00912D6B" w:rsidRDefault="00BA3044">
      <w:pPr>
        <w:rPr>
          <w:i/>
          <w:color w:val="201F1E"/>
          <w:highlight w:val="white"/>
        </w:rPr>
      </w:pPr>
      <w:r>
        <w:rPr>
          <w:i/>
          <w:color w:val="201F1E"/>
          <w:highlight w:val="white"/>
        </w:rPr>
        <w:t>e) Any future applications of the technique</w:t>
      </w:r>
    </w:p>
    <w:p w:rsidR="00912D6B" w:rsidRDefault="00912D6B">
      <w:pPr>
        <w:rPr>
          <w:i/>
          <w:color w:val="201F1E"/>
          <w:highlight w:val="white"/>
        </w:rPr>
      </w:pPr>
    </w:p>
    <w:p w:rsidR="00912D6B" w:rsidRDefault="00BA3044">
      <w:pPr>
        <w:rPr>
          <w:color w:val="4A86E8"/>
          <w:highlight w:val="white"/>
        </w:rPr>
      </w:pPr>
      <w:bookmarkStart w:id="1" w:name="_30j0zll" w:colFirst="0" w:colLast="0"/>
      <w:bookmarkEnd w:id="1"/>
      <w:r>
        <w:rPr>
          <w:color w:val="4A86E8"/>
          <w:highlight w:val="white"/>
        </w:rPr>
        <w:t>All of these points are now included in the discussion</w:t>
      </w:r>
    </w:p>
    <w:p w:rsidR="00912D6B" w:rsidRDefault="00912D6B">
      <w:pPr>
        <w:rPr>
          <w:i/>
          <w:color w:val="201F1E"/>
          <w:highlight w:val="white"/>
        </w:rPr>
      </w:pPr>
    </w:p>
    <w:p w:rsidR="00912D6B" w:rsidRDefault="00BA3044">
      <w:pPr>
        <w:rPr>
          <w:i/>
          <w:color w:val="201F1E"/>
          <w:highlight w:val="white"/>
        </w:rPr>
      </w:pPr>
      <w:r>
        <w:rPr>
          <w:i/>
          <w:color w:val="201F1E"/>
          <w:highlight w:val="white"/>
        </w:rPr>
        <w:t>10. After you revise the protocol and add some details, please include a one line space between each protocol step and then highlight up to 3 pages of protocol text for inclusion in the protocol section of the video.</w:t>
      </w:r>
    </w:p>
    <w:p w:rsidR="00912D6B" w:rsidRDefault="00912D6B">
      <w:pPr>
        <w:rPr>
          <w:i/>
          <w:color w:val="201F1E"/>
          <w:highlight w:val="white"/>
        </w:rPr>
      </w:pPr>
    </w:p>
    <w:p w:rsidR="000F199A" w:rsidRPr="000F199A" w:rsidRDefault="000F199A" w:rsidP="000F199A">
      <w:pPr>
        <w:spacing w:line="240" w:lineRule="auto"/>
        <w:rPr>
          <w:rFonts w:ascii="Times New Roman" w:eastAsia="Times New Roman" w:hAnsi="Times New Roman" w:cs="Times New Roman"/>
          <w:sz w:val="24"/>
          <w:szCs w:val="24"/>
          <w:lang w:val="en-US"/>
        </w:rPr>
      </w:pPr>
      <w:r w:rsidRPr="000F199A">
        <w:rPr>
          <w:rFonts w:eastAsia="Times New Roman"/>
          <w:color w:val="4A86E8"/>
          <w:shd w:val="clear" w:color="auto" w:fill="FFFFFF"/>
          <w:lang w:val="en-US"/>
        </w:rPr>
        <w:t>This edit has been made and protocol text to be included in the video has been highlighted in yellow.</w:t>
      </w:r>
    </w:p>
    <w:p w:rsidR="00912D6B" w:rsidRDefault="00912D6B">
      <w:pPr>
        <w:rPr>
          <w:i/>
          <w:color w:val="201F1E"/>
          <w:highlight w:val="white"/>
        </w:rPr>
      </w:pPr>
      <w:bookmarkStart w:id="2" w:name="_GoBack"/>
      <w:bookmarkEnd w:id="2"/>
    </w:p>
    <w:p w:rsidR="00912D6B" w:rsidRDefault="00BA3044">
      <w:pPr>
        <w:rPr>
          <w:i/>
          <w:color w:val="201F1E"/>
          <w:highlight w:val="white"/>
        </w:rPr>
      </w:pPr>
      <w:r>
        <w:rPr>
          <w:i/>
          <w:color w:val="201F1E"/>
          <w:highlight w:val="white"/>
        </w:rPr>
        <w:t>11. Please sort the Materials Table alphabetically by the name of the material.</w:t>
      </w:r>
    </w:p>
    <w:p w:rsidR="00912D6B" w:rsidRDefault="00912D6B"/>
    <w:p w:rsidR="00912D6B" w:rsidRDefault="00BA3044">
      <w:pPr>
        <w:rPr>
          <w:color w:val="4A86E8"/>
        </w:rPr>
      </w:pPr>
      <w:r>
        <w:rPr>
          <w:color w:val="4A86E8"/>
        </w:rPr>
        <w:t xml:space="preserve">This edit has been made. </w:t>
      </w:r>
    </w:p>
    <w:p w:rsidR="00912D6B" w:rsidRDefault="00BA3044">
      <w:pPr>
        <w:rPr>
          <w:color w:val="201F1E"/>
          <w:highlight w:val="white"/>
        </w:rPr>
      </w:pPr>
      <w:r>
        <w:rPr>
          <w:color w:val="201F1E"/>
          <w:highlight w:val="white"/>
        </w:rPr>
        <w:t>____________________________________</w:t>
      </w:r>
    </w:p>
    <w:p w:rsidR="00912D6B" w:rsidRDefault="00BA3044">
      <w:pPr>
        <w:rPr>
          <w:b/>
          <w:highlight w:val="white"/>
          <w:u w:val="single"/>
        </w:rPr>
      </w:pPr>
      <w:r>
        <w:rPr>
          <w:b/>
          <w:highlight w:val="white"/>
          <w:u w:val="single"/>
        </w:rPr>
        <w:t>Reviewers' comments:</w:t>
      </w:r>
    </w:p>
    <w:p w:rsidR="00912D6B" w:rsidRDefault="00BA3044">
      <w:pPr>
        <w:rPr>
          <w:b/>
          <w:color w:val="201F1E"/>
          <w:highlight w:val="white"/>
        </w:rPr>
      </w:pPr>
      <w:r>
        <w:rPr>
          <w:b/>
          <w:color w:val="201F1E"/>
          <w:highlight w:val="white"/>
        </w:rPr>
        <w:t>Reviewer #1:</w:t>
      </w:r>
    </w:p>
    <w:p w:rsidR="00912D6B" w:rsidRDefault="00BA3044">
      <w:pPr>
        <w:rPr>
          <w:i/>
          <w:color w:val="201F1E"/>
          <w:highlight w:val="white"/>
        </w:rPr>
      </w:pPr>
      <w:r>
        <w:rPr>
          <w:i/>
          <w:color w:val="201F1E"/>
          <w:highlight w:val="white"/>
        </w:rPr>
        <w:t>Manuscript Summary:</w:t>
      </w:r>
    </w:p>
    <w:p w:rsidR="00912D6B" w:rsidRDefault="00BA3044">
      <w:pPr>
        <w:rPr>
          <w:i/>
          <w:color w:val="201F1E"/>
          <w:highlight w:val="white"/>
        </w:rPr>
      </w:pPr>
      <w:r>
        <w:rPr>
          <w:i/>
          <w:color w:val="201F1E"/>
          <w:highlight w:val="white"/>
        </w:rPr>
        <w:t xml:space="preserve">In this paper, Vendrame et al. describe in detail two panels for mass cytometry (Cytof), one targeted at natural killer (NK) cell receptors, and one targeted at the ligands of these receptors. This combination of panels is an excellent approach, as usually scientists in the field are more focusing on the NK cell side. The protocol is well described and quite clear, so that it should be reproducible in other labs, ideally already familiar with mass cytometry. The figures presented give a good overview of what to expect as a readout of the method. The authors also warn the </w:t>
      </w:r>
      <w:r>
        <w:rPr>
          <w:i/>
          <w:color w:val="201F1E"/>
          <w:highlight w:val="white"/>
        </w:rPr>
        <w:lastRenderedPageBreak/>
        <w:t>reader against some potential problems, such as metal impurities from the environment or antibodies that do not perform well.</w:t>
      </w:r>
    </w:p>
    <w:p w:rsidR="00912D6B" w:rsidRDefault="00912D6B">
      <w:pPr>
        <w:rPr>
          <w:i/>
        </w:rPr>
      </w:pPr>
    </w:p>
    <w:p w:rsidR="00912D6B" w:rsidRDefault="00BA3044">
      <w:pPr>
        <w:rPr>
          <w:i/>
          <w:color w:val="201F1E"/>
          <w:highlight w:val="white"/>
        </w:rPr>
      </w:pPr>
      <w:r>
        <w:rPr>
          <w:i/>
          <w:color w:val="201F1E"/>
          <w:highlight w:val="white"/>
        </w:rPr>
        <w:t>Major Concerns:</w:t>
      </w:r>
    </w:p>
    <w:p w:rsidR="00912D6B" w:rsidRDefault="00BA3044">
      <w:pPr>
        <w:rPr>
          <w:i/>
          <w:color w:val="201F1E"/>
          <w:highlight w:val="white"/>
        </w:rPr>
      </w:pPr>
      <w:r>
        <w:rPr>
          <w:i/>
          <w:color w:val="201F1E"/>
          <w:highlight w:val="white"/>
        </w:rPr>
        <w:t>The authors heavily insist on the usefulness of their panels for the assessment of viral infections. This is fine, but the great potential of this approach for cancer research is, although mentioned, not emphasized enough. Indeed, knowing the NK cell phenotype to such an extent together with the ligands could be of major interest for cancer immunotherapy (example: PD-1/PD-L1). This aspect might be discussed more in depth.</w:t>
      </w:r>
    </w:p>
    <w:p w:rsidR="00912D6B" w:rsidRDefault="00912D6B">
      <w:pPr>
        <w:rPr>
          <w:i/>
          <w:color w:val="201F1E"/>
          <w:highlight w:val="white"/>
        </w:rPr>
      </w:pPr>
    </w:p>
    <w:p w:rsidR="00912D6B" w:rsidRDefault="00BA3044">
      <w:pPr>
        <w:rPr>
          <w:color w:val="4A86E8"/>
          <w:highlight w:val="white"/>
        </w:rPr>
      </w:pPr>
      <w:r>
        <w:rPr>
          <w:color w:val="4A86E8"/>
          <w:highlight w:val="white"/>
        </w:rPr>
        <w:t>We agree that this protocol could be applied to the setting of cancer. In order to emphasize this more we added the following sentence to the introduction: “</w:t>
      </w:r>
      <w:r>
        <w:rPr>
          <w:color w:val="4A86E8"/>
        </w:rPr>
        <w:t xml:space="preserve">This interest in NK cell biology extends to the field of cancer immunotherapy where researchers are investigating the role of NK cells tumor immunosurveillance and in the tumor microenvironment </w:t>
      </w:r>
      <w:hyperlink r:id="rId11">
        <w:r>
          <w:rPr>
            <w:color w:val="4A86E8"/>
            <w:vertAlign w:val="superscript"/>
          </w:rPr>
          <w:t>1</w:t>
        </w:r>
      </w:hyperlink>
      <w:r>
        <w:rPr>
          <w:color w:val="4A86E8"/>
          <w:highlight w:val="white"/>
        </w:rPr>
        <w:t>”. We also mention in the discussion that PD-L1 would be a good addition to the ligand panel.</w:t>
      </w:r>
    </w:p>
    <w:p w:rsidR="00912D6B" w:rsidRDefault="00912D6B">
      <w:pPr>
        <w:rPr>
          <w:i/>
          <w:color w:val="201F1E"/>
          <w:highlight w:val="white"/>
        </w:rPr>
      </w:pPr>
    </w:p>
    <w:p w:rsidR="00912D6B" w:rsidRDefault="00BA3044">
      <w:pPr>
        <w:rPr>
          <w:i/>
          <w:color w:val="201F1E"/>
          <w:highlight w:val="white"/>
        </w:rPr>
      </w:pPr>
      <w:r>
        <w:rPr>
          <w:i/>
          <w:color w:val="201F1E"/>
          <w:highlight w:val="white"/>
        </w:rPr>
        <w:t>Furthermore, some markers are missing in the NK cell panel, such as KLRG1, CRACC, TIM-3, LAIR-1, and, in the ligand panel, PD-L1. However, the authors mention that the panel can be customized, so this is not really a major problem.</w:t>
      </w:r>
    </w:p>
    <w:p w:rsidR="00912D6B" w:rsidRDefault="00912D6B">
      <w:pPr>
        <w:rPr>
          <w:color w:val="4A86E8"/>
          <w:highlight w:val="white"/>
        </w:rPr>
      </w:pPr>
    </w:p>
    <w:p w:rsidR="00912D6B" w:rsidRDefault="00BA3044">
      <w:pPr>
        <w:rPr>
          <w:color w:val="4A86E8"/>
        </w:rPr>
      </w:pPr>
      <w:r>
        <w:rPr>
          <w:color w:val="4A86E8"/>
        </w:rPr>
        <w:t>We agree with the reviewer that the panels are not fully exhaustive. The following sentence has been added to the discussion to address this concern: “Although these panels cover a comprehensive list of NK cell receptors and ligands, they are not fully exhaustive, and several potentially important markers were not included due to space limitations. Some of these markers include, but are not limited to KLRG1, CRACC, TIM-3, LAIR-1 in the NK panel and PD-L1 in the ligand panel.”</w:t>
      </w:r>
    </w:p>
    <w:p w:rsidR="00912D6B" w:rsidRDefault="00912D6B">
      <w:pPr>
        <w:rPr>
          <w:i/>
          <w:color w:val="201F1E"/>
          <w:highlight w:val="white"/>
        </w:rPr>
      </w:pPr>
    </w:p>
    <w:p w:rsidR="00912D6B" w:rsidRDefault="00BA3044">
      <w:pPr>
        <w:rPr>
          <w:i/>
          <w:color w:val="201F1E"/>
          <w:highlight w:val="white"/>
        </w:rPr>
      </w:pPr>
      <w:r>
        <w:rPr>
          <w:i/>
          <w:color w:val="201F1E"/>
          <w:highlight w:val="white"/>
        </w:rPr>
        <w:t>Some cell lines are used: the histology (for example: chronic myeloid leukemia for K562) and sources of these lines, as well as their culture conditions, might be mentioned.</w:t>
      </w:r>
    </w:p>
    <w:p w:rsidR="00912D6B" w:rsidRDefault="00912D6B">
      <w:pPr>
        <w:rPr>
          <w:color w:val="4A86E8"/>
          <w:highlight w:val="white"/>
        </w:rPr>
      </w:pPr>
    </w:p>
    <w:p w:rsidR="00912D6B" w:rsidRDefault="00BA3044">
      <w:pPr>
        <w:rPr>
          <w:color w:val="4A86E8"/>
          <w:highlight w:val="white"/>
        </w:rPr>
      </w:pPr>
      <w:r>
        <w:rPr>
          <w:color w:val="4A86E8"/>
          <w:highlight w:val="white"/>
        </w:rPr>
        <w:t xml:space="preserve">Cell line information was added to the text and pertinent figure legends. These cell lines have also been added to the Materials Table along with their sources. </w:t>
      </w:r>
    </w:p>
    <w:p w:rsidR="00912D6B" w:rsidRDefault="00912D6B">
      <w:pPr>
        <w:rPr>
          <w:i/>
          <w:color w:val="201F1E"/>
          <w:highlight w:val="white"/>
        </w:rPr>
      </w:pPr>
    </w:p>
    <w:p w:rsidR="00912D6B" w:rsidRDefault="00BA3044">
      <w:pPr>
        <w:rPr>
          <w:color w:val="201F1E"/>
          <w:highlight w:val="white"/>
        </w:rPr>
      </w:pPr>
      <w:r>
        <w:rPr>
          <w:i/>
          <w:color w:val="201F1E"/>
          <w:highlight w:val="white"/>
        </w:rPr>
        <w:t>Next, it would be better to indicate already in the protocol why benzonase, cisplatin and DNA intercalator are used.</w:t>
      </w:r>
    </w:p>
    <w:p w:rsidR="00912D6B" w:rsidRDefault="00912D6B">
      <w:pPr>
        <w:rPr>
          <w:i/>
          <w:color w:val="201F1E"/>
          <w:highlight w:val="white"/>
        </w:rPr>
      </w:pPr>
    </w:p>
    <w:p w:rsidR="00912D6B" w:rsidRDefault="00BA3044">
      <w:pPr>
        <w:rPr>
          <w:color w:val="4A86E8"/>
          <w:highlight w:val="white"/>
        </w:rPr>
      </w:pPr>
      <w:r>
        <w:rPr>
          <w:color w:val="4A86E8"/>
          <w:highlight w:val="white"/>
        </w:rPr>
        <w:t>These clarifications were added on steps 5, 8 and 13.</w:t>
      </w:r>
    </w:p>
    <w:p w:rsidR="00912D6B" w:rsidRDefault="00912D6B">
      <w:pPr>
        <w:rPr>
          <w:i/>
        </w:rPr>
      </w:pPr>
    </w:p>
    <w:p w:rsidR="00912D6B" w:rsidRDefault="00BA3044">
      <w:pPr>
        <w:rPr>
          <w:i/>
          <w:color w:val="201F1E"/>
          <w:highlight w:val="white"/>
        </w:rPr>
      </w:pPr>
      <w:r>
        <w:rPr>
          <w:i/>
          <w:color w:val="201F1E"/>
          <w:highlight w:val="white"/>
        </w:rPr>
        <w:t>Minor Concerns:</w:t>
      </w:r>
    </w:p>
    <w:p w:rsidR="00912D6B" w:rsidRDefault="00BA3044">
      <w:pPr>
        <w:rPr>
          <w:i/>
          <w:color w:val="201F1E"/>
          <w:highlight w:val="white"/>
        </w:rPr>
      </w:pPr>
      <w:r>
        <w:rPr>
          <w:i/>
          <w:color w:val="201F1E"/>
          <w:highlight w:val="white"/>
        </w:rPr>
        <w:t>Introduction: page 2, NK cells are not that rare among PBMC, as they represent 5% - 20% of peripheral blood lymphocytes. The author's argument that it is better to purify NK cells is valid.</w:t>
      </w:r>
    </w:p>
    <w:p w:rsidR="00912D6B" w:rsidRDefault="00912D6B">
      <w:pPr>
        <w:rPr>
          <w:color w:val="0000FF"/>
          <w:highlight w:val="white"/>
        </w:rPr>
      </w:pPr>
    </w:p>
    <w:p w:rsidR="00912D6B" w:rsidRDefault="00BA3044">
      <w:pPr>
        <w:rPr>
          <w:i/>
          <w:color w:val="4A86E8"/>
          <w:highlight w:val="white"/>
        </w:rPr>
      </w:pPr>
      <w:r>
        <w:rPr>
          <w:color w:val="4A86E8"/>
          <w:highlight w:val="white"/>
        </w:rPr>
        <w:t xml:space="preserve">This sentence has been changed to no longer state that NK cells are a rare immune cell subset. It now states that, “Given that NK cells only make up 5-20% of peripheral blood mononuclear </w:t>
      </w:r>
      <w:r>
        <w:rPr>
          <w:color w:val="4A86E8"/>
          <w:highlight w:val="white"/>
        </w:rPr>
        <w:lastRenderedPageBreak/>
        <w:t xml:space="preserve">cells (PBMCs), staining whole PBMCs rather than isolated NK cells means that a majority of the collected events will not be NK cells”. We agree with the reviewer that our argument for purifying NK cells is valid. </w:t>
      </w:r>
    </w:p>
    <w:p w:rsidR="00912D6B" w:rsidRDefault="00912D6B">
      <w:pPr>
        <w:rPr>
          <w:color w:val="201F1E"/>
          <w:highlight w:val="white"/>
        </w:rPr>
      </w:pPr>
    </w:p>
    <w:p w:rsidR="00912D6B" w:rsidRDefault="00BA3044">
      <w:pPr>
        <w:rPr>
          <w:i/>
          <w:color w:val="201F1E"/>
          <w:highlight w:val="white"/>
        </w:rPr>
      </w:pPr>
      <w:r>
        <w:rPr>
          <w:i/>
          <w:color w:val="201F1E"/>
          <w:highlight w:val="white"/>
        </w:rPr>
        <w:t>Protocol: if healthy pediatric donors were investigated, they should not be called patients.</w:t>
      </w:r>
    </w:p>
    <w:p w:rsidR="00912D6B" w:rsidRDefault="00912D6B">
      <w:pPr>
        <w:rPr>
          <w:color w:val="4A86E8"/>
          <w:highlight w:val="white"/>
        </w:rPr>
      </w:pPr>
    </w:p>
    <w:p w:rsidR="00912D6B" w:rsidRDefault="00BA3044">
      <w:pPr>
        <w:rPr>
          <w:color w:val="4A86E8"/>
          <w:highlight w:val="white"/>
        </w:rPr>
      </w:pPr>
      <w:r>
        <w:rPr>
          <w:color w:val="4A86E8"/>
          <w:highlight w:val="white"/>
        </w:rPr>
        <w:t>This edit has been made. The sentence in question now reads: “PBMCs from de-identified healthy pediatric donors and pediatric acute dengue patients were obtained from Gorgas Memorial Institute of Health Studies in Panama City, Panama and hospitals belonging to the Ministry of Health, the Social Security System in Panama City, and suburban areas”.</w:t>
      </w:r>
    </w:p>
    <w:p w:rsidR="00912D6B" w:rsidRDefault="00912D6B">
      <w:pPr>
        <w:rPr>
          <w:i/>
          <w:color w:val="201F1E"/>
          <w:highlight w:val="white"/>
        </w:rPr>
      </w:pPr>
    </w:p>
    <w:p w:rsidR="00912D6B" w:rsidRDefault="00BA3044">
      <w:pPr>
        <w:rPr>
          <w:i/>
          <w:color w:val="201F1E"/>
          <w:highlight w:val="white"/>
        </w:rPr>
      </w:pPr>
      <w:r>
        <w:rPr>
          <w:i/>
          <w:color w:val="201F1E"/>
          <w:highlight w:val="white"/>
        </w:rPr>
        <w:t>Page 3, line 9: the word "using" appears twice.</w:t>
      </w:r>
    </w:p>
    <w:p w:rsidR="00912D6B" w:rsidRDefault="00912D6B">
      <w:pPr>
        <w:rPr>
          <w:color w:val="201F1E"/>
          <w:highlight w:val="white"/>
        </w:rPr>
      </w:pPr>
    </w:p>
    <w:p w:rsidR="00912D6B" w:rsidRDefault="00BA3044">
      <w:pPr>
        <w:rPr>
          <w:color w:val="4A86E8"/>
          <w:highlight w:val="white"/>
        </w:rPr>
      </w:pPr>
      <w:r>
        <w:rPr>
          <w:color w:val="4A86E8"/>
          <w:highlight w:val="white"/>
        </w:rPr>
        <w:t xml:space="preserve">This edit has been made. </w:t>
      </w:r>
    </w:p>
    <w:p w:rsidR="00912D6B" w:rsidRDefault="00912D6B">
      <w:pPr>
        <w:rPr>
          <w:i/>
          <w:color w:val="201F1E"/>
          <w:highlight w:val="white"/>
        </w:rPr>
      </w:pPr>
    </w:p>
    <w:p w:rsidR="00912D6B" w:rsidRDefault="00BA3044">
      <w:pPr>
        <w:rPr>
          <w:i/>
          <w:color w:val="201F1E"/>
          <w:highlight w:val="white"/>
        </w:rPr>
      </w:pPr>
      <w:r>
        <w:rPr>
          <w:i/>
          <w:color w:val="201F1E"/>
          <w:highlight w:val="white"/>
        </w:rPr>
        <w:t>Also on page 3, is it allowed to indicate a given company as supplier for the lyophilization?</w:t>
      </w:r>
    </w:p>
    <w:p w:rsidR="00912D6B" w:rsidRDefault="00912D6B">
      <w:pPr>
        <w:rPr>
          <w:i/>
          <w:color w:val="4A86E8"/>
          <w:highlight w:val="white"/>
        </w:rPr>
      </w:pPr>
    </w:p>
    <w:p w:rsidR="00912D6B" w:rsidRDefault="00BA3044">
      <w:pPr>
        <w:rPr>
          <w:i/>
          <w:color w:val="4A86E8"/>
          <w:highlight w:val="white"/>
        </w:rPr>
      </w:pPr>
      <w:r>
        <w:rPr>
          <w:color w:val="4A86E8"/>
          <w:highlight w:val="white"/>
        </w:rPr>
        <w:t>The reference to the company who performed the lyophilization has been removed</w:t>
      </w:r>
      <w:r>
        <w:rPr>
          <w:i/>
          <w:color w:val="4A86E8"/>
          <w:highlight w:val="white"/>
        </w:rPr>
        <w:t>.</w:t>
      </w:r>
    </w:p>
    <w:p w:rsidR="00912D6B" w:rsidRDefault="00912D6B">
      <w:pPr>
        <w:rPr>
          <w:i/>
          <w:color w:val="201F1E"/>
          <w:highlight w:val="white"/>
        </w:rPr>
      </w:pPr>
    </w:p>
    <w:p w:rsidR="00912D6B" w:rsidRDefault="00BA3044">
      <w:pPr>
        <w:rPr>
          <w:i/>
          <w:color w:val="201F1E"/>
          <w:highlight w:val="white"/>
        </w:rPr>
      </w:pPr>
      <w:r>
        <w:rPr>
          <w:i/>
          <w:color w:val="201F1E"/>
          <w:highlight w:val="white"/>
        </w:rPr>
        <w:t>The abbreviation "PFA" should be explained already in the protocol.</w:t>
      </w:r>
    </w:p>
    <w:p w:rsidR="00912D6B" w:rsidRDefault="00912D6B">
      <w:pPr>
        <w:rPr>
          <w:i/>
          <w:color w:val="201F1E"/>
          <w:highlight w:val="white"/>
        </w:rPr>
      </w:pPr>
    </w:p>
    <w:p w:rsidR="00912D6B" w:rsidRDefault="00BA3044">
      <w:pPr>
        <w:rPr>
          <w:color w:val="4A86E8"/>
          <w:highlight w:val="white"/>
        </w:rPr>
      </w:pPr>
      <w:r>
        <w:rPr>
          <w:color w:val="4A86E8"/>
          <w:highlight w:val="white"/>
        </w:rPr>
        <w:t>This edit has been made.</w:t>
      </w:r>
    </w:p>
    <w:p w:rsidR="00912D6B" w:rsidRDefault="00912D6B">
      <w:pPr>
        <w:rPr>
          <w:color w:val="201F1E"/>
          <w:highlight w:val="white"/>
        </w:rPr>
      </w:pPr>
    </w:p>
    <w:p w:rsidR="00912D6B" w:rsidRDefault="00BA3044">
      <w:pPr>
        <w:rPr>
          <w:i/>
          <w:color w:val="201F1E"/>
          <w:highlight w:val="white"/>
        </w:rPr>
      </w:pPr>
      <w:r>
        <w:rPr>
          <w:i/>
          <w:color w:val="201F1E"/>
          <w:highlight w:val="white"/>
        </w:rPr>
        <w:t>Figure 2 and Suppl. Figure 7: an anti-HLA-B/C antibody is mentioned in the legends, but in the figures there is no such antibody but an anti-HLA-C,E antibody. Could this point be clarified?</w:t>
      </w:r>
    </w:p>
    <w:p w:rsidR="00912D6B" w:rsidRDefault="00912D6B">
      <w:pPr>
        <w:rPr>
          <w:i/>
          <w:color w:val="201F1E"/>
          <w:highlight w:val="white"/>
        </w:rPr>
      </w:pPr>
    </w:p>
    <w:p w:rsidR="00912D6B" w:rsidRDefault="00BA3044">
      <w:pPr>
        <w:rPr>
          <w:color w:val="4A86E8"/>
          <w:highlight w:val="white"/>
        </w:rPr>
      </w:pPr>
      <w:r>
        <w:rPr>
          <w:color w:val="4A86E8"/>
          <w:highlight w:val="white"/>
        </w:rPr>
        <w:t>This edit has been made. The figure legends now correctly refer to the anti-HLA-C,E antibody.</w:t>
      </w:r>
    </w:p>
    <w:p w:rsidR="00912D6B" w:rsidRDefault="00912D6B">
      <w:pPr>
        <w:rPr>
          <w:color w:val="0000FF"/>
          <w:highlight w:val="white"/>
        </w:rPr>
      </w:pPr>
    </w:p>
    <w:p w:rsidR="00912D6B" w:rsidRDefault="00912D6B"/>
    <w:p w:rsidR="00912D6B" w:rsidRDefault="00BA3044">
      <w:pPr>
        <w:rPr>
          <w:b/>
          <w:color w:val="201F1E"/>
          <w:highlight w:val="white"/>
        </w:rPr>
      </w:pPr>
      <w:r>
        <w:rPr>
          <w:b/>
          <w:color w:val="201F1E"/>
          <w:highlight w:val="white"/>
        </w:rPr>
        <w:t>Reviewer #2:</w:t>
      </w:r>
    </w:p>
    <w:p w:rsidR="00912D6B" w:rsidRDefault="00BA3044">
      <w:pPr>
        <w:rPr>
          <w:color w:val="201F1E"/>
          <w:highlight w:val="white"/>
        </w:rPr>
      </w:pPr>
      <w:r>
        <w:rPr>
          <w:color w:val="201F1E"/>
          <w:highlight w:val="white"/>
        </w:rPr>
        <w:t>Manuscript Summary:</w:t>
      </w:r>
    </w:p>
    <w:p w:rsidR="00912D6B" w:rsidRDefault="00BA3044">
      <w:pPr>
        <w:rPr>
          <w:i/>
          <w:color w:val="201F1E"/>
          <w:highlight w:val="white"/>
        </w:rPr>
      </w:pPr>
      <w:r>
        <w:rPr>
          <w:i/>
          <w:color w:val="201F1E"/>
          <w:highlight w:val="white"/>
        </w:rPr>
        <w:t>Vendrame et al. describe and characterize use of CyTOF to phenotype NK receptors on NK cells and NK ligands on non-NK hematopoietic cells. Their protocol is very detailed and shows multiple steps in the process of protocol development, including clones used, performance after freeze-thaw, and antibody titration. The staining is comprehensive and covers multiple relevant markers on effectors versus targets/ regulatory cells. The results and protocol is likely to be of significant interest to NK investigators across a diversity of fields.</w:t>
      </w:r>
    </w:p>
    <w:p w:rsidR="00912D6B" w:rsidRDefault="00912D6B">
      <w:pPr>
        <w:rPr>
          <w:i/>
        </w:rPr>
      </w:pPr>
    </w:p>
    <w:p w:rsidR="00912D6B" w:rsidRDefault="00BA3044">
      <w:pPr>
        <w:rPr>
          <w:i/>
          <w:color w:val="201F1E"/>
          <w:highlight w:val="white"/>
        </w:rPr>
      </w:pPr>
      <w:r>
        <w:rPr>
          <w:i/>
          <w:color w:val="201F1E"/>
          <w:highlight w:val="white"/>
        </w:rPr>
        <w:t>Major Concerns:</w:t>
      </w:r>
    </w:p>
    <w:p w:rsidR="00912D6B" w:rsidRDefault="00BA3044">
      <w:pPr>
        <w:rPr>
          <w:i/>
          <w:color w:val="201F1E"/>
          <w:highlight w:val="white"/>
        </w:rPr>
      </w:pPr>
      <w:r>
        <w:rPr>
          <w:i/>
          <w:color w:val="201F1E"/>
          <w:highlight w:val="white"/>
        </w:rPr>
        <w:t>1) The text describes assessment of samples after dengue fever and HIV infection, but it is unclear if these data are shown or if the representative data are all from healthy donors. Please clarify.</w:t>
      </w:r>
    </w:p>
    <w:p w:rsidR="00912D6B" w:rsidRDefault="00912D6B">
      <w:pPr>
        <w:rPr>
          <w:i/>
          <w:color w:val="201F1E"/>
          <w:highlight w:val="white"/>
        </w:rPr>
      </w:pPr>
    </w:p>
    <w:p w:rsidR="00912D6B" w:rsidRDefault="00BA3044">
      <w:pPr>
        <w:rPr>
          <w:color w:val="201F1E"/>
          <w:highlight w:val="white"/>
        </w:rPr>
      </w:pPr>
      <w:r>
        <w:rPr>
          <w:color w:val="4A86E8"/>
          <w:highlight w:val="white"/>
        </w:rPr>
        <w:lastRenderedPageBreak/>
        <w:t>The text has been clarified to state the following: “Figure 4A illustrates the gating strategy used to identify CD4</w:t>
      </w:r>
      <w:r>
        <w:rPr>
          <w:color w:val="4A86E8"/>
          <w:highlight w:val="white"/>
          <w:vertAlign w:val="superscript"/>
        </w:rPr>
        <w:t>+</w:t>
      </w:r>
      <w:r>
        <w:rPr>
          <w:color w:val="4A86E8"/>
          <w:highlight w:val="white"/>
        </w:rPr>
        <w:t xml:space="preserve"> T cells, CD8</w:t>
      </w:r>
      <w:r>
        <w:rPr>
          <w:color w:val="4A86E8"/>
          <w:highlight w:val="white"/>
          <w:vertAlign w:val="superscript"/>
        </w:rPr>
        <w:t>+</w:t>
      </w:r>
      <w:r>
        <w:rPr>
          <w:color w:val="4A86E8"/>
          <w:highlight w:val="white"/>
        </w:rPr>
        <w:t xml:space="preserve"> T cells, NK cells, monocytes, and CD19</w:t>
      </w:r>
      <w:r>
        <w:rPr>
          <w:color w:val="4A86E8"/>
          <w:highlight w:val="white"/>
          <w:vertAlign w:val="superscript"/>
        </w:rPr>
        <w:t>+</w:t>
      </w:r>
      <w:r>
        <w:rPr>
          <w:color w:val="4A86E8"/>
          <w:highlight w:val="white"/>
        </w:rPr>
        <w:t xml:space="preserve"> B cells in PBMCs from a healthy donor”. The following sentence explicitly states that staining examples for each ligand are shown using PBMCs “from acute dengue patients and HIV-infected individuals who were virologically suppressed”. The figure legends were also clarified and the origin of the samples has now been added to each legend</w:t>
      </w:r>
      <w:r>
        <w:rPr>
          <w:color w:val="201F1E"/>
          <w:highlight w:val="white"/>
        </w:rPr>
        <w:t>.</w:t>
      </w:r>
    </w:p>
    <w:p w:rsidR="00912D6B" w:rsidRDefault="00912D6B">
      <w:pPr>
        <w:rPr>
          <w:i/>
          <w:color w:val="201F1E"/>
          <w:highlight w:val="white"/>
        </w:rPr>
      </w:pPr>
    </w:p>
    <w:p w:rsidR="00912D6B" w:rsidRDefault="00BA3044">
      <w:pPr>
        <w:rPr>
          <w:i/>
          <w:color w:val="201F1E"/>
          <w:highlight w:val="white"/>
        </w:rPr>
      </w:pPr>
      <w:r>
        <w:rPr>
          <w:i/>
          <w:color w:val="201F1E"/>
          <w:highlight w:val="white"/>
        </w:rPr>
        <w:t>2) If data are available from pathogen-infected patients, would be informative to show to compare and contrast with healthy donor state.</w:t>
      </w:r>
    </w:p>
    <w:p w:rsidR="00912D6B" w:rsidRDefault="00912D6B">
      <w:pPr>
        <w:rPr>
          <w:color w:val="201F1E"/>
          <w:highlight w:val="white"/>
        </w:rPr>
      </w:pPr>
    </w:p>
    <w:p w:rsidR="00912D6B" w:rsidRDefault="00BA3044">
      <w:pPr>
        <w:rPr>
          <w:color w:val="4A86E8"/>
          <w:highlight w:val="white"/>
        </w:rPr>
      </w:pPr>
      <w:r>
        <w:rPr>
          <w:color w:val="4A86E8"/>
          <w:highlight w:val="white"/>
        </w:rPr>
        <w:t xml:space="preserve">We agree with the reviewer that comparing pathogen-infected patients and healthy patients is interesting and these panels have been in fact designed specifically for that purpose.  In fact, such data has been previously published by our group and referenced in the discussion </w:t>
      </w:r>
      <w:hyperlink r:id="rId12">
        <w:r>
          <w:rPr>
            <w:color w:val="4A86E8"/>
            <w:highlight w:val="white"/>
            <w:vertAlign w:val="superscript"/>
          </w:rPr>
          <w:t>2–4</w:t>
        </w:r>
      </w:hyperlink>
      <w:r>
        <w:rPr>
          <w:color w:val="4A86E8"/>
          <w:highlight w:val="white"/>
        </w:rPr>
        <w:t xml:space="preserve">. Here, our goal was to provide detailed protocols, a request that we have received frequently at meetings and in other discussions with colleagues. Due to the amount of data and markers assessed (80+ markers, in 3 or more disease states), it would be impractical to add these comparisons to this protocol, which is why we referenced the relevant publications in the discussion. </w:t>
      </w:r>
    </w:p>
    <w:p w:rsidR="00912D6B" w:rsidRDefault="00912D6B">
      <w:pPr>
        <w:rPr>
          <w:i/>
          <w:color w:val="201F1E"/>
          <w:highlight w:val="white"/>
        </w:rPr>
      </w:pPr>
    </w:p>
    <w:p w:rsidR="00912D6B" w:rsidRDefault="00BA3044">
      <w:pPr>
        <w:rPr>
          <w:i/>
          <w:color w:val="201F1E"/>
          <w:highlight w:val="white"/>
        </w:rPr>
      </w:pPr>
      <w:r>
        <w:rPr>
          <w:i/>
          <w:color w:val="201F1E"/>
          <w:highlight w:val="white"/>
        </w:rPr>
        <w:t>3) How many times were data repeated? This is not clear to me. How representative are these data given how heterogeneous NK cells are depending on genetic and epigenetic factors?</w:t>
      </w:r>
    </w:p>
    <w:p w:rsidR="00912D6B" w:rsidRDefault="00912D6B">
      <w:pPr>
        <w:rPr>
          <w:i/>
          <w:color w:val="201F1E"/>
          <w:highlight w:val="white"/>
        </w:rPr>
      </w:pPr>
    </w:p>
    <w:p w:rsidR="00912D6B" w:rsidRDefault="00BA3044">
      <w:pPr>
        <w:rPr>
          <w:color w:val="4A86E8"/>
          <w:highlight w:val="white"/>
        </w:rPr>
      </w:pPr>
      <w:r>
        <w:rPr>
          <w:color w:val="4A86E8"/>
          <w:highlight w:val="white"/>
        </w:rPr>
        <w:t xml:space="preserve">Titrations and validation of the panels were performed using 1-3 donors. Representative data are shown in the figures. The validated panels have been extensively used with samples from both in healthy and virus-infected individuals. Relevant publications were cited in the discussion. </w:t>
      </w:r>
    </w:p>
    <w:p w:rsidR="00912D6B" w:rsidRDefault="00912D6B">
      <w:pPr>
        <w:rPr>
          <w:i/>
          <w:color w:val="201F1E"/>
          <w:highlight w:val="white"/>
        </w:rPr>
      </w:pPr>
    </w:p>
    <w:p w:rsidR="00912D6B" w:rsidRDefault="00BA3044">
      <w:pPr>
        <w:rPr>
          <w:i/>
          <w:color w:val="201F1E"/>
          <w:highlight w:val="white"/>
        </w:rPr>
      </w:pPr>
      <w:r>
        <w:rPr>
          <w:i/>
          <w:color w:val="201F1E"/>
          <w:highlight w:val="white"/>
        </w:rPr>
        <w:t>4) Have authors assessed same panels under activating conditions (e.g. cytokine stimulation)? Do the panels remain as detailed and high fidelity?</w:t>
      </w:r>
    </w:p>
    <w:p w:rsidR="00912D6B" w:rsidRDefault="00912D6B">
      <w:pPr>
        <w:rPr>
          <w:i/>
          <w:color w:val="201F1E"/>
          <w:highlight w:val="white"/>
        </w:rPr>
      </w:pPr>
    </w:p>
    <w:p w:rsidR="00912D6B" w:rsidRDefault="00BA3044">
      <w:pPr>
        <w:rPr>
          <w:color w:val="4A86E8"/>
          <w:highlight w:val="white"/>
        </w:rPr>
      </w:pPr>
      <w:r>
        <w:rPr>
          <w:color w:val="4A86E8"/>
          <w:highlight w:val="white"/>
        </w:rPr>
        <w:t xml:space="preserve">These panels were not tested or validated for use under activating conditions, such as cytokine stimulation. We have no reason to believe that other activating conditions would affect the performance of the panel, however this point was added as a limitation to the discussion. </w:t>
      </w:r>
    </w:p>
    <w:p w:rsidR="00912D6B" w:rsidRDefault="00912D6B">
      <w:pPr>
        <w:rPr>
          <w:color w:val="201F1E"/>
          <w:highlight w:val="white"/>
        </w:rPr>
      </w:pPr>
    </w:p>
    <w:p w:rsidR="00912D6B" w:rsidRDefault="00BA3044">
      <w:pPr>
        <w:rPr>
          <w:i/>
          <w:color w:val="201F1E"/>
          <w:highlight w:val="white"/>
        </w:rPr>
      </w:pPr>
      <w:r>
        <w:rPr>
          <w:i/>
          <w:color w:val="201F1E"/>
          <w:highlight w:val="white"/>
        </w:rPr>
        <w:t>5) Are the selections for optimal antibody titrations based on mathematical calculations or a visual assessment? If visual assessment, some of the selections appear arbitrary. Please clarify.</w:t>
      </w:r>
    </w:p>
    <w:p w:rsidR="00912D6B" w:rsidRDefault="00912D6B">
      <w:pPr>
        <w:rPr>
          <w:i/>
          <w:color w:val="4A86E8"/>
          <w:highlight w:val="white"/>
        </w:rPr>
      </w:pPr>
    </w:p>
    <w:p w:rsidR="00912D6B" w:rsidRDefault="00BA3044">
      <w:pPr>
        <w:rPr>
          <w:color w:val="4A86E8"/>
        </w:rPr>
      </w:pPr>
      <w:r>
        <w:rPr>
          <w:color w:val="4A86E8"/>
        </w:rPr>
        <w:t xml:space="preserve">Titration selection was based on visual assessment considering that standard mathematical methods, such as staining indices, are not applicable to CyTOF data </w:t>
      </w:r>
      <w:hyperlink r:id="rId13">
        <w:r>
          <w:rPr>
            <w:color w:val="4A86E8"/>
            <w:vertAlign w:val="superscript"/>
          </w:rPr>
          <w:t>5, 6</w:t>
        </w:r>
      </w:hyperlink>
      <w:r>
        <w:rPr>
          <w:color w:val="4A86E8"/>
        </w:rPr>
        <w:t xml:space="preserve">. The rationale for titer selection is now mentioned both in the protocol and the discussion. Briefly, we selected the lowest antibody titer which resulted in the highest signal intensity and the best separation between positive and negative populations (Figures 1 and 2). If a clear distinction between positive and negative populations was not identified, the most accurate working dilution for </w:t>
      </w:r>
      <w:r>
        <w:rPr>
          <w:color w:val="4A86E8"/>
        </w:rPr>
        <w:lastRenderedPageBreak/>
        <w:t>these antibodies was determined by assessing the stain on multiple cell types or on cell lines (Supplemental Figure 4).</w:t>
      </w:r>
    </w:p>
    <w:p w:rsidR="00912D6B" w:rsidRDefault="00912D6B">
      <w:pPr>
        <w:rPr>
          <w:color w:val="4A86E8"/>
        </w:rPr>
      </w:pPr>
    </w:p>
    <w:p w:rsidR="00912D6B" w:rsidRDefault="00912D6B"/>
    <w:p w:rsidR="00912D6B" w:rsidRDefault="00BA3044">
      <w:pPr>
        <w:rPr>
          <w:b/>
        </w:rPr>
      </w:pPr>
      <w:r>
        <w:rPr>
          <w:b/>
        </w:rPr>
        <w:t>References</w:t>
      </w:r>
    </w:p>
    <w:p w:rsidR="00912D6B" w:rsidRDefault="00BA3044">
      <w:pPr>
        <w:widowControl w:val="0"/>
        <w:pBdr>
          <w:top w:val="nil"/>
          <w:left w:val="nil"/>
          <w:bottom w:val="nil"/>
          <w:right w:val="nil"/>
          <w:between w:val="nil"/>
        </w:pBdr>
        <w:spacing w:before="220" w:line="240" w:lineRule="auto"/>
        <w:ind w:left="440" w:hanging="440"/>
        <w:rPr>
          <w:color w:val="000000"/>
        </w:rPr>
      </w:pPr>
      <w:r>
        <w:rPr>
          <w:color w:val="000000"/>
        </w:rPr>
        <w:t>1.</w:t>
      </w:r>
      <w:r>
        <w:rPr>
          <w:color w:val="000000"/>
        </w:rPr>
        <w:tab/>
      </w:r>
      <w:hyperlink r:id="rId14">
        <w:r>
          <w:rPr>
            <w:color w:val="000000"/>
          </w:rPr>
          <w:t xml:space="preserve">Shimasaki, N., Jain, A., Campana, D. NK cells for cancer immunotherapy. </w:t>
        </w:r>
      </w:hyperlink>
      <w:hyperlink r:id="rId15">
        <w:r>
          <w:rPr>
            <w:i/>
            <w:color w:val="000000"/>
          </w:rPr>
          <w:t>Nature reviews. Drug discovery</w:t>
        </w:r>
      </w:hyperlink>
      <w:hyperlink r:id="rId16">
        <w:r>
          <w:rPr>
            <w:color w:val="000000"/>
          </w:rPr>
          <w:t xml:space="preserve">. </w:t>
        </w:r>
      </w:hyperlink>
      <w:hyperlink r:id="rId17">
        <w:r>
          <w:rPr>
            <w:b/>
            <w:color w:val="000000"/>
          </w:rPr>
          <w:t>19</w:t>
        </w:r>
      </w:hyperlink>
      <w:hyperlink r:id="rId18">
        <w:r>
          <w:rPr>
            <w:color w:val="000000"/>
          </w:rPr>
          <w:t xml:space="preserve"> (3), 200–218 (2020).</w:t>
        </w:r>
      </w:hyperlink>
    </w:p>
    <w:p w:rsidR="00912D6B" w:rsidRDefault="00BA3044">
      <w:pPr>
        <w:widowControl w:val="0"/>
        <w:pBdr>
          <w:top w:val="nil"/>
          <w:left w:val="nil"/>
          <w:bottom w:val="nil"/>
          <w:right w:val="nil"/>
          <w:between w:val="nil"/>
        </w:pBdr>
        <w:spacing w:line="240" w:lineRule="auto"/>
        <w:ind w:left="440" w:hanging="440"/>
        <w:rPr>
          <w:color w:val="000000"/>
        </w:rPr>
      </w:pPr>
      <w:r>
        <w:rPr>
          <w:color w:val="000000"/>
        </w:rPr>
        <w:t>2.</w:t>
      </w:r>
      <w:r>
        <w:rPr>
          <w:color w:val="000000"/>
        </w:rPr>
        <w:tab/>
      </w:r>
      <w:hyperlink r:id="rId19">
        <w:r>
          <w:rPr>
            <w:color w:val="000000"/>
          </w:rPr>
          <w:t xml:space="preserve">McKechnie, J.L. </w:t>
        </w:r>
      </w:hyperlink>
      <w:hyperlink r:id="rId20">
        <w:r>
          <w:rPr>
            <w:i/>
            <w:color w:val="000000"/>
          </w:rPr>
          <w:t>et al.</w:t>
        </w:r>
      </w:hyperlink>
      <w:hyperlink r:id="rId21">
        <w:r>
          <w:rPr>
            <w:color w:val="000000"/>
          </w:rPr>
          <w:t xml:space="preserve"> HLA Upregulation During Dengue Virus Infection Suppresses the Natural Killer Cell Response. </w:t>
        </w:r>
      </w:hyperlink>
      <w:hyperlink r:id="rId22">
        <w:r>
          <w:rPr>
            <w:i/>
            <w:color w:val="000000"/>
          </w:rPr>
          <w:t>Frontiers in cellular and infection microbiology</w:t>
        </w:r>
      </w:hyperlink>
      <w:hyperlink r:id="rId23">
        <w:r>
          <w:rPr>
            <w:color w:val="000000"/>
          </w:rPr>
          <w:t xml:space="preserve">. </w:t>
        </w:r>
      </w:hyperlink>
      <w:hyperlink r:id="rId24">
        <w:r>
          <w:rPr>
            <w:b/>
            <w:color w:val="000000"/>
          </w:rPr>
          <w:t>9</w:t>
        </w:r>
      </w:hyperlink>
      <w:hyperlink r:id="rId25">
        <w:r>
          <w:rPr>
            <w:color w:val="000000"/>
          </w:rPr>
          <w:t>, 268 (2019).</w:t>
        </w:r>
      </w:hyperlink>
    </w:p>
    <w:p w:rsidR="00912D6B" w:rsidRDefault="00BA3044">
      <w:pPr>
        <w:widowControl w:val="0"/>
        <w:pBdr>
          <w:top w:val="nil"/>
          <w:left w:val="nil"/>
          <w:bottom w:val="nil"/>
          <w:right w:val="nil"/>
          <w:between w:val="nil"/>
        </w:pBdr>
        <w:spacing w:line="240" w:lineRule="auto"/>
        <w:ind w:left="440" w:hanging="440"/>
        <w:rPr>
          <w:color w:val="000000"/>
        </w:rPr>
      </w:pPr>
      <w:r>
        <w:rPr>
          <w:color w:val="000000"/>
        </w:rPr>
        <w:t>3.</w:t>
      </w:r>
      <w:r>
        <w:rPr>
          <w:color w:val="000000"/>
        </w:rPr>
        <w:tab/>
      </w:r>
      <w:hyperlink r:id="rId26">
        <w:r>
          <w:rPr>
            <w:color w:val="000000"/>
          </w:rPr>
          <w:t xml:space="preserve">Vendrame, E. </w:t>
        </w:r>
      </w:hyperlink>
      <w:hyperlink r:id="rId27">
        <w:r>
          <w:rPr>
            <w:i/>
            <w:color w:val="000000"/>
          </w:rPr>
          <w:t>et al.</w:t>
        </w:r>
      </w:hyperlink>
      <w:hyperlink r:id="rId28">
        <w:r>
          <w:rPr>
            <w:color w:val="000000"/>
          </w:rPr>
          <w:t xml:space="preserve"> TIGIT is upregulated by HIV-1 infection and marks a highly functional adaptive and mature subset of natural killer cells. </w:t>
        </w:r>
      </w:hyperlink>
      <w:hyperlink r:id="rId29">
        <w:r>
          <w:rPr>
            <w:i/>
            <w:color w:val="000000"/>
          </w:rPr>
          <w:t xml:space="preserve">AIDS </w:t>
        </w:r>
      </w:hyperlink>
      <w:hyperlink r:id="rId30">
        <w:r>
          <w:rPr>
            <w:color w:val="000000"/>
          </w:rPr>
          <w:t xml:space="preserve">. </w:t>
        </w:r>
      </w:hyperlink>
      <w:hyperlink r:id="rId31">
        <w:r>
          <w:rPr>
            <w:b/>
            <w:color w:val="000000"/>
          </w:rPr>
          <w:t>34</w:t>
        </w:r>
      </w:hyperlink>
      <w:hyperlink r:id="rId32">
        <w:r>
          <w:rPr>
            <w:color w:val="000000"/>
          </w:rPr>
          <w:t xml:space="preserve"> (6), 801–813 (2020).</w:t>
        </w:r>
      </w:hyperlink>
    </w:p>
    <w:p w:rsidR="00912D6B" w:rsidRDefault="00BA3044">
      <w:pPr>
        <w:widowControl w:val="0"/>
        <w:pBdr>
          <w:top w:val="nil"/>
          <w:left w:val="nil"/>
          <w:bottom w:val="nil"/>
          <w:right w:val="nil"/>
          <w:between w:val="nil"/>
        </w:pBdr>
        <w:spacing w:line="240" w:lineRule="auto"/>
        <w:ind w:left="440" w:hanging="440"/>
        <w:rPr>
          <w:color w:val="000000"/>
        </w:rPr>
      </w:pPr>
      <w:r>
        <w:rPr>
          <w:color w:val="000000"/>
        </w:rPr>
        <w:t>4.</w:t>
      </w:r>
      <w:r>
        <w:rPr>
          <w:color w:val="000000"/>
        </w:rPr>
        <w:tab/>
      </w:r>
      <w:hyperlink r:id="rId33">
        <w:r>
          <w:rPr>
            <w:color w:val="000000"/>
          </w:rPr>
          <w:t xml:space="preserve">Zhao, N.Q. </w:t>
        </w:r>
      </w:hyperlink>
      <w:hyperlink r:id="rId34">
        <w:r>
          <w:rPr>
            <w:i/>
            <w:color w:val="000000"/>
          </w:rPr>
          <w:t>et al.</w:t>
        </w:r>
      </w:hyperlink>
      <w:hyperlink r:id="rId35">
        <w:r>
          <w:rPr>
            <w:color w:val="000000"/>
          </w:rPr>
          <w:t xml:space="preserve"> Natural killer cell phenotype is altered in HIV-exposed seronegative women. </w:t>
        </w:r>
      </w:hyperlink>
      <w:hyperlink r:id="rId36">
        <w:r>
          <w:rPr>
            <w:i/>
            <w:color w:val="000000"/>
          </w:rPr>
          <w:t>PloS one</w:t>
        </w:r>
      </w:hyperlink>
      <w:hyperlink r:id="rId37">
        <w:r>
          <w:rPr>
            <w:color w:val="000000"/>
          </w:rPr>
          <w:t xml:space="preserve">. </w:t>
        </w:r>
      </w:hyperlink>
      <w:hyperlink r:id="rId38">
        <w:r>
          <w:rPr>
            <w:b/>
            <w:color w:val="000000"/>
          </w:rPr>
          <w:t>15</w:t>
        </w:r>
      </w:hyperlink>
      <w:hyperlink r:id="rId39">
        <w:r>
          <w:rPr>
            <w:color w:val="000000"/>
          </w:rPr>
          <w:t xml:space="preserve"> (9), e0238347 (2020).</w:t>
        </w:r>
      </w:hyperlink>
    </w:p>
    <w:p w:rsidR="00912D6B" w:rsidRDefault="00BA3044">
      <w:pPr>
        <w:widowControl w:val="0"/>
        <w:pBdr>
          <w:top w:val="nil"/>
          <w:left w:val="nil"/>
          <w:bottom w:val="nil"/>
          <w:right w:val="nil"/>
          <w:between w:val="nil"/>
        </w:pBdr>
        <w:spacing w:line="240" w:lineRule="auto"/>
        <w:ind w:left="440" w:hanging="440"/>
        <w:rPr>
          <w:color w:val="000000"/>
        </w:rPr>
      </w:pPr>
      <w:r>
        <w:rPr>
          <w:color w:val="000000"/>
        </w:rPr>
        <w:t>5.</w:t>
      </w:r>
      <w:r>
        <w:rPr>
          <w:color w:val="000000"/>
        </w:rPr>
        <w:tab/>
      </w:r>
      <w:hyperlink r:id="rId40">
        <w:r>
          <w:rPr>
            <w:color w:val="000000"/>
          </w:rPr>
          <w:t xml:space="preserve">Leipold, M.D., Newell, E.W., Maecker, H.T. Multiparameter Phenotyping of Human PBMCs Using Mass Cytometry. </w:t>
        </w:r>
      </w:hyperlink>
      <w:hyperlink r:id="rId41">
        <w:r>
          <w:rPr>
            <w:i/>
            <w:color w:val="000000"/>
          </w:rPr>
          <w:t xml:space="preserve">Methods in molecular biology </w:t>
        </w:r>
      </w:hyperlink>
      <w:hyperlink r:id="rId42">
        <w:r>
          <w:rPr>
            <w:color w:val="000000"/>
          </w:rPr>
          <w:t xml:space="preserve">. </w:t>
        </w:r>
      </w:hyperlink>
      <w:hyperlink r:id="rId43">
        <w:r>
          <w:rPr>
            <w:b/>
            <w:color w:val="000000"/>
          </w:rPr>
          <w:t>1343</w:t>
        </w:r>
      </w:hyperlink>
      <w:hyperlink r:id="rId44">
        <w:r>
          <w:rPr>
            <w:color w:val="000000"/>
          </w:rPr>
          <w:t>, 81–95 (2015).</w:t>
        </w:r>
      </w:hyperlink>
    </w:p>
    <w:p w:rsidR="00912D6B" w:rsidRDefault="00BA3044">
      <w:pPr>
        <w:widowControl w:val="0"/>
        <w:pBdr>
          <w:top w:val="nil"/>
          <w:left w:val="nil"/>
          <w:bottom w:val="nil"/>
          <w:right w:val="nil"/>
          <w:between w:val="nil"/>
        </w:pBdr>
        <w:spacing w:after="220" w:line="240" w:lineRule="auto"/>
        <w:ind w:left="440" w:hanging="440"/>
        <w:rPr>
          <w:color w:val="000000"/>
        </w:rPr>
      </w:pPr>
      <w:r>
        <w:rPr>
          <w:color w:val="000000"/>
        </w:rPr>
        <w:t>6.</w:t>
      </w:r>
      <w:r>
        <w:rPr>
          <w:color w:val="000000"/>
        </w:rPr>
        <w:tab/>
      </w:r>
      <w:hyperlink r:id="rId45">
        <w:r>
          <w:rPr>
            <w:color w:val="000000"/>
          </w:rPr>
          <w:t xml:space="preserve">Baumgart, S., Peddinghaus, A., Schulte-Wrede, U., Mei, H.E., Grützkau, A. OMIP-034: Comprehensive immune phenotyping of human peripheral leukocytes by mass cytometry for monitoring immunomodulatory therapies. </w:t>
        </w:r>
      </w:hyperlink>
      <w:hyperlink r:id="rId46">
        <w:r>
          <w:rPr>
            <w:i/>
            <w:color w:val="000000"/>
          </w:rPr>
          <w:t>Cytometry. Part A: the journal of the International Society for Analytical Cytology</w:t>
        </w:r>
      </w:hyperlink>
      <w:hyperlink r:id="rId47">
        <w:r>
          <w:rPr>
            <w:color w:val="000000"/>
          </w:rPr>
          <w:t xml:space="preserve">. </w:t>
        </w:r>
      </w:hyperlink>
      <w:hyperlink r:id="rId48">
        <w:r>
          <w:rPr>
            <w:b/>
            <w:color w:val="000000"/>
          </w:rPr>
          <w:t>91</w:t>
        </w:r>
      </w:hyperlink>
      <w:hyperlink r:id="rId49">
        <w:r>
          <w:rPr>
            <w:color w:val="000000"/>
          </w:rPr>
          <w:t xml:space="preserve"> (1), 34–38 (2017).</w:t>
        </w:r>
      </w:hyperlink>
    </w:p>
    <w:p w:rsidR="00912D6B" w:rsidRDefault="00912D6B">
      <w:pPr>
        <w:widowControl w:val="0"/>
        <w:pBdr>
          <w:top w:val="nil"/>
          <w:left w:val="nil"/>
          <w:bottom w:val="nil"/>
          <w:right w:val="nil"/>
          <w:between w:val="nil"/>
        </w:pBdr>
      </w:pPr>
    </w:p>
    <w:sectPr w:rsidR="00912D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re Franklin Medium">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6B"/>
    <w:rsid w:val="000F199A"/>
    <w:rsid w:val="001240B8"/>
    <w:rsid w:val="001E69F5"/>
    <w:rsid w:val="00295A7C"/>
    <w:rsid w:val="00912D6B"/>
    <w:rsid w:val="00BA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458DC-7658-EB44-83A9-122D6FC5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8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aperpile.com/c/vKJDNy/ElUe+ovWm" TargetMode="External"/><Relationship Id="rId18" Type="http://schemas.openxmlformats.org/officeDocument/2006/relationships/hyperlink" Target="http://paperpile.com/b/vKJDNy/3Mp0i" TargetMode="External"/><Relationship Id="rId26" Type="http://schemas.openxmlformats.org/officeDocument/2006/relationships/hyperlink" Target="http://paperpile.com/b/vKJDNy/LolR" TargetMode="External"/><Relationship Id="rId39" Type="http://schemas.openxmlformats.org/officeDocument/2006/relationships/hyperlink" Target="http://paperpile.com/b/vKJDNy/P7zq" TargetMode="External"/><Relationship Id="rId21" Type="http://schemas.openxmlformats.org/officeDocument/2006/relationships/hyperlink" Target="http://paperpile.com/b/vKJDNy/biSP" TargetMode="External"/><Relationship Id="rId34" Type="http://schemas.openxmlformats.org/officeDocument/2006/relationships/hyperlink" Target="http://paperpile.com/b/vKJDNy/P7zq" TargetMode="External"/><Relationship Id="rId42" Type="http://schemas.openxmlformats.org/officeDocument/2006/relationships/hyperlink" Target="http://paperpile.com/b/vKJDNy/ElUe" TargetMode="External"/><Relationship Id="rId47" Type="http://schemas.openxmlformats.org/officeDocument/2006/relationships/hyperlink" Target="http://paperpile.com/b/vKJDNy/ovWm" TargetMode="External"/><Relationship Id="rId50"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aperpile.com/b/vKJDNy/3Mp0i" TargetMode="External"/><Relationship Id="rId29" Type="http://schemas.openxmlformats.org/officeDocument/2006/relationships/hyperlink" Target="http://paperpile.com/b/vKJDNy/LolR" TargetMode="External"/><Relationship Id="rId1" Type="http://schemas.openxmlformats.org/officeDocument/2006/relationships/styles" Target="styles.xml"/><Relationship Id="rId11" Type="http://schemas.openxmlformats.org/officeDocument/2006/relationships/hyperlink" Target="https://paperpile.com/c/vKJDNy/3Mp0i" TargetMode="External"/><Relationship Id="rId24" Type="http://schemas.openxmlformats.org/officeDocument/2006/relationships/hyperlink" Target="http://paperpile.com/b/vKJDNy/biSP" TargetMode="External"/><Relationship Id="rId32" Type="http://schemas.openxmlformats.org/officeDocument/2006/relationships/hyperlink" Target="http://paperpile.com/b/vKJDNy/LolR" TargetMode="External"/><Relationship Id="rId37" Type="http://schemas.openxmlformats.org/officeDocument/2006/relationships/hyperlink" Target="http://paperpile.com/b/vKJDNy/P7zq" TargetMode="External"/><Relationship Id="rId40" Type="http://schemas.openxmlformats.org/officeDocument/2006/relationships/hyperlink" Target="http://paperpile.com/b/vKJDNy/ElUe" TargetMode="External"/><Relationship Id="rId45" Type="http://schemas.openxmlformats.org/officeDocument/2006/relationships/hyperlink" Target="http://paperpile.com/b/vKJDNy/ovWm" TargetMode="External"/><Relationship Id="rId5" Type="http://schemas.openxmlformats.org/officeDocument/2006/relationships/image" Target="media/image2.png"/><Relationship Id="rId15" Type="http://schemas.openxmlformats.org/officeDocument/2006/relationships/hyperlink" Target="http://paperpile.com/b/vKJDNy/3Mp0i" TargetMode="External"/><Relationship Id="rId23" Type="http://schemas.openxmlformats.org/officeDocument/2006/relationships/hyperlink" Target="http://paperpile.com/b/vKJDNy/biSP" TargetMode="External"/><Relationship Id="rId28" Type="http://schemas.openxmlformats.org/officeDocument/2006/relationships/hyperlink" Target="http://paperpile.com/b/vKJDNy/LolR" TargetMode="External"/><Relationship Id="rId36" Type="http://schemas.openxmlformats.org/officeDocument/2006/relationships/hyperlink" Target="http://paperpile.com/b/vKJDNy/P7zq" TargetMode="External"/><Relationship Id="rId49" Type="http://schemas.openxmlformats.org/officeDocument/2006/relationships/hyperlink" Target="http://paperpile.com/b/vKJDNy/ovWm" TargetMode="External"/><Relationship Id="rId10" Type="http://schemas.openxmlformats.org/officeDocument/2006/relationships/image" Target="media/image3.png"/><Relationship Id="rId19" Type="http://schemas.openxmlformats.org/officeDocument/2006/relationships/hyperlink" Target="http://paperpile.com/b/vKJDNy/biSP" TargetMode="External"/><Relationship Id="rId31" Type="http://schemas.openxmlformats.org/officeDocument/2006/relationships/hyperlink" Target="http://paperpile.com/b/vKJDNy/LolR" TargetMode="External"/><Relationship Id="rId44" Type="http://schemas.openxmlformats.org/officeDocument/2006/relationships/hyperlink" Target="http://paperpile.com/b/vKJDNy/ElUe"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http://paperpile.com/b/vKJDNy/3Mp0i" TargetMode="External"/><Relationship Id="rId22" Type="http://schemas.openxmlformats.org/officeDocument/2006/relationships/hyperlink" Target="http://paperpile.com/b/vKJDNy/biSP" TargetMode="External"/><Relationship Id="rId27" Type="http://schemas.openxmlformats.org/officeDocument/2006/relationships/hyperlink" Target="http://paperpile.com/b/vKJDNy/LolR" TargetMode="External"/><Relationship Id="rId30" Type="http://schemas.openxmlformats.org/officeDocument/2006/relationships/hyperlink" Target="http://paperpile.com/b/vKJDNy/LolR" TargetMode="External"/><Relationship Id="rId35" Type="http://schemas.openxmlformats.org/officeDocument/2006/relationships/hyperlink" Target="http://paperpile.com/b/vKJDNy/P7zq" TargetMode="External"/><Relationship Id="rId43" Type="http://schemas.openxmlformats.org/officeDocument/2006/relationships/hyperlink" Target="http://paperpile.com/b/vKJDNy/ElUe" TargetMode="External"/><Relationship Id="rId48" Type="http://schemas.openxmlformats.org/officeDocument/2006/relationships/hyperlink" Target="http://paperpile.com/b/vKJDNy/ovWm"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paperpile.com/c/vKJDNy/biSP+LolR+P7zq" TargetMode="External"/><Relationship Id="rId17" Type="http://schemas.openxmlformats.org/officeDocument/2006/relationships/hyperlink" Target="http://paperpile.com/b/vKJDNy/3Mp0i" TargetMode="External"/><Relationship Id="rId25" Type="http://schemas.openxmlformats.org/officeDocument/2006/relationships/hyperlink" Target="http://paperpile.com/b/vKJDNy/biSP" TargetMode="External"/><Relationship Id="rId33" Type="http://schemas.openxmlformats.org/officeDocument/2006/relationships/hyperlink" Target="http://paperpile.com/b/vKJDNy/P7zq" TargetMode="External"/><Relationship Id="rId38" Type="http://schemas.openxmlformats.org/officeDocument/2006/relationships/hyperlink" Target="http://paperpile.com/b/vKJDNy/P7zq" TargetMode="External"/><Relationship Id="rId46" Type="http://schemas.openxmlformats.org/officeDocument/2006/relationships/hyperlink" Target="http://paperpile.com/b/vKJDNy/ovWm" TargetMode="External"/><Relationship Id="rId20" Type="http://schemas.openxmlformats.org/officeDocument/2006/relationships/hyperlink" Target="http://paperpile.com/b/vKJDNy/biSP" TargetMode="External"/><Relationship Id="rId41" Type="http://schemas.openxmlformats.org/officeDocument/2006/relationships/hyperlink" Target="http://paperpile.com/b/vKJDNy/E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2479</Words>
  <Characters>14131</Characters>
  <Application>Microsoft Office Word</Application>
  <DocSecurity>0</DocSecurity>
  <Lines>117</Lines>
  <Paragraphs>33</Paragraphs>
  <ScaleCrop>false</ScaleCrop>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Vendrame</cp:lastModifiedBy>
  <cp:revision>6</cp:revision>
  <dcterms:created xsi:type="dcterms:W3CDTF">2020-10-16T22:34:00Z</dcterms:created>
  <dcterms:modified xsi:type="dcterms:W3CDTF">2020-10-16T22:46:00Z</dcterms:modified>
</cp:coreProperties>
</file>