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EA27D1" w14:textId="77777777" w:rsidR="00A12D40" w:rsidRDefault="009A10D1" w:rsidP="00E13138">
      <w:pPr>
        <w:pBdr>
          <w:top w:val="nil"/>
          <w:left w:val="nil"/>
          <w:bottom w:val="nil"/>
          <w:right w:val="nil"/>
          <w:between w:val="nil"/>
        </w:pBdr>
        <w:rPr>
          <w:color w:val="000000"/>
        </w:rPr>
      </w:pPr>
      <w:r>
        <w:rPr>
          <w:b/>
          <w:color w:val="000000"/>
        </w:rPr>
        <w:t>TITLE:</w:t>
      </w:r>
      <w:r>
        <w:rPr>
          <w:color w:val="000000"/>
        </w:rPr>
        <w:t xml:space="preserve">  </w:t>
      </w:r>
    </w:p>
    <w:p w14:paraId="2E01C540" w14:textId="2B463CA5" w:rsidR="00D958F5" w:rsidRDefault="009A10D1" w:rsidP="00E13138">
      <w:pPr>
        <w:pBdr>
          <w:top w:val="nil"/>
          <w:left w:val="nil"/>
          <w:bottom w:val="nil"/>
          <w:right w:val="nil"/>
          <w:between w:val="nil"/>
        </w:pBdr>
      </w:pPr>
      <w:r>
        <w:t xml:space="preserve">Profiling of the </w:t>
      </w:r>
      <w:r w:rsidR="00A12D40">
        <w:t>H</w:t>
      </w:r>
      <w:r>
        <w:t xml:space="preserve">uman </w:t>
      </w:r>
      <w:r w:rsidR="00A12D40">
        <w:t>N</w:t>
      </w:r>
      <w:r>
        <w:t xml:space="preserve">atural </w:t>
      </w:r>
      <w:r w:rsidR="00A12D40">
        <w:t>K</w:t>
      </w:r>
      <w:r>
        <w:t xml:space="preserve">iller </w:t>
      </w:r>
      <w:r w:rsidR="00A12D40">
        <w:t>C</w:t>
      </w:r>
      <w:r>
        <w:t xml:space="preserve">ell </w:t>
      </w:r>
      <w:r w:rsidR="00A12D40">
        <w:t>R</w:t>
      </w:r>
      <w:r>
        <w:t>eceptor-</w:t>
      </w:r>
      <w:r w:rsidR="00A12D40">
        <w:t>L</w:t>
      </w:r>
      <w:r>
        <w:t xml:space="preserve">igand </w:t>
      </w:r>
      <w:r w:rsidR="00A12D40">
        <w:t>R</w:t>
      </w:r>
      <w:r>
        <w:t>epertoire</w:t>
      </w:r>
    </w:p>
    <w:p w14:paraId="14F90504" w14:textId="77777777" w:rsidR="00D958F5" w:rsidRDefault="00D958F5" w:rsidP="00E13138">
      <w:pPr>
        <w:rPr>
          <w:b/>
        </w:rPr>
      </w:pPr>
    </w:p>
    <w:p w14:paraId="304218FC" w14:textId="77777777" w:rsidR="00D958F5" w:rsidRDefault="009A10D1" w:rsidP="00E13138">
      <w:pPr>
        <w:rPr>
          <w:b/>
        </w:rPr>
      </w:pPr>
      <w:r>
        <w:rPr>
          <w:b/>
        </w:rPr>
        <w:t>AUTHORS AND AFFILIATIONS:</w:t>
      </w:r>
    </w:p>
    <w:p w14:paraId="72C54DAA" w14:textId="77777777" w:rsidR="00D958F5" w:rsidRDefault="009A10D1" w:rsidP="00E13138">
      <w:pPr>
        <w:rPr>
          <w:vertAlign w:val="superscript"/>
        </w:rPr>
      </w:pPr>
      <w:r>
        <w:t>Elena Vendrame</w:t>
      </w:r>
      <w:r>
        <w:rPr>
          <w:vertAlign w:val="superscript"/>
        </w:rPr>
        <w:t>1*</w:t>
      </w:r>
      <w:r>
        <w:t>, Julia L. McKechnie</w:t>
      </w:r>
      <w:r>
        <w:rPr>
          <w:vertAlign w:val="superscript"/>
        </w:rPr>
        <w:t>1,2*</w:t>
      </w:r>
      <w:r>
        <w:t xml:space="preserve">, </w:t>
      </w:r>
      <w:proofErr w:type="spellStart"/>
      <w:r>
        <w:t>Thanmayi</w:t>
      </w:r>
      <w:proofErr w:type="spellEnd"/>
      <w:r>
        <w:t xml:space="preserve"> Ranganath</w:t>
      </w:r>
      <w:r>
        <w:rPr>
          <w:vertAlign w:val="superscript"/>
        </w:rPr>
        <w:t>1</w:t>
      </w:r>
      <w:r>
        <w:t>, Nancy Q. Zhao</w:t>
      </w:r>
      <w:r>
        <w:rPr>
          <w:vertAlign w:val="superscript"/>
        </w:rPr>
        <w:t>1,2</w:t>
      </w:r>
      <w:r>
        <w:t>, Arjun Rustagi</w:t>
      </w:r>
      <w:r>
        <w:rPr>
          <w:vertAlign w:val="superscript"/>
        </w:rPr>
        <w:t>1</w:t>
      </w:r>
      <w:r>
        <w:t>, Rosemary Vergara</w:t>
      </w:r>
      <w:r>
        <w:rPr>
          <w:vertAlign w:val="superscript"/>
        </w:rPr>
        <w:t>1</w:t>
      </w:r>
      <w:r>
        <w:t>, Geoffrey T. Ivison</w:t>
      </w:r>
      <w:r>
        <w:rPr>
          <w:vertAlign w:val="superscript"/>
        </w:rPr>
        <w:t>1,2</w:t>
      </w:r>
      <w:r>
        <w:t>, Lisa M. Kronstad</w:t>
      </w:r>
      <w:r>
        <w:rPr>
          <w:vertAlign w:val="superscript"/>
        </w:rPr>
        <w:t>1</w:t>
      </w:r>
      <w:r>
        <w:t>, Laura J. Simpson</w:t>
      </w:r>
      <w:r>
        <w:rPr>
          <w:vertAlign w:val="superscript"/>
        </w:rPr>
        <w:t>1</w:t>
      </w:r>
      <w:r>
        <w:t>, Catherine A. Blish</w:t>
      </w:r>
      <w:r>
        <w:rPr>
          <w:vertAlign w:val="superscript"/>
        </w:rPr>
        <w:t>1,2,3</w:t>
      </w:r>
    </w:p>
    <w:p w14:paraId="164175F6" w14:textId="77777777" w:rsidR="00D958F5" w:rsidRDefault="00D958F5" w:rsidP="00E13138">
      <w:pPr>
        <w:rPr>
          <w:vertAlign w:val="superscript"/>
        </w:rPr>
      </w:pPr>
    </w:p>
    <w:p w14:paraId="6FA4D984" w14:textId="77777777" w:rsidR="00D958F5" w:rsidRDefault="009A10D1" w:rsidP="00E13138">
      <w:r>
        <w:rPr>
          <w:vertAlign w:val="superscript"/>
        </w:rPr>
        <w:t>1</w:t>
      </w:r>
      <w:r>
        <w:t>Department of Medicine, Stanford University School of Medicine, Stanford, CA, USA</w:t>
      </w:r>
    </w:p>
    <w:p w14:paraId="22399C69" w14:textId="77777777" w:rsidR="00D958F5" w:rsidRDefault="009A10D1" w:rsidP="00E13138">
      <w:r>
        <w:rPr>
          <w:vertAlign w:val="superscript"/>
        </w:rPr>
        <w:t>2</w:t>
      </w:r>
      <w:r>
        <w:t>Program in Immunology, Stanford University School of Medicine, Stanford, CA, USA</w:t>
      </w:r>
    </w:p>
    <w:p w14:paraId="17321A93" w14:textId="77777777" w:rsidR="00D958F5" w:rsidRDefault="009A10D1" w:rsidP="00E13138">
      <w:r>
        <w:rPr>
          <w:vertAlign w:val="superscript"/>
        </w:rPr>
        <w:t>3</w:t>
      </w:r>
      <w:r>
        <w:t xml:space="preserve">Chan-Zuckerberg </w:t>
      </w:r>
      <w:proofErr w:type="spellStart"/>
      <w:r>
        <w:t>BioHub</w:t>
      </w:r>
      <w:proofErr w:type="spellEnd"/>
      <w:r>
        <w:t>, San Francisco, CA, USA</w:t>
      </w:r>
    </w:p>
    <w:p w14:paraId="7832363E" w14:textId="5846A17D" w:rsidR="00D958F5" w:rsidRDefault="00D958F5" w:rsidP="00E13138"/>
    <w:p w14:paraId="5581CD29" w14:textId="77777777" w:rsidR="00A12D40" w:rsidRDefault="00A12D40" w:rsidP="00E13138">
      <w:r>
        <w:t xml:space="preserve">* These authors contributed equally. </w:t>
      </w:r>
    </w:p>
    <w:p w14:paraId="28AE1972" w14:textId="77777777" w:rsidR="00A12D40" w:rsidRPr="00544DD7" w:rsidRDefault="00A12D40" w:rsidP="00E13138"/>
    <w:p w14:paraId="3957D53F" w14:textId="77777777" w:rsidR="00D958F5" w:rsidRPr="00544DD7" w:rsidRDefault="009A10D1" w:rsidP="00E13138">
      <w:r w:rsidRPr="00544DD7">
        <w:t>Email addresses of co-authors:</w:t>
      </w:r>
    </w:p>
    <w:p w14:paraId="799C9AF0" w14:textId="77CFB3CE" w:rsidR="00D958F5" w:rsidRPr="00544DD7" w:rsidRDefault="009A10D1" w:rsidP="00E13138">
      <w:r w:rsidRPr="00544DD7">
        <w:t>Elena Vendrame</w:t>
      </w:r>
      <w:r w:rsidRPr="00544DD7">
        <w:tab/>
        <w:t>(elenaven@stanford.edu)</w:t>
      </w:r>
    </w:p>
    <w:p w14:paraId="07F0ED37" w14:textId="2A6FA0BB" w:rsidR="00D958F5" w:rsidRPr="00544DD7" w:rsidRDefault="009A10D1" w:rsidP="00E13138">
      <w:r w:rsidRPr="00544DD7">
        <w:t>Julia L. McKechnie</w:t>
      </w:r>
      <w:r w:rsidRPr="00544DD7">
        <w:tab/>
        <w:t>(jmckluna@stanford.edu)</w:t>
      </w:r>
    </w:p>
    <w:p w14:paraId="40C90C8E" w14:textId="1E01169F" w:rsidR="00D958F5" w:rsidRPr="00544DD7" w:rsidRDefault="009A10D1" w:rsidP="00E13138">
      <w:pPr>
        <w:rPr>
          <w:highlight w:val="white"/>
        </w:rPr>
      </w:pPr>
      <w:proofErr w:type="spellStart"/>
      <w:r w:rsidRPr="00544DD7">
        <w:t>Thanmayi</w:t>
      </w:r>
      <w:proofErr w:type="spellEnd"/>
      <w:r w:rsidRPr="00544DD7">
        <w:t xml:space="preserve"> </w:t>
      </w:r>
      <w:proofErr w:type="spellStart"/>
      <w:r w:rsidRPr="00544DD7">
        <w:t>Ranganath</w:t>
      </w:r>
      <w:proofErr w:type="spellEnd"/>
      <w:r w:rsidRPr="00544DD7">
        <w:tab/>
        <w:t>(thanmayi@stanford.edu)</w:t>
      </w:r>
    </w:p>
    <w:p w14:paraId="7BF3788D" w14:textId="7C345C6F" w:rsidR="00D958F5" w:rsidRPr="00544DD7" w:rsidRDefault="009A10D1" w:rsidP="00E13138">
      <w:pPr>
        <w:rPr>
          <w:vertAlign w:val="superscript"/>
        </w:rPr>
      </w:pPr>
      <w:r w:rsidRPr="00544DD7">
        <w:t xml:space="preserve">Nancy Q. Zhao </w:t>
      </w:r>
      <w:r w:rsidRPr="00544DD7">
        <w:tab/>
        <w:t>(nqzhao@stanford.edu)</w:t>
      </w:r>
    </w:p>
    <w:p w14:paraId="4664B8AD" w14:textId="380E515D" w:rsidR="00D958F5" w:rsidRPr="00544DD7" w:rsidRDefault="009A10D1" w:rsidP="00E13138">
      <w:pPr>
        <w:rPr>
          <w:vertAlign w:val="superscript"/>
        </w:rPr>
      </w:pPr>
      <w:r w:rsidRPr="00544DD7">
        <w:t xml:space="preserve">Arjun </w:t>
      </w:r>
      <w:proofErr w:type="spellStart"/>
      <w:r w:rsidRPr="00544DD7">
        <w:t>Rustagi</w:t>
      </w:r>
      <w:proofErr w:type="spellEnd"/>
      <w:r w:rsidRPr="00544DD7">
        <w:tab/>
      </w:r>
      <w:r w:rsidRPr="00544DD7">
        <w:tab/>
        <w:t>(arjun.rustagi@stanford.edu)</w:t>
      </w:r>
    </w:p>
    <w:p w14:paraId="210D9DA4" w14:textId="0175CE7B" w:rsidR="00D958F5" w:rsidRPr="00544DD7" w:rsidRDefault="009A10D1" w:rsidP="00E13138">
      <w:pPr>
        <w:rPr>
          <w:vertAlign w:val="superscript"/>
        </w:rPr>
      </w:pPr>
      <w:r w:rsidRPr="00544DD7">
        <w:t>Rosemary Vergara</w:t>
      </w:r>
      <w:r w:rsidRPr="00544DD7">
        <w:tab/>
        <w:t>(rvergara@stanford.edu)</w:t>
      </w:r>
      <w:r w:rsidRPr="00544DD7">
        <w:rPr>
          <w:highlight w:val="white"/>
        </w:rPr>
        <w:t xml:space="preserve"> </w:t>
      </w:r>
    </w:p>
    <w:p w14:paraId="2265596C" w14:textId="5F0BEFDE" w:rsidR="00D958F5" w:rsidRPr="00544DD7" w:rsidRDefault="009A10D1" w:rsidP="00E13138">
      <w:pPr>
        <w:rPr>
          <w:vertAlign w:val="superscript"/>
        </w:rPr>
      </w:pPr>
      <w:r w:rsidRPr="00544DD7">
        <w:t xml:space="preserve">Geoffrey T. </w:t>
      </w:r>
      <w:proofErr w:type="spellStart"/>
      <w:r w:rsidRPr="00544DD7">
        <w:t>Ivison</w:t>
      </w:r>
      <w:proofErr w:type="spellEnd"/>
      <w:r w:rsidRPr="00544DD7">
        <w:tab/>
        <w:t xml:space="preserve">(givison@stanford.edu) </w:t>
      </w:r>
    </w:p>
    <w:p w14:paraId="25244A98" w14:textId="78FD16E2" w:rsidR="00D958F5" w:rsidRPr="00544DD7" w:rsidRDefault="009A10D1" w:rsidP="00E13138">
      <w:r w:rsidRPr="00544DD7">
        <w:t xml:space="preserve">Lisa M. </w:t>
      </w:r>
      <w:proofErr w:type="spellStart"/>
      <w:r w:rsidRPr="00544DD7">
        <w:t>Kronstad</w:t>
      </w:r>
      <w:proofErr w:type="spellEnd"/>
      <w:r w:rsidRPr="00544DD7">
        <w:t xml:space="preserve"> </w:t>
      </w:r>
      <w:r w:rsidRPr="00544DD7">
        <w:tab/>
        <w:t>(lkrons@midwestern.edu)</w:t>
      </w:r>
    </w:p>
    <w:p w14:paraId="7C4E7232" w14:textId="4876655F" w:rsidR="00D958F5" w:rsidRPr="00544DD7" w:rsidRDefault="009A10D1" w:rsidP="00E13138">
      <w:r w:rsidRPr="00544DD7">
        <w:t xml:space="preserve">Laura J. Simpson </w:t>
      </w:r>
      <w:r w:rsidRPr="00544DD7">
        <w:tab/>
        <w:t>(laurasim@stanford.edu)</w:t>
      </w:r>
      <w:r w:rsidRPr="00544DD7">
        <w:rPr>
          <w:highlight w:val="white"/>
        </w:rPr>
        <w:t xml:space="preserve"> </w:t>
      </w:r>
    </w:p>
    <w:p w14:paraId="687FE538" w14:textId="77777777" w:rsidR="00D958F5" w:rsidRPr="00544DD7" w:rsidRDefault="00D958F5" w:rsidP="00E13138"/>
    <w:p w14:paraId="0D897555" w14:textId="77777777" w:rsidR="00D958F5" w:rsidRPr="00544DD7" w:rsidRDefault="009A10D1" w:rsidP="00E13138">
      <w:r w:rsidRPr="00544DD7">
        <w:t>Corresponding author:</w:t>
      </w:r>
    </w:p>
    <w:p w14:paraId="73383FBB" w14:textId="1AB324A6" w:rsidR="00D958F5" w:rsidRPr="00544DD7" w:rsidRDefault="009A10D1" w:rsidP="00E13138">
      <w:r w:rsidRPr="00544DD7">
        <w:t xml:space="preserve">Catherine A. </w:t>
      </w:r>
      <w:proofErr w:type="spellStart"/>
      <w:r w:rsidRPr="00544DD7">
        <w:t>Blish</w:t>
      </w:r>
      <w:proofErr w:type="spellEnd"/>
      <w:r w:rsidR="00A12D40" w:rsidRPr="00544DD7">
        <w:tab/>
        <w:t>(</w:t>
      </w:r>
      <w:r w:rsidRPr="00544DD7">
        <w:t>cblish@stanford.edu</w:t>
      </w:r>
      <w:r w:rsidR="00A12D40" w:rsidRPr="00544DD7">
        <w:t>)</w:t>
      </w:r>
    </w:p>
    <w:p w14:paraId="0FAEE846" w14:textId="3F597ECA" w:rsidR="00D958F5" w:rsidRDefault="009A10D1" w:rsidP="00E13138">
      <w:r>
        <w:t xml:space="preserve"> </w:t>
      </w:r>
    </w:p>
    <w:p w14:paraId="6E917FDB" w14:textId="77777777" w:rsidR="00D958F5" w:rsidRDefault="009A10D1" w:rsidP="00E13138">
      <w:r>
        <w:rPr>
          <w:b/>
          <w:color w:val="000000"/>
        </w:rPr>
        <w:t>KEYWORDS:</w:t>
      </w:r>
      <w:r>
        <w:rPr>
          <w:color w:val="000000"/>
        </w:rPr>
        <w:t xml:space="preserve"> </w:t>
      </w:r>
    </w:p>
    <w:p w14:paraId="5EE2D91C" w14:textId="6AE6C8A4" w:rsidR="00D958F5" w:rsidRDefault="009A10D1" w:rsidP="00E13138">
      <w:pPr>
        <w:rPr>
          <w:color w:val="C00000"/>
        </w:rPr>
      </w:pPr>
      <w:r>
        <w:t xml:space="preserve">Natural killer cells, </w:t>
      </w:r>
      <w:r w:rsidR="00A12D40">
        <w:t xml:space="preserve">NK cells, </w:t>
      </w:r>
      <w:r w:rsidRPr="008A5F44">
        <w:rPr>
          <w:color w:val="000000" w:themeColor="text1"/>
        </w:rPr>
        <w:t>peripheral blood mononuclear cells</w:t>
      </w:r>
      <w:r w:rsidR="00A12D40">
        <w:rPr>
          <w:color w:val="000000" w:themeColor="text1"/>
        </w:rPr>
        <w:t>,</w:t>
      </w:r>
      <w:r w:rsidRPr="008A5F44">
        <w:rPr>
          <w:color w:val="000000" w:themeColor="text1"/>
        </w:rPr>
        <w:t xml:space="preserve"> PBMCs, </w:t>
      </w:r>
      <w:r>
        <w:t>receptor-ligand interactions, mass cytometry</w:t>
      </w:r>
      <w:r w:rsidR="00A12D40">
        <w:t>,</w:t>
      </w:r>
      <w:r>
        <w:t xml:space="preserve"> </w:t>
      </w:r>
      <w:proofErr w:type="spellStart"/>
      <w:r>
        <w:t>CyTOF</w:t>
      </w:r>
      <w:proofErr w:type="spellEnd"/>
      <w:r>
        <w:t>, viral infections, phenotyping</w:t>
      </w:r>
    </w:p>
    <w:p w14:paraId="3FAFFE62" w14:textId="77777777" w:rsidR="00D958F5" w:rsidRDefault="00D958F5" w:rsidP="00E13138"/>
    <w:p w14:paraId="5DBECF11" w14:textId="77777777" w:rsidR="00D958F5" w:rsidRDefault="009A10D1" w:rsidP="00E13138">
      <w:r>
        <w:rPr>
          <w:b/>
        </w:rPr>
        <w:t xml:space="preserve">SUMMARY: </w:t>
      </w:r>
    </w:p>
    <w:p w14:paraId="2B826253" w14:textId="77777777" w:rsidR="00A12D40" w:rsidRDefault="009A10D1" w:rsidP="00E13138">
      <w:pPr>
        <w:rPr>
          <w:color w:val="000000" w:themeColor="text1"/>
        </w:rPr>
      </w:pPr>
      <w:r>
        <w:t xml:space="preserve">Here we design two complementary </w:t>
      </w:r>
      <w:r w:rsidRPr="008A5F44">
        <w:rPr>
          <w:color w:val="000000" w:themeColor="text1"/>
        </w:rPr>
        <w:t>mass cytometry (CyTOF) panels and optimize a CyTOF staining protocol with the aim of profiling the natural killer cell receptor and ligand repertoire in the setting of viral infections.</w:t>
      </w:r>
    </w:p>
    <w:p w14:paraId="011AF6E9" w14:textId="77777777" w:rsidR="00A12D40" w:rsidRDefault="00A12D40" w:rsidP="00E13138">
      <w:pPr>
        <w:rPr>
          <w:color w:val="000000" w:themeColor="text1"/>
        </w:rPr>
      </w:pPr>
    </w:p>
    <w:p w14:paraId="22BAC825" w14:textId="6800C88F" w:rsidR="00D958F5" w:rsidRDefault="009A10D1" w:rsidP="00E13138">
      <w:r>
        <w:rPr>
          <w:b/>
        </w:rPr>
        <w:t>ABSTRACT:</w:t>
      </w:r>
      <w:r>
        <w:t xml:space="preserve"> </w:t>
      </w:r>
    </w:p>
    <w:p w14:paraId="0C0DEC1C" w14:textId="2D03A511" w:rsidR="00D958F5" w:rsidRDefault="009A10D1" w:rsidP="00E13138">
      <w:r>
        <w:t xml:space="preserve">Natural killer (NK) cells are among the first responders to viral infections. The ability of NK cells to rapidly recognize and kill virally infected cells is regulated by their expression of germline-encoded inhibitory and activating receptors. The engagement of these receptors by their cognate ligands on target cells determines whether the intercellular interaction will result in NK cell killing. This protocol details the design and optimization of two complementary mass cytometry (CyTOF) </w:t>
      </w:r>
      <w:r w:rsidRPr="005A2632">
        <w:rPr>
          <w:color w:val="000000" w:themeColor="text1"/>
        </w:rPr>
        <w:t xml:space="preserve">panels. One panel was designed to phenotype NK cells based on receptor expression. The other </w:t>
      </w:r>
      <w:r w:rsidRPr="005A2632">
        <w:rPr>
          <w:color w:val="000000" w:themeColor="text1"/>
        </w:rPr>
        <w:lastRenderedPageBreak/>
        <w:t xml:space="preserve">panel was designed to interrogate expression of known ligands for NK cell receptors on several immune cell subsets. Together, these two panels allow for the profiling of the human NK cell receptor-ligand repertoire. Furthermore, this protocol also details the process by which we stain samples for </w:t>
      </w:r>
      <w:proofErr w:type="spellStart"/>
      <w:r w:rsidRPr="005A2632">
        <w:rPr>
          <w:color w:val="000000" w:themeColor="text1"/>
        </w:rPr>
        <w:t>CyTOF</w:t>
      </w:r>
      <w:proofErr w:type="spellEnd"/>
      <w:r w:rsidR="008A5F44" w:rsidRPr="005A2632">
        <w:rPr>
          <w:color w:val="000000" w:themeColor="text1"/>
        </w:rPr>
        <w:t>.</w:t>
      </w:r>
      <w:r w:rsidR="001F557E">
        <w:rPr>
          <w:color w:val="000000" w:themeColor="text1"/>
        </w:rPr>
        <w:t xml:space="preserve"> </w:t>
      </w:r>
      <w:r w:rsidRPr="005A2632">
        <w:rPr>
          <w:color w:val="000000" w:themeColor="text1"/>
        </w:rPr>
        <w:t xml:space="preserve">This process has been optimized for improved reproducibility and standardization. An advantage of CyTOF is its ability to measure over 40 markers in each panel, with minimal signal overlap, allowing researchers to capture the breadth of the NK cell receptor-ligand repertoire. Palladium barcoding also reduces inter-sample variation, as well as consumption of reagents, making it easier to stain samples with each panel in parallel. Limitations of this protocol include the relatively low throughput of CyTOF and the inability to recover cells after analysis. These panels were designed for </w:t>
      </w:r>
      <w:r w:rsidR="00343564">
        <w:rPr>
          <w:color w:val="000000" w:themeColor="text1"/>
        </w:rPr>
        <w:t xml:space="preserve">the </w:t>
      </w:r>
      <w:r w:rsidRPr="005A2632">
        <w:rPr>
          <w:color w:val="000000" w:themeColor="text1"/>
        </w:rPr>
        <w:t xml:space="preserve">analysis of clinical samples from patients suffering from acute and chronic viral infections, including dengue virus, human immunodeficiency virus (HIV), and influenza. However, they can be utilized in any setting to investigate the human NK cell receptor-ligand repertoire. Importantly, these methods can be applied broadly to the design and execution of future CyTOF panels. </w:t>
      </w:r>
    </w:p>
    <w:p w14:paraId="0D27AE3D" w14:textId="77777777" w:rsidR="00D958F5" w:rsidRDefault="00D958F5" w:rsidP="00E13138"/>
    <w:p w14:paraId="46541940" w14:textId="77777777" w:rsidR="00D958F5" w:rsidRDefault="009A10D1" w:rsidP="00E13138">
      <w:pPr>
        <w:rPr>
          <w:color w:val="808080"/>
        </w:rPr>
      </w:pPr>
      <w:bookmarkStart w:id="0" w:name="gjdgxs" w:colFirst="0" w:colLast="0"/>
      <w:bookmarkEnd w:id="0"/>
      <w:r>
        <w:rPr>
          <w:b/>
        </w:rPr>
        <w:t>INTRODUCTION:</w:t>
      </w:r>
      <w:r>
        <w:t xml:space="preserve"> </w:t>
      </w:r>
    </w:p>
    <w:p w14:paraId="3C23B5E8" w14:textId="77777777" w:rsidR="00D958F5" w:rsidRDefault="009A10D1" w:rsidP="00E13138">
      <w:r>
        <w:t xml:space="preserve">Natural killer (NK) cells are innate immune cells whose primary role is to target and kill malignant, infected, or otherwise stressed cells. Through their secretion of cytokines such as </w:t>
      </w:r>
      <w:proofErr w:type="spellStart"/>
      <w:r>
        <w:t>IFNγ</w:t>
      </w:r>
      <w:proofErr w:type="spellEnd"/>
      <w:r>
        <w:t xml:space="preserve"> and TNFα, as well as their cytotoxic activity, NK cells can also shape the adaptive immune response to pathogens and malignancies. The NK response is mediated in part by the combinatorial signaling of germline-encoded inhibitory and activating receptors, which bind a myriad of ligands expressed on potential target cells. Several NK cell receptors have more than one ligand with new receptor-ligand pairs being identified regularly. </w:t>
      </w:r>
    </w:p>
    <w:p w14:paraId="297601AA" w14:textId="77777777" w:rsidR="00343564" w:rsidRDefault="00343564" w:rsidP="00E13138"/>
    <w:p w14:paraId="41066736" w14:textId="083A3C9F" w:rsidR="00D958F5" w:rsidRPr="005A2632" w:rsidRDefault="009A10D1" w:rsidP="00E13138">
      <w:pPr>
        <w:rPr>
          <w:color w:val="000000" w:themeColor="text1"/>
        </w:rPr>
      </w:pPr>
      <w:r>
        <w:t xml:space="preserve">There is a particular interest in studying NK cells in the context of viral infections, where their ability to rapidly respond to stressed cells may limit viral spread or promote the development of NK cell evasion </w:t>
      </w:r>
      <w:r w:rsidRPr="005A2632">
        <w:rPr>
          <w:color w:val="000000" w:themeColor="text1"/>
        </w:rPr>
        <w:t>strategies. This interest in NK cell biology extends to the field of cancer immunotherapy where researchers are investigating the role of NK cells tumor immunosurveillance and in the tumor microenvironment</w:t>
      </w:r>
      <w:hyperlink r:id="rId7">
        <w:r w:rsidRPr="005A2632">
          <w:rPr>
            <w:color w:val="000000" w:themeColor="text1"/>
            <w:vertAlign w:val="superscript"/>
          </w:rPr>
          <w:t>1</w:t>
        </w:r>
      </w:hyperlink>
      <w:r w:rsidRPr="005A2632">
        <w:rPr>
          <w:color w:val="000000" w:themeColor="text1"/>
        </w:rPr>
        <w:t>. However</w:t>
      </w:r>
      <w:r>
        <w:t>, the ability to profile NK cell-target cell interactions is complicated by the fact that human NK cells can express over 30 receptors which in turn can interact with over 30 known ligands</w:t>
      </w:r>
      <w:hyperlink r:id="rId8">
        <w:r>
          <w:rPr>
            <w:color w:val="000000"/>
            <w:vertAlign w:val="superscript"/>
          </w:rPr>
          <w:t>2</w:t>
        </w:r>
      </w:hyperlink>
      <w:r>
        <w:t>. The simultaneous detection of multiple NK cell receptors and their cognate ligands is</w:t>
      </w:r>
      <w:r w:rsidR="00343564">
        <w:t>,</w:t>
      </w:r>
      <w:r>
        <w:t xml:space="preserve"> therefore</w:t>
      </w:r>
      <w:r w:rsidR="00343564">
        <w:t>,</w:t>
      </w:r>
      <w:r>
        <w:t xml:space="preserve"> necessary to capture the complexity of the receptor-ligand interactions that control NK function. Consequently, we turned to mass cytometry (CyTOF), which allows for the simultaneous detection of over 40 markers at the single cell level. Our goal was to create two CyTOF panels to profile the NK cell recepto</w:t>
      </w:r>
      <w:r w:rsidR="005A2632">
        <w:t>r-</w:t>
      </w:r>
      <w:r>
        <w:t xml:space="preserve">ligand repertoire. We also wanted to design a protocol for effective processing and staining of clinical samples. </w:t>
      </w:r>
      <w:r w:rsidRPr="005A2632">
        <w:rPr>
          <w:color w:val="000000" w:themeColor="text1"/>
        </w:rPr>
        <w:t>Clinical human samples provide a wealth of information on how the body responds to viral infection. Therefore, we developed this protoco</w:t>
      </w:r>
      <w:r w:rsidR="005A2632" w:rsidRPr="005A2632">
        <w:rPr>
          <w:color w:val="000000" w:themeColor="text1"/>
        </w:rPr>
        <w:t>l</w:t>
      </w:r>
      <w:r w:rsidRPr="005A2632">
        <w:rPr>
          <w:color w:val="000000" w:themeColor="text1"/>
        </w:rPr>
        <w:t xml:space="preserve"> to investigate expression of NK cell receptors and their cognate ligands in parallel for better standardization, improved recovery, reduced reagent consumption, and limited batch effects.</w:t>
      </w:r>
    </w:p>
    <w:p w14:paraId="5118771C" w14:textId="77777777" w:rsidR="00343564" w:rsidRDefault="00343564" w:rsidP="00E13138">
      <w:pPr>
        <w:rPr>
          <w:color w:val="000000" w:themeColor="text1"/>
        </w:rPr>
      </w:pPr>
    </w:p>
    <w:p w14:paraId="2DB26BF8" w14:textId="59E8E363" w:rsidR="00D958F5" w:rsidRDefault="009A10D1" w:rsidP="00E13138">
      <w:r w:rsidRPr="005A2632">
        <w:rPr>
          <w:color w:val="000000" w:themeColor="text1"/>
        </w:rPr>
        <w:t>Several flow cytometry panels designed to characterize the phenotype of human NK cells have been published previously</w:t>
      </w:r>
      <w:hyperlink r:id="rId9">
        <w:r w:rsidRPr="005A2632">
          <w:rPr>
            <w:color w:val="000000" w:themeColor="text1"/>
            <w:vertAlign w:val="superscript"/>
          </w:rPr>
          <w:t>3–8</w:t>
        </w:r>
      </w:hyperlink>
      <w:r w:rsidRPr="005A2632">
        <w:rPr>
          <w:color w:val="000000" w:themeColor="text1"/>
        </w:rPr>
        <w:t xml:space="preserve">. Most of these panels are limited in their ability to capture the breadth of the receptor-ligand repertoire, only allowing for the detection of a limited selection </w:t>
      </w:r>
      <w:r w:rsidRPr="005A2632">
        <w:rPr>
          <w:color w:val="000000" w:themeColor="text1"/>
        </w:rPr>
        <w:lastRenderedPageBreak/>
        <w:t>of markers. Moreover, these panels are</w:t>
      </w:r>
      <w:r w:rsidR="005A2632" w:rsidRPr="005A2632">
        <w:rPr>
          <w:color w:val="000000" w:themeColor="text1"/>
        </w:rPr>
        <w:t xml:space="preserve"> </w:t>
      </w:r>
      <w:r w:rsidRPr="005A2632">
        <w:rPr>
          <w:color w:val="000000" w:themeColor="text1"/>
        </w:rPr>
        <w:t xml:space="preserve">limited by signal overlap between fluorochromes. CyTOF uses antibodies conjugated to metal isotopes, which are read out by time-of-flight mass spectrometry, thus dramatically reducing spillover </w:t>
      </w:r>
      <w:r>
        <w:t xml:space="preserve">between channels. </w:t>
      </w:r>
    </w:p>
    <w:p w14:paraId="2E23874A" w14:textId="77777777" w:rsidR="00343564" w:rsidRDefault="00343564" w:rsidP="00E13138"/>
    <w:p w14:paraId="30E4CB68" w14:textId="0996AD65" w:rsidR="00D958F5" w:rsidRPr="005A2632" w:rsidRDefault="009A10D1" w:rsidP="00E13138">
      <w:pPr>
        <w:rPr>
          <w:color w:val="000000" w:themeColor="text1"/>
          <w:highlight w:val="yellow"/>
        </w:rPr>
      </w:pPr>
      <w:r>
        <w:t>Like us, other researchers have turned to CyTOF to study NK cells</w:t>
      </w:r>
      <w:hyperlink r:id="rId10">
        <w:r>
          <w:rPr>
            <w:color w:val="000000"/>
            <w:vertAlign w:val="superscript"/>
          </w:rPr>
          <w:t>9–14</w:t>
        </w:r>
      </w:hyperlink>
      <w:r>
        <w:t xml:space="preserve">, though generally with fewer NK cell markers, which reduces the depth of phenotyping. While the general staining protocols used by these groups are </w:t>
      </w:r>
      <w:proofErr w:type="gramStart"/>
      <w:r>
        <w:t>similar to</w:t>
      </w:r>
      <w:proofErr w:type="gramEnd"/>
      <w:r>
        <w:t xml:space="preserve"> ours, there are some key differences. Other protocols do not involve isolating NK cells prior to staining even though the researchers are only interested in that subset</w:t>
      </w:r>
      <w:hyperlink r:id="rId11">
        <w:r w:rsidRPr="005A2632">
          <w:rPr>
            <w:color w:val="000000" w:themeColor="text1"/>
            <w:vertAlign w:val="superscript"/>
          </w:rPr>
          <w:t>13,14</w:t>
        </w:r>
      </w:hyperlink>
      <w:r w:rsidRPr="005A2632">
        <w:rPr>
          <w:color w:val="000000" w:themeColor="text1"/>
        </w:rPr>
        <w:t xml:space="preserve">. Given that NK cells only make up 5-20% of peripheral blood mononuclear cells (PBMCs), staining whole PBMCs rather than isolated NK cells means that </w:t>
      </w:r>
      <w:r w:rsidR="00740430" w:rsidRPr="005A2632">
        <w:rPr>
          <w:color w:val="000000" w:themeColor="text1"/>
        </w:rPr>
        <w:t>most of</w:t>
      </w:r>
      <w:r w:rsidRPr="005A2632">
        <w:rPr>
          <w:color w:val="000000" w:themeColor="text1"/>
        </w:rPr>
        <w:t xml:space="preserve"> the collected events will not be NK cells. This reduces the amount of data generated on the subset of interest and results in inefficient use of </w:t>
      </w:r>
      <w:r>
        <w:t xml:space="preserve">machine time. Additionally, while many of these panels interrogate expression of NK cell receptors such as killer Ig-like receptors (KIRs), NKG2A/C/D, and the natural cytotoxicity receptors (NKp30, NKp44, and NKp46), expression of these markers is not put into a broader context due to the </w:t>
      </w:r>
      <w:r w:rsidRPr="005A2632">
        <w:rPr>
          <w:color w:val="000000" w:themeColor="text1"/>
        </w:rPr>
        <w:t>absence of data on expression of their respective ligands. Consequently, while these previously published methods for investigating NK cells via CyTOF are sufficient for broad NK cell phenotyping, used in isolation, they cannot provide a comprehensive picture of NK cell activity. This brings us to the major advantage of the methods described here, which is that up to this point there are no published flow cytometry or CyTOF panels focused on exploring the expression of ligands for NK cell receptors. Importantl</w:t>
      </w:r>
      <w:r w:rsidR="005A2632" w:rsidRPr="005A2632">
        <w:rPr>
          <w:color w:val="000000" w:themeColor="text1"/>
        </w:rPr>
        <w:t>y</w:t>
      </w:r>
      <w:r w:rsidRPr="005A2632">
        <w:rPr>
          <w:color w:val="000000" w:themeColor="text1"/>
        </w:rPr>
        <w:t xml:space="preserve">, our ligand panel has several open channels to allow for the addition of markers to suit the unique needs of each experiment. </w:t>
      </w:r>
    </w:p>
    <w:p w14:paraId="2832EB53" w14:textId="77777777" w:rsidR="00343564" w:rsidRDefault="00343564" w:rsidP="00E13138">
      <w:pPr>
        <w:rPr>
          <w:color w:val="000000" w:themeColor="text1"/>
        </w:rPr>
      </w:pPr>
    </w:p>
    <w:p w14:paraId="545C251A" w14:textId="12E2F738" w:rsidR="00D958F5" w:rsidRPr="005A2632" w:rsidRDefault="009A10D1" w:rsidP="00E13138">
      <w:pPr>
        <w:rPr>
          <w:color w:val="000000" w:themeColor="text1"/>
        </w:rPr>
      </w:pPr>
      <w:r w:rsidRPr="005A2632">
        <w:rPr>
          <w:color w:val="000000" w:themeColor="text1"/>
        </w:rPr>
        <w:t>Considering that one of the main limitations of CyTOF is the inability to recover the sample after analysis, this method may not be appropriate for researchers who have limited samples with which they are interested in performing additional experiment</w:t>
      </w:r>
      <w:r w:rsidR="005A2632" w:rsidRPr="005A2632">
        <w:rPr>
          <w:color w:val="000000" w:themeColor="text1"/>
        </w:rPr>
        <w:t>s</w:t>
      </w:r>
      <w:r w:rsidRPr="005A2632">
        <w:rPr>
          <w:color w:val="000000" w:themeColor="text1"/>
        </w:rPr>
        <w:t xml:space="preserve">. Additionally, the low throughput nature of CyTOF means that the data generated will be of poor quality if the starting number of cells is low. Barring these two limitations, this method will perform well in any setting to investigate receptor-ligand interactions between NK cells and target cells. </w:t>
      </w:r>
    </w:p>
    <w:p w14:paraId="6E084BDB" w14:textId="77777777" w:rsidR="00D958F5" w:rsidRDefault="00D958F5" w:rsidP="00E13138">
      <w:pPr>
        <w:rPr>
          <w:b/>
          <w:color w:val="000000"/>
        </w:rPr>
      </w:pPr>
    </w:p>
    <w:p w14:paraId="4F530299" w14:textId="77777777" w:rsidR="00D958F5" w:rsidRDefault="009A10D1" w:rsidP="00E13138">
      <w:pPr>
        <w:rPr>
          <w:i/>
          <w:color w:val="808080"/>
        </w:rPr>
      </w:pPr>
      <w:bookmarkStart w:id="1" w:name="30j0zll" w:colFirst="0" w:colLast="0"/>
      <w:bookmarkStart w:id="2" w:name="_Hlk55209985"/>
      <w:bookmarkEnd w:id="1"/>
      <w:r>
        <w:rPr>
          <w:b/>
        </w:rPr>
        <w:t>PROTOCOL:</w:t>
      </w:r>
      <w:r>
        <w:t xml:space="preserve"> </w:t>
      </w:r>
    </w:p>
    <w:p w14:paraId="57F33F62" w14:textId="47937584" w:rsidR="00D958F5" w:rsidRPr="00343564" w:rsidRDefault="0088457E" w:rsidP="00E13138">
      <w:pPr>
        <w:rPr>
          <w:b/>
        </w:rPr>
      </w:pPr>
      <w:r>
        <w:rPr>
          <w:highlight w:val="white"/>
        </w:rPr>
        <w:t>Anonymized</w:t>
      </w:r>
      <w:r w:rsidR="009A10D1">
        <w:rPr>
          <w:highlight w:val="white"/>
        </w:rPr>
        <w:t xml:space="preserve"> healthy adult PBMCs were obtained from leukoreduction system chambers purchased from the Stanford Blood Center. PBMCs from de-identified healthy pediatric </w:t>
      </w:r>
      <w:r w:rsidR="009A10D1" w:rsidRPr="005A2632">
        <w:rPr>
          <w:color w:val="000000" w:themeColor="text1"/>
          <w:highlight w:val="white"/>
        </w:rPr>
        <w:t xml:space="preserve">donors </w:t>
      </w:r>
      <w:r w:rsidR="009A10D1">
        <w:rPr>
          <w:highlight w:val="white"/>
        </w:rPr>
        <w:t>and pediatric acute dengue patients were obtained from Gorgas Memorial Institute of Health Studies in Panama City, Panama and hospitals belonging to the Ministry of Health, the Social Security System in Panama City, and suburban areas. The dengue study protocol was approved by the IRB of Hospital del Niño (CBIHN-M-0634), then approved by the committees of ICGES, CSS, Santo Tomas Hospital, and Stanford University</w:t>
      </w:r>
      <w:r w:rsidR="00343564">
        <w:rPr>
          <w:highlight w:val="white"/>
        </w:rPr>
        <w:t xml:space="preserve">. </w:t>
      </w:r>
      <w:r w:rsidR="009A10D1">
        <w:rPr>
          <w:highlight w:val="white"/>
        </w:rPr>
        <w:t>PBMCs from HIV-infected patients on antiretroviral treatment were obtained from ACTG study A5321.</w:t>
      </w:r>
    </w:p>
    <w:p w14:paraId="29D384DE" w14:textId="77777777" w:rsidR="00D958F5" w:rsidRDefault="00D958F5" w:rsidP="00E13138"/>
    <w:p w14:paraId="329D1290" w14:textId="68814417" w:rsidR="00D958F5" w:rsidRPr="00AB6E27" w:rsidRDefault="009A10D1" w:rsidP="00E13138">
      <w:pPr>
        <w:pStyle w:val="ListParagraph"/>
        <w:numPr>
          <w:ilvl w:val="0"/>
          <w:numId w:val="2"/>
        </w:numPr>
        <w:ind w:left="0" w:firstLine="0"/>
        <w:rPr>
          <w:b/>
          <w:highlight w:val="yellow"/>
        </w:rPr>
      </w:pPr>
      <w:r w:rsidRPr="00AB6E27">
        <w:rPr>
          <w:b/>
          <w:highlight w:val="yellow"/>
        </w:rPr>
        <w:t>Antibody labeling, panel preparation, and storage</w:t>
      </w:r>
    </w:p>
    <w:p w14:paraId="4EDDF6F4" w14:textId="77777777" w:rsidR="00D958F5" w:rsidRDefault="00D958F5" w:rsidP="00E13138"/>
    <w:p w14:paraId="3457C3E9" w14:textId="5022AB10" w:rsidR="00D958F5" w:rsidRPr="00343564" w:rsidRDefault="009A10D1" w:rsidP="00E13138">
      <w:pPr>
        <w:pStyle w:val="ListParagraph"/>
        <w:numPr>
          <w:ilvl w:val="1"/>
          <w:numId w:val="2"/>
        </w:numPr>
        <w:ind w:left="0" w:firstLine="0"/>
        <w:rPr>
          <w:color w:val="000000" w:themeColor="text1"/>
        </w:rPr>
      </w:pPr>
      <w:r w:rsidRPr="00343564">
        <w:rPr>
          <w:color w:val="000000" w:themeColor="text1"/>
        </w:rPr>
        <w:t>Antibody labeling with metal isotopes</w:t>
      </w:r>
    </w:p>
    <w:p w14:paraId="50DEDC18" w14:textId="77777777" w:rsidR="00343564" w:rsidRDefault="00343564" w:rsidP="00E13138">
      <w:pPr>
        <w:rPr>
          <w:color w:val="000000" w:themeColor="text1"/>
        </w:rPr>
      </w:pPr>
    </w:p>
    <w:p w14:paraId="2603903F" w14:textId="543E0E6D" w:rsidR="00D958F5" w:rsidRDefault="009A10D1" w:rsidP="00E13138">
      <w:pPr>
        <w:rPr>
          <w:color w:val="000000" w:themeColor="text1"/>
        </w:rPr>
      </w:pPr>
      <w:r w:rsidRPr="005A2632">
        <w:rPr>
          <w:color w:val="000000" w:themeColor="text1"/>
        </w:rPr>
        <w:lastRenderedPageBreak/>
        <w:t xml:space="preserve">NOTE: To increase inter-experimental standardization of staining, </w:t>
      </w:r>
      <w:r w:rsidR="00343564">
        <w:rPr>
          <w:color w:val="000000" w:themeColor="text1"/>
        </w:rPr>
        <w:t>it is</w:t>
      </w:r>
      <w:r w:rsidRPr="005A2632">
        <w:rPr>
          <w:color w:val="000000" w:themeColor="text1"/>
        </w:rPr>
        <w:t xml:space="preserve"> recommend</w:t>
      </w:r>
      <w:r w:rsidR="00343564">
        <w:rPr>
          <w:color w:val="000000" w:themeColor="text1"/>
        </w:rPr>
        <w:t>ed to</w:t>
      </w:r>
      <w:r w:rsidRPr="005A2632">
        <w:rPr>
          <w:color w:val="000000" w:themeColor="text1"/>
        </w:rPr>
        <w:t xml:space="preserve"> perform multiple conjugations for each antibody and </w:t>
      </w:r>
      <w:r w:rsidR="00343564">
        <w:rPr>
          <w:color w:val="000000" w:themeColor="text1"/>
        </w:rPr>
        <w:t xml:space="preserve">then </w:t>
      </w:r>
      <w:r w:rsidRPr="005A2632">
        <w:rPr>
          <w:color w:val="000000" w:themeColor="text1"/>
        </w:rPr>
        <w:t xml:space="preserve">combining the products into </w:t>
      </w:r>
      <w:r w:rsidR="005A2632" w:rsidRPr="005A2632">
        <w:rPr>
          <w:color w:val="000000" w:themeColor="text1"/>
        </w:rPr>
        <w:t>a</w:t>
      </w:r>
      <w:r w:rsidRPr="005A2632">
        <w:rPr>
          <w:color w:val="000000" w:themeColor="text1"/>
        </w:rPr>
        <w:t xml:space="preserve"> single master mix for long-term storage as described below.</w:t>
      </w:r>
    </w:p>
    <w:p w14:paraId="6BBC4DAD" w14:textId="77777777" w:rsidR="00343564" w:rsidRPr="005A2632" w:rsidRDefault="00343564" w:rsidP="00E13138">
      <w:pPr>
        <w:rPr>
          <w:color w:val="000000" w:themeColor="text1"/>
        </w:rPr>
      </w:pPr>
    </w:p>
    <w:p w14:paraId="7AED1F46" w14:textId="77777777" w:rsidR="00343564" w:rsidRDefault="009A10D1" w:rsidP="00E13138">
      <w:pPr>
        <w:pStyle w:val="ListParagraph"/>
        <w:numPr>
          <w:ilvl w:val="2"/>
          <w:numId w:val="1"/>
        </w:numPr>
        <w:ind w:left="0" w:firstLine="0"/>
        <w:rPr>
          <w:color w:val="000000" w:themeColor="text1"/>
        </w:rPr>
      </w:pPr>
      <w:r w:rsidRPr="00343564">
        <w:rPr>
          <w:color w:val="000000" w:themeColor="text1"/>
        </w:rPr>
        <w:t xml:space="preserve">Determine the concentration of each antibody by measuring the absorbance at 280 nm prior to conjugation. Antibodies used for this protocol are commercially available and were purchased from the vendors listed in the </w:t>
      </w:r>
      <w:r w:rsidRPr="00343564">
        <w:rPr>
          <w:b/>
          <w:bCs/>
          <w:color w:val="000000" w:themeColor="text1"/>
        </w:rPr>
        <w:t>Table of Materials</w:t>
      </w:r>
      <w:r w:rsidRPr="00343564">
        <w:rPr>
          <w:color w:val="000000" w:themeColor="text1"/>
        </w:rPr>
        <w:t xml:space="preserve">. </w:t>
      </w:r>
    </w:p>
    <w:p w14:paraId="5C5D7450" w14:textId="77777777" w:rsidR="00343564" w:rsidRDefault="00343564" w:rsidP="00E13138">
      <w:pPr>
        <w:pStyle w:val="ListParagraph"/>
        <w:ind w:left="0"/>
        <w:rPr>
          <w:color w:val="000000" w:themeColor="text1"/>
        </w:rPr>
      </w:pPr>
    </w:p>
    <w:p w14:paraId="4E82FFFA" w14:textId="77777777" w:rsidR="00343564" w:rsidRDefault="009A10D1" w:rsidP="00E13138">
      <w:pPr>
        <w:pStyle w:val="ListParagraph"/>
        <w:numPr>
          <w:ilvl w:val="2"/>
          <w:numId w:val="1"/>
        </w:numPr>
        <w:ind w:left="0" w:firstLine="0"/>
        <w:rPr>
          <w:color w:val="000000" w:themeColor="text1"/>
        </w:rPr>
      </w:pPr>
      <w:r w:rsidRPr="00343564">
        <w:rPr>
          <w:color w:val="000000" w:themeColor="text1"/>
        </w:rPr>
        <w:t>Label antibodies with metal isotopes using commercially available antibody labeling kits according to the manufacturer’s instructions. Use 100 µg of antibody for each reaction.</w:t>
      </w:r>
    </w:p>
    <w:p w14:paraId="2B6AB9FA" w14:textId="77777777" w:rsidR="00343564" w:rsidRPr="00343564" w:rsidRDefault="00343564" w:rsidP="00E13138">
      <w:pPr>
        <w:pStyle w:val="ListParagraph"/>
        <w:ind w:left="0"/>
        <w:rPr>
          <w:color w:val="000000" w:themeColor="text1"/>
        </w:rPr>
      </w:pPr>
    </w:p>
    <w:p w14:paraId="0819D175" w14:textId="2422408D" w:rsidR="00D958F5" w:rsidRPr="00913366" w:rsidRDefault="009A10D1" w:rsidP="00913366">
      <w:pPr>
        <w:pStyle w:val="ListParagraph"/>
        <w:numPr>
          <w:ilvl w:val="2"/>
          <w:numId w:val="1"/>
        </w:numPr>
        <w:ind w:left="0" w:firstLine="0"/>
        <w:rPr>
          <w:color w:val="000000" w:themeColor="text1"/>
        </w:rPr>
      </w:pPr>
      <w:r w:rsidRPr="00343564">
        <w:rPr>
          <w:color w:val="000000" w:themeColor="text1"/>
        </w:rPr>
        <w:t>Determine the final concentration of the recovered antibody by measuring the absorbance at 280 n</w:t>
      </w:r>
      <w:r w:rsidR="005A2632" w:rsidRPr="00343564">
        <w:rPr>
          <w:color w:val="000000" w:themeColor="text1"/>
        </w:rPr>
        <w:t>m.</w:t>
      </w:r>
      <w:r w:rsidRPr="00343564">
        <w:rPr>
          <w:color w:val="000000" w:themeColor="text1"/>
        </w:rPr>
        <w:t xml:space="preserve"> </w:t>
      </w:r>
      <w:r w:rsidRPr="00913366">
        <w:rPr>
          <w:color w:val="000000" w:themeColor="text1"/>
        </w:rPr>
        <w:t xml:space="preserve">Store antibodies </w:t>
      </w:r>
      <w:r w:rsidR="00740430">
        <w:rPr>
          <w:color w:val="000000" w:themeColor="text1"/>
        </w:rPr>
        <w:t xml:space="preserve">for </w:t>
      </w:r>
      <w:r w:rsidRPr="00913366">
        <w:rPr>
          <w:color w:val="000000" w:themeColor="text1"/>
        </w:rPr>
        <w:t>short-term at 4</w:t>
      </w:r>
      <w:r w:rsidR="00343564" w:rsidRPr="00913366">
        <w:rPr>
          <w:color w:val="000000" w:themeColor="text1"/>
        </w:rPr>
        <w:t xml:space="preserve"> </w:t>
      </w:r>
      <w:r w:rsidRPr="00913366">
        <w:rPr>
          <w:color w:val="000000" w:themeColor="text1"/>
        </w:rPr>
        <w:t>°C.</w:t>
      </w:r>
    </w:p>
    <w:p w14:paraId="61852CE0" w14:textId="77777777" w:rsidR="00D958F5" w:rsidRDefault="00D958F5" w:rsidP="00E13138"/>
    <w:p w14:paraId="4D177021" w14:textId="3DC565E9" w:rsidR="00D958F5" w:rsidRPr="00676C22" w:rsidRDefault="009A10D1" w:rsidP="00E13138">
      <w:pPr>
        <w:pStyle w:val="ListParagraph"/>
        <w:numPr>
          <w:ilvl w:val="1"/>
          <w:numId w:val="1"/>
        </w:numPr>
        <w:ind w:left="0" w:firstLine="0"/>
        <w:rPr>
          <w:highlight w:val="yellow"/>
        </w:rPr>
      </w:pPr>
      <w:r w:rsidRPr="00676C22">
        <w:rPr>
          <w:highlight w:val="yellow"/>
        </w:rPr>
        <w:t>Antibody titrations</w:t>
      </w:r>
    </w:p>
    <w:p w14:paraId="5A07AEAC" w14:textId="77777777" w:rsidR="00343564" w:rsidRPr="00913366" w:rsidRDefault="00343564" w:rsidP="00913366"/>
    <w:p w14:paraId="17358B44" w14:textId="08B25BFB" w:rsidR="00355713" w:rsidRPr="00913366" w:rsidRDefault="00355713" w:rsidP="00913366">
      <w:r w:rsidRPr="00913366">
        <w:t xml:space="preserve">NOTE: </w:t>
      </w:r>
      <w:proofErr w:type="spellStart"/>
      <w:r w:rsidRPr="00913366">
        <w:t>CyTOF</w:t>
      </w:r>
      <w:proofErr w:type="spellEnd"/>
      <w:r w:rsidRPr="00913366">
        <w:t xml:space="preserve"> technology is very sensitive to potential contaminating signals from environmental metals. Therefore, all buffers/reagents used should be prepared with </w:t>
      </w:r>
      <w:r w:rsidR="00343564" w:rsidRPr="00913366">
        <w:t>ultrapure</w:t>
      </w:r>
      <w:r w:rsidRPr="00913366">
        <w:t xml:space="preserve"> water and stored in plastic or glass containers that have never been washed with soap.</w:t>
      </w:r>
    </w:p>
    <w:p w14:paraId="7C00EE2F" w14:textId="77777777" w:rsidR="00343564" w:rsidRDefault="00343564" w:rsidP="00E13138">
      <w:pPr>
        <w:rPr>
          <w:color w:val="000000" w:themeColor="text1"/>
          <w:shd w:val="clear" w:color="auto" w:fill="FFF2CC"/>
        </w:rPr>
      </w:pPr>
    </w:p>
    <w:p w14:paraId="6C43F30D" w14:textId="1CB19672" w:rsidR="00343564" w:rsidRPr="00343564" w:rsidRDefault="009A10D1" w:rsidP="00E13138">
      <w:pPr>
        <w:pStyle w:val="ListParagraph"/>
        <w:numPr>
          <w:ilvl w:val="2"/>
          <w:numId w:val="1"/>
        </w:numPr>
        <w:ind w:left="0" w:firstLine="0"/>
        <w:rPr>
          <w:color w:val="000000" w:themeColor="text1"/>
          <w:highlight w:val="yellow"/>
        </w:rPr>
      </w:pPr>
      <w:r w:rsidRPr="00343564">
        <w:rPr>
          <w:color w:val="000000" w:themeColor="text1"/>
          <w:highlight w:val="yellow"/>
          <w:shd w:val="clear" w:color="auto" w:fill="FFF2CC"/>
        </w:rPr>
        <w:t xml:space="preserve">Prepare </w:t>
      </w:r>
      <w:r w:rsidR="00343564" w:rsidRPr="00343564">
        <w:rPr>
          <w:color w:val="000000" w:themeColor="text1"/>
          <w:highlight w:val="yellow"/>
          <w:shd w:val="clear" w:color="auto" w:fill="FFF2CC"/>
        </w:rPr>
        <w:t xml:space="preserve">centrifuge </w:t>
      </w:r>
      <w:r w:rsidRPr="00343564">
        <w:rPr>
          <w:color w:val="000000" w:themeColor="text1"/>
          <w:highlight w:val="yellow"/>
          <w:shd w:val="clear" w:color="auto" w:fill="FFF2CC"/>
        </w:rPr>
        <w:t xml:space="preserve">tubes for each donor containing 9 mL of warm, complete RPMI (RPMI 1640, 10% FBS, 1% L-glutamine, 1% penicillin/streptomycin) and 20 µL </w:t>
      </w:r>
      <w:r w:rsidR="00343564">
        <w:rPr>
          <w:color w:val="000000" w:themeColor="text1"/>
          <w:highlight w:val="yellow"/>
          <w:shd w:val="clear" w:color="auto" w:fill="FFF2CC"/>
        </w:rPr>
        <w:t xml:space="preserve">of </w:t>
      </w:r>
      <w:proofErr w:type="spellStart"/>
      <w:r w:rsidRPr="00343564">
        <w:rPr>
          <w:color w:val="000000" w:themeColor="text1"/>
          <w:highlight w:val="yellow"/>
          <w:shd w:val="clear" w:color="auto" w:fill="FFF2CC"/>
        </w:rPr>
        <w:t>benzonase</w:t>
      </w:r>
      <w:proofErr w:type="spellEnd"/>
      <w:r w:rsidRPr="00343564">
        <w:rPr>
          <w:color w:val="000000" w:themeColor="text1"/>
          <w:highlight w:val="yellow"/>
          <w:shd w:val="clear" w:color="auto" w:fill="FFF2CC"/>
        </w:rPr>
        <w:t xml:space="preserve"> per vial of PBMCs to be thawed. Benzonase decreases viscosity and background from free DNA from lysed cells. Thaw the PBMCs in a water bath and add to tubes.</w:t>
      </w:r>
    </w:p>
    <w:p w14:paraId="5D17A340" w14:textId="77777777" w:rsidR="00343564" w:rsidRPr="00343564" w:rsidRDefault="00343564" w:rsidP="00E13138">
      <w:pPr>
        <w:pStyle w:val="ListParagraph"/>
        <w:ind w:left="0"/>
        <w:rPr>
          <w:color w:val="000000" w:themeColor="text1"/>
          <w:highlight w:val="yellow"/>
        </w:rPr>
      </w:pPr>
    </w:p>
    <w:p w14:paraId="4697FAF1" w14:textId="77777777" w:rsidR="00343564" w:rsidRPr="00343564" w:rsidRDefault="009A10D1" w:rsidP="00E13138">
      <w:pPr>
        <w:pStyle w:val="ListParagraph"/>
        <w:numPr>
          <w:ilvl w:val="2"/>
          <w:numId w:val="1"/>
        </w:numPr>
        <w:ind w:left="0" w:firstLine="0"/>
        <w:rPr>
          <w:color w:val="000000" w:themeColor="text1"/>
          <w:highlight w:val="yellow"/>
        </w:rPr>
      </w:pPr>
      <w:r w:rsidRPr="00343564">
        <w:rPr>
          <w:color w:val="000000" w:themeColor="text1"/>
          <w:highlight w:val="yellow"/>
          <w:shd w:val="clear" w:color="auto" w:fill="FFF2CC"/>
        </w:rPr>
        <w:t xml:space="preserve">Centrifuge at 300 x </w:t>
      </w:r>
      <w:r w:rsidRPr="00343564">
        <w:rPr>
          <w:i/>
          <w:color w:val="000000" w:themeColor="text1"/>
          <w:highlight w:val="yellow"/>
          <w:shd w:val="clear" w:color="auto" w:fill="FFF2CC"/>
        </w:rPr>
        <w:t>g</w:t>
      </w:r>
      <w:r w:rsidRPr="00343564">
        <w:rPr>
          <w:color w:val="000000" w:themeColor="text1"/>
          <w:highlight w:val="yellow"/>
          <w:shd w:val="clear" w:color="auto" w:fill="FFF2CC"/>
        </w:rPr>
        <w:t xml:space="preserve"> at room temperature for 5 min. Resuspend the PBMCs in 5 mL of complete RPMI media and count.</w:t>
      </w:r>
    </w:p>
    <w:p w14:paraId="16C518FC" w14:textId="77777777" w:rsidR="00343564" w:rsidRPr="00343564" w:rsidRDefault="00343564" w:rsidP="00E13138">
      <w:pPr>
        <w:pStyle w:val="ListParagraph"/>
        <w:ind w:left="0"/>
        <w:rPr>
          <w:color w:val="000000" w:themeColor="text1"/>
        </w:rPr>
      </w:pPr>
    </w:p>
    <w:p w14:paraId="5137D5CE" w14:textId="380F53CA" w:rsidR="00AB6E27" w:rsidRPr="00BC3450" w:rsidRDefault="009A10D1" w:rsidP="00E13138">
      <w:pPr>
        <w:pStyle w:val="ListParagraph"/>
        <w:numPr>
          <w:ilvl w:val="2"/>
          <w:numId w:val="1"/>
        </w:numPr>
        <w:ind w:left="0" w:firstLine="0"/>
        <w:rPr>
          <w:color w:val="000000" w:themeColor="text1"/>
        </w:rPr>
      </w:pPr>
      <w:r w:rsidRPr="00343564">
        <w:rPr>
          <w:color w:val="000000" w:themeColor="text1"/>
        </w:rPr>
        <w:t xml:space="preserve">For each panel titration, plate 2-4 million PBMCs/well in 6 wells of a round bottom 96-well plate (one well for each titer and one for unstained). </w:t>
      </w:r>
      <w:r w:rsidRPr="00BC3450">
        <w:rPr>
          <w:color w:val="000000" w:themeColor="text1"/>
        </w:rPr>
        <w:t xml:space="preserve">Centrifuge </w:t>
      </w:r>
      <w:r w:rsidR="00913366">
        <w:rPr>
          <w:color w:val="000000" w:themeColor="text1"/>
        </w:rPr>
        <w:t xml:space="preserve">the </w:t>
      </w:r>
      <w:r w:rsidRPr="00BC3450">
        <w:rPr>
          <w:color w:val="000000" w:themeColor="text1"/>
        </w:rPr>
        <w:t xml:space="preserve">plate at 600 x </w:t>
      </w:r>
      <w:r w:rsidRPr="00BC3450">
        <w:rPr>
          <w:i/>
          <w:color w:val="000000" w:themeColor="text1"/>
        </w:rPr>
        <w:t>g</w:t>
      </w:r>
      <w:r w:rsidRPr="00BC3450">
        <w:rPr>
          <w:color w:val="000000" w:themeColor="text1"/>
        </w:rPr>
        <w:t xml:space="preserve"> at room temperature for 3 min. Flick </w:t>
      </w:r>
      <w:r w:rsidR="00676C22" w:rsidRPr="00BC3450">
        <w:rPr>
          <w:color w:val="000000" w:themeColor="text1"/>
        </w:rPr>
        <w:t xml:space="preserve">the </w:t>
      </w:r>
      <w:r w:rsidRPr="00BC3450">
        <w:rPr>
          <w:color w:val="000000" w:themeColor="text1"/>
        </w:rPr>
        <w:t xml:space="preserve">plate to remove </w:t>
      </w:r>
      <w:r w:rsidR="00676C22" w:rsidRPr="00BC3450">
        <w:rPr>
          <w:color w:val="000000" w:themeColor="text1"/>
        </w:rPr>
        <w:t xml:space="preserve">the </w:t>
      </w:r>
      <w:r w:rsidRPr="00BC3450">
        <w:rPr>
          <w:color w:val="000000" w:themeColor="text1"/>
        </w:rPr>
        <w:t>supernatant. Resuspend each well in 200 μ</w:t>
      </w:r>
      <w:r w:rsidR="00676C22" w:rsidRPr="00BC3450">
        <w:rPr>
          <w:color w:val="000000" w:themeColor="text1"/>
        </w:rPr>
        <w:t>L of</w:t>
      </w:r>
      <w:r w:rsidRPr="00BC3450">
        <w:rPr>
          <w:color w:val="000000" w:themeColor="text1"/>
        </w:rPr>
        <w:t xml:space="preserve"> </w:t>
      </w:r>
      <w:proofErr w:type="spellStart"/>
      <w:r w:rsidRPr="00BC3450">
        <w:rPr>
          <w:color w:val="000000" w:themeColor="text1"/>
        </w:rPr>
        <w:t>CyPBS</w:t>
      </w:r>
      <w:proofErr w:type="spellEnd"/>
      <w:r w:rsidRPr="00BC3450">
        <w:rPr>
          <w:color w:val="000000" w:themeColor="text1"/>
        </w:rPr>
        <w:t>.</w:t>
      </w:r>
    </w:p>
    <w:p w14:paraId="269336A3" w14:textId="77777777" w:rsidR="00AB6E27" w:rsidRPr="00AB6E27" w:rsidRDefault="00AB6E27" w:rsidP="00E13138">
      <w:pPr>
        <w:pStyle w:val="ListParagraph"/>
        <w:ind w:left="0"/>
        <w:rPr>
          <w:color w:val="000000" w:themeColor="text1"/>
          <w:highlight w:val="yellow"/>
        </w:rPr>
      </w:pPr>
    </w:p>
    <w:p w14:paraId="4F7788E3" w14:textId="30CD7652" w:rsidR="00D958F5" w:rsidRPr="00AB6E27" w:rsidRDefault="00AB6E27" w:rsidP="00E13138">
      <w:pPr>
        <w:pStyle w:val="ListParagraph"/>
        <w:numPr>
          <w:ilvl w:val="2"/>
          <w:numId w:val="1"/>
        </w:numPr>
        <w:ind w:left="0" w:firstLine="0"/>
        <w:rPr>
          <w:color w:val="000000" w:themeColor="text1"/>
        </w:rPr>
      </w:pPr>
      <w:r w:rsidRPr="00AB6E27">
        <w:rPr>
          <w:color w:val="000000" w:themeColor="text1"/>
          <w:highlight w:val="yellow"/>
        </w:rPr>
        <w:t>Perform c</w:t>
      </w:r>
      <w:r w:rsidR="009A10D1" w:rsidRPr="00AB6E27">
        <w:rPr>
          <w:color w:val="000000" w:themeColor="text1"/>
          <w:highlight w:val="yellow"/>
        </w:rPr>
        <w:t>isplatin viability staining</w:t>
      </w:r>
      <w:r w:rsidRPr="00AB6E27">
        <w:rPr>
          <w:color w:val="000000" w:themeColor="text1"/>
          <w:highlight w:val="yellow"/>
        </w:rPr>
        <w:t xml:space="preserve"> as described below.</w:t>
      </w:r>
    </w:p>
    <w:p w14:paraId="0E4AE2BD" w14:textId="77777777" w:rsidR="00343564" w:rsidRPr="00913366" w:rsidRDefault="00343564" w:rsidP="00913366"/>
    <w:p w14:paraId="372C3965" w14:textId="0614502C" w:rsidR="00343564" w:rsidRPr="00913366" w:rsidRDefault="009A10D1" w:rsidP="00913366">
      <w:r w:rsidRPr="00913366">
        <w:t>NOTE: Cisplatin is used to discriminate live from dead cells in mass cytometry.</w:t>
      </w:r>
    </w:p>
    <w:p w14:paraId="54544FFF" w14:textId="77777777" w:rsidR="00343564" w:rsidRPr="005A2632" w:rsidRDefault="00343564" w:rsidP="00E13138">
      <w:pPr>
        <w:rPr>
          <w:color w:val="000000" w:themeColor="text1"/>
          <w:shd w:val="clear" w:color="auto" w:fill="FFF2CC"/>
        </w:rPr>
      </w:pPr>
    </w:p>
    <w:p w14:paraId="564FED2B" w14:textId="77777777" w:rsidR="00503995" w:rsidRDefault="009A10D1" w:rsidP="00E13138">
      <w:pPr>
        <w:pStyle w:val="ListParagraph"/>
        <w:numPr>
          <w:ilvl w:val="3"/>
          <w:numId w:val="1"/>
        </w:numPr>
        <w:ind w:left="0"/>
        <w:rPr>
          <w:color w:val="000000" w:themeColor="text1"/>
          <w:highlight w:val="yellow"/>
          <w:shd w:val="clear" w:color="auto" w:fill="FFF2CC"/>
        </w:rPr>
      </w:pPr>
      <w:r w:rsidRPr="00343564">
        <w:rPr>
          <w:color w:val="000000" w:themeColor="text1"/>
          <w:highlight w:val="yellow"/>
          <w:shd w:val="clear" w:color="auto" w:fill="FFF2CC"/>
        </w:rPr>
        <w:t>Resuspend cells in 100 µL of 25 µM cisplatin stock. Incubate at room temperature for 1 min.</w:t>
      </w:r>
    </w:p>
    <w:p w14:paraId="66E8959B" w14:textId="77777777" w:rsidR="00503995" w:rsidRDefault="00503995" w:rsidP="00E13138">
      <w:pPr>
        <w:pStyle w:val="ListParagraph"/>
        <w:ind w:left="0"/>
        <w:rPr>
          <w:color w:val="000000" w:themeColor="text1"/>
          <w:highlight w:val="yellow"/>
          <w:shd w:val="clear" w:color="auto" w:fill="FFF2CC"/>
        </w:rPr>
      </w:pPr>
    </w:p>
    <w:p w14:paraId="7A9E65DE" w14:textId="460CFF23" w:rsidR="00913366" w:rsidRDefault="009A10D1" w:rsidP="00E13138">
      <w:pPr>
        <w:pStyle w:val="ListParagraph"/>
        <w:numPr>
          <w:ilvl w:val="3"/>
          <w:numId w:val="1"/>
        </w:numPr>
        <w:ind w:left="0"/>
        <w:rPr>
          <w:color w:val="000000" w:themeColor="text1"/>
          <w:highlight w:val="yellow"/>
          <w:shd w:val="clear" w:color="auto" w:fill="FFF2CC"/>
        </w:rPr>
      </w:pPr>
      <w:r w:rsidRPr="00503995">
        <w:rPr>
          <w:color w:val="000000" w:themeColor="text1"/>
          <w:highlight w:val="yellow"/>
          <w:shd w:val="clear" w:color="auto" w:fill="FFF2CC"/>
        </w:rPr>
        <w:t xml:space="preserve">Quench the cisplatin </w:t>
      </w:r>
      <w:r w:rsidR="00740430">
        <w:rPr>
          <w:color w:val="000000" w:themeColor="text1"/>
          <w:highlight w:val="yellow"/>
          <w:shd w:val="clear" w:color="auto" w:fill="FFF2CC"/>
        </w:rPr>
        <w:t xml:space="preserve">reaction </w:t>
      </w:r>
      <w:r w:rsidRPr="00503995">
        <w:rPr>
          <w:color w:val="000000" w:themeColor="text1"/>
          <w:highlight w:val="yellow"/>
          <w:shd w:val="clear" w:color="auto" w:fill="FFF2CC"/>
        </w:rPr>
        <w:t xml:space="preserve">by adding 100 µL </w:t>
      </w:r>
      <w:r w:rsidR="00AB6E27" w:rsidRPr="00503995">
        <w:rPr>
          <w:color w:val="000000" w:themeColor="text1"/>
          <w:highlight w:val="yellow"/>
          <w:shd w:val="clear" w:color="auto" w:fill="FFF2CC"/>
        </w:rPr>
        <w:t xml:space="preserve">of </w:t>
      </w:r>
      <w:r w:rsidRPr="00503995">
        <w:rPr>
          <w:color w:val="000000" w:themeColor="text1"/>
          <w:highlight w:val="yellow"/>
          <w:shd w:val="clear" w:color="auto" w:fill="FFF2CC"/>
        </w:rPr>
        <w:t>FBS to each well and mixing. Centrifuge and flick the plate.</w:t>
      </w:r>
    </w:p>
    <w:p w14:paraId="3CD5AC83" w14:textId="77777777" w:rsidR="00913366" w:rsidRPr="00913366" w:rsidRDefault="00913366" w:rsidP="00913366">
      <w:pPr>
        <w:rPr>
          <w:highlight w:val="yellow"/>
        </w:rPr>
      </w:pPr>
    </w:p>
    <w:p w14:paraId="484438F5" w14:textId="53AEF94A" w:rsidR="00503995" w:rsidRPr="00913366" w:rsidRDefault="009A10D1" w:rsidP="00913366">
      <w:r w:rsidRPr="00913366">
        <w:t xml:space="preserve">NOTE: </w:t>
      </w:r>
      <w:r w:rsidR="00676C22" w:rsidRPr="00913366">
        <w:t>Perform a</w:t>
      </w:r>
      <w:r w:rsidRPr="00913366">
        <w:t>ll subsequent centrifuge steps at 4</w:t>
      </w:r>
      <w:r w:rsidR="00676C22" w:rsidRPr="00913366">
        <w:t xml:space="preserve"> </w:t>
      </w:r>
      <w:r w:rsidRPr="00913366">
        <w:t>°C.</w:t>
      </w:r>
    </w:p>
    <w:p w14:paraId="77188BF8" w14:textId="77777777" w:rsidR="00503995" w:rsidRPr="00913366" w:rsidRDefault="00503995" w:rsidP="00913366">
      <w:pPr>
        <w:rPr>
          <w:highlight w:val="yellow"/>
        </w:rPr>
      </w:pPr>
    </w:p>
    <w:p w14:paraId="0E5E9CFB" w14:textId="7C0AE01A" w:rsidR="00D958F5" w:rsidRPr="00503995" w:rsidRDefault="009A10D1" w:rsidP="00E13138">
      <w:pPr>
        <w:pStyle w:val="ListParagraph"/>
        <w:numPr>
          <w:ilvl w:val="3"/>
          <w:numId w:val="1"/>
        </w:numPr>
        <w:ind w:left="0"/>
        <w:rPr>
          <w:color w:val="000000" w:themeColor="text1"/>
          <w:highlight w:val="yellow"/>
          <w:shd w:val="clear" w:color="auto" w:fill="FFF2CC"/>
        </w:rPr>
      </w:pPr>
      <w:r w:rsidRPr="00503995">
        <w:rPr>
          <w:color w:val="000000" w:themeColor="text1"/>
          <w:highlight w:val="yellow"/>
          <w:shd w:val="clear" w:color="auto" w:fill="FFF2CC"/>
        </w:rPr>
        <w:t xml:space="preserve">Wash cells twice with 200 µL </w:t>
      </w:r>
      <w:r w:rsidR="00676C22" w:rsidRPr="00503995">
        <w:rPr>
          <w:color w:val="000000" w:themeColor="text1"/>
          <w:highlight w:val="yellow"/>
          <w:shd w:val="clear" w:color="auto" w:fill="FFF2CC"/>
        </w:rPr>
        <w:t xml:space="preserve">of </w:t>
      </w:r>
      <w:proofErr w:type="spellStart"/>
      <w:r w:rsidRPr="00503995">
        <w:rPr>
          <w:color w:val="000000" w:themeColor="text1"/>
          <w:highlight w:val="yellow"/>
          <w:shd w:val="clear" w:color="auto" w:fill="FFF2CC"/>
        </w:rPr>
        <w:t>CyFACS</w:t>
      </w:r>
      <w:proofErr w:type="spellEnd"/>
      <w:r w:rsidRPr="00503995">
        <w:rPr>
          <w:color w:val="000000" w:themeColor="text1"/>
          <w:highlight w:val="yellow"/>
          <w:shd w:val="clear" w:color="auto" w:fill="FFF2CC"/>
        </w:rPr>
        <w:t xml:space="preserve"> (1</w:t>
      </w:r>
      <w:r w:rsidR="00AB6E27" w:rsidRPr="00503995">
        <w:rPr>
          <w:color w:val="000000" w:themeColor="text1"/>
          <w:highlight w:val="yellow"/>
          <w:shd w:val="clear" w:color="auto" w:fill="FFF2CC"/>
        </w:rPr>
        <w:t>x</w:t>
      </w:r>
      <w:r w:rsidRPr="00503995">
        <w:rPr>
          <w:color w:val="000000" w:themeColor="text1"/>
          <w:highlight w:val="yellow"/>
          <w:shd w:val="clear" w:color="auto" w:fill="FFF2CC"/>
        </w:rPr>
        <w:t xml:space="preserve"> PBS without heavy metal contaminants in </w:t>
      </w:r>
      <w:r w:rsidR="00AB6E27" w:rsidRPr="00503995">
        <w:rPr>
          <w:color w:val="000000" w:themeColor="text1"/>
          <w:highlight w:val="yellow"/>
          <w:shd w:val="clear" w:color="auto" w:fill="FFF2CC"/>
        </w:rPr>
        <w:t>ultrapure</w:t>
      </w:r>
      <w:r w:rsidRPr="00503995">
        <w:rPr>
          <w:color w:val="000000" w:themeColor="text1"/>
          <w:highlight w:val="yellow"/>
          <w:shd w:val="clear" w:color="auto" w:fill="FFF2CC"/>
        </w:rPr>
        <w:t xml:space="preserve"> water with 0.1% BSA, 0.05% sodium </w:t>
      </w:r>
      <w:proofErr w:type="spellStart"/>
      <w:r w:rsidRPr="00503995">
        <w:rPr>
          <w:color w:val="000000" w:themeColor="text1"/>
          <w:highlight w:val="yellow"/>
          <w:shd w:val="clear" w:color="auto" w:fill="FFF2CC"/>
        </w:rPr>
        <w:t>azide</w:t>
      </w:r>
      <w:proofErr w:type="spellEnd"/>
      <w:r w:rsidRPr="00503995">
        <w:rPr>
          <w:color w:val="000000" w:themeColor="text1"/>
          <w:highlight w:val="yellow"/>
          <w:shd w:val="clear" w:color="auto" w:fill="FFF2CC"/>
        </w:rPr>
        <w:t xml:space="preserve">). Centrifuge and flick </w:t>
      </w:r>
      <w:r w:rsidR="00676C22" w:rsidRPr="00503995">
        <w:rPr>
          <w:color w:val="000000" w:themeColor="text1"/>
          <w:highlight w:val="yellow"/>
          <w:shd w:val="clear" w:color="auto" w:fill="FFF2CC"/>
        </w:rPr>
        <w:t xml:space="preserve">the </w:t>
      </w:r>
      <w:r w:rsidRPr="00503995">
        <w:rPr>
          <w:color w:val="000000" w:themeColor="text1"/>
          <w:highlight w:val="yellow"/>
          <w:shd w:val="clear" w:color="auto" w:fill="FFF2CC"/>
        </w:rPr>
        <w:t>plate each time</w:t>
      </w:r>
      <w:r w:rsidRPr="00503995">
        <w:rPr>
          <w:color w:val="000000" w:themeColor="text1"/>
          <w:shd w:val="clear" w:color="auto" w:fill="FFF2CC"/>
        </w:rPr>
        <w:t>.</w:t>
      </w:r>
    </w:p>
    <w:p w14:paraId="5EB90A25" w14:textId="77777777" w:rsidR="00D958F5" w:rsidRDefault="00D958F5" w:rsidP="00E13138">
      <w:pPr>
        <w:rPr>
          <w:color w:val="C00000"/>
        </w:rPr>
      </w:pPr>
    </w:p>
    <w:p w14:paraId="7BC719C9" w14:textId="57642506" w:rsidR="00D958F5" w:rsidRPr="00AB6E27" w:rsidRDefault="00BC3450" w:rsidP="00E13138">
      <w:pPr>
        <w:pStyle w:val="ListParagraph"/>
        <w:numPr>
          <w:ilvl w:val="2"/>
          <w:numId w:val="1"/>
        </w:numPr>
        <w:ind w:left="0" w:firstLine="0"/>
        <w:rPr>
          <w:color w:val="000000" w:themeColor="text1"/>
        </w:rPr>
      </w:pPr>
      <w:r>
        <w:rPr>
          <w:color w:val="000000" w:themeColor="text1"/>
        </w:rPr>
        <w:t>T</w:t>
      </w:r>
      <w:r w:rsidRPr="00AB6E27">
        <w:rPr>
          <w:color w:val="000000" w:themeColor="text1"/>
        </w:rPr>
        <w:t>itrat</w:t>
      </w:r>
      <w:r>
        <w:rPr>
          <w:color w:val="000000" w:themeColor="text1"/>
        </w:rPr>
        <w:t>e the</w:t>
      </w:r>
      <w:r w:rsidR="00503995">
        <w:rPr>
          <w:color w:val="000000" w:themeColor="text1"/>
        </w:rPr>
        <w:t xml:space="preserve"> s</w:t>
      </w:r>
      <w:r w:rsidR="009A10D1" w:rsidRPr="00AB6E27">
        <w:rPr>
          <w:color w:val="000000" w:themeColor="text1"/>
        </w:rPr>
        <w:t xml:space="preserve">urface antibody panel </w:t>
      </w:r>
      <w:r w:rsidR="00503995">
        <w:rPr>
          <w:color w:val="000000" w:themeColor="text1"/>
        </w:rPr>
        <w:t>as described below.</w:t>
      </w:r>
    </w:p>
    <w:p w14:paraId="0D24AFCB" w14:textId="77777777" w:rsidR="00AB6E27" w:rsidRDefault="00AB6E27" w:rsidP="00E13138">
      <w:pPr>
        <w:pBdr>
          <w:top w:val="nil"/>
          <w:left w:val="nil"/>
          <w:bottom w:val="nil"/>
          <w:right w:val="nil"/>
          <w:between w:val="nil"/>
        </w:pBdr>
        <w:rPr>
          <w:color w:val="000000" w:themeColor="text1"/>
          <w:highlight w:val="white"/>
        </w:rPr>
      </w:pPr>
    </w:p>
    <w:p w14:paraId="24218500" w14:textId="77777777" w:rsidR="00AB6E27" w:rsidRDefault="009A10D1" w:rsidP="00E13138">
      <w:pPr>
        <w:pBdr>
          <w:top w:val="nil"/>
          <w:left w:val="nil"/>
          <w:bottom w:val="nil"/>
          <w:right w:val="nil"/>
          <w:between w:val="nil"/>
        </w:pBdr>
        <w:rPr>
          <w:color w:val="000000" w:themeColor="text1"/>
        </w:rPr>
      </w:pPr>
      <w:r w:rsidRPr="005A2632">
        <w:rPr>
          <w:color w:val="000000" w:themeColor="text1"/>
          <w:highlight w:val="white"/>
        </w:rPr>
        <w:t xml:space="preserve">NOTE: </w:t>
      </w:r>
      <w:r w:rsidRPr="005A2632">
        <w:rPr>
          <w:color w:val="000000" w:themeColor="text1"/>
        </w:rPr>
        <w:t>Separate master mixes should be made for the NK surface panel and the ligand panel.</w:t>
      </w:r>
    </w:p>
    <w:p w14:paraId="5D3E8C9A" w14:textId="77777777" w:rsidR="00503995" w:rsidRDefault="009A10D1" w:rsidP="00E13138">
      <w:pPr>
        <w:pBdr>
          <w:top w:val="nil"/>
          <w:left w:val="nil"/>
          <w:bottom w:val="nil"/>
          <w:right w:val="nil"/>
          <w:between w:val="nil"/>
        </w:pBdr>
        <w:rPr>
          <w:color w:val="000000" w:themeColor="text1"/>
        </w:rPr>
      </w:pPr>
      <w:r w:rsidRPr="005A2632">
        <w:rPr>
          <w:color w:val="000000" w:themeColor="text1"/>
        </w:rPr>
        <w:t xml:space="preserve"> </w:t>
      </w:r>
    </w:p>
    <w:p w14:paraId="6312BD2F" w14:textId="0ED88BA6" w:rsidR="00503995" w:rsidRPr="00503995" w:rsidRDefault="009A10D1" w:rsidP="00E13138">
      <w:pPr>
        <w:pStyle w:val="ListParagraph"/>
        <w:numPr>
          <w:ilvl w:val="3"/>
          <w:numId w:val="1"/>
        </w:numPr>
        <w:pBdr>
          <w:top w:val="nil"/>
          <w:left w:val="nil"/>
          <w:bottom w:val="nil"/>
          <w:right w:val="nil"/>
          <w:between w:val="nil"/>
        </w:pBdr>
        <w:ind w:left="0"/>
        <w:rPr>
          <w:color w:val="000000" w:themeColor="text1"/>
          <w:highlight w:val="white"/>
        </w:rPr>
      </w:pPr>
      <w:r w:rsidRPr="00503995">
        <w:rPr>
          <w:color w:val="000000" w:themeColor="text1"/>
        </w:rPr>
        <w:t xml:space="preserve">Make a master mix of all the surface antibodies at a concentration of 10 µg/mL using </w:t>
      </w:r>
      <w:proofErr w:type="spellStart"/>
      <w:r w:rsidRPr="00503995">
        <w:rPr>
          <w:color w:val="000000" w:themeColor="text1"/>
        </w:rPr>
        <w:t>CyFACS</w:t>
      </w:r>
      <w:proofErr w:type="spellEnd"/>
      <w:r w:rsidRPr="00503995">
        <w:rPr>
          <w:color w:val="000000" w:themeColor="text1"/>
        </w:rPr>
        <w:t>. Aim for a final volume of 150 μ</w:t>
      </w:r>
      <w:r w:rsidR="00503995">
        <w:rPr>
          <w:color w:val="000000" w:themeColor="text1"/>
        </w:rPr>
        <w:t>L</w:t>
      </w:r>
      <w:r w:rsidRPr="00503995">
        <w:rPr>
          <w:color w:val="000000" w:themeColor="text1"/>
        </w:rPr>
        <w:t xml:space="preserve">. Make serial 1:2 dilutions using </w:t>
      </w:r>
      <w:proofErr w:type="spellStart"/>
      <w:r w:rsidRPr="00503995">
        <w:rPr>
          <w:color w:val="000000" w:themeColor="text1"/>
        </w:rPr>
        <w:t>CyFACS</w:t>
      </w:r>
      <w:proofErr w:type="spellEnd"/>
      <w:r w:rsidRPr="00503995">
        <w:rPr>
          <w:color w:val="000000" w:themeColor="text1"/>
        </w:rPr>
        <w:t>, to obtain the following concentrations: 10, 5, 2.5, 1.25, an</w:t>
      </w:r>
      <w:r w:rsidR="005A2632" w:rsidRPr="00503995">
        <w:rPr>
          <w:color w:val="000000" w:themeColor="text1"/>
        </w:rPr>
        <w:t xml:space="preserve">d </w:t>
      </w:r>
      <w:r w:rsidRPr="00503995">
        <w:rPr>
          <w:color w:val="000000" w:themeColor="text1"/>
        </w:rPr>
        <w:t>0.625 µg/</w:t>
      </w:r>
      <w:proofErr w:type="spellStart"/>
      <w:r w:rsidRPr="00503995">
        <w:rPr>
          <w:color w:val="000000" w:themeColor="text1"/>
        </w:rPr>
        <w:t>mL.</w:t>
      </w:r>
      <w:proofErr w:type="spellEnd"/>
      <w:r w:rsidRPr="00503995">
        <w:rPr>
          <w:color w:val="000000" w:themeColor="text1"/>
        </w:rPr>
        <w:t xml:space="preserve"> </w:t>
      </w:r>
    </w:p>
    <w:p w14:paraId="0FBB85CC" w14:textId="77777777" w:rsidR="00503995" w:rsidRPr="00503995" w:rsidRDefault="00503995" w:rsidP="00E13138">
      <w:pPr>
        <w:pStyle w:val="ListParagraph"/>
        <w:pBdr>
          <w:top w:val="nil"/>
          <w:left w:val="nil"/>
          <w:bottom w:val="nil"/>
          <w:right w:val="nil"/>
          <w:between w:val="nil"/>
        </w:pBdr>
        <w:ind w:left="0"/>
        <w:rPr>
          <w:color w:val="000000" w:themeColor="text1"/>
          <w:highlight w:val="white"/>
        </w:rPr>
      </w:pPr>
    </w:p>
    <w:p w14:paraId="05A0A9DB" w14:textId="77777777" w:rsidR="00503995" w:rsidRPr="00503995" w:rsidRDefault="009A10D1" w:rsidP="00E13138">
      <w:pPr>
        <w:pStyle w:val="ListParagraph"/>
        <w:numPr>
          <w:ilvl w:val="3"/>
          <w:numId w:val="1"/>
        </w:numPr>
        <w:pBdr>
          <w:top w:val="nil"/>
          <w:left w:val="nil"/>
          <w:bottom w:val="nil"/>
          <w:right w:val="nil"/>
          <w:between w:val="nil"/>
        </w:pBdr>
        <w:ind w:left="0"/>
        <w:rPr>
          <w:color w:val="000000" w:themeColor="text1"/>
          <w:highlight w:val="white"/>
        </w:rPr>
      </w:pPr>
      <w:r w:rsidRPr="00503995">
        <w:rPr>
          <w:color w:val="000000" w:themeColor="text1"/>
        </w:rPr>
        <w:t xml:space="preserve">Filter antibody cocktails through a centrifugal filter unit (0.1 µm pore size) at 10,600 x </w:t>
      </w:r>
      <w:r w:rsidRPr="00503995">
        <w:rPr>
          <w:i/>
          <w:color w:val="000000" w:themeColor="text1"/>
        </w:rPr>
        <w:t>g</w:t>
      </w:r>
      <w:r w:rsidRPr="00503995">
        <w:rPr>
          <w:color w:val="000000" w:themeColor="text1"/>
        </w:rPr>
        <w:t xml:space="preserve"> for 3 min prior to staining.</w:t>
      </w:r>
    </w:p>
    <w:p w14:paraId="226FCADB" w14:textId="77777777" w:rsidR="00503995" w:rsidRPr="00503995" w:rsidRDefault="00503995" w:rsidP="00E13138">
      <w:pPr>
        <w:pStyle w:val="ListParagraph"/>
        <w:ind w:left="0"/>
        <w:rPr>
          <w:color w:val="000000" w:themeColor="text1"/>
        </w:rPr>
      </w:pPr>
    </w:p>
    <w:p w14:paraId="5EA097E4" w14:textId="636E2C80" w:rsidR="00503995" w:rsidRPr="00503995" w:rsidRDefault="009A10D1" w:rsidP="00E13138">
      <w:pPr>
        <w:pStyle w:val="ListParagraph"/>
        <w:numPr>
          <w:ilvl w:val="3"/>
          <w:numId w:val="1"/>
        </w:numPr>
        <w:pBdr>
          <w:top w:val="nil"/>
          <w:left w:val="nil"/>
          <w:bottom w:val="nil"/>
          <w:right w:val="nil"/>
          <w:between w:val="nil"/>
        </w:pBdr>
        <w:ind w:left="0"/>
        <w:rPr>
          <w:color w:val="000000" w:themeColor="text1"/>
          <w:highlight w:val="white"/>
        </w:rPr>
      </w:pPr>
      <w:r w:rsidRPr="00503995">
        <w:rPr>
          <w:color w:val="000000" w:themeColor="text1"/>
        </w:rPr>
        <w:t>Resuspend the plated cells in 50 µL of the surface antibody cocktail at the respective titer</w:t>
      </w:r>
      <w:r w:rsidR="00AB6E27" w:rsidRPr="00503995">
        <w:rPr>
          <w:color w:val="000000" w:themeColor="text1"/>
        </w:rPr>
        <w:t>.</w:t>
      </w:r>
      <w:r w:rsidRPr="00503995">
        <w:rPr>
          <w:color w:val="000000" w:themeColor="text1"/>
        </w:rPr>
        <w:t xml:space="preserve"> Resuspend the unstained well in </w:t>
      </w:r>
      <w:proofErr w:type="spellStart"/>
      <w:r w:rsidRPr="00503995">
        <w:rPr>
          <w:color w:val="000000" w:themeColor="text1"/>
        </w:rPr>
        <w:t>CyFACS</w:t>
      </w:r>
      <w:proofErr w:type="spellEnd"/>
      <w:r w:rsidRPr="00503995">
        <w:rPr>
          <w:color w:val="000000" w:themeColor="text1"/>
        </w:rPr>
        <w:t>. Incubate at 4</w:t>
      </w:r>
      <w:r w:rsidR="00503995">
        <w:rPr>
          <w:color w:val="000000" w:themeColor="text1"/>
        </w:rPr>
        <w:t xml:space="preserve"> </w:t>
      </w:r>
      <w:r w:rsidRPr="00503995">
        <w:rPr>
          <w:color w:val="000000" w:themeColor="text1"/>
        </w:rPr>
        <w:t>°C for 30 min.</w:t>
      </w:r>
    </w:p>
    <w:p w14:paraId="66B8E784" w14:textId="77777777" w:rsidR="00503995" w:rsidRPr="00503995" w:rsidRDefault="00503995" w:rsidP="00E13138">
      <w:pPr>
        <w:pStyle w:val="ListParagraph"/>
        <w:ind w:left="0"/>
        <w:rPr>
          <w:color w:val="000000" w:themeColor="text1"/>
        </w:rPr>
      </w:pPr>
    </w:p>
    <w:p w14:paraId="4A98A634" w14:textId="0CE103C6" w:rsidR="00503995" w:rsidRPr="00503995" w:rsidRDefault="009A10D1" w:rsidP="00E13138">
      <w:pPr>
        <w:pStyle w:val="ListParagraph"/>
        <w:numPr>
          <w:ilvl w:val="3"/>
          <w:numId w:val="1"/>
        </w:numPr>
        <w:pBdr>
          <w:top w:val="nil"/>
          <w:left w:val="nil"/>
          <w:bottom w:val="nil"/>
          <w:right w:val="nil"/>
          <w:between w:val="nil"/>
        </w:pBdr>
        <w:ind w:left="0"/>
        <w:rPr>
          <w:color w:val="000000" w:themeColor="text1"/>
          <w:highlight w:val="white"/>
        </w:rPr>
      </w:pPr>
      <w:r w:rsidRPr="00503995">
        <w:rPr>
          <w:color w:val="000000" w:themeColor="text1"/>
        </w:rPr>
        <w:t xml:space="preserve">Wash cells with 150 µL </w:t>
      </w:r>
      <w:r w:rsidR="00503995">
        <w:rPr>
          <w:color w:val="000000" w:themeColor="text1"/>
        </w:rPr>
        <w:t xml:space="preserve">of </w:t>
      </w:r>
      <w:proofErr w:type="spellStart"/>
      <w:r w:rsidRPr="00503995">
        <w:rPr>
          <w:color w:val="000000" w:themeColor="text1"/>
        </w:rPr>
        <w:t>CyFACS</w:t>
      </w:r>
      <w:proofErr w:type="spellEnd"/>
      <w:r w:rsidRPr="00503995">
        <w:rPr>
          <w:color w:val="000000" w:themeColor="text1"/>
        </w:rPr>
        <w:t xml:space="preserve">. Centrifuge and flick </w:t>
      </w:r>
      <w:r w:rsidR="00503995">
        <w:rPr>
          <w:color w:val="000000" w:themeColor="text1"/>
        </w:rPr>
        <w:t xml:space="preserve">the </w:t>
      </w:r>
      <w:r w:rsidRPr="00503995">
        <w:rPr>
          <w:color w:val="000000" w:themeColor="text1"/>
        </w:rPr>
        <w:t>plate.</w:t>
      </w:r>
    </w:p>
    <w:p w14:paraId="115A6021" w14:textId="77777777" w:rsidR="00503995" w:rsidRPr="00503995" w:rsidRDefault="00503995" w:rsidP="00E13138">
      <w:pPr>
        <w:pStyle w:val="ListParagraph"/>
        <w:ind w:left="0"/>
        <w:rPr>
          <w:color w:val="000000" w:themeColor="text1"/>
        </w:rPr>
      </w:pPr>
    </w:p>
    <w:p w14:paraId="683B7BCB" w14:textId="1A2A305E" w:rsidR="00D958F5" w:rsidRPr="00503995" w:rsidRDefault="009A10D1" w:rsidP="00E13138">
      <w:pPr>
        <w:pStyle w:val="ListParagraph"/>
        <w:numPr>
          <w:ilvl w:val="3"/>
          <w:numId w:val="1"/>
        </w:numPr>
        <w:pBdr>
          <w:top w:val="nil"/>
          <w:left w:val="nil"/>
          <w:bottom w:val="nil"/>
          <w:right w:val="nil"/>
          <w:between w:val="nil"/>
        </w:pBdr>
        <w:ind w:left="0"/>
        <w:rPr>
          <w:color w:val="000000" w:themeColor="text1"/>
          <w:highlight w:val="white"/>
        </w:rPr>
      </w:pPr>
      <w:r w:rsidRPr="00503995">
        <w:rPr>
          <w:color w:val="000000" w:themeColor="text1"/>
        </w:rPr>
        <w:t>Wash cells with 200 µL</w:t>
      </w:r>
      <w:r w:rsidR="00503995">
        <w:rPr>
          <w:color w:val="000000" w:themeColor="text1"/>
        </w:rPr>
        <w:t xml:space="preserve"> of</w:t>
      </w:r>
      <w:r w:rsidRPr="00503995">
        <w:rPr>
          <w:color w:val="000000" w:themeColor="text1"/>
        </w:rPr>
        <w:t xml:space="preserve"> </w:t>
      </w:r>
      <w:proofErr w:type="spellStart"/>
      <w:r w:rsidRPr="00503995">
        <w:rPr>
          <w:color w:val="000000" w:themeColor="text1"/>
        </w:rPr>
        <w:t>CyFACS</w:t>
      </w:r>
      <w:proofErr w:type="spellEnd"/>
      <w:r w:rsidRPr="00503995">
        <w:rPr>
          <w:color w:val="000000" w:themeColor="text1"/>
        </w:rPr>
        <w:t>. Centrifuge and flick</w:t>
      </w:r>
      <w:r w:rsidR="00503995">
        <w:rPr>
          <w:color w:val="000000" w:themeColor="text1"/>
        </w:rPr>
        <w:t xml:space="preserve"> the</w:t>
      </w:r>
      <w:r w:rsidRPr="00503995">
        <w:rPr>
          <w:color w:val="000000" w:themeColor="text1"/>
        </w:rPr>
        <w:t xml:space="preserve"> plate.</w:t>
      </w:r>
    </w:p>
    <w:p w14:paraId="4D091939" w14:textId="77777777" w:rsidR="00D958F5" w:rsidRDefault="00D958F5" w:rsidP="00E13138">
      <w:pPr>
        <w:rPr>
          <w:color w:val="C00000"/>
        </w:rPr>
      </w:pPr>
    </w:p>
    <w:p w14:paraId="209CA881" w14:textId="61FEBF95" w:rsidR="00503995" w:rsidRPr="00BC3450" w:rsidRDefault="00503995" w:rsidP="00E13138">
      <w:pPr>
        <w:pStyle w:val="ListParagraph"/>
        <w:numPr>
          <w:ilvl w:val="2"/>
          <w:numId w:val="1"/>
        </w:numPr>
        <w:ind w:left="0" w:firstLine="0"/>
        <w:rPr>
          <w:color w:val="000000" w:themeColor="text1"/>
          <w:highlight w:val="yellow"/>
          <w:shd w:val="clear" w:color="auto" w:fill="FFF2CC"/>
        </w:rPr>
      </w:pPr>
      <w:r w:rsidRPr="00503995">
        <w:rPr>
          <w:color w:val="000000" w:themeColor="text1"/>
          <w:highlight w:val="yellow"/>
        </w:rPr>
        <w:t>Perform f</w:t>
      </w:r>
      <w:r w:rsidR="009A10D1" w:rsidRPr="00503995">
        <w:rPr>
          <w:color w:val="000000" w:themeColor="text1"/>
          <w:highlight w:val="yellow"/>
        </w:rPr>
        <w:t>ix</w:t>
      </w:r>
      <w:r w:rsidRPr="00503995">
        <w:rPr>
          <w:color w:val="000000" w:themeColor="text1"/>
          <w:highlight w:val="yellow"/>
        </w:rPr>
        <w:t>ation of</w:t>
      </w:r>
      <w:r w:rsidR="009A10D1" w:rsidRPr="00503995">
        <w:rPr>
          <w:color w:val="000000" w:themeColor="text1"/>
          <w:highlight w:val="yellow"/>
        </w:rPr>
        <w:t xml:space="preserve"> cells</w:t>
      </w:r>
      <w:r w:rsidRPr="00503995">
        <w:rPr>
          <w:color w:val="000000" w:themeColor="text1"/>
          <w:highlight w:val="yellow"/>
        </w:rPr>
        <w:t xml:space="preserve"> </w:t>
      </w:r>
      <w:r w:rsidR="00BC3450">
        <w:rPr>
          <w:color w:val="000000" w:themeColor="text1"/>
          <w:highlight w:val="yellow"/>
        </w:rPr>
        <w:t xml:space="preserve">by </w:t>
      </w:r>
      <w:r w:rsidR="00BC3450">
        <w:rPr>
          <w:color w:val="000000" w:themeColor="text1"/>
          <w:highlight w:val="yellow"/>
          <w:shd w:val="clear" w:color="auto" w:fill="FFF2CC"/>
        </w:rPr>
        <w:t>r</w:t>
      </w:r>
      <w:r w:rsidR="009A10D1" w:rsidRPr="00BC3450">
        <w:rPr>
          <w:color w:val="000000" w:themeColor="text1"/>
          <w:highlight w:val="yellow"/>
          <w:shd w:val="clear" w:color="auto" w:fill="FFF2CC"/>
        </w:rPr>
        <w:t>esuspend</w:t>
      </w:r>
      <w:r w:rsidR="00BC3450">
        <w:rPr>
          <w:color w:val="000000" w:themeColor="text1"/>
          <w:highlight w:val="yellow"/>
          <w:shd w:val="clear" w:color="auto" w:fill="FFF2CC"/>
        </w:rPr>
        <w:t>ing</w:t>
      </w:r>
      <w:r w:rsidR="009A10D1" w:rsidRPr="00BC3450">
        <w:rPr>
          <w:color w:val="000000" w:themeColor="text1"/>
          <w:highlight w:val="yellow"/>
          <w:shd w:val="clear" w:color="auto" w:fill="FFF2CC"/>
        </w:rPr>
        <w:t xml:space="preserve"> each well in 100 µL of 2% paraformaldehyde (PFA) in </w:t>
      </w:r>
      <w:proofErr w:type="spellStart"/>
      <w:r w:rsidR="009A10D1" w:rsidRPr="00BC3450">
        <w:rPr>
          <w:color w:val="000000" w:themeColor="text1"/>
          <w:highlight w:val="yellow"/>
          <w:shd w:val="clear" w:color="auto" w:fill="FFF2CC"/>
        </w:rPr>
        <w:t>CyPBS</w:t>
      </w:r>
      <w:proofErr w:type="spellEnd"/>
      <w:r w:rsidR="009A10D1" w:rsidRPr="00BC3450">
        <w:rPr>
          <w:color w:val="000000" w:themeColor="text1"/>
          <w:highlight w:val="yellow"/>
          <w:shd w:val="clear" w:color="auto" w:fill="FFF2CC"/>
        </w:rPr>
        <w:t xml:space="preserve">. Incubate </w:t>
      </w:r>
      <w:r w:rsidR="00BC3450" w:rsidRPr="00BC3450">
        <w:rPr>
          <w:color w:val="000000" w:themeColor="text1"/>
          <w:highlight w:val="yellow"/>
          <w:shd w:val="clear" w:color="auto" w:fill="FFF2CC"/>
        </w:rPr>
        <w:t xml:space="preserve">the </w:t>
      </w:r>
      <w:r w:rsidR="009A10D1" w:rsidRPr="00BC3450">
        <w:rPr>
          <w:color w:val="000000" w:themeColor="text1"/>
          <w:highlight w:val="yellow"/>
          <w:shd w:val="clear" w:color="auto" w:fill="FFF2CC"/>
        </w:rPr>
        <w:t>plate at room temperature in the dark for 20 min.</w:t>
      </w:r>
      <w:r w:rsidR="00AB6E27" w:rsidRPr="00BC3450">
        <w:rPr>
          <w:color w:val="000000" w:themeColor="text1"/>
          <w:highlight w:val="yellow"/>
          <w:shd w:val="clear" w:color="auto" w:fill="FFF2CC"/>
        </w:rPr>
        <w:t xml:space="preserve"> </w:t>
      </w:r>
      <w:r w:rsidR="00BC3450" w:rsidRPr="00503995">
        <w:rPr>
          <w:highlight w:val="yellow"/>
          <w:shd w:val="clear" w:color="auto" w:fill="FFF2CC"/>
        </w:rPr>
        <w:t>Wash cells with 100 µL</w:t>
      </w:r>
      <w:r w:rsidR="00BC3450">
        <w:rPr>
          <w:highlight w:val="yellow"/>
          <w:shd w:val="clear" w:color="auto" w:fill="FFF2CC"/>
        </w:rPr>
        <w:t xml:space="preserve"> of</w:t>
      </w:r>
      <w:r w:rsidR="00BC3450" w:rsidRPr="00503995">
        <w:rPr>
          <w:highlight w:val="yellow"/>
          <w:shd w:val="clear" w:color="auto" w:fill="FFF2CC"/>
        </w:rPr>
        <w:t xml:space="preserve"> </w:t>
      </w:r>
      <w:proofErr w:type="spellStart"/>
      <w:r w:rsidR="00BC3450" w:rsidRPr="00503995">
        <w:rPr>
          <w:highlight w:val="yellow"/>
          <w:shd w:val="clear" w:color="auto" w:fill="FFF2CC"/>
        </w:rPr>
        <w:t>CyFACS</w:t>
      </w:r>
      <w:proofErr w:type="spellEnd"/>
      <w:r w:rsidR="00BC3450" w:rsidRPr="00503995">
        <w:rPr>
          <w:highlight w:val="yellow"/>
          <w:shd w:val="clear" w:color="auto" w:fill="FFF2CC"/>
        </w:rPr>
        <w:t xml:space="preserve">. Centrifuge at 700 x </w:t>
      </w:r>
      <w:r w:rsidR="00BC3450" w:rsidRPr="00503995">
        <w:rPr>
          <w:i/>
          <w:highlight w:val="yellow"/>
          <w:shd w:val="clear" w:color="auto" w:fill="FFF2CC"/>
        </w:rPr>
        <w:t>g</w:t>
      </w:r>
      <w:r w:rsidR="00BC3450" w:rsidRPr="00503995">
        <w:rPr>
          <w:highlight w:val="yellow"/>
          <w:shd w:val="clear" w:color="auto" w:fill="FFF2CC"/>
        </w:rPr>
        <w:t xml:space="preserve"> for 5 min</w:t>
      </w:r>
      <w:r w:rsidR="00BC3450">
        <w:rPr>
          <w:highlight w:val="yellow"/>
          <w:shd w:val="clear" w:color="auto" w:fill="FFF2CC"/>
        </w:rPr>
        <w:t>.</w:t>
      </w:r>
    </w:p>
    <w:p w14:paraId="4BC0F698" w14:textId="77777777" w:rsidR="00503995" w:rsidRPr="00913366" w:rsidRDefault="00503995" w:rsidP="00913366"/>
    <w:p w14:paraId="1936AECD" w14:textId="78415E2B" w:rsidR="00503995" w:rsidRPr="00913366" w:rsidRDefault="00BC3450" w:rsidP="00913366">
      <w:r w:rsidRPr="00913366">
        <w:t>CAUTION</w:t>
      </w:r>
      <w:r w:rsidR="009A10D1" w:rsidRPr="00913366">
        <w:t>: PFA is suspected of causing genetic defects as well as cancer. Additionally, it is harmful if it</w:t>
      </w:r>
      <w:r w:rsidR="00503995" w:rsidRPr="00913366">
        <w:t xml:space="preserve"> gets in contact with </w:t>
      </w:r>
      <w:r w:rsidR="009A10D1" w:rsidRPr="00913366">
        <w:t xml:space="preserve">the eyes, skin, or is inhaled. Handle appropriately by ensuring good ventilation, opening the receptacle carefully, and preventing the formation of aerosols. </w:t>
      </w:r>
    </w:p>
    <w:p w14:paraId="08BBD75B" w14:textId="77777777" w:rsidR="00AB6E27" w:rsidRPr="00913366" w:rsidRDefault="00AB6E27" w:rsidP="00913366"/>
    <w:p w14:paraId="3E1E0CC6" w14:textId="64520862" w:rsidR="00D958F5" w:rsidRPr="00913366" w:rsidRDefault="009A10D1" w:rsidP="00913366">
      <w:r w:rsidRPr="00913366">
        <w:t xml:space="preserve">NOTE: All subsequent centrifuge spins </w:t>
      </w:r>
      <w:r w:rsidR="00BC3450" w:rsidRPr="00913366">
        <w:t>are performed at</w:t>
      </w:r>
      <w:r w:rsidRPr="00913366">
        <w:t xml:space="preserve"> 700 x </w:t>
      </w:r>
      <w:r w:rsidRPr="00913366">
        <w:rPr>
          <w:i/>
          <w:iCs/>
        </w:rPr>
        <w:t>g</w:t>
      </w:r>
      <w:r w:rsidRPr="00913366">
        <w:t xml:space="preserve"> for 5 min at 4</w:t>
      </w:r>
      <w:r w:rsidR="00BC3450" w:rsidRPr="00913366">
        <w:t xml:space="preserve"> </w:t>
      </w:r>
      <w:r w:rsidRPr="00913366">
        <w:t>°C.</w:t>
      </w:r>
    </w:p>
    <w:p w14:paraId="70E98C53" w14:textId="77777777" w:rsidR="00AB6E27" w:rsidRPr="00913366" w:rsidRDefault="00AB6E27" w:rsidP="00913366"/>
    <w:p w14:paraId="42117715" w14:textId="6A3C0B4A" w:rsidR="00D958F5" w:rsidRPr="00BC3450" w:rsidRDefault="009A10D1" w:rsidP="00E13138">
      <w:pPr>
        <w:pStyle w:val="ListParagraph"/>
        <w:numPr>
          <w:ilvl w:val="2"/>
          <w:numId w:val="1"/>
        </w:numPr>
        <w:ind w:left="0" w:firstLine="0"/>
        <w:rPr>
          <w:highlight w:val="yellow"/>
          <w:shd w:val="clear" w:color="auto" w:fill="FFF2CC"/>
        </w:rPr>
      </w:pPr>
      <w:r w:rsidRPr="00BC3450">
        <w:rPr>
          <w:highlight w:val="yellow"/>
          <w:shd w:val="clear" w:color="auto" w:fill="FFF2CC"/>
        </w:rPr>
        <w:t>Permeabilize cells</w:t>
      </w:r>
      <w:r w:rsidR="00BC3450" w:rsidRPr="00BC3450">
        <w:rPr>
          <w:highlight w:val="yellow"/>
          <w:shd w:val="clear" w:color="auto" w:fill="FFF2CC"/>
        </w:rPr>
        <w:t xml:space="preserve"> by r</w:t>
      </w:r>
      <w:r w:rsidRPr="00BC3450">
        <w:rPr>
          <w:highlight w:val="yellow"/>
          <w:shd w:val="clear" w:color="auto" w:fill="FFF2CC"/>
        </w:rPr>
        <w:t>esuspend</w:t>
      </w:r>
      <w:r w:rsidR="00BC3450" w:rsidRPr="00BC3450">
        <w:rPr>
          <w:highlight w:val="yellow"/>
          <w:shd w:val="clear" w:color="auto" w:fill="FFF2CC"/>
        </w:rPr>
        <w:t xml:space="preserve">ing </w:t>
      </w:r>
      <w:r w:rsidRPr="00BC3450">
        <w:rPr>
          <w:highlight w:val="yellow"/>
          <w:shd w:val="clear" w:color="auto" w:fill="FFF2CC"/>
        </w:rPr>
        <w:t>in 200 µL of 1</w:t>
      </w:r>
      <w:r w:rsidR="00BC3450" w:rsidRPr="00BC3450">
        <w:rPr>
          <w:highlight w:val="yellow"/>
          <w:shd w:val="clear" w:color="auto" w:fill="FFF2CC"/>
        </w:rPr>
        <w:t>x</w:t>
      </w:r>
      <w:r w:rsidRPr="00BC3450">
        <w:rPr>
          <w:highlight w:val="yellow"/>
          <w:shd w:val="clear" w:color="auto" w:fill="FFF2CC"/>
        </w:rPr>
        <w:t xml:space="preserve"> Permeabilization Buffer (Perm buffer) diluted in </w:t>
      </w:r>
      <w:r w:rsidR="00BC3450" w:rsidRPr="00BC3450">
        <w:rPr>
          <w:highlight w:val="yellow"/>
          <w:shd w:val="clear" w:color="auto" w:fill="FFF2CC"/>
        </w:rPr>
        <w:t>ultrapure</w:t>
      </w:r>
      <w:r w:rsidRPr="00BC3450">
        <w:rPr>
          <w:highlight w:val="yellow"/>
          <w:shd w:val="clear" w:color="auto" w:fill="FFF2CC"/>
        </w:rPr>
        <w:t xml:space="preserve"> water. Centrifuge and flick </w:t>
      </w:r>
      <w:r w:rsidR="00BC3450" w:rsidRPr="00BC3450">
        <w:rPr>
          <w:highlight w:val="yellow"/>
          <w:shd w:val="clear" w:color="auto" w:fill="FFF2CC"/>
        </w:rPr>
        <w:t xml:space="preserve">the </w:t>
      </w:r>
      <w:r w:rsidRPr="00BC3450">
        <w:rPr>
          <w:highlight w:val="yellow"/>
          <w:shd w:val="clear" w:color="auto" w:fill="FFF2CC"/>
        </w:rPr>
        <w:t>plate.</w:t>
      </w:r>
      <w:r w:rsidR="00BC3450" w:rsidRPr="00BC3450">
        <w:rPr>
          <w:highlight w:val="yellow"/>
          <w:shd w:val="clear" w:color="auto" w:fill="FFF2CC"/>
        </w:rPr>
        <w:t xml:space="preserve"> </w:t>
      </w:r>
      <w:r w:rsidRPr="00BC3450">
        <w:rPr>
          <w:highlight w:val="yellow"/>
          <w:shd w:val="clear" w:color="auto" w:fill="FFF2CC"/>
        </w:rPr>
        <w:t xml:space="preserve">Wash cells with 200 µL </w:t>
      </w:r>
      <w:r w:rsidR="00BC3450" w:rsidRPr="00BC3450">
        <w:rPr>
          <w:highlight w:val="yellow"/>
          <w:shd w:val="clear" w:color="auto" w:fill="FFF2CC"/>
        </w:rPr>
        <w:t xml:space="preserve">of </w:t>
      </w:r>
      <w:r w:rsidRPr="00BC3450">
        <w:rPr>
          <w:highlight w:val="yellow"/>
          <w:shd w:val="clear" w:color="auto" w:fill="FFF2CC"/>
        </w:rPr>
        <w:t>Perm buffer. Centrifuge and flick</w:t>
      </w:r>
      <w:r w:rsidR="00BC3450" w:rsidRPr="00BC3450">
        <w:rPr>
          <w:highlight w:val="yellow"/>
          <w:shd w:val="clear" w:color="auto" w:fill="FFF2CC"/>
        </w:rPr>
        <w:t xml:space="preserve"> the</w:t>
      </w:r>
      <w:r w:rsidRPr="00BC3450">
        <w:rPr>
          <w:highlight w:val="yellow"/>
          <w:shd w:val="clear" w:color="auto" w:fill="FFF2CC"/>
        </w:rPr>
        <w:t xml:space="preserve"> plate.</w:t>
      </w:r>
    </w:p>
    <w:p w14:paraId="7AD8ECA2" w14:textId="77777777" w:rsidR="00AB6E27" w:rsidRPr="00913366" w:rsidRDefault="00AB6E27" w:rsidP="00913366"/>
    <w:p w14:paraId="3312299C" w14:textId="1EA748A7" w:rsidR="00D958F5" w:rsidRDefault="009A10D1" w:rsidP="00913366">
      <w:pPr>
        <w:rPr>
          <w:shd w:val="clear" w:color="auto" w:fill="FFF2CC"/>
        </w:rPr>
      </w:pPr>
      <w:r w:rsidRPr="00913366">
        <w:t xml:space="preserve">NOTE: </w:t>
      </w:r>
      <w:r w:rsidR="00BC3450" w:rsidRPr="00913366">
        <w:t>I</w:t>
      </w:r>
      <w:r w:rsidRPr="00913366">
        <w:t xml:space="preserve">ncubation in the Perm buffer is </w:t>
      </w:r>
      <w:r w:rsidR="00BC3450" w:rsidRPr="00913366">
        <w:t xml:space="preserve">not </w:t>
      </w:r>
      <w:r w:rsidRPr="00913366">
        <w:t>necessary.</w:t>
      </w:r>
    </w:p>
    <w:p w14:paraId="73C6B7E9" w14:textId="77777777" w:rsidR="00AB6E27" w:rsidRDefault="00AB6E27" w:rsidP="00E13138">
      <w:pPr>
        <w:rPr>
          <w:color w:val="000000" w:themeColor="text1"/>
        </w:rPr>
      </w:pPr>
    </w:p>
    <w:p w14:paraId="5AD31C5D" w14:textId="257D48CF" w:rsidR="00D958F5" w:rsidRPr="00AB6E27" w:rsidRDefault="009A10D1" w:rsidP="00E13138">
      <w:pPr>
        <w:pStyle w:val="ListParagraph"/>
        <w:numPr>
          <w:ilvl w:val="2"/>
          <w:numId w:val="1"/>
        </w:numPr>
        <w:ind w:left="0" w:firstLine="0"/>
        <w:rPr>
          <w:color w:val="000000" w:themeColor="text1"/>
        </w:rPr>
      </w:pPr>
      <w:r w:rsidRPr="00AB6E27">
        <w:rPr>
          <w:color w:val="000000" w:themeColor="text1"/>
        </w:rPr>
        <w:t>Intracellular antibody panel titration</w:t>
      </w:r>
    </w:p>
    <w:p w14:paraId="1B0D9630" w14:textId="77777777" w:rsidR="00AB6E27" w:rsidRDefault="00AB6E27" w:rsidP="00E13138">
      <w:pPr>
        <w:rPr>
          <w:color w:val="000000" w:themeColor="text1"/>
        </w:rPr>
      </w:pPr>
    </w:p>
    <w:p w14:paraId="48E7E521" w14:textId="15EBCC92" w:rsidR="00BC3450" w:rsidRDefault="009A10D1" w:rsidP="00E13138">
      <w:pPr>
        <w:pStyle w:val="ListParagraph"/>
        <w:numPr>
          <w:ilvl w:val="3"/>
          <w:numId w:val="1"/>
        </w:numPr>
        <w:ind w:left="0"/>
        <w:rPr>
          <w:color w:val="000000" w:themeColor="text1"/>
        </w:rPr>
      </w:pPr>
      <w:r w:rsidRPr="00AB6E27">
        <w:rPr>
          <w:color w:val="000000" w:themeColor="text1"/>
        </w:rPr>
        <w:t>Make a master mix of all the intracellular antibodies at a concentration of 10 µg/mL using Perm Buffer. Aim for a final volume of 150 μ</w:t>
      </w:r>
      <w:r w:rsidR="00740430">
        <w:rPr>
          <w:color w:val="000000" w:themeColor="text1"/>
        </w:rPr>
        <w:t>L</w:t>
      </w:r>
      <w:r w:rsidRPr="00AB6E27">
        <w:rPr>
          <w:color w:val="000000" w:themeColor="text1"/>
        </w:rPr>
        <w:t>. Make serial 1:2 dilutions using Perm Buffer, to obtain the following five different concentrations: 10, 5, 2.5, 1.25, and</w:t>
      </w:r>
      <w:r w:rsidRPr="00AB6E27">
        <w:rPr>
          <w:strike/>
          <w:color w:val="000000" w:themeColor="text1"/>
        </w:rPr>
        <w:t xml:space="preserve"> </w:t>
      </w:r>
      <w:r w:rsidRPr="00AB6E27">
        <w:rPr>
          <w:color w:val="000000" w:themeColor="text1"/>
        </w:rPr>
        <w:t>0.625 µg/</w:t>
      </w:r>
      <w:proofErr w:type="spellStart"/>
      <w:r w:rsidRPr="00AB6E27">
        <w:rPr>
          <w:color w:val="000000" w:themeColor="text1"/>
        </w:rPr>
        <w:t>mL.</w:t>
      </w:r>
      <w:proofErr w:type="spellEnd"/>
    </w:p>
    <w:p w14:paraId="7B3EC14A" w14:textId="77777777" w:rsidR="00BC3450" w:rsidRDefault="00BC3450" w:rsidP="00E13138">
      <w:pPr>
        <w:pStyle w:val="ListParagraph"/>
        <w:ind w:left="0"/>
        <w:rPr>
          <w:color w:val="000000" w:themeColor="text1"/>
        </w:rPr>
      </w:pPr>
    </w:p>
    <w:p w14:paraId="01994BA0" w14:textId="09181087" w:rsidR="00BC3450" w:rsidRDefault="009A10D1" w:rsidP="00E13138">
      <w:pPr>
        <w:pStyle w:val="ListParagraph"/>
        <w:numPr>
          <w:ilvl w:val="3"/>
          <w:numId w:val="1"/>
        </w:numPr>
        <w:ind w:left="0"/>
        <w:rPr>
          <w:color w:val="000000" w:themeColor="text1"/>
        </w:rPr>
      </w:pPr>
      <w:r w:rsidRPr="00BC3450">
        <w:rPr>
          <w:color w:val="000000" w:themeColor="text1"/>
        </w:rPr>
        <w:lastRenderedPageBreak/>
        <w:t xml:space="preserve">Filter antibody cocktails through a centrifugal filter unit (0.1 µm pore size) at 10,600 x </w:t>
      </w:r>
      <w:r w:rsidRPr="00BC3450">
        <w:rPr>
          <w:i/>
          <w:color w:val="000000" w:themeColor="text1"/>
        </w:rPr>
        <w:t>g</w:t>
      </w:r>
      <w:r w:rsidRPr="00BC3450">
        <w:rPr>
          <w:color w:val="000000" w:themeColor="text1"/>
        </w:rPr>
        <w:t xml:space="preserve"> for 3 min prior to staining.</w:t>
      </w:r>
    </w:p>
    <w:p w14:paraId="685C527D" w14:textId="77777777" w:rsidR="00BC3450" w:rsidRDefault="00BC3450" w:rsidP="00E13138">
      <w:pPr>
        <w:pStyle w:val="ListParagraph"/>
        <w:ind w:left="0"/>
        <w:rPr>
          <w:color w:val="000000" w:themeColor="text1"/>
        </w:rPr>
      </w:pPr>
    </w:p>
    <w:p w14:paraId="1EC1CD23" w14:textId="77777777" w:rsidR="0086633D" w:rsidRDefault="009A10D1" w:rsidP="00E13138">
      <w:pPr>
        <w:pStyle w:val="ListParagraph"/>
        <w:numPr>
          <w:ilvl w:val="3"/>
          <w:numId w:val="1"/>
        </w:numPr>
        <w:ind w:left="0"/>
        <w:rPr>
          <w:color w:val="000000" w:themeColor="text1"/>
        </w:rPr>
      </w:pPr>
      <w:r w:rsidRPr="00BC3450">
        <w:rPr>
          <w:color w:val="000000" w:themeColor="text1"/>
        </w:rPr>
        <w:t>Resuspend the plated cells in 50 µL of the intracellular antibody cocktail at the respective titer. Resuspend the unstained well in Perm Buffer.</w:t>
      </w:r>
      <w:r w:rsidR="0086633D">
        <w:rPr>
          <w:color w:val="000000" w:themeColor="text1"/>
        </w:rPr>
        <w:t xml:space="preserve"> </w:t>
      </w:r>
      <w:r w:rsidRPr="00BC3450">
        <w:rPr>
          <w:color w:val="000000" w:themeColor="text1"/>
        </w:rPr>
        <w:t>Incubate at 4</w:t>
      </w:r>
      <w:r w:rsidR="0086633D">
        <w:rPr>
          <w:color w:val="000000" w:themeColor="text1"/>
        </w:rPr>
        <w:t xml:space="preserve"> </w:t>
      </w:r>
      <w:r w:rsidRPr="00BC3450">
        <w:rPr>
          <w:color w:val="000000" w:themeColor="text1"/>
        </w:rPr>
        <w:t>°C for 45 min.</w:t>
      </w:r>
      <w:r w:rsidR="00AB6E27" w:rsidRPr="00BC3450">
        <w:rPr>
          <w:color w:val="000000" w:themeColor="text1"/>
        </w:rPr>
        <w:t xml:space="preserve"> </w:t>
      </w:r>
    </w:p>
    <w:p w14:paraId="1375DA67" w14:textId="77777777" w:rsidR="0086633D" w:rsidRPr="0086633D" w:rsidRDefault="0086633D" w:rsidP="00E13138">
      <w:pPr>
        <w:pStyle w:val="ListParagraph"/>
        <w:ind w:left="0"/>
        <w:rPr>
          <w:color w:val="000000" w:themeColor="text1"/>
        </w:rPr>
      </w:pPr>
    </w:p>
    <w:p w14:paraId="51307551" w14:textId="16218396" w:rsidR="00BC3450" w:rsidRDefault="009A10D1" w:rsidP="00E13138">
      <w:pPr>
        <w:pStyle w:val="ListParagraph"/>
        <w:ind w:left="0"/>
        <w:rPr>
          <w:color w:val="000000" w:themeColor="text1"/>
        </w:rPr>
      </w:pPr>
      <w:r w:rsidRPr="00BC3450">
        <w:rPr>
          <w:color w:val="000000" w:themeColor="text1"/>
        </w:rPr>
        <w:t xml:space="preserve">NOTE: If an intracellular panel is not going to be titrated, resuspend wells in 50 µL of the Perm buffer. </w:t>
      </w:r>
    </w:p>
    <w:p w14:paraId="1E1AE11F" w14:textId="77777777" w:rsidR="00BC3450" w:rsidRPr="00BC3450" w:rsidRDefault="00BC3450" w:rsidP="00E13138">
      <w:pPr>
        <w:pStyle w:val="ListParagraph"/>
        <w:ind w:left="0"/>
        <w:rPr>
          <w:color w:val="000000" w:themeColor="text1"/>
        </w:rPr>
      </w:pPr>
    </w:p>
    <w:p w14:paraId="6E21EE78" w14:textId="134BEFB2" w:rsidR="00BC3450" w:rsidRDefault="009A10D1" w:rsidP="00E13138">
      <w:pPr>
        <w:pStyle w:val="ListParagraph"/>
        <w:numPr>
          <w:ilvl w:val="3"/>
          <w:numId w:val="1"/>
        </w:numPr>
        <w:ind w:left="0"/>
        <w:rPr>
          <w:color w:val="000000" w:themeColor="text1"/>
        </w:rPr>
      </w:pPr>
      <w:r w:rsidRPr="00BC3450">
        <w:rPr>
          <w:color w:val="000000" w:themeColor="text1"/>
        </w:rPr>
        <w:t>Wash cells with 150 µL</w:t>
      </w:r>
      <w:r w:rsidR="0086633D">
        <w:rPr>
          <w:color w:val="000000" w:themeColor="text1"/>
        </w:rPr>
        <w:t xml:space="preserve"> of</w:t>
      </w:r>
      <w:r w:rsidRPr="00BC3450">
        <w:rPr>
          <w:color w:val="000000" w:themeColor="text1"/>
        </w:rPr>
        <w:t xml:space="preserve"> Perm buffer. Centrifuge and flick </w:t>
      </w:r>
      <w:r w:rsidR="0086633D">
        <w:rPr>
          <w:color w:val="000000" w:themeColor="text1"/>
        </w:rPr>
        <w:t xml:space="preserve">the </w:t>
      </w:r>
      <w:r w:rsidRPr="00BC3450">
        <w:rPr>
          <w:color w:val="000000" w:themeColor="text1"/>
        </w:rPr>
        <w:t>plate.</w:t>
      </w:r>
    </w:p>
    <w:p w14:paraId="3DD95D56" w14:textId="77777777" w:rsidR="00BC3450" w:rsidRPr="00BC3450" w:rsidRDefault="00BC3450" w:rsidP="00E13138">
      <w:pPr>
        <w:pStyle w:val="ListParagraph"/>
        <w:ind w:left="0"/>
        <w:rPr>
          <w:color w:val="000000" w:themeColor="text1"/>
        </w:rPr>
      </w:pPr>
    </w:p>
    <w:p w14:paraId="5A8EB436" w14:textId="49BFF620" w:rsidR="00BC3450" w:rsidRDefault="009A10D1" w:rsidP="00E13138">
      <w:pPr>
        <w:pStyle w:val="ListParagraph"/>
        <w:numPr>
          <w:ilvl w:val="3"/>
          <w:numId w:val="1"/>
        </w:numPr>
        <w:ind w:left="0"/>
        <w:rPr>
          <w:color w:val="000000" w:themeColor="text1"/>
        </w:rPr>
      </w:pPr>
      <w:r w:rsidRPr="00BC3450">
        <w:rPr>
          <w:color w:val="000000" w:themeColor="text1"/>
        </w:rPr>
        <w:t xml:space="preserve">Wash cells with 200 µL </w:t>
      </w:r>
      <w:r w:rsidR="0086633D">
        <w:rPr>
          <w:color w:val="000000" w:themeColor="text1"/>
        </w:rPr>
        <w:t xml:space="preserve">of </w:t>
      </w:r>
      <w:r w:rsidRPr="00BC3450">
        <w:rPr>
          <w:color w:val="000000" w:themeColor="text1"/>
        </w:rPr>
        <w:t xml:space="preserve">Perm buffer. Centrifuge and flick </w:t>
      </w:r>
      <w:r w:rsidR="0086633D">
        <w:rPr>
          <w:color w:val="000000" w:themeColor="text1"/>
        </w:rPr>
        <w:t xml:space="preserve">the </w:t>
      </w:r>
      <w:r w:rsidRPr="00BC3450">
        <w:rPr>
          <w:color w:val="000000" w:themeColor="text1"/>
        </w:rPr>
        <w:t>plate.</w:t>
      </w:r>
    </w:p>
    <w:p w14:paraId="5965A655" w14:textId="77777777" w:rsidR="00BC3450" w:rsidRPr="00BC3450" w:rsidRDefault="00BC3450" w:rsidP="00E13138">
      <w:pPr>
        <w:pStyle w:val="ListParagraph"/>
        <w:ind w:left="0"/>
        <w:rPr>
          <w:color w:val="000000" w:themeColor="text1"/>
        </w:rPr>
      </w:pPr>
    </w:p>
    <w:p w14:paraId="69D5F8F3" w14:textId="3FB621E4" w:rsidR="00D958F5" w:rsidRPr="00BC3450" w:rsidRDefault="009A10D1" w:rsidP="00E13138">
      <w:pPr>
        <w:pStyle w:val="ListParagraph"/>
        <w:numPr>
          <w:ilvl w:val="3"/>
          <w:numId w:val="1"/>
        </w:numPr>
        <w:ind w:left="0"/>
        <w:rPr>
          <w:color w:val="000000" w:themeColor="text1"/>
        </w:rPr>
      </w:pPr>
      <w:r w:rsidRPr="00BC3450">
        <w:rPr>
          <w:color w:val="000000" w:themeColor="text1"/>
        </w:rPr>
        <w:t xml:space="preserve">Wash cells twice with 200 µL </w:t>
      </w:r>
      <w:r w:rsidR="00740430">
        <w:rPr>
          <w:color w:val="000000" w:themeColor="text1"/>
        </w:rPr>
        <w:t xml:space="preserve">of </w:t>
      </w:r>
      <w:proofErr w:type="spellStart"/>
      <w:r w:rsidRPr="00BC3450">
        <w:rPr>
          <w:color w:val="000000" w:themeColor="text1"/>
        </w:rPr>
        <w:t>CyFACS</w:t>
      </w:r>
      <w:proofErr w:type="spellEnd"/>
      <w:r w:rsidRPr="00BC3450">
        <w:rPr>
          <w:color w:val="000000" w:themeColor="text1"/>
        </w:rPr>
        <w:t xml:space="preserve">. Centrifuge and flick </w:t>
      </w:r>
      <w:r w:rsidR="0086633D">
        <w:rPr>
          <w:color w:val="000000" w:themeColor="text1"/>
        </w:rPr>
        <w:t xml:space="preserve">the </w:t>
      </w:r>
      <w:r w:rsidRPr="00BC3450">
        <w:rPr>
          <w:color w:val="000000" w:themeColor="text1"/>
        </w:rPr>
        <w:t>plate.</w:t>
      </w:r>
    </w:p>
    <w:p w14:paraId="2FB4CF91" w14:textId="77777777" w:rsidR="00AB6E27" w:rsidRDefault="00AB6E27" w:rsidP="00E13138">
      <w:pPr>
        <w:pStyle w:val="ListParagraph"/>
        <w:ind w:left="0"/>
        <w:rPr>
          <w:color w:val="000000" w:themeColor="text1"/>
        </w:rPr>
      </w:pPr>
    </w:p>
    <w:p w14:paraId="50BC8494" w14:textId="784C841E" w:rsidR="00D958F5" w:rsidRPr="00913366" w:rsidRDefault="009A10D1" w:rsidP="00E13138">
      <w:pPr>
        <w:pStyle w:val="ListParagraph"/>
        <w:numPr>
          <w:ilvl w:val="2"/>
          <w:numId w:val="1"/>
        </w:numPr>
        <w:ind w:left="0" w:firstLine="0"/>
        <w:rPr>
          <w:color w:val="000000" w:themeColor="text1"/>
          <w:highlight w:val="yellow"/>
        </w:rPr>
      </w:pPr>
      <w:r w:rsidRPr="00913366">
        <w:rPr>
          <w:color w:val="000000" w:themeColor="text1"/>
          <w:highlight w:val="yellow"/>
        </w:rPr>
        <w:t xml:space="preserve">DNA intercalator staining </w:t>
      </w:r>
    </w:p>
    <w:p w14:paraId="601128F1" w14:textId="77777777" w:rsidR="00AB6E27" w:rsidRPr="00913366" w:rsidRDefault="00AB6E27" w:rsidP="00913366"/>
    <w:p w14:paraId="6B36F6BB" w14:textId="797030E8" w:rsidR="00D958F5" w:rsidRPr="00913366" w:rsidRDefault="009A10D1" w:rsidP="00913366">
      <w:r w:rsidRPr="00913366">
        <w:t>NOTE: Intercalator binds to cellular nucleic acid and is used to identify nucleated cells in mass cytometry.</w:t>
      </w:r>
    </w:p>
    <w:p w14:paraId="60D4562F" w14:textId="77777777" w:rsidR="00AB6E27" w:rsidRDefault="00AB6E27" w:rsidP="00E13138">
      <w:pPr>
        <w:rPr>
          <w:color w:val="000000" w:themeColor="text1"/>
          <w:shd w:val="clear" w:color="auto" w:fill="FFF2CC"/>
        </w:rPr>
      </w:pPr>
    </w:p>
    <w:p w14:paraId="39866F8F" w14:textId="7C3A1B40" w:rsidR="0086633D" w:rsidRPr="00913366" w:rsidRDefault="009A10D1" w:rsidP="00E13138">
      <w:pPr>
        <w:pStyle w:val="ListParagraph"/>
        <w:numPr>
          <w:ilvl w:val="3"/>
          <w:numId w:val="1"/>
        </w:numPr>
        <w:ind w:left="0"/>
        <w:rPr>
          <w:color w:val="000000" w:themeColor="text1"/>
          <w:highlight w:val="yellow"/>
          <w:shd w:val="clear" w:color="auto" w:fill="FFF2CC"/>
        </w:rPr>
      </w:pPr>
      <w:r w:rsidRPr="00913366">
        <w:rPr>
          <w:color w:val="000000" w:themeColor="text1"/>
          <w:highlight w:val="yellow"/>
          <w:shd w:val="clear" w:color="auto" w:fill="FFF2CC"/>
        </w:rPr>
        <w:t xml:space="preserve">Resuspend cells in 200 µL of intercalator diluted 1:10,000 in </w:t>
      </w:r>
      <w:proofErr w:type="spellStart"/>
      <w:r w:rsidRPr="00913366">
        <w:rPr>
          <w:color w:val="000000" w:themeColor="text1"/>
          <w:highlight w:val="yellow"/>
          <w:shd w:val="clear" w:color="auto" w:fill="FFF2CC"/>
        </w:rPr>
        <w:t>CyPBS</w:t>
      </w:r>
      <w:proofErr w:type="spellEnd"/>
      <w:r w:rsidRPr="00913366">
        <w:rPr>
          <w:color w:val="000000" w:themeColor="text1"/>
          <w:highlight w:val="yellow"/>
          <w:shd w:val="clear" w:color="auto" w:fill="FFF2CC"/>
        </w:rPr>
        <w:t xml:space="preserve"> and 2% PFA. Incubate </w:t>
      </w:r>
      <w:r w:rsidR="00913366">
        <w:rPr>
          <w:color w:val="000000" w:themeColor="text1"/>
          <w:highlight w:val="yellow"/>
          <w:shd w:val="clear" w:color="auto" w:fill="FFF2CC"/>
        </w:rPr>
        <w:t xml:space="preserve">the </w:t>
      </w:r>
      <w:r w:rsidRPr="00913366">
        <w:rPr>
          <w:color w:val="000000" w:themeColor="text1"/>
          <w:highlight w:val="yellow"/>
          <w:shd w:val="clear" w:color="auto" w:fill="FFF2CC"/>
        </w:rPr>
        <w:t>plate overnight at 4</w:t>
      </w:r>
      <w:r w:rsidR="00913366">
        <w:rPr>
          <w:color w:val="000000" w:themeColor="text1"/>
          <w:highlight w:val="yellow"/>
          <w:shd w:val="clear" w:color="auto" w:fill="FFF2CC"/>
        </w:rPr>
        <w:t xml:space="preserve"> </w:t>
      </w:r>
      <w:r w:rsidRPr="00913366">
        <w:rPr>
          <w:color w:val="000000" w:themeColor="text1"/>
          <w:highlight w:val="yellow"/>
          <w:shd w:val="clear" w:color="auto" w:fill="FFF2CC"/>
        </w:rPr>
        <w:t xml:space="preserve">°C. </w:t>
      </w:r>
    </w:p>
    <w:p w14:paraId="08E8CCC4" w14:textId="77777777" w:rsidR="0086633D" w:rsidRPr="00913366" w:rsidRDefault="0086633D" w:rsidP="00E13138">
      <w:pPr>
        <w:pStyle w:val="ListParagraph"/>
        <w:ind w:left="0"/>
        <w:rPr>
          <w:color w:val="000000" w:themeColor="text1"/>
          <w:highlight w:val="yellow"/>
          <w:shd w:val="clear" w:color="auto" w:fill="FFF2CC"/>
        </w:rPr>
      </w:pPr>
    </w:p>
    <w:p w14:paraId="5B85A5C1" w14:textId="5546D1A7" w:rsidR="00D958F5" w:rsidRPr="00913366" w:rsidRDefault="00740430" w:rsidP="00E13138">
      <w:pPr>
        <w:pStyle w:val="ListParagraph"/>
        <w:numPr>
          <w:ilvl w:val="3"/>
          <w:numId w:val="1"/>
        </w:numPr>
        <w:ind w:left="0"/>
        <w:rPr>
          <w:color w:val="000000" w:themeColor="text1"/>
          <w:highlight w:val="yellow"/>
          <w:shd w:val="clear" w:color="auto" w:fill="FFF2CC"/>
        </w:rPr>
      </w:pPr>
      <w:r>
        <w:rPr>
          <w:highlight w:val="yellow"/>
          <w:shd w:val="clear" w:color="auto" w:fill="FFF2CC"/>
        </w:rPr>
        <w:t>Store p</w:t>
      </w:r>
      <w:r w:rsidR="009A10D1" w:rsidRPr="00913366">
        <w:rPr>
          <w:highlight w:val="yellow"/>
          <w:shd w:val="clear" w:color="auto" w:fill="FFF2CC"/>
        </w:rPr>
        <w:t>lates</w:t>
      </w:r>
      <w:r>
        <w:rPr>
          <w:highlight w:val="yellow"/>
          <w:shd w:val="clear" w:color="auto" w:fill="FFF2CC"/>
        </w:rPr>
        <w:t xml:space="preserve">, if needed, </w:t>
      </w:r>
      <w:r w:rsidRPr="00913366">
        <w:rPr>
          <w:highlight w:val="yellow"/>
          <w:shd w:val="clear" w:color="auto" w:fill="FFF2CC"/>
        </w:rPr>
        <w:t>at 4</w:t>
      </w:r>
      <w:r>
        <w:rPr>
          <w:highlight w:val="yellow"/>
          <w:shd w:val="clear" w:color="auto" w:fill="FFF2CC"/>
        </w:rPr>
        <w:t xml:space="preserve"> </w:t>
      </w:r>
      <w:r w:rsidRPr="00913366">
        <w:rPr>
          <w:highlight w:val="yellow"/>
          <w:shd w:val="clear" w:color="auto" w:fill="FFF2CC"/>
        </w:rPr>
        <w:t>°C</w:t>
      </w:r>
      <w:r w:rsidR="009A10D1" w:rsidRPr="00913366">
        <w:rPr>
          <w:highlight w:val="yellow"/>
          <w:shd w:val="clear" w:color="auto" w:fill="FFF2CC"/>
        </w:rPr>
        <w:t xml:space="preserve"> covered with paraf</w:t>
      </w:r>
      <w:r w:rsidR="00913366">
        <w:rPr>
          <w:highlight w:val="yellow"/>
          <w:shd w:val="clear" w:color="auto" w:fill="FFF2CC"/>
        </w:rPr>
        <w:t>fin film</w:t>
      </w:r>
      <w:r w:rsidR="009A10D1" w:rsidRPr="00913366">
        <w:rPr>
          <w:highlight w:val="yellow"/>
          <w:shd w:val="clear" w:color="auto" w:fill="FFF2CC"/>
        </w:rPr>
        <w:t xml:space="preserve"> for up to a week.</w:t>
      </w:r>
    </w:p>
    <w:p w14:paraId="6A5C74E8" w14:textId="77777777" w:rsidR="00913366" w:rsidRPr="00913366" w:rsidRDefault="00913366" w:rsidP="00913366"/>
    <w:p w14:paraId="621796DD" w14:textId="740AE51B" w:rsidR="00913366" w:rsidRPr="00913366" w:rsidRDefault="00913366" w:rsidP="00913366">
      <w:r w:rsidRPr="00913366">
        <w:t xml:space="preserve">NOTE: </w:t>
      </w:r>
      <w:r>
        <w:t>Perform a</w:t>
      </w:r>
      <w:r w:rsidRPr="00913366">
        <w:t xml:space="preserve">ll subsequent centrifuge steps at 700 x </w:t>
      </w:r>
      <w:r w:rsidRPr="00913366">
        <w:rPr>
          <w:i/>
          <w:iCs/>
        </w:rPr>
        <w:t xml:space="preserve">g </w:t>
      </w:r>
      <w:r w:rsidRPr="00913366">
        <w:t>for 5 min at 4</w:t>
      </w:r>
      <w:r>
        <w:t xml:space="preserve"> </w:t>
      </w:r>
      <w:r w:rsidRPr="00913366">
        <w:t>°C.</w:t>
      </w:r>
    </w:p>
    <w:p w14:paraId="50E01AC1" w14:textId="77777777" w:rsidR="0086633D" w:rsidRPr="00AB6E27" w:rsidRDefault="0086633D" w:rsidP="00E13138">
      <w:pPr>
        <w:pStyle w:val="ListParagraph"/>
        <w:ind w:left="0"/>
        <w:rPr>
          <w:color w:val="000000" w:themeColor="text1"/>
          <w:shd w:val="clear" w:color="auto" w:fill="FFF2CC"/>
        </w:rPr>
      </w:pPr>
    </w:p>
    <w:p w14:paraId="6BC6F9F3" w14:textId="5CCE0A95" w:rsidR="00913366" w:rsidRDefault="00913366" w:rsidP="00913366">
      <w:pPr>
        <w:pStyle w:val="ListParagraph"/>
        <w:numPr>
          <w:ilvl w:val="3"/>
          <w:numId w:val="1"/>
        </w:numPr>
        <w:ind w:left="0"/>
        <w:rPr>
          <w:color w:val="000000" w:themeColor="text1"/>
          <w:highlight w:val="yellow"/>
          <w:shd w:val="clear" w:color="auto" w:fill="FFF2CC"/>
        </w:rPr>
      </w:pPr>
      <w:r w:rsidRPr="00913366">
        <w:rPr>
          <w:color w:val="000000" w:themeColor="text1"/>
          <w:highlight w:val="yellow"/>
        </w:rPr>
        <w:t>Before r</w:t>
      </w:r>
      <w:r w:rsidR="009A10D1" w:rsidRPr="00913366">
        <w:rPr>
          <w:color w:val="000000" w:themeColor="text1"/>
          <w:highlight w:val="yellow"/>
        </w:rPr>
        <w:t>un</w:t>
      </w:r>
      <w:r w:rsidRPr="00913366">
        <w:rPr>
          <w:color w:val="000000" w:themeColor="text1"/>
          <w:highlight w:val="yellow"/>
        </w:rPr>
        <w:t>ning</w:t>
      </w:r>
      <w:r w:rsidR="009A10D1" w:rsidRPr="00913366">
        <w:rPr>
          <w:color w:val="000000" w:themeColor="text1"/>
          <w:highlight w:val="yellow"/>
        </w:rPr>
        <w:t xml:space="preserve"> </w:t>
      </w:r>
      <w:r w:rsidRPr="00913366">
        <w:rPr>
          <w:color w:val="000000" w:themeColor="text1"/>
          <w:highlight w:val="yellow"/>
        </w:rPr>
        <w:t xml:space="preserve">the </w:t>
      </w:r>
      <w:r w:rsidR="009A10D1" w:rsidRPr="00913366">
        <w:rPr>
          <w:color w:val="000000" w:themeColor="text1"/>
          <w:highlight w:val="yellow"/>
        </w:rPr>
        <w:t xml:space="preserve">samples on </w:t>
      </w:r>
      <w:proofErr w:type="spellStart"/>
      <w:r w:rsidR="009A10D1" w:rsidRPr="00913366">
        <w:rPr>
          <w:color w:val="000000" w:themeColor="text1"/>
          <w:highlight w:val="yellow"/>
        </w:rPr>
        <w:t>CyTOF</w:t>
      </w:r>
      <w:proofErr w:type="spellEnd"/>
      <w:r w:rsidRPr="00913366">
        <w:rPr>
          <w:color w:val="000000" w:themeColor="text1"/>
          <w:highlight w:val="yellow"/>
        </w:rPr>
        <w:t xml:space="preserve">, </w:t>
      </w:r>
      <w:r w:rsidRPr="00913366">
        <w:rPr>
          <w:color w:val="000000" w:themeColor="text1"/>
          <w:highlight w:val="yellow"/>
          <w:shd w:val="clear" w:color="auto" w:fill="FFF2CC"/>
        </w:rPr>
        <w:t>r</w:t>
      </w:r>
      <w:r w:rsidR="009A10D1" w:rsidRPr="00913366">
        <w:rPr>
          <w:color w:val="000000" w:themeColor="text1"/>
          <w:highlight w:val="yellow"/>
          <w:shd w:val="clear" w:color="auto" w:fill="FFF2CC"/>
        </w:rPr>
        <w:t>emov</w:t>
      </w:r>
      <w:r w:rsidRPr="00913366">
        <w:rPr>
          <w:color w:val="000000" w:themeColor="text1"/>
          <w:highlight w:val="yellow"/>
          <w:shd w:val="clear" w:color="auto" w:fill="FFF2CC"/>
        </w:rPr>
        <w:t>e the</w:t>
      </w:r>
      <w:r w:rsidR="009A10D1" w:rsidRPr="00913366">
        <w:rPr>
          <w:color w:val="000000" w:themeColor="text1"/>
          <w:highlight w:val="yellow"/>
          <w:shd w:val="clear" w:color="auto" w:fill="FFF2CC"/>
        </w:rPr>
        <w:t xml:space="preserve"> paraf</w:t>
      </w:r>
      <w:r w:rsidRPr="00913366">
        <w:rPr>
          <w:color w:val="000000" w:themeColor="text1"/>
          <w:highlight w:val="yellow"/>
          <w:shd w:val="clear" w:color="auto" w:fill="FFF2CC"/>
        </w:rPr>
        <w:t>fin film</w:t>
      </w:r>
      <w:r w:rsidR="009A10D1" w:rsidRPr="00913366">
        <w:rPr>
          <w:color w:val="000000" w:themeColor="text1"/>
          <w:highlight w:val="yellow"/>
          <w:shd w:val="clear" w:color="auto" w:fill="FFF2CC"/>
        </w:rPr>
        <w:t xml:space="preserve"> from </w:t>
      </w:r>
      <w:r w:rsidRPr="00913366">
        <w:rPr>
          <w:color w:val="000000" w:themeColor="text1"/>
          <w:highlight w:val="yellow"/>
          <w:shd w:val="clear" w:color="auto" w:fill="FFF2CC"/>
        </w:rPr>
        <w:t xml:space="preserve">the </w:t>
      </w:r>
      <w:r w:rsidR="009A10D1" w:rsidRPr="00913366">
        <w:rPr>
          <w:color w:val="000000" w:themeColor="text1"/>
          <w:highlight w:val="yellow"/>
          <w:shd w:val="clear" w:color="auto" w:fill="FFF2CC"/>
        </w:rPr>
        <w:t xml:space="preserve">plate and centrifuge at 700 x </w:t>
      </w:r>
      <w:r w:rsidR="009A10D1" w:rsidRPr="00913366">
        <w:rPr>
          <w:i/>
          <w:color w:val="000000" w:themeColor="text1"/>
          <w:highlight w:val="yellow"/>
          <w:shd w:val="clear" w:color="auto" w:fill="FFF2CC"/>
        </w:rPr>
        <w:t>g</w:t>
      </w:r>
      <w:r w:rsidR="009A10D1" w:rsidRPr="00913366">
        <w:rPr>
          <w:color w:val="000000" w:themeColor="text1"/>
          <w:highlight w:val="yellow"/>
          <w:shd w:val="clear" w:color="auto" w:fill="FFF2CC"/>
        </w:rPr>
        <w:t xml:space="preserve"> for 5 min at 4</w:t>
      </w:r>
      <w:r>
        <w:rPr>
          <w:color w:val="000000" w:themeColor="text1"/>
          <w:highlight w:val="yellow"/>
          <w:shd w:val="clear" w:color="auto" w:fill="FFF2CC"/>
        </w:rPr>
        <w:t xml:space="preserve"> </w:t>
      </w:r>
      <w:r w:rsidR="009A10D1" w:rsidRPr="00913366">
        <w:rPr>
          <w:color w:val="000000" w:themeColor="text1"/>
          <w:highlight w:val="yellow"/>
          <w:shd w:val="clear" w:color="auto" w:fill="FFF2CC"/>
        </w:rPr>
        <w:t xml:space="preserve">°C. Flick </w:t>
      </w:r>
      <w:r>
        <w:rPr>
          <w:color w:val="000000" w:themeColor="text1"/>
          <w:highlight w:val="yellow"/>
          <w:shd w:val="clear" w:color="auto" w:fill="FFF2CC"/>
        </w:rPr>
        <w:t xml:space="preserve">the </w:t>
      </w:r>
      <w:r w:rsidR="009A10D1" w:rsidRPr="00913366">
        <w:rPr>
          <w:color w:val="000000" w:themeColor="text1"/>
          <w:highlight w:val="yellow"/>
          <w:shd w:val="clear" w:color="auto" w:fill="FFF2CC"/>
        </w:rPr>
        <w:t>plate.</w:t>
      </w:r>
      <w:r>
        <w:rPr>
          <w:color w:val="000000" w:themeColor="text1"/>
          <w:highlight w:val="yellow"/>
          <w:shd w:val="clear" w:color="auto" w:fill="FFF2CC"/>
        </w:rPr>
        <w:t xml:space="preserve"> </w:t>
      </w:r>
      <w:r w:rsidRPr="00913366">
        <w:rPr>
          <w:color w:val="000000" w:themeColor="text1"/>
          <w:highlight w:val="yellow"/>
          <w:shd w:val="clear" w:color="auto" w:fill="FFF2CC"/>
        </w:rPr>
        <w:t>Wash cells once with 200 µL</w:t>
      </w:r>
      <w:r>
        <w:rPr>
          <w:color w:val="000000" w:themeColor="text1"/>
          <w:highlight w:val="yellow"/>
          <w:shd w:val="clear" w:color="auto" w:fill="FFF2CC"/>
        </w:rPr>
        <w:t xml:space="preserve"> of</w:t>
      </w:r>
      <w:r w:rsidRPr="00913366">
        <w:rPr>
          <w:color w:val="000000" w:themeColor="text1"/>
          <w:highlight w:val="yellow"/>
          <w:shd w:val="clear" w:color="auto" w:fill="FFF2CC"/>
        </w:rPr>
        <w:t xml:space="preserve"> </w:t>
      </w:r>
      <w:proofErr w:type="spellStart"/>
      <w:r w:rsidRPr="00913366">
        <w:rPr>
          <w:color w:val="000000" w:themeColor="text1"/>
          <w:highlight w:val="yellow"/>
          <w:shd w:val="clear" w:color="auto" w:fill="FFF2CC"/>
        </w:rPr>
        <w:t>CyFACS</w:t>
      </w:r>
      <w:proofErr w:type="spellEnd"/>
      <w:r w:rsidRPr="00913366">
        <w:rPr>
          <w:color w:val="000000" w:themeColor="text1"/>
          <w:highlight w:val="yellow"/>
          <w:shd w:val="clear" w:color="auto" w:fill="FFF2CC"/>
        </w:rPr>
        <w:t xml:space="preserve">. Centrifuge and flick </w:t>
      </w:r>
      <w:r w:rsidR="00740430">
        <w:rPr>
          <w:color w:val="000000" w:themeColor="text1"/>
          <w:highlight w:val="yellow"/>
          <w:shd w:val="clear" w:color="auto" w:fill="FFF2CC"/>
        </w:rPr>
        <w:t xml:space="preserve">the </w:t>
      </w:r>
      <w:r w:rsidRPr="00913366">
        <w:rPr>
          <w:color w:val="000000" w:themeColor="text1"/>
          <w:highlight w:val="yellow"/>
          <w:shd w:val="clear" w:color="auto" w:fill="FFF2CC"/>
        </w:rPr>
        <w:t>plate.</w:t>
      </w:r>
    </w:p>
    <w:p w14:paraId="61284A67" w14:textId="77777777" w:rsidR="00913366" w:rsidRPr="00913366" w:rsidRDefault="00913366" w:rsidP="00913366">
      <w:pPr>
        <w:pStyle w:val="ListParagraph"/>
        <w:rPr>
          <w:color w:val="000000" w:themeColor="text1"/>
          <w:highlight w:val="yellow"/>
          <w:shd w:val="clear" w:color="auto" w:fill="FFF2CC"/>
        </w:rPr>
      </w:pPr>
    </w:p>
    <w:p w14:paraId="356E6CB3" w14:textId="6D94A805" w:rsidR="00913366" w:rsidRPr="00913366" w:rsidRDefault="00913366" w:rsidP="00913366">
      <w:pPr>
        <w:pStyle w:val="ListParagraph"/>
        <w:numPr>
          <w:ilvl w:val="3"/>
          <w:numId w:val="1"/>
        </w:numPr>
        <w:ind w:left="0"/>
        <w:rPr>
          <w:color w:val="000000" w:themeColor="text1"/>
          <w:highlight w:val="yellow"/>
          <w:shd w:val="clear" w:color="auto" w:fill="FFF2CC"/>
        </w:rPr>
      </w:pPr>
      <w:r w:rsidRPr="00913366">
        <w:rPr>
          <w:color w:val="000000" w:themeColor="text1"/>
          <w:highlight w:val="yellow"/>
          <w:shd w:val="clear" w:color="auto" w:fill="FFF2CC"/>
        </w:rPr>
        <w:t>Wash cells three times with 200 µL</w:t>
      </w:r>
      <w:r>
        <w:rPr>
          <w:color w:val="000000" w:themeColor="text1"/>
          <w:highlight w:val="yellow"/>
          <w:shd w:val="clear" w:color="auto" w:fill="FFF2CC"/>
        </w:rPr>
        <w:t xml:space="preserve"> of</w:t>
      </w:r>
      <w:r w:rsidRPr="00913366">
        <w:rPr>
          <w:color w:val="000000" w:themeColor="text1"/>
          <w:highlight w:val="yellow"/>
          <w:shd w:val="clear" w:color="auto" w:fill="FFF2CC"/>
        </w:rPr>
        <w:t xml:space="preserve"> </w:t>
      </w:r>
      <w:r>
        <w:rPr>
          <w:color w:val="000000" w:themeColor="text1"/>
          <w:highlight w:val="yellow"/>
          <w:shd w:val="clear" w:color="auto" w:fill="FFF2CC"/>
        </w:rPr>
        <w:t>ultrapure</w:t>
      </w:r>
      <w:r w:rsidRPr="00913366">
        <w:rPr>
          <w:color w:val="000000" w:themeColor="text1"/>
          <w:highlight w:val="yellow"/>
          <w:shd w:val="clear" w:color="auto" w:fill="FFF2CC"/>
        </w:rPr>
        <w:t xml:space="preserve"> water. Centrifuge and flick </w:t>
      </w:r>
      <w:r>
        <w:rPr>
          <w:color w:val="000000" w:themeColor="text1"/>
          <w:highlight w:val="yellow"/>
          <w:shd w:val="clear" w:color="auto" w:fill="FFF2CC"/>
        </w:rPr>
        <w:t xml:space="preserve">the </w:t>
      </w:r>
      <w:r w:rsidRPr="00913366">
        <w:rPr>
          <w:color w:val="000000" w:themeColor="text1"/>
          <w:highlight w:val="yellow"/>
          <w:shd w:val="clear" w:color="auto" w:fill="FFF2CC"/>
        </w:rPr>
        <w:t xml:space="preserve">plate. Resuspend cells in 200 µL </w:t>
      </w:r>
      <w:r>
        <w:rPr>
          <w:color w:val="000000" w:themeColor="text1"/>
          <w:highlight w:val="yellow"/>
          <w:shd w:val="clear" w:color="auto" w:fill="FFF2CC"/>
        </w:rPr>
        <w:t>of ultrapure</w:t>
      </w:r>
      <w:r w:rsidRPr="00913366">
        <w:rPr>
          <w:color w:val="000000" w:themeColor="text1"/>
          <w:highlight w:val="yellow"/>
          <w:shd w:val="clear" w:color="auto" w:fill="FFF2CC"/>
        </w:rPr>
        <w:t xml:space="preserve"> water. Immediately before running the sample, adjust the concentration to approximately 6 x 10</w:t>
      </w:r>
      <w:r w:rsidRPr="00913366">
        <w:rPr>
          <w:color w:val="000000" w:themeColor="text1"/>
          <w:highlight w:val="yellow"/>
          <w:shd w:val="clear" w:color="auto" w:fill="FFF2CC"/>
          <w:vertAlign w:val="superscript"/>
        </w:rPr>
        <w:t>5</w:t>
      </w:r>
      <w:r w:rsidRPr="00913366">
        <w:rPr>
          <w:color w:val="000000" w:themeColor="text1"/>
          <w:highlight w:val="yellow"/>
          <w:shd w:val="clear" w:color="auto" w:fill="FFF2CC"/>
        </w:rPr>
        <w:t xml:space="preserve"> cells/mL in normalization beads diluted to a 1</w:t>
      </w:r>
      <w:r>
        <w:rPr>
          <w:color w:val="000000" w:themeColor="text1"/>
          <w:highlight w:val="yellow"/>
          <w:shd w:val="clear" w:color="auto" w:fill="FFF2CC"/>
        </w:rPr>
        <w:t>x</w:t>
      </w:r>
      <w:r w:rsidRPr="00913366">
        <w:rPr>
          <w:color w:val="000000" w:themeColor="text1"/>
          <w:highlight w:val="yellow"/>
          <w:shd w:val="clear" w:color="auto" w:fill="FFF2CC"/>
        </w:rPr>
        <w:t xml:space="preserve"> concentration in </w:t>
      </w:r>
      <w:r>
        <w:rPr>
          <w:color w:val="000000" w:themeColor="text1"/>
          <w:highlight w:val="yellow"/>
          <w:shd w:val="clear" w:color="auto" w:fill="FFF2CC"/>
        </w:rPr>
        <w:t xml:space="preserve">ultrapure </w:t>
      </w:r>
      <w:r w:rsidRPr="00913366">
        <w:rPr>
          <w:color w:val="000000" w:themeColor="text1"/>
          <w:highlight w:val="yellow"/>
          <w:shd w:val="clear" w:color="auto" w:fill="FFF2CC"/>
        </w:rPr>
        <w:t>water.</w:t>
      </w:r>
    </w:p>
    <w:p w14:paraId="7C661957" w14:textId="684CDB9A" w:rsidR="00913366" w:rsidRPr="00913366" w:rsidRDefault="00913366" w:rsidP="00913366">
      <w:pPr>
        <w:pStyle w:val="ListParagraph"/>
        <w:ind w:left="0"/>
        <w:rPr>
          <w:color w:val="000000" w:themeColor="text1"/>
          <w:highlight w:val="yellow"/>
          <w:shd w:val="clear" w:color="auto" w:fill="FFF2CC"/>
        </w:rPr>
      </w:pPr>
    </w:p>
    <w:p w14:paraId="4FC2D025" w14:textId="3C7AC565" w:rsidR="00D958F5" w:rsidRPr="00913366" w:rsidRDefault="00913366" w:rsidP="00E13138">
      <w:pPr>
        <w:pStyle w:val="ListParagraph"/>
        <w:numPr>
          <w:ilvl w:val="2"/>
          <w:numId w:val="1"/>
        </w:numPr>
        <w:ind w:left="0" w:firstLine="0"/>
        <w:rPr>
          <w:color w:val="000000" w:themeColor="text1"/>
          <w:highlight w:val="yellow"/>
          <w:shd w:val="clear" w:color="auto" w:fill="FFF2CC"/>
        </w:rPr>
      </w:pPr>
      <w:r>
        <w:rPr>
          <w:color w:val="000000" w:themeColor="text1"/>
          <w:highlight w:val="yellow"/>
          <w:shd w:val="clear" w:color="auto" w:fill="FFF2CC"/>
        </w:rPr>
        <w:t xml:space="preserve">Run the samples on </w:t>
      </w:r>
      <w:proofErr w:type="spellStart"/>
      <w:r>
        <w:rPr>
          <w:color w:val="000000" w:themeColor="text1"/>
          <w:highlight w:val="yellow"/>
          <w:shd w:val="clear" w:color="auto" w:fill="FFF2CC"/>
        </w:rPr>
        <w:t>CyTOF</w:t>
      </w:r>
      <w:proofErr w:type="spellEnd"/>
      <w:r>
        <w:rPr>
          <w:color w:val="000000" w:themeColor="text1"/>
          <w:highlight w:val="yellow"/>
          <w:shd w:val="clear" w:color="auto" w:fill="FFF2CC"/>
        </w:rPr>
        <w:t xml:space="preserve">. </w:t>
      </w:r>
    </w:p>
    <w:p w14:paraId="30F3F287" w14:textId="77777777" w:rsidR="0086633D" w:rsidRDefault="0086633D" w:rsidP="00E13138">
      <w:pPr>
        <w:pStyle w:val="ListParagraph"/>
        <w:ind w:left="0"/>
        <w:rPr>
          <w:color w:val="000000" w:themeColor="text1"/>
        </w:rPr>
      </w:pPr>
    </w:p>
    <w:p w14:paraId="0A2AE0E8" w14:textId="77777777" w:rsidR="00913366" w:rsidRDefault="009A10D1" w:rsidP="00E13138">
      <w:pPr>
        <w:pStyle w:val="ListParagraph"/>
        <w:numPr>
          <w:ilvl w:val="2"/>
          <w:numId w:val="1"/>
        </w:numPr>
        <w:ind w:left="0" w:firstLine="0"/>
        <w:rPr>
          <w:color w:val="000000" w:themeColor="text1"/>
        </w:rPr>
      </w:pPr>
      <w:r w:rsidRPr="0086633D">
        <w:rPr>
          <w:color w:val="000000" w:themeColor="text1"/>
        </w:rPr>
        <w:t xml:space="preserve">Analyze data and choose appropriate titers for each antibody by selecting the lowest antibody titer which results in the highest signal intensity and the best separation between positive and negative populations based on visual assessment. </w:t>
      </w:r>
    </w:p>
    <w:p w14:paraId="5B92475B" w14:textId="77777777" w:rsidR="00913366" w:rsidRPr="00913366" w:rsidRDefault="00913366" w:rsidP="00913366">
      <w:pPr>
        <w:pStyle w:val="ListParagraph"/>
        <w:rPr>
          <w:color w:val="000000" w:themeColor="text1"/>
        </w:rPr>
      </w:pPr>
    </w:p>
    <w:p w14:paraId="52CB6345" w14:textId="2971CB67" w:rsidR="00D958F5" w:rsidRPr="0086633D" w:rsidRDefault="00913366" w:rsidP="00913366">
      <w:pPr>
        <w:pStyle w:val="ListParagraph"/>
        <w:ind w:left="0"/>
        <w:rPr>
          <w:color w:val="000000" w:themeColor="text1"/>
        </w:rPr>
      </w:pPr>
      <w:r>
        <w:rPr>
          <w:color w:val="000000" w:themeColor="text1"/>
        </w:rPr>
        <w:t xml:space="preserve">NOTE: </w:t>
      </w:r>
      <w:r w:rsidR="009A10D1" w:rsidRPr="0086633D">
        <w:rPr>
          <w:color w:val="000000" w:themeColor="text1"/>
        </w:rPr>
        <w:t xml:space="preserve">Titrations for the NK and ligand panels are shown in </w:t>
      </w:r>
      <w:r w:rsidR="009A10D1" w:rsidRPr="00913366">
        <w:rPr>
          <w:b/>
          <w:bCs/>
          <w:color w:val="000000" w:themeColor="text1"/>
        </w:rPr>
        <w:t>Figure 1</w:t>
      </w:r>
      <w:r w:rsidR="009A10D1" w:rsidRPr="0086633D">
        <w:rPr>
          <w:color w:val="000000" w:themeColor="text1"/>
        </w:rPr>
        <w:t xml:space="preserve"> and</w:t>
      </w:r>
      <w:r w:rsidR="009A10D1" w:rsidRPr="00913366">
        <w:rPr>
          <w:b/>
          <w:bCs/>
          <w:color w:val="000000" w:themeColor="text1"/>
        </w:rPr>
        <w:t xml:space="preserve"> Figure </w:t>
      </w:r>
      <w:proofErr w:type="gramStart"/>
      <w:r w:rsidR="009A10D1" w:rsidRPr="00913366">
        <w:rPr>
          <w:b/>
          <w:bCs/>
          <w:color w:val="000000" w:themeColor="text1"/>
        </w:rPr>
        <w:t>2</w:t>
      </w:r>
      <w:proofErr w:type="gramEnd"/>
      <w:r w:rsidR="009A10D1" w:rsidRPr="00913366">
        <w:rPr>
          <w:b/>
          <w:bCs/>
          <w:color w:val="000000" w:themeColor="text1"/>
        </w:rPr>
        <w:t xml:space="preserve"> </w:t>
      </w:r>
      <w:r w:rsidR="009A10D1" w:rsidRPr="0086633D">
        <w:rPr>
          <w:color w:val="000000" w:themeColor="text1"/>
        </w:rPr>
        <w:t xml:space="preserve">respectively. If a clear distinction between positive and negative populations is not identified, titers can be </w:t>
      </w:r>
      <w:r w:rsidR="009A10D1" w:rsidRPr="0086633D">
        <w:rPr>
          <w:color w:val="000000" w:themeColor="text1"/>
        </w:rPr>
        <w:lastRenderedPageBreak/>
        <w:t>assessed on multiple cell types or on cell lines, to allow for identification of both positive and negative cell populations</w:t>
      </w:r>
      <w:r w:rsidR="006D3280">
        <w:rPr>
          <w:color w:val="000000" w:themeColor="text1"/>
        </w:rPr>
        <w:t>.</w:t>
      </w:r>
    </w:p>
    <w:p w14:paraId="5FAC3B03" w14:textId="77777777" w:rsidR="00D958F5" w:rsidRDefault="00D958F5" w:rsidP="00E13138">
      <w:pPr>
        <w:rPr>
          <w:strike/>
        </w:rPr>
      </w:pPr>
    </w:p>
    <w:p w14:paraId="0AFC0A40" w14:textId="77777777" w:rsidR="0086633D" w:rsidRDefault="009A10D1" w:rsidP="00E13138">
      <w:pPr>
        <w:pStyle w:val="ListParagraph"/>
        <w:numPr>
          <w:ilvl w:val="2"/>
          <w:numId w:val="1"/>
        </w:numPr>
        <w:ind w:left="0" w:firstLine="0"/>
      </w:pPr>
      <w:r>
        <w:t>Antibody panel storage</w:t>
      </w:r>
    </w:p>
    <w:p w14:paraId="59039CE4" w14:textId="77777777" w:rsidR="0086633D" w:rsidRPr="0086633D" w:rsidRDefault="0086633D" w:rsidP="00E13138">
      <w:pPr>
        <w:pStyle w:val="ListParagraph"/>
        <w:ind w:left="0"/>
        <w:rPr>
          <w:color w:val="000000" w:themeColor="text1"/>
        </w:rPr>
      </w:pPr>
    </w:p>
    <w:p w14:paraId="34A79750" w14:textId="4A81F15A" w:rsidR="0086633D" w:rsidRPr="0086633D" w:rsidRDefault="009A10D1" w:rsidP="00E13138">
      <w:pPr>
        <w:pStyle w:val="ListParagraph"/>
        <w:numPr>
          <w:ilvl w:val="3"/>
          <w:numId w:val="1"/>
        </w:numPr>
        <w:ind w:left="0"/>
      </w:pPr>
      <w:r w:rsidRPr="0086633D">
        <w:rPr>
          <w:color w:val="000000" w:themeColor="text1"/>
        </w:rPr>
        <w:t>Combin</w:t>
      </w:r>
      <w:r w:rsidR="00913366">
        <w:rPr>
          <w:color w:val="000000" w:themeColor="text1"/>
        </w:rPr>
        <w:t>e</w:t>
      </w:r>
      <w:r w:rsidRPr="0086633D">
        <w:rPr>
          <w:color w:val="000000" w:themeColor="text1"/>
        </w:rPr>
        <w:t xml:space="preserve"> titrated antibodies into a master mix and </w:t>
      </w:r>
      <w:r w:rsidRPr="0086633D">
        <w:rPr>
          <w:color w:val="000000" w:themeColor="text1"/>
          <w:highlight w:val="white"/>
        </w:rPr>
        <w:t xml:space="preserve">filter through a sterile 0.1 </w:t>
      </w:r>
      <w:proofErr w:type="spellStart"/>
      <w:r w:rsidRPr="0086633D">
        <w:rPr>
          <w:color w:val="000000" w:themeColor="text1"/>
          <w:highlight w:val="white"/>
        </w:rPr>
        <w:t>μm</w:t>
      </w:r>
      <w:proofErr w:type="spellEnd"/>
      <w:r w:rsidRPr="0086633D">
        <w:rPr>
          <w:color w:val="000000" w:themeColor="text1"/>
          <w:highlight w:val="white"/>
        </w:rPr>
        <w:t xml:space="preserve"> syringe filter unit.</w:t>
      </w:r>
      <w:r w:rsidR="0086633D">
        <w:rPr>
          <w:color w:val="000000" w:themeColor="text1"/>
          <w:highlight w:val="white"/>
        </w:rPr>
        <w:t xml:space="preserve"> </w:t>
      </w:r>
      <w:r w:rsidRPr="0086633D">
        <w:rPr>
          <w:color w:val="000000" w:themeColor="text1"/>
        </w:rPr>
        <w:t xml:space="preserve">Separate master mixes should be made for the NK surface panel, the NK intracellular panel, and the ligand panel. </w:t>
      </w:r>
    </w:p>
    <w:p w14:paraId="5F9CE5D9" w14:textId="77777777" w:rsidR="0086633D" w:rsidRPr="0086633D" w:rsidRDefault="0086633D" w:rsidP="00E13138">
      <w:pPr>
        <w:pStyle w:val="ListParagraph"/>
        <w:ind w:left="0"/>
      </w:pPr>
    </w:p>
    <w:p w14:paraId="0DC5FA32" w14:textId="4C05C441" w:rsidR="0086633D" w:rsidRPr="0086633D" w:rsidRDefault="00913366" w:rsidP="00E13138">
      <w:pPr>
        <w:pStyle w:val="ListParagraph"/>
        <w:numPr>
          <w:ilvl w:val="3"/>
          <w:numId w:val="1"/>
        </w:numPr>
        <w:ind w:left="0"/>
      </w:pPr>
      <w:r>
        <w:rPr>
          <w:color w:val="000000" w:themeColor="text1"/>
          <w:highlight w:val="white"/>
        </w:rPr>
        <w:t xml:space="preserve">For the </w:t>
      </w:r>
      <w:r w:rsidR="003E0928">
        <w:rPr>
          <w:color w:val="000000" w:themeColor="text1"/>
          <w:highlight w:val="white"/>
        </w:rPr>
        <w:t>long-term</w:t>
      </w:r>
      <w:r>
        <w:rPr>
          <w:color w:val="000000" w:themeColor="text1"/>
          <w:highlight w:val="white"/>
        </w:rPr>
        <w:t xml:space="preserve"> storage of panels follow </w:t>
      </w:r>
      <w:r w:rsidR="003E0928">
        <w:rPr>
          <w:color w:val="000000" w:themeColor="text1"/>
          <w:highlight w:val="white"/>
        </w:rPr>
        <w:t xml:space="preserve">one of the </w:t>
      </w:r>
      <w:r>
        <w:rPr>
          <w:color w:val="000000" w:themeColor="text1"/>
          <w:highlight w:val="white"/>
        </w:rPr>
        <w:t>t</w:t>
      </w:r>
      <w:r w:rsidR="009A10D1" w:rsidRPr="0086633D">
        <w:rPr>
          <w:color w:val="000000" w:themeColor="text1"/>
          <w:highlight w:val="white"/>
        </w:rPr>
        <w:t xml:space="preserve">wo </w:t>
      </w:r>
      <w:r>
        <w:rPr>
          <w:color w:val="000000" w:themeColor="text1"/>
          <w:highlight w:val="white"/>
        </w:rPr>
        <w:t xml:space="preserve">acceptable </w:t>
      </w:r>
      <w:r w:rsidR="009A10D1" w:rsidRPr="0086633D">
        <w:rPr>
          <w:color w:val="000000" w:themeColor="text1"/>
          <w:highlight w:val="white"/>
        </w:rPr>
        <w:t xml:space="preserve">options: </w:t>
      </w:r>
    </w:p>
    <w:p w14:paraId="4A3D1243" w14:textId="77777777" w:rsidR="0086633D" w:rsidRPr="0086633D" w:rsidRDefault="0086633D" w:rsidP="00E13138">
      <w:pPr>
        <w:pStyle w:val="ListParagraph"/>
        <w:ind w:left="0"/>
        <w:rPr>
          <w:color w:val="000000" w:themeColor="text1"/>
        </w:rPr>
      </w:pPr>
    </w:p>
    <w:p w14:paraId="4BB45CFD" w14:textId="14D68E90" w:rsidR="0086633D" w:rsidRPr="0086633D" w:rsidRDefault="009A10D1" w:rsidP="00E13138">
      <w:pPr>
        <w:pStyle w:val="ListParagraph"/>
        <w:numPr>
          <w:ilvl w:val="3"/>
          <w:numId w:val="1"/>
        </w:numPr>
        <w:ind w:left="0"/>
      </w:pPr>
      <w:r w:rsidRPr="0086633D">
        <w:rPr>
          <w:color w:val="000000" w:themeColor="text1"/>
        </w:rPr>
        <w:t>Send master mix to a third</w:t>
      </w:r>
      <w:r w:rsidR="003E0928">
        <w:rPr>
          <w:color w:val="000000" w:themeColor="text1"/>
        </w:rPr>
        <w:t>-</w:t>
      </w:r>
      <w:r w:rsidRPr="0086633D">
        <w:rPr>
          <w:color w:val="000000" w:themeColor="text1"/>
        </w:rPr>
        <w:t xml:space="preserve">party company for lyophilization. </w:t>
      </w:r>
      <w:r w:rsidR="003E0928">
        <w:rPr>
          <w:color w:val="000000" w:themeColor="text1"/>
          <w:highlight w:val="white"/>
        </w:rPr>
        <w:t>T</w:t>
      </w:r>
      <w:r w:rsidRPr="0086633D">
        <w:rPr>
          <w:color w:val="000000" w:themeColor="text1"/>
          <w:highlight w:val="white"/>
        </w:rPr>
        <w:t xml:space="preserve">his method </w:t>
      </w:r>
      <w:r w:rsidR="003E0928">
        <w:rPr>
          <w:color w:val="000000" w:themeColor="text1"/>
          <w:highlight w:val="white"/>
        </w:rPr>
        <w:t xml:space="preserve">is used </w:t>
      </w:r>
      <w:r w:rsidRPr="0086633D">
        <w:rPr>
          <w:color w:val="000000" w:themeColor="text1"/>
          <w:highlight w:val="white"/>
        </w:rPr>
        <w:t>for the NK panel.</w:t>
      </w:r>
      <w:r w:rsidR="0086633D">
        <w:rPr>
          <w:color w:val="000000" w:themeColor="text1"/>
        </w:rPr>
        <w:t xml:space="preserve"> </w:t>
      </w:r>
      <w:r w:rsidRPr="0086633D">
        <w:rPr>
          <w:color w:val="000000" w:themeColor="text1"/>
        </w:rPr>
        <w:t xml:space="preserve">Antibodies not conjugated in-house cannot be lyophilized, due to the presence of antibody stabilizer, which interferes with the lyophilization process. These antibodies are added to the panel on the day of staining. </w:t>
      </w:r>
    </w:p>
    <w:p w14:paraId="464DCE59" w14:textId="77777777" w:rsidR="0086633D" w:rsidRPr="0086633D" w:rsidRDefault="0086633D" w:rsidP="00E13138">
      <w:pPr>
        <w:pStyle w:val="ListParagraph"/>
        <w:ind w:left="0"/>
        <w:rPr>
          <w:color w:val="000000" w:themeColor="text1"/>
          <w:highlight w:val="white"/>
        </w:rPr>
      </w:pPr>
    </w:p>
    <w:p w14:paraId="33FD4AD5" w14:textId="1D4B92B7" w:rsidR="00D958F5" w:rsidRPr="0086633D" w:rsidRDefault="009A10D1" w:rsidP="00E13138">
      <w:pPr>
        <w:pStyle w:val="ListParagraph"/>
        <w:numPr>
          <w:ilvl w:val="3"/>
          <w:numId w:val="1"/>
        </w:numPr>
        <w:ind w:left="0"/>
      </w:pPr>
      <w:r w:rsidRPr="0086633D">
        <w:rPr>
          <w:color w:val="000000" w:themeColor="text1"/>
          <w:highlight w:val="white"/>
        </w:rPr>
        <w:t>Use a repeater pipette to make 50 µL aliquots of each master mix and store them at -80</w:t>
      </w:r>
      <w:r w:rsidR="003E0928">
        <w:rPr>
          <w:color w:val="000000" w:themeColor="text1"/>
          <w:highlight w:val="white"/>
        </w:rPr>
        <w:t xml:space="preserve"> </w:t>
      </w:r>
      <w:r w:rsidRPr="0086633D">
        <w:rPr>
          <w:color w:val="000000" w:themeColor="text1"/>
          <w:highlight w:val="white"/>
        </w:rPr>
        <w:t xml:space="preserve">°C. </w:t>
      </w:r>
    </w:p>
    <w:p w14:paraId="172C9AC8" w14:textId="77777777" w:rsidR="00D958F5" w:rsidRPr="003E0928" w:rsidRDefault="00D958F5" w:rsidP="00E13138">
      <w:pPr>
        <w:rPr>
          <w:color w:val="000000" w:themeColor="text1"/>
          <w:highlight w:val="yellow"/>
        </w:rPr>
      </w:pPr>
    </w:p>
    <w:p w14:paraId="253AB67C" w14:textId="45768E0D" w:rsidR="00D958F5" w:rsidRPr="003E0928" w:rsidRDefault="009A10D1" w:rsidP="00E13138">
      <w:pPr>
        <w:pStyle w:val="ListParagraph"/>
        <w:numPr>
          <w:ilvl w:val="0"/>
          <w:numId w:val="1"/>
        </w:numPr>
        <w:ind w:left="0" w:firstLine="0"/>
        <w:rPr>
          <w:b/>
          <w:color w:val="000000" w:themeColor="text1"/>
          <w:highlight w:val="yellow"/>
          <w:shd w:val="clear" w:color="auto" w:fill="FFF2CC"/>
        </w:rPr>
      </w:pPr>
      <w:r w:rsidRPr="003E0928">
        <w:rPr>
          <w:b/>
          <w:color w:val="000000" w:themeColor="text1"/>
          <w:highlight w:val="yellow"/>
          <w:shd w:val="clear" w:color="auto" w:fill="FFF2CC"/>
        </w:rPr>
        <w:t xml:space="preserve">Staining </w:t>
      </w:r>
      <w:r w:rsidR="003E0928" w:rsidRPr="003E0928">
        <w:rPr>
          <w:b/>
          <w:color w:val="000000" w:themeColor="text1"/>
          <w:highlight w:val="yellow"/>
          <w:shd w:val="clear" w:color="auto" w:fill="FFF2CC"/>
        </w:rPr>
        <w:t>p</w:t>
      </w:r>
      <w:r w:rsidRPr="003E0928">
        <w:rPr>
          <w:b/>
          <w:color w:val="000000" w:themeColor="text1"/>
          <w:highlight w:val="yellow"/>
          <w:shd w:val="clear" w:color="auto" w:fill="FFF2CC"/>
        </w:rPr>
        <w:t>rotocol</w:t>
      </w:r>
    </w:p>
    <w:p w14:paraId="587785FE" w14:textId="77777777" w:rsidR="00D958F5" w:rsidRPr="003E0928" w:rsidRDefault="00D958F5" w:rsidP="00E13138">
      <w:pPr>
        <w:rPr>
          <w:b/>
          <w:color w:val="000000" w:themeColor="text1"/>
          <w:highlight w:val="yellow"/>
          <w:shd w:val="clear" w:color="auto" w:fill="FFF2CC"/>
        </w:rPr>
      </w:pPr>
    </w:p>
    <w:p w14:paraId="0A408175" w14:textId="3DCDB32D" w:rsidR="00D958F5" w:rsidRPr="003E0928" w:rsidRDefault="009A10D1" w:rsidP="003E0928">
      <w:pPr>
        <w:pStyle w:val="ListParagraph"/>
        <w:numPr>
          <w:ilvl w:val="1"/>
          <w:numId w:val="1"/>
        </w:numPr>
        <w:ind w:left="0" w:firstLine="0"/>
        <w:rPr>
          <w:color w:val="000000" w:themeColor="text1"/>
          <w:highlight w:val="yellow"/>
          <w:shd w:val="clear" w:color="auto" w:fill="FFF2CC"/>
        </w:rPr>
      </w:pPr>
      <w:r w:rsidRPr="003E0928">
        <w:rPr>
          <w:color w:val="000000" w:themeColor="text1"/>
          <w:highlight w:val="yellow"/>
          <w:shd w:val="clear" w:color="auto" w:fill="FFF2CC"/>
        </w:rPr>
        <w:t>Thaw peripheral blood mononuclear cells (PBMCs)</w:t>
      </w:r>
      <w:r w:rsidR="003E0928">
        <w:rPr>
          <w:color w:val="000000" w:themeColor="text1"/>
          <w:highlight w:val="yellow"/>
          <w:shd w:val="clear" w:color="auto" w:fill="FFF2CC"/>
        </w:rPr>
        <w:t xml:space="preserve"> </w:t>
      </w:r>
      <w:r w:rsidRPr="003E0928">
        <w:rPr>
          <w:color w:val="000000" w:themeColor="text1"/>
          <w:highlight w:val="yellow"/>
          <w:shd w:val="clear" w:color="auto" w:fill="FFF2CC"/>
        </w:rPr>
        <w:t xml:space="preserve">as described in steps </w:t>
      </w:r>
      <w:r w:rsidR="006D3280">
        <w:rPr>
          <w:color w:val="000000" w:themeColor="text1"/>
          <w:highlight w:val="yellow"/>
          <w:shd w:val="clear" w:color="auto" w:fill="FFF2CC"/>
        </w:rPr>
        <w:t>1.2.1</w:t>
      </w:r>
      <w:r w:rsidRPr="003E0928">
        <w:rPr>
          <w:color w:val="000000" w:themeColor="text1"/>
          <w:highlight w:val="yellow"/>
          <w:shd w:val="clear" w:color="auto" w:fill="FFF2CC"/>
        </w:rPr>
        <w:t xml:space="preserve"> and </w:t>
      </w:r>
      <w:r w:rsidR="006D3280">
        <w:rPr>
          <w:color w:val="000000" w:themeColor="text1"/>
          <w:highlight w:val="yellow"/>
          <w:shd w:val="clear" w:color="auto" w:fill="FFF2CC"/>
        </w:rPr>
        <w:t>1.2.2</w:t>
      </w:r>
      <w:r w:rsidR="00671193">
        <w:rPr>
          <w:color w:val="000000" w:themeColor="text1"/>
          <w:highlight w:val="yellow"/>
          <w:shd w:val="clear" w:color="auto" w:fill="FFF2CC"/>
        </w:rPr>
        <w:t>.</w:t>
      </w:r>
      <w:r w:rsidRPr="003E0928">
        <w:rPr>
          <w:color w:val="000000" w:themeColor="text1"/>
          <w:highlight w:val="yellow"/>
          <w:shd w:val="clear" w:color="auto" w:fill="FFF2CC"/>
        </w:rPr>
        <w:t xml:space="preserve"> </w:t>
      </w:r>
      <w:r w:rsidR="003E0928">
        <w:rPr>
          <w:color w:val="000000" w:themeColor="text1"/>
          <w:highlight w:val="yellow"/>
          <w:shd w:val="clear" w:color="auto" w:fill="FFF2CC"/>
        </w:rPr>
        <w:t xml:space="preserve"> </w:t>
      </w:r>
      <w:r w:rsidRPr="003E0928">
        <w:rPr>
          <w:color w:val="000000" w:themeColor="text1"/>
          <w:highlight w:val="yellow"/>
          <w:shd w:val="clear" w:color="auto" w:fill="FFF2CC"/>
        </w:rPr>
        <w:t xml:space="preserve">Set aside at least 1 million PBMCs for ligand panel staining in a 15 mL </w:t>
      </w:r>
      <w:r w:rsidR="003E0928" w:rsidRPr="003E0928">
        <w:rPr>
          <w:color w:val="000000" w:themeColor="text1"/>
          <w:highlight w:val="yellow"/>
          <w:shd w:val="clear" w:color="auto" w:fill="FFF2CC"/>
        </w:rPr>
        <w:t>centrifuge</w:t>
      </w:r>
      <w:r w:rsidRPr="003E0928">
        <w:rPr>
          <w:color w:val="000000" w:themeColor="text1"/>
          <w:highlight w:val="yellow"/>
          <w:shd w:val="clear" w:color="auto" w:fill="FFF2CC"/>
        </w:rPr>
        <w:t xml:space="preserve"> tube. Keep these PBMCs on ice during the NK cell isolation.</w:t>
      </w:r>
    </w:p>
    <w:p w14:paraId="67B32305" w14:textId="77777777" w:rsidR="00D958F5" w:rsidRPr="003E0928" w:rsidRDefault="00D958F5" w:rsidP="00E13138">
      <w:pPr>
        <w:rPr>
          <w:color w:val="000000" w:themeColor="text1"/>
          <w:highlight w:val="yellow"/>
          <w:shd w:val="clear" w:color="auto" w:fill="FFF2CC"/>
        </w:rPr>
      </w:pPr>
    </w:p>
    <w:p w14:paraId="5E535586" w14:textId="6DDAF2DD" w:rsidR="00D958F5" w:rsidRPr="003E0928" w:rsidRDefault="009A10D1" w:rsidP="00E13138">
      <w:pPr>
        <w:pStyle w:val="ListParagraph"/>
        <w:numPr>
          <w:ilvl w:val="1"/>
          <w:numId w:val="1"/>
        </w:numPr>
        <w:ind w:left="0" w:firstLine="0"/>
        <w:rPr>
          <w:color w:val="000000" w:themeColor="text1"/>
          <w:highlight w:val="yellow"/>
          <w:shd w:val="clear" w:color="auto" w:fill="FFF2CC"/>
        </w:rPr>
      </w:pPr>
      <w:r w:rsidRPr="003E0928">
        <w:rPr>
          <w:color w:val="000000" w:themeColor="text1"/>
          <w:highlight w:val="yellow"/>
          <w:shd w:val="clear" w:color="auto" w:fill="FFF2CC"/>
        </w:rPr>
        <w:t>NK cell isolation</w:t>
      </w:r>
    </w:p>
    <w:p w14:paraId="4449B318" w14:textId="77777777" w:rsidR="00E13138" w:rsidRPr="003E0928" w:rsidRDefault="00E13138" w:rsidP="003E0928"/>
    <w:p w14:paraId="3E04E64C" w14:textId="4BB5D2B0" w:rsidR="00D958F5" w:rsidRPr="003E0928" w:rsidRDefault="009A10D1" w:rsidP="003E0928">
      <w:r w:rsidRPr="003E0928">
        <w:t>NOTE: The following NK cell isolation steps are a modified version of a specific vendor’s protocol.</w:t>
      </w:r>
      <w:r w:rsidR="005A2632" w:rsidRPr="003E0928">
        <w:t xml:space="preserve"> </w:t>
      </w:r>
      <w:r w:rsidRPr="003E0928">
        <w:t xml:space="preserve">However, any kit or protocol that performs magnetic-based negative selection of NK cells would be a suitable alternative. Additionally, this step is optional as </w:t>
      </w:r>
      <w:r w:rsidR="00CA5653">
        <w:t>this</w:t>
      </w:r>
      <w:r w:rsidRPr="003E0928">
        <w:t xml:space="preserve"> protocol is also suitable for the phenotyping of NK cells from whole PBMCs.</w:t>
      </w:r>
    </w:p>
    <w:p w14:paraId="1BA57F62" w14:textId="77777777" w:rsidR="00E13138" w:rsidRDefault="00E13138" w:rsidP="00E13138">
      <w:pPr>
        <w:rPr>
          <w:shd w:val="clear" w:color="auto" w:fill="FFF2CC"/>
        </w:rPr>
      </w:pPr>
    </w:p>
    <w:p w14:paraId="5D03CBAC" w14:textId="2F6EF92E" w:rsidR="00D958F5" w:rsidRPr="003E0928" w:rsidRDefault="009A10D1" w:rsidP="00E13138">
      <w:pPr>
        <w:pStyle w:val="ListParagraph"/>
        <w:numPr>
          <w:ilvl w:val="2"/>
          <w:numId w:val="1"/>
        </w:numPr>
        <w:ind w:left="0" w:firstLine="0"/>
        <w:rPr>
          <w:highlight w:val="yellow"/>
          <w:shd w:val="clear" w:color="auto" w:fill="FFF2CC"/>
        </w:rPr>
      </w:pPr>
      <w:r w:rsidRPr="003E0928">
        <w:rPr>
          <w:highlight w:val="yellow"/>
          <w:shd w:val="clear" w:color="auto" w:fill="FFF2CC"/>
        </w:rPr>
        <w:t xml:space="preserve">Spin the remaining PBMCs at 450 x </w:t>
      </w:r>
      <w:r w:rsidRPr="003E0928">
        <w:rPr>
          <w:i/>
          <w:highlight w:val="yellow"/>
          <w:shd w:val="clear" w:color="auto" w:fill="FFF2CC"/>
        </w:rPr>
        <w:t>g</w:t>
      </w:r>
      <w:r w:rsidRPr="003E0928">
        <w:rPr>
          <w:highlight w:val="yellow"/>
          <w:shd w:val="clear" w:color="auto" w:fill="FFF2CC"/>
        </w:rPr>
        <w:t xml:space="preserve"> for 5 min. Resuspend cell pellet in 40 µL of MACS buffer (PBS, 0.5% BSA, 2 mM EDTA) per 10</w:t>
      </w:r>
      <w:r w:rsidRPr="003E0928">
        <w:rPr>
          <w:highlight w:val="yellow"/>
          <w:shd w:val="clear" w:color="auto" w:fill="FFF2CC"/>
          <w:vertAlign w:val="superscript"/>
        </w:rPr>
        <w:t>7</w:t>
      </w:r>
      <w:r w:rsidRPr="003E0928">
        <w:rPr>
          <w:highlight w:val="yellow"/>
          <w:shd w:val="clear" w:color="auto" w:fill="FFF2CC"/>
        </w:rPr>
        <w:t xml:space="preserve"> total cells. </w:t>
      </w:r>
    </w:p>
    <w:p w14:paraId="4F5A1C79" w14:textId="77777777" w:rsidR="00E13138" w:rsidRPr="003E0928" w:rsidRDefault="00E13138" w:rsidP="00E13138">
      <w:pPr>
        <w:pStyle w:val="ListParagraph"/>
        <w:ind w:left="0"/>
        <w:rPr>
          <w:highlight w:val="yellow"/>
          <w:shd w:val="clear" w:color="auto" w:fill="FFF2CC"/>
        </w:rPr>
      </w:pPr>
    </w:p>
    <w:p w14:paraId="1DF310BF" w14:textId="77777777" w:rsidR="00E13138" w:rsidRPr="003E0928" w:rsidRDefault="009A10D1" w:rsidP="00E13138">
      <w:pPr>
        <w:pStyle w:val="ListParagraph"/>
        <w:numPr>
          <w:ilvl w:val="2"/>
          <w:numId w:val="1"/>
        </w:numPr>
        <w:ind w:left="0" w:firstLine="0"/>
        <w:rPr>
          <w:highlight w:val="yellow"/>
          <w:shd w:val="clear" w:color="auto" w:fill="FFF2CC"/>
        </w:rPr>
      </w:pPr>
      <w:r w:rsidRPr="003E0928">
        <w:rPr>
          <w:highlight w:val="yellow"/>
          <w:shd w:val="clear" w:color="auto" w:fill="FFF2CC"/>
        </w:rPr>
        <w:t>Add 10 µL of NK cell Biotin-Antibody Cocktail per 10</w:t>
      </w:r>
      <w:r w:rsidRPr="003E0928">
        <w:rPr>
          <w:highlight w:val="yellow"/>
          <w:shd w:val="clear" w:color="auto" w:fill="FFF2CC"/>
          <w:vertAlign w:val="superscript"/>
        </w:rPr>
        <w:t>7</w:t>
      </w:r>
      <w:r w:rsidRPr="003E0928">
        <w:rPr>
          <w:highlight w:val="yellow"/>
          <w:shd w:val="clear" w:color="auto" w:fill="FFF2CC"/>
        </w:rPr>
        <w:t xml:space="preserve"> total cells. Mix well and incubate for 5 min on ice. </w:t>
      </w:r>
    </w:p>
    <w:p w14:paraId="6061740D" w14:textId="77777777" w:rsidR="00E13138" w:rsidRPr="003E0928" w:rsidRDefault="00E13138" w:rsidP="00E13138">
      <w:pPr>
        <w:pStyle w:val="ListParagraph"/>
        <w:ind w:left="0"/>
        <w:rPr>
          <w:color w:val="000000" w:themeColor="text1"/>
          <w:highlight w:val="yellow"/>
          <w:shd w:val="clear" w:color="auto" w:fill="FFF2CC"/>
        </w:rPr>
      </w:pPr>
    </w:p>
    <w:p w14:paraId="47A7543D" w14:textId="77777777" w:rsidR="00E13138" w:rsidRPr="003E0928" w:rsidRDefault="009A10D1" w:rsidP="00E13138">
      <w:pPr>
        <w:pStyle w:val="ListParagraph"/>
        <w:numPr>
          <w:ilvl w:val="2"/>
          <w:numId w:val="1"/>
        </w:numPr>
        <w:ind w:left="0" w:firstLine="0"/>
        <w:rPr>
          <w:highlight w:val="yellow"/>
          <w:shd w:val="clear" w:color="auto" w:fill="FFF2CC"/>
        </w:rPr>
      </w:pPr>
      <w:r w:rsidRPr="003E0928">
        <w:rPr>
          <w:color w:val="000000" w:themeColor="text1"/>
          <w:highlight w:val="yellow"/>
          <w:shd w:val="clear" w:color="auto" w:fill="FFF2CC"/>
        </w:rPr>
        <w:t>Add 30 µL of MACS buffer per 10</w:t>
      </w:r>
      <w:r w:rsidRPr="003E0928">
        <w:rPr>
          <w:color w:val="000000" w:themeColor="text1"/>
          <w:highlight w:val="yellow"/>
          <w:shd w:val="clear" w:color="auto" w:fill="FFF2CC"/>
          <w:vertAlign w:val="superscript"/>
        </w:rPr>
        <w:t>7</w:t>
      </w:r>
      <w:r w:rsidRPr="003E0928">
        <w:rPr>
          <w:color w:val="000000" w:themeColor="text1"/>
          <w:highlight w:val="yellow"/>
          <w:shd w:val="clear" w:color="auto" w:fill="FFF2CC"/>
        </w:rPr>
        <w:t xml:space="preserve"> total cells and 20 µL of NK cell </w:t>
      </w:r>
      <w:proofErr w:type="spellStart"/>
      <w:r w:rsidRPr="003E0928">
        <w:rPr>
          <w:color w:val="000000" w:themeColor="text1"/>
          <w:highlight w:val="yellow"/>
          <w:shd w:val="clear" w:color="auto" w:fill="FFF2CC"/>
        </w:rPr>
        <w:t>MicroBead</w:t>
      </w:r>
      <w:proofErr w:type="spellEnd"/>
      <w:r w:rsidRPr="003E0928">
        <w:rPr>
          <w:color w:val="000000" w:themeColor="text1"/>
          <w:highlight w:val="yellow"/>
          <w:shd w:val="clear" w:color="auto" w:fill="FFF2CC"/>
        </w:rPr>
        <w:t xml:space="preserve"> Cocktail per 10</w:t>
      </w:r>
      <w:r w:rsidRPr="003E0928">
        <w:rPr>
          <w:color w:val="000000" w:themeColor="text1"/>
          <w:highlight w:val="yellow"/>
          <w:shd w:val="clear" w:color="auto" w:fill="FFF2CC"/>
          <w:vertAlign w:val="superscript"/>
        </w:rPr>
        <w:t>7</w:t>
      </w:r>
      <w:r w:rsidRPr="003E0928">
        <w:rPr>
          <w:color w:val="000000" w:themeColor="text1"/>
          <w:highlight w:val="yellow"/>
          <w:shd w:val="clear" w:color="auto" w:fill="FFF2CC"/>
        </w:rPr>
        <w:t xml:space="preserve"> total cells. Mix well and incubate for 10 min on ice.</w:t>
      </w:r>
    </w:p>
    <w:p w14:paraId="201FCBFE" w14:textId="77777777" w:rsidR="00E13138" w:rsidRPr="00E13138" w:rsidRDefault="00E13138" w:rsidP="00E13138">
      <w:pPr>
        <w:pStyle w:val="ListParagraph"/>
        <w:ind w:left="0"/>
        <w:rPr>
          <w:color w:val="000000" w:themeColor="text1"/>
          <w:shd w:val="clear" w:color="auto" w:fill="FFF2CC"/>
        </w:rPr>
      </w:pPr>
    </w:p>
    <w:p w14:paraId="56D9A17C" w14:textId="622C4621" w:rsidR="00E13138" w:rsidRPr="003E0928" w:rsidRDefault="009A10D1" w:rsidP="00E13138">
      <w:pPr>
        <w:pStyle w:val="ListParagraph"/>
        <w:numPr>
          <w:ilvl w:val="2"/>
          <w:numId w:val="1"/>
        </w:numPr>
        <w:ind w:left="0" w:firstLine="0"/>
        <w:rPr>
          <w:highlight w:val="yellow"/>
          <w:shd w:val="clear" w:color="auto" w:fill="FFF2CC"/>
        </w:rPr>
      </w:pPr>
      <w:r w:rsidRPr="003E0928">
        <w:rPr>
          <w:color w:val="000000" w:themeColor="text1"/>
          <w:highlight w:val="yellow"/>
          <w:shd w:val="clear" w:color="auto" w:fill="FFF2CC"/>
        </w:rPr>
        <w:t>Prepare elution columns by rinsing with 500 µL of MACS buffer. Add 2 m</w:t>
      </w:r>
      <w:r w:rsidR="00355713" w:rsidRPr="003E0928">
        <w:rPr>
          <w:color w:val="000000" w:themeColor="text1"/>
          <w:highlight w:val="yellow"/>
          <w:shd w:val="clear" w:color="auto" w:fill="FFF2CC"/>
        </w:rPr>
        <w:t>L</w:t>
      </w:r>
      <w:r w:rsidRPr="003E0928">
        <w:rPr>
          <w:color w:val="000000" w:themeColor="text1"/>
          <w:highlight w:val="yellow"/>
          <w:shd w:val="clear" w:color="auto" w:fill="FFF2CC"/>
        </w:rPr>
        <w:t xml:space="preserve"> </w:t>
      </w:r>
      <w:r w:rsidR="003E0928">
        <w:rPr>
          <w:color w:val="000000" w:themeColor="text1"/>
          <w:highlight w:val="yellow"/>
          <w:shd w:val="clear" w:color="auto" w:fill="FFF2CC"/>
        </w:rPr>
        <w:t xml:space="preserve">of </w:t>
      </w:r>
      <w:r w:rsidRPr="003E0928">
        <w:rPr>
          <w:color w:val="000000" w:themeColor="text1"/>
          <w:highlight w:val="yellow"/>
          <w:shd w:val="clear" w:color="auto" w:fill="FFF2CC"/>
        </w:rPr>
        <w:t xml:space="preserve">warm complete RPMI to 15 mL collection tubes. </w:t>
      </w:r>
    </w:p>
    <w:p w14:paraId="5AB408E8" w14:textId="77777777" w:rsidR="00E13138" w:rsidRPr="00E13138" w:rsidRDefault="00E13138" w:rsidP="00E13138">
      <w:pPr>
        <w:pStyle w:val="ListParagraph"/>
        <w:ind w:left="0"/>
        <w:rPr>
          <w:color w:val="000000" w:themeColor="text1"/>
          <w:shd w:val="clear" w:color="auto" w:fill="FFF2CC"/>
        </w:rPr>
      </w:pPr>
    </w:p>
    <w:p w14:paraId="303EB2C0" w14:textId="77777777" w:rsidR="00E13138" w:rsidRPr="003E0928" w:rsidRDefault="009A10D1" w:rsidP="00E13138">
      <w:pPr>
        <w:pStyle w:val="ListParagraph"/>
        <w:numPr>
          <w:ilvl w:val="2"/>
          <w:numId w:val="1"/>
        </w:numPr>
        <w:ind w:left="0" w:firstLine="0"/>
        <w:rPr>
          <w:highlight w:val="yellow"/>
          <w:shd w:val="clear" w:color="auto" w:fill="FFF2CC"/>
        </w:rPr>
      </w:pPr>
      <w:r w:rsidRPr="003E0928">
        <w:rPr>
          <w:color w:val="000000" w:themeColor="text1"/>
          <w:highlight w:val="yellow"/>
          <w:shd w:val="clear" w:color="auto" w:fill="FFF2CC"/>
        </w:rPr>
        <w:lastRenderedPageBreak/>
        <w:t xml:space="preserve">Add MACS buffer to tubes containing cells to bring the volume up to 500 µL. Pipette the entire 500 µL volume onto the prepared elution column. Rinse out the tube with another 500 µL of MACS buffer and transfer to the column. </w:t>
      </w:r>
    </w:p>
    <w:p w14:paraId="74DBBACD" w14:textId="77777777" w:rsidR="00E13138" w:rsidRPr="003E0928" w:rsidRDefault="00E13138" w:rsidP="00E13138">
      <w:pPr>
        <w:pStyle w:val="ListParagraph"/>
        <w:ind w:left="0"/>
        <w:rPr>
          <w:color w:val="000000" w:themeColor="text1"/>
          <w:highlight w:val="yellow"/>
          <w:shd w:val="clear" w:color="auto" w:fill="FFF2CC"/>
        </w:rPr>
      </w:pPr>
    </w:p>
    <w:p w14:paraId="17A76B10" w14:textId="6A1F9EB6" w:rsidR="00D958F5" w:rsidRPr="003E0928" w:rsidRDefault="009A10D1" w:rsidP="00E13138">
      <w:pPr>
        <w:pStyle w:val="ListParagraph"/>
        <w:numPr>
          <w:ilvl w:val="2"/>
          <w:numId w:val="1"/>
        </w:numPr>
        <w:ind w:left="0" w:firstLine="0"/>
        <w:rPr>
          <w:highlight w:val="yellow"/>
          <w:shd w:val="clear" w:color="auto" w:fill="FFF2CC"/>
        </w:rPr>
      </w:pPr>
      <w:r w:rsidRPr="003E0928">
        <w:rPr>
          <w:color w:val="000000" w:themeColor="text1"/>
          <w:highlight w:val="yellow"/>
          <w:shd w:val="clear" w:color="auto" w:fill="FFF2CC"/>
        </w:rPr>
        <w:t xml:space="preserve">After flow has stopped, rinse the elution column with 500 µL MACS buffer twice. After flow has stopped, count NK cells. </w:t>
      </w:r>
    </w:p>
    <w:p w14:paraId="0CC300D5" w14:textId="77777777" w:rsidR="00D958F5" w:rsidRPr="003E0928" w:rsidRDefault="00D958F5" w:rsidP="00E13138">
      <w:pPr>
        <w:rPr>
          <w:highlight w:val="yellow"/>
          <w:shd w:val="clear" w:color="auto" w:fill="FFF2CC"/>
        </w:rPr>
      </w:pPr>
    </w:p>
    <w:p w14:paraId="27F27667" w14:textId="1D65E23B" w:rsidR="00E13138" w:rsidRPr="003E0928" w:rsidRDefault="009A10D1" w:rsidP="00E13138">
      <w:pPr>
        <w:pStyle w:val="ListParagraph"/>
        <w:numPr>
          <w:ilvl w:val="1"/>
          <w:numId w:val="1"/>
        </w:numPr>
        <w:ind w:left="0" w:firstLine="0"/>
        <w:rPr>
          <w:highlight w:val="yellow"/>
          <w:shd w:val="clear" w:color="auto" w:fill="FFF2CC"/>
        </w:rPr>
      </w:pPr>
      <w:r w:rsidRPr="003E0928">
        <w:rPr>
          <w:highlight w:val="yellow"/>
          <w:shd w:val="clear" w:color="auto" w:fill="FFF2CC"/>
        </w:rPr>
        <w:t>Plate and wash cells</w:t>
      </w:r>
      <w:r w:rsidR="00CA5653">
        <w:rPr>
          <w:highlight w:val="yellow"/>
          <w:shd w:val="clear" w:color="auto" w:fill="FFF2CC"/>
        </w:rPr>
        <w:t>.</w:t>
      </w:r>
    </w:p>
    <w:p w14:paraId="3C3D7709" w14:textId="77777777" w:rsidR="00E13138" w:rsidRPr="003E0928" w:rsidRDefault="00E13138" w:rsidP="00E13138">
      <w:pPr>
        <w:pStyle w:val="ListParagraph"/>
        <w:ind w:left="0"/>
        <w:rPr>
          <w:highlight w:val="yellow"/>
          <w:shd w:val="clear" w:color="auto" w:fill="FFF2CC"/>
        </w:rPr>
      </w:pPr>
    </w:p>
    <w:p w14:paraId="066B6F0C" w14:textId="39A04934" w:rsidR="003E0928" w:rsidRPr="003E0928" w:rsidRDefault="009A10D1" w:rsidP="00E13138">
      <w:pPr>
        <w:pStyle w:val="ListParagraph"/>
        <w:numPr>
          <w:ilvl w:val="2"/>
          <w:numId w:val="1"/>
        </w:numPr>
        <w:ind w:left="0" w:firstLine="0"/>
        <w:rPr>
          <w:highlight w:val="yellow"/>
          <w:shd w:val="clear" w:color="auto" w:fill="FFF2CC"/>
        </w:rPr>
      </w:pPr>
      <w:r w:rsidRPr="003E0928">
        <w:rPr>
          <w:color w:val="000000" w:themeColor="text1"/>
          <w:highlight w:val="yellow"/>
          <w:shd w:val="clear" w:color="auto" w:fill="FFF2CC"/>
        </w:rPr>
        <w:t xml:space="preserve">Centrifuge isolated NK cells and PBMCs at 300 x </w:t>
      </w:r>
      <w:r w:rsidRPr="003E0928">
        <w:rPr>
          <w:i/>
          <w:color w:val="000000" w:themeColor="text1"/>
          <w:highlight w:val="yellow"/>
          <w:shd w:val="clear" w:color="auto" w:fill="FFF2CC"/>
        </w:rPr>
        <w:t>g</w:t>
      </w:r>
      <w:r w:rsidRPr="003E0928">
        <w:rPr>
          <w:color w:val="000000" w:themeColor="text1"/>
          <w:highlight w:val="yellow"/>
          <w:shd w:val="clear" w:color="auto" w:fill="FFF2CC"/>
        </w:rPr>
        <w:t xml:space="preserve"> at room temperature for 10 min. Resuspend cells at a concentration of 5 million cells/mL in </w:t>
      </w:r>
      <w:proofErr w:type="spellStart"/>
      <w:r w:rsidRPr="003E0928">
        <w:rPr>
          <w:color w:val="000000" w:themeColor="text1"/>
          <w:highlight w:val="yellow"/>
          <w:shd w:val="clear" w:color="auto" w:fill="FFF2CC"/>
        </w:rPr>
        <w:t>CyPBS</w:t>
      </w:r>
      <w:proofErr w:type="spellEnd"/>
      <w:r w:rsidRPr="003E0928">
        <w:rPr>
          <w:color w:val="000000" w:themeColor="text1"/>
          <w:highlight w:val="yellow"/>
          <w:shd w:val="clear" w:color="auto" w:fill="FFF2CC"/>
        </w:rPr>
        <w:t xml:space="preserve"> (1</w:t>
      </w:r>
      <w:r w:rsidR="003E0928">
        <w:rPr>
          <w:color w:val="000000" w:themeColor="text1"/>
          <w:highlight w:val="yellow"/>
          <w:shd w:val="clear" w:color="auto" w:fill="FFF2CC"/>
        </w:rPr>
        <w:t>x</w:t>
      </w:r>
      <w:r w:rsidRPr="003E0928">
        <w:rPr>
          <w:color w:val="000000" w:themeColor="text1"/>
          <w:highlight w:val="yellow"/>
          <w:shd w:val="clear" w:color="auto" w:fill="FFF2CC"/>
        </w:rPr>
        <w:t xml:space="preserve"> PBS without heavy metal contaminants in </w:t>
      </w:r>
      <w:r w:rsidR="003E0928">
        <w:rPr>
          <w:color w:val="000000" w:themeColor="text1"/>
          <w:highlight w:val="yellow"/>
          <w:shd w:val="clear" w:color="auto" w:fill="FFF2CC"/>
        </w:rPr>
        <w:t>ultrapure</w:t>
      </w:r>
      <w:r w:rsidRPr="003E0928">
        <w:rPr>
          <w:color w:val="000000" w:themeColor="text1"/>
          <w:highlight w:val="yellow"/>
          <w:shd w:val="clear" w:color="auto" w:fill="FFF2CC"/>
        </w:rPr>
        <w:t xml:space="preserve"> water). Plate cells in a U-bottom, 96-well plate.</w:t>
      </w:r>
      <w:r w:rsidR="00E13138" w:rsidRPr="003E0928">
        <w:rPr>
          <w:color w:val="000000" w:themeColor="text1"/>
          <w:highlight w:val="yellow"/>
          <w:shd w:val="clear" w:color="auto" w:fill="FFF2CC"/>
        </w:rPr>
        <w:t xml:space="preserve"> </w:t>
      </w:r>
    </w:p>
    <w:p w14:paraId="77937A1C" w14:textId="77777777" w:rsidR="003E0928" w:rsidRPr="003E0928" w:rsidRDefault="003E0928" w:rsidP="003E0928"/>
    <w:p w14:paraId="3BD699E0" w14:textId="78127806" w:rsidR="00E13138" w:rsidRPr="003E0928" w:rsidRDefault="009A10D1" w:rsidP="003E0928">
      <w:r w:rsidRPr="003E0928">
        <w:t>NOTE: Each aliquot of the NK cell panel can stain up to 3 million cells. If six individual NK cell samples are being barcoded and pooled prior to staining, the combined total number of NK cells should not exceed 3 million. The ligand panel can stain up to 6 million PBMCs per sample. If six individual samples are being barcoded and pooled prior to staining, the combined total number of PBMCs should not exceed 6 million.</w:t>
      </w:r>
    </w:p>
    <w:p w14:paraId="08E1548C" w14:textId="77777777" w:rsidR="00E13138" w:rsidRPr="003E0928" w:rsidRDefault="00E13138" w:rsidP="00E13138">
      <w:pPr>
        <w:pStyle w:val="ListParagraph"/>
        <w:ind w:left="0"/>
        <w:rPr>
          <w:highlight w:val="yellow"/>
          <w:shd w:val="clear" w:color="auto" w:fill="FFF2CC"/>
        </w:rPr>
      </w:pPr>
    </w:p>
    <w:p w14:paraId="4B93CCED" w14:textId="7673E22C" w:rsidR="003E0928" w:rsidRPr="003E0928" w:rsidRDefault="009A10D1" w:rsidP="00E13138">
      <w:pPr>
        <w:pStyle w:val="ListParagraph"/>
        <w:numPr>
          <w:ilvl w:val="2"/>
          <w:numId w:val="1"/>
        </w:numPr>
        <w:ind w:left="0" w:firstLine="0"/>
        <w:rPr>
          <w:highlight w:val="yellow"/>
          <w:shd w:val="clear" w:color="auto" w:fill="FFF2CC"/>
        </w:rPr>
      </w:pPr>
      <w:r w:rsidRPr="003E0928">
        <w:rPr>
          <w:color w:val="000000" w:themeColor="text1"/>
          <w:highlight w:val="yellow"/>
          <w:shd w:val="clear" w:color="auto" w:fill="FFF2CC"/>
        </w:rPr>
        <w:t xml:space="preserve">Centrifuge plate at 600 x </w:t>
      </w:r>
      <w:r w:rsidRPr="003E0928">
        <w:rPr>
          <w:i/>
          <w:color w:val="000000" w:themeColor="text1"/>
          <w:highlight w:val="yellow"/>
          <w:shd w:val="clear" w:color="auto" w:fill="FFF2CC"/>
        </w:rPr>
        <w:t>g</w:t>
      </w:r>
      <w:r w:rsidRPr="003E0928">
        <w:rPr>
          <w:color w:val="000000" w:themeColor="text1"/>
          <w:highlight w:val="yellow"/>
          <w:shd w:val="clear" w:color="auto" w:fill="FFF2CC"/>
        </w:rPr>
        <w:t xml:space="preserve"> at room temperature for 3 min. Flick </w:t>
      </w:r>
      <w:r w:rsidR="00CA5653">
        <w:rPr>
          <w:color w:val="000000" w:themeColor="text1"/>
          <w:highlight w:val="yellow"/>
          <w:shd w:val="clear" w:color="auto" w:fill="FFF2CC"/>
        </w:rPr>
        <w:t xml:space="preserve">the </w:t>
      </w:r>
      <w:r w:rsidRPr="003E0928">
        <w:rPr>
          <w:color w:val="000000" w:themeColor="text1"/>
          <w:highlight w:val="yellow"/>
          <w:shd w:val="clear" w:color="auto" w:fill="FFF2CC"/>
        </w:rPr>
        <w:t>plate to remove supernatant.</w:t>
      </w:r>
      <w:r w:rsidR="00E13138" w:rsidRPr="003E0928">
        <w:rPr>
          <w:color w:val="000000" w:themeColor="text1"/>
          <w:highlight w:val="yellow"/>
          <w:shd w:val="clear" w:color="auto" w:fill="FFF2CC"/>
        </w:rPr>
        <w:t xml:space="preserve"> </w:t>
      </w:r>
    </w:p>
    <w:p w14:paraId="0A731814" w14:textId="77777777" w:rsidR="003E0928" w:rsidRPr="003E0928" w:rsidRDefault="003E0928" w:rsidP="003E0928">
      <w:pPr>
        <w:rPr>
          <w:highlight w:val="yellow"/>
        </w:rPr>
      </w:pPr>
    </w:p>
    <w:p w14:paraId="56B85A51" w14:textId="175F90E1" w:rsidR="00E13138" w:rsidRPr="003E0928" w:rsidRDefault="009A10D1" w:rsidP="003E0928">
      <w:r w:rsidRPr="003E0928">
        <w:t xml:space="preserve">NOTE: </w:t>
      </w:r>
      <w:r w:rsidR="003E0928">
        <w:t>Perform all s</w:t>
      </w:r>
      <w:r w:rsidRPr="003E0928">
        <w:t>ubsequent centrifuge spins at 600</w:t>
      </w:r>
      <w:r w:rsidRPr="003E0928">
        <w:rPr>
          <w:i/>
          <w:iCs/>
        </w:rPr>
        <w:t xml:space="preserve"> x g</w:t>
      </w:r>
      <w:r w:rsidRPr="003E0928">
        <w:t xml:space="preserve"> for 3 min until step </w:t>
      </w:r>
      <w:r w:rsidR="006D3280">
        <w:t>2.7</w:t>
      </w:r>
      <w:r w:rsidRPr="003E0928">
        <w:t>.</w:t>
      </w:r>
    </w:p>
    <w:p w14:paraId="5D146E94" w14:textId="77777777" w:rsidR="00E13138" w:rsidRPr="003E0928" w:rsidRDefault="00E13138" w:rsidP="003E0928">
      <w:pPr>
        <w:rPr>
          <w:highlight w:val="yellow"/>
        </w:rPr>
      </w:pPr>
    </w:p>
    <w:p w14:paraId="1A4BD8F4" w14:textId="273C3775" w:rsidR="00D958F5" w:rsidRPr="003E0928" w:rsidRDefault="009A10D1" w:rsidP="00E13138">
      <w:pPr>
        <w:pStyle w:val="ListParagraph"/>
        <w:numPr>
          <w:ilvl w:val="2"/>
          <w:numId w:val="1"/>
        </w:numPr>
        <w:ind w:left="0" w:firstLine="0"/>
        <w:rPr>
          <w:highlight w:val="yellow"/>
          <w:shd w:val="clear" w:color="auto" w:fill="FFF2CC"/>
        </w:rPr>
      </w:pPr>
      <w:r w:rsidRPr="003E0928">
        <w:rPr>
          <w:color w:val="000000" w:themeColor="text1"/>
          <w:highlight w:val="yellow"/>
          <w:shd w:val="clear" w:color="auto" w:fill="FFF2CC"/>
        </w:rPr>
        <w:t xml:space="preserve">Resuspend cells in 200 µL of </w:t>
      </w:r>
      <w:proofErr w:type="spellStart"/>
      <w:r w:rsidRPr="003E0928">
        <w:rPr>
          <w:color w:val="000000" w:themeColor="text1"/>
          <w:highlight w:val="yellow"/>
          <w:shd w:val="clear" w:color="auto" w:fill="FFF2CC"/>
        </w:rPr>
        <w:t>CyPBS</w:t>
      </w:r>
      <w:proofErr w:type="spellEnd"/>
      <w:r w:rsidRPr="003E0928">
        <w:rPr>
          <w:color w:val="000000" w:themeColor="text1"/>
          <w:highlight w:val="yellow"/>
          <w:shd w:val="clear" w:color="auto" w:fill="FFF2CC"/>
        </w:rPr>
        <w:t xml:space="preserve">. Centrifuge and flick </w:t>
      </w:r>
      <w:r w:rsidR="00CA5653">
        <w:rPr>
          <w:color w:val="000000" w:themeColor="text1"/>
          <w:highlight w:val="yellow"/>
          <w:shd w:val="clear" w:color="auto" w:fill="FFF2CC"/>
        </w:rPr>
        <w:t xml:space="preserve">the </w:t>
      </w:r>
      <w:r w:rsidRPr="003E0928">
        <w:rPr>
          <w:color w:val="000000" w:themeColor="text1"/>
          <w:highlight w:val="yellow"/>
          <w:shd w:val="clear" w:color="auto" w:fill="FFF2CC"/>
        </w:rPr>
        <w:t>plate.</w:t>
      </w:r>
    </w:p>
    <w:p w14:paraId="6ACECC99" w14:textId="77777777" w:rsidR="00D958F5" w:rsidRPr="003E0928" w:rsidRDefault="00D958F5" w:rsidP="00E13138">
      <w:pPr>
        <w:rPr>
          <w:color w:val="000000" w:themeColor="text1"/>
          <w:highlight w:val="yellow"/>
          <w:shd w:val="clear" w:color="auto" w:fill="FFF2CC"/>
        </w:rPr>
      </w:pPr>
    </w:p>
    <w:p w14:paraId="07ED6687" w14:textId="7E0900CE" w:rsidR="00D958F5" w:rsidRPr="003E0928" w:rsidRDefault="009A10D1" w:rsidP="00E13138">
      <w:pPr>
        <w:pStyle w:val="ListParagraph"/>
        <w:numPr>
          <w:ilvl w:val="1"/>
          <w:numId w:val="1"/>
        </w:numPr>
        <w:ind w:left="0" w:firstLine="0"/>
        <w:rPr>
          <w:color w:val="000000" w:themeColor="text1"/>
          <w:highlight w:val="yellow"/>
          <w:shd w:val="clear" w:color="auto" w:fill="FFF2CC"/>
        </w:rPr>
      </w:pPr>
      <w:r w:rsidRPr="003E0928">
        <w:rPr>
          <w:color w:val="000000" w:themeColor="text1"/>
          <w:highlight w:val="yellow"/>
          <w:shd w:val="clear" w:color="auto" w:fill="FFF2CC"/>
        </w:rPr>
        <w:t xml:space="preserve">Perform cisplatin viability staining as described in step </w:t>
      </w:r>
      <w:r w:rsidR="006D3280">
        <w:rPr>
          <w:color w:val="000000" w:themeColor="text1"/>
          <w:highlight w:val="yellow"/>
          <w:shd w:val="clear" w:color="auto" w:fill="FFF2CC"/>
        </w:rPr>
        <w:t>1.2.4.</w:t>
      </w:r>
      <w:r w:rsidRPr="003E0928">
        <w:rPr>
          <w:color w:val="000000" w:themeColor="text1"/>
          <w:highlight w:val="yellow"/>
          <w:shd w:val="clear" w:color="auto" w:fill="FFF2CC"/>
        </w:rPr>
        <w:t xml:space="preserve"> </w:t>
      </w:r>
    </w:p>
    <w:p w14:paraId="39830489" w14:textId="77777777" w:rsidR="00D958F5" w:rsidRPr="003E0928" w:rsidRDefault="00D958F5" w:rsidP="00E13138">
      <w:pPr>
        <w:rPr>
          <w:highlight w:val="yellow"/>
          <w:shd w:val="clear" w:color="auto" w:fill="FFF2CC"/>
        </w:rPr>
      </w:pPr>
    </w:p>
    <w:p w14:paraId="7251DE26" w14:textId="0551D459" w:rsidR="00D958F5" w:rsidRPr="003E0928" w:rsidRDefault="009A10D1" w:rsidP="00E13138">
      <w:pPr>
        <w:pStyle w:val="ListParagraph"/>
        <w:numPr>
          <w:ilvl w:val="1"/>
          <w:numId w:val="1"/>
        </w:numPr>
        <w:ind w:left="0" w:firstLine="0"/>
        <w:rPr>
          <w:color w:val="000000" w:themeColor="text1"/>
          <w:highlight w:val="yellow"/>
          <w:shd w:val="clear" w:color="auto" w:fill="FFF2CC"/>
        </w:rPr>
      </w:pPr>
      <w:r w:rsidRPr="003E0928">
        <w:rPr>
          <w:highlight w:val="yellow"/>
          <w:shd w:val="clear" w:color="auto" w:fill="FFF2CC"/>
        </w:rPr>
        <w:t>Barcoding staining</w:t>
      </w:r>
    </w:p>
    <w:p w14:paraId="264C9DBE" w14:textId="77777777" w:rsidR="00E13138" w:rsidRPr="003E0928" w:rsidRDefault="00E13138" w:rsidP="00E13138">
      <w:pPr>
        <w:rPr>
          <w:color w:val="000000" w:themeColor="text1"/>
          <w:shd w:val="clear" w:color="auto" w:fill="FFF2CC"/>
        </w:rPr>
      </w:pPr>
    </w:p>
    <w:p w14:paraId="49C4449A" w14:textId="2E578E51" w:rsidR="00D958F5" w:rsidRPr="003E0928" w:rsidRDefault="009A10D1" w:rsidP="003E0928">
      <w:r w:rsidRPr="003E0928">
        <w:t xml:space="preserve">NOTE: </w:t>
      </w:r>
      <w:r w:rsidR="003E0928" w:rsidRPr="003E0928">
        <w:t>These</w:t>
      </w:r>
      <w:r w:rsidRPr="003E0928">
        <w:t xml:space="preserve"> panels are used in conjunction with a modified two-of-four, Palladium-based barcoding method on live unfixed cells to minimize batch effects and maximize cell recovery</w:t>
      </w:r>
      <w:hyperlink r:id="rId12">
        <w:r w:rsidRPr="003E0928">
          <w:rPr>
            <w:rStyle w:val="Hyperlink"/>
            <w:color w:val="auto"/>
            <w:u w:val="none"/>
            <w:vertAlign w:val="superscript"/>
          </w:rPr>
          <w:t>15</w:t>
        </w:r>
      </w:hyperlink>
      <w:r w:rsidRPr="003E0928">
        <w:t xml:space="preserve">. However, this step is optional as barcoding is not necessary to obtain quality data. </w:t>
      </w:r>
    </w:p>
    <w:p w14:paraId="14400752" w14:textId="77777777" w:rsidR="00E13138" w:rsidRPr="003E0928" w:rsidRDefault="00E13138" w:rsidP="00E13138">
      <w:pPr>
        <w:rPr>
          <w:highlight w:val="yellow"/>
          <w:shd w:val="clear" w:color="auto" w:fill="FFF2CC"/>
        </w:rPr>
      </w:pPr>
    </w:p>
    <w:p w14:paraId="707329E6" w14:textId="59094179" w:rsidR="00E13138" w:rsidRPr="003E0928" w:rsidRDefault="009A10D1" w:rsidP="003E0928">
      <w:pPr>
        <w:pStyle w:val="ListParagraph"/>
        <w:numPr>
          <w:ilvl w:val="2"/>
          <w:numId w:val="1"/>
        </w:numPr>
        <w:ind w:left="0" w:firstLine="0"/>
        <w:rPr>
          <w:highlight w:val="yellow"/>
          <w:shd w:val="clear" w:color="auto" w:fill="FFF2CC"/>
        </w:rPr>
      </w:pPr>
      <w:r w:rsidRPr="003E0928">
        <w:rPr>
          <w:highlight w:val="yellow"/>
          <w:shd w:val="clear" w:color="auto" w:fill="FFF2CC"/>
        </w:rPr>
        <w:t>Resuspend each well in 50 µL of respective premixed barcode and incubate at 4</w:t>
      </w:r>
      <w:r w:rsidR="003E0928">
        <w:rPr>
          <w:highlight w:val="yellow"/>
          <w:shd w:val="clear" w:color="auto" w:fill="FFF2CC"/>
        </w:rPr>
        <w:t xml:space="preserve"> </w:t>
      </w:r>
      <w:r w:rsidRPr="003E0928">
        <w:rPr>
          <w:highlight w:val="yellow"/>
          <w:shd w:val="clear" w:color="auto" w:fill="FFF2CC"/>
        </w:rPr>
        <w:t>°C for 30 min.</w:t>
      </w:r>
      <w:r w:rsidR="003E0928">
        <w:rPr>
          <w:highlight w:val="yellow"/>
          <w:shd w:val="clear" w:color="auto" w:fill="FFF2CC"/>
        </w:rPr>
        <w:t xml:space="preserve"> </w:t>
      </w:r>
      <w:r w:rsidRPr="003E0928">
        <w:rPr>
          <w:highlight w:val="yellow"/>
          <w:shd w:val="clear" w:color="auto" w:fill="FFF2CC"/>
        </w:rPr>
        <w:t xml:space="preserve">Wash cells with 150 µL </w:t>
      </w:r>
      <w:r w:rsidR="00CA5653">
        <w:rPr>
          <w:highlight w:val="yellow"/>
          <w:shd w:val="clear" w:color="auto" w:fill="FFF2CC"/>
        </w:rPr>
        <w:t xml:space="preserve">of </w:t>
      </w:r>
      <w:proofErr w:type="spellStart"/>
      <w:r w:rsidRPr="003E0928">
        <w:rPr>
          <w:highlight w:val="yellow"/>
          <w:shd w:val="clear" w:color="auto" w:fill="FFF2CC"/>
        </w:rPr>
        <w:t>CyFACS</w:t>
      </w:r>
      <w:proofErr w:type="spellEnd"/>
      <w:r w:rsidRPr="003E0928">
        <w:rPr>
          <w:highlight w:val="yellow"/>
          <w:shd w:val="clear" w:color="auto" w:fill="FFF2CC"/>
        </w:rPr>
        <w:t xml:space="preserve">. Centrifuge and flick </w:t>
      </w:r>
      <w:r w:rsidR="00CA5653">
        <w:rPr>
          <w:highlight w:val="yellow"/>
          <w:shd w:val="clear" w:color="auto" w:fill="FFF2CC"/>
        </w:rPr>
        <w:t xml:space="preserve">the </w:t>
      </w:r>
      <w:r w:rsidRPr="003E0928">
        <w:rPr>
          <w:highlight w:val="yellow"/>
          <w:shd w:val="clear" w:color="auto" w:fill="FFF2CC"/>
        </w:rPr>
        <w:t>plate.</w:t>
      </w:r>
    </w:p>
    <w:p w14:paraId="30E99419" w14:textId="77777777" w:rsidR="00E13138" w:rsidRPr="003E0928" w:rsidRDefault="00E13138" w:rsidP="00E13138">
      <w:pPr>
        <w:pStyle w:val="ListParagraph"/>
        <w:ind w:left="0"/>
        <w:rPr>
          <w:highlight w:val="yellow"/>
          <w:shd w:val="clear" w:color="auto" w:fill="FFF2CC"/>
        </w:rPr>
      </w:pPr>
    </w:p>
    <w:p w14:paraId="558F11C2" w14:textId="0920B05B" w:rsidR="00D958F5" w:rsidRPr="003E0928" w:rsidRDefault="009A10D1" w:rsidP="003E0928">
      <w:pPr>
        <w:pStyle w:val="ListParagraph"/>
        <w:numPr>
          <w:ilvl w:val="2"/>
          <w:numId w:val="1"/>
        </w:numPr>
        <w:ind w:left="0" w:firstLine="0"/>
        <w:rPr>
          <w:highlight w:val="yellow"/>
          <w:shd w:val="clear" w:color="auto" w:fill="FFF2CC"/>
        </w:rPr>
      </w:pPr>
      <w:r w:rsidRPr="003E0928">
        <w:rPr>
          <w:highlight w:val="yellow"/>
          <w:shd w:val="clear" w:color="auto" w:fill="FFF2CC"/>
        </w:rPr>
        <w:t xml:space="preserve">Wash cells twice with 200 µL </w:t>
      </w:r>
      <w:r w:rsidR="00CA5653">
        <w:rPr>
          <w:highlight w:val="yellow"/>
          <w:shd w:val="clear" w:color="auto" w:fill="FFF2CC"/>
        </w:rPr>
        <w:t xml:space="preserve">of </w:t>
      </w:r>
      <w:proofErr w:type="spellStart"/>
      <w:r w:rsidRPr="003E0928">
        <w:rPr>
          <w:highlight w:val="yellow"/>
          <w:shd w:val="clear" w:color="auto" w:fill="FFF2CC"/>
        </w:rPr>
        <w:t>CyFACS</w:t>
      </w:r>
      <w:proofErr w:type="spellEnd"/>
      <w:r w:rsidRPr="003E0928">
        <w:rPr>
          <w:highlight w:val="yellow"/>
          <w:shd w:val="clear" w:color="auto" w:fill="FFF2CC"/>
        </w:rPr>
        <w:t xml:space="preserve">. Centrifuge and flick </w:t>
      </w:r>
      <w:r w:rsidR="00CA5653">
        <w:rPr>
          <w:highlight w:val="yellow"/>
          <w:shd w:val="clear" w:color="auto" w:fill="FFF2CC"/>
        </w:rPr>
        <w:t xml:space="preserve">the </w:t>
      </w:r>
      <w:r w:rsidRPr="003E0928">
        <w:rPr>
          <w:highlight w:val="yellow"/>
          <w:shd w:val="clear" w:color="auto" w:fill="FFF2CC"/>
        </w:rPr>
        <w:t>plate.</w:t>
      </w:r>
      <w:r w:rsidR="003E0928">
        <w:rPr>
          <w:highlight w:val="yellow"/>
          <w:shd w:val="clear" w:color="auto" w:fill="FFF2CC"/>
        </w:rPr>
        <w:t xml:space="preserve"> </w:t>
      </w:r>
      <w:r w:rsidRPr="003E0928">
        <w:rPr>
          <w:highlight w:val="yellow"/>
          <w:shd w:val="clear" w:color="auto" w:fill="FFF2CC"/>
        </w:rPr>
        <w:t xml:space="preserve">Resuspend all wells in 30 µL </w:t>
      </w:r>
      <w:r w:rsidR="00CA5653">
        <w:rPr>
          <w:highlight w:val="yellow"/>
          <w:shd w:val="clear" w:color="auto" w:fill="FFF2CC"/>
        </w:rPr>
        <w:t xml:space="preserve">of </w:t>
      </w:r>
      <w:proofErr w:type="spellStart"/>
      <w:r w:rsidRPr="003E0928">
        <w:rPr>
          <w:highlight w:val="yellow"/>
          <w:shd w:val="clear" w:color="auto" w:fill="FFF2CC"/>
        </w:rPr>
        <w:t>CyFACS</w:t>
      </w:r>
      <w:proofErr w:type="spellEnd"/>
      <w:r w:rsidRPr="003E0928">
        <w:rPr>
          <w:highlight w:val="yellow"/>
          <w:shd w:val="clear" w:color="auto" w:fill="FFF2CC"/>
        </w:rPr>
        <w:t>. Combine up to six wells of cells stained with unique barcodes into one well</w:t>
      </w:r>
      <w:r w:rsidR="003E0928">
        <w:rPr>
          <w:highlight w:val="yellow"/>
          <w:shd w:val="clear" w:color="auto" w:fill="FFF2CC"/>
        </w:rPr>
        <w:t xml:space="preserve"> and</w:t>
      </w:r>
      <w:r w:rsidRPr="003E0928">
        <w:rPr>
          <w:highlight w:val="yellow"/>
          <w:shd w:val="clear" w:color="auto" w:fill="FFF2CC"/>
        </w:rPr>
        <w:t xml:space="preserve"> </w:t>
      </w:r>
      <w:r w:rsidR="003E0928">
        <w:rPr>
          <w:highlight w:val="yellow"/>
          <w:shd w:val="clear" w:color="auto" w:fill="FFF2CC"/>
        </w:rPr>
        <w:t>perform c</w:t>
      </w:r>
      <w:r w:rsidRPr="003E0928">
        <w:rPr>
          <w:highlight w:val="yellow"/>
          <w:shd w:val="clear" w:color="auto" w:fill="FFF2CC"/>
        </w:rPr>
        <w:t>entrifug</w:t>
      </w:r>
      <w:r w:rsidR="003E0928">
        <w:rPr>
          <w:highlight w:val="yellow"/>
          <w:shd w:val="clear" w:color="auto" w:fill="FFF2CC"/>
        </w:rPr>
        <w:t>ation</w:t>
      </w:r>
      <w:r w:rsidRPr="003E0928">
        <w:rPr>
          <w:highlight w:val="yellow"/>
          <w:shd w:val="clear" w:color="auto" w:fill="FFF2CC"/>
        </w:rPr>
        <w:t xml:space="preserve"> and flick</w:t>
      </w:r>
      <w:r w:rsidR="003E0928">
        <w:rPr>
          <w:highlight w:val="yellow"/>
          <w:shd w:val="clear" w:color="auto" w:fill="FFF2CC"/>
        </w:rPr>
        <w:t>ing of the</w:t>
      </w:r>
      <w:r w:rsidRPr="003E0928">
        <w:rPr>
          <w:highlight w:val="yellow"/>
          <w:shd w:val="clear" w:color="auto" w:fill="FFF2CC"/>
        </w:rPr>
        <w:t xml:space="preserve"> plate.</w:t>
      </w:r>
    </w:p>
    <w:p w14:paraId="6CA93616" w14:textId="77777777" w:rsidR="00D958F5" w:rsidRPr="003E0928" w:rsidRDefault="00D958F5" w:rsidP="00E13138">
      <w:pPr>
        <w:rPr>
          <w:highlight w:val="yellow"/>
          <w:shd w:val="clear" w:color="auto" w:fill="FFF2CC"/>
        </w:rPr>
      </w:pPr>
    </w:p>
    <w:p w14:paraId="328CD870" w14:textId="346DC005" w:rsidR="00D958F5" w:rsidRPr="003E0928" w:rsidRDefault="009A10D1" w:rsidP="00E13138">
      <w:pPr>
        <w:pStyle w:val="ListParagraph"/>
        <w:numPr>
          <w:ilvl w:val="1"/>
          <w:numId w:val="1"/>
        </w:numPr>
        <w:ind w:left="0" w:firstLine="0"/>
        <w:rPr>
          <w:highlight w:val="yellow"/>
          <w:shd w:val="clear" w:color="auto" w:fill="FFF2CC"/>
        </w:rPr>
      </w:pPr>
      <w:r w:rsidRPr="003E0928">
        <w:rPr>
          <w:highlight w:val="yellow"/>
          <w:shd w:val="clear" w:color="auto" w:fill="FFF2CC"/>
        </w:rPr>
        <w:t>Surface staining</w:t>
      </w:r>
    </w:p>
    <w:p w14:paraId="716C5AB4" w14:textId="77777777" w:rsidR="00E13138" w:rsidRPr="003E0928" w:rsidRDefault="00E13138" w:rsidP="00E13138">
      <w:pPr>
        <w:pStyle w:val="ListParagraph"/>
        <w:ind w:left="0"/>
        <w:rPr>
          <w:highlight w:val="yellow"/>
          <w:shd w:val="clear" w:color="auto" w:fill="FFF2CC"/>
        </w:rPr>
      </w:pPr>
    </w:p>
    <w:p w14:paraId="46B19696" w14:textId="35EDBAC0" w:rsidR="003E0928" w:rsidRPr="003E0928" w:rsidRDefault="009A10D1" w:rsidP="00E13138">
      <w:pPr>
        <w:pStyle w:val="ListParagraph"/>
        <w:numPr>
          <w:ilvl w:val="2"/>
          <w:numId w:val="1"/>
        </w:numPr>
        <w:ind w:left="0" w:firstLine="0"/>
      </w:pPr>
      <w:r w:rsidRPr="003E0928">
        <w:rPr>
          <w:highlight w:val="yellow"/>
          <w:shd w:val="clear" w:color="auto" w:fill="FFF2CC"/>
        </w:rPr>
        <w:t xml:space="preserve">Dissolve the surface NK panel </w:t>
      </w:r>
      <w:proofErr w:type="spellStart"/>
      <w:r w:rsidRPr="003E0928">
        <w:rPr>
          <w:highlight w:val="yellow"/>
          <w:shd w:val="clear" w:color="auto" w:fill="FFF2CC"/>
        </w:rPr>
        <w:t>lyosphere</w:t>
      </w:r>
      <w:proofErr w:type="spellEnd"/>
      <w:r w:rsidRPr="003E0928">
        <w:rPr>
          <w:highlight w:val="yellow"/>
          <w:shd w:val="clear" w:color="auto" w:fill="FFF2CC"/>
        </w:rPr>
        <w:t xml:space="preserve"> in 50 µL of </w:t>
      </w:r>
      <w:proofErr w:type="spellStart"/>
      <w:r w:rsidRPr="003E0928">
        <w:rPr>
          <w:highlight w:val="yellow"/>
          <w:shd w:val="clear" w:color="auto" w:fill="FFF2CC"/>
        </w:rPr>
        <w:t>CyFACS</w:t>
      </w:r>
      <w:proofErr w:type="spellEnd"/>
      <w:r w:rsidRPr="003E0928">
        <w:rPr>
          <w:highlight w:val="yellow"/>
          <w:shd w:val="clear" w:color="auto" w:fill="FFF2CC"/>
        </w:rPr>
        <w:t xml:space="preserve"> with additional surface </w:t>
      </w:r>
      <w:r w:rsidRPr="003E0928">
        <w:rPr>
          <w:highlight w:val="yellow"/>
          <w:shd w:val="clear" w:color="auto" w:fill="FFF2CC"/>
        </w:rPr>
        <w:lastRenderedPageBreak/>
        <w:t>antibodies spiked in (anti-CD16, anti-HLA-DR, anti-LILRB1). Thaw ligand panel stored at -80</w:t>
      </w:r>
      <w:r w:rsidR="003E0928">
        <w:rPr>
          <w:highlight w:val="yellow"/>
          <w:shd w:val="clear" w:color="auto" w:fill="FFF2CC"/>
        </w:rPr>
        <w:t xml:space="preserve"> </w:t>
      </w:r>
      <w:r w:rsidRPr="003E0928">
        <w:rPr>
          <w:highlight w:val="yellow"/>
          <w:shd w:val="clear" w:color="auto" w:fill="FFF2CC"/>
        </w:rPr>
        <w:t xml:space="preserve">°C and spin down tube using a </w:t>
      </w:r>
      <w:proofErr w:type="gramStart"/>
      <w:r w:rsidRPr="003E0928">
        <w:rPr>
          <w:highlight w:val="yellow"/>
          <w:shd w:val="clear" w:color="auto" w:fill="FFF2CC"/>
        </w:rPr>
        <w:t>mini-centrifuge</w:t>
      </w:r>
      <w:proofErr w:type="gramEnd"/>
      <w:r w:rsidRPr="003E0928">
        <w:rPr>
          <w:highlight w:val="yellow"/>
          <w:shd w:val="clear" w:color="auto" w:fill="FFF2CC"/>
        </w:rPr>
        <w:t xml:space="preserve">. Spike in additional ligand panel surface markers </w:t>
      </w:r>
      <w:r w:rsidRPr="003E0928">
        <w:t>(anti-CD16, anti-CD19).</w:t>
      </w:r>
      <w:r w:rsidR="00E13138" w:rsidRPr="003E0928">
        <w:t xml:space="preserve"> </w:t>
      </w:r>
    </w:p>
    <w:p w14:paraId="1175206B" w14:textId="77777777" w:rsidR="003E0928" w:rsidRPr="003E0928" w:rsidRDefault="003E0928" w:rsidP="003E0928"/>
    <w:p w14:paraId="1D68447A" w14:textId="76D8C261" w:rsidR="00E13138" w:rsidRPr="003E0928" w:rsidRDefault="009A10D1" w:rsidP="003E0928">
      <w:r w:rsidRPr="003E0928">
        <w:t>NOTE: Any antibody cocktail that has not been previously filtered (i.e.</w:t>
      </w:r>
      <w:r w:rsidR="00FB68F6">
        <w:t>,</w:t>
      </w:r>
      <w:r w:rsidRPr="003E0928">
        <w:t xml:space="preserve"> prior to lyophilization or freezing) should be filtered through a centrifugal filter unit (0.1 µm pore size) at 10,600 </w:t>
      </w:r>
      <w:r w:rsidRPr="00FB68F6">
        <w:rPr>
          <w:i/>
          <w:iCs/>
        </w:rPr>
        <w:t>x g</w:t>
      </w:r>
      <w:r w:rsidRPr="003E0928">
        <w:t xml:space="preserve"> for 3 min prior to staining.</w:t>
      </w:r>
    </w:p>
    <w:p w14:paraId="2954BDDF" w14:textId="77777777" w:rsidR="00E13138" w:rsidRPr="003E0928" w:rsidRDefault="00E13138" w:rsidP="00E13138">
      <w:pPr>
        <w:pStyle w:val="ListParagraph"/>
        <w:ind w:left="0"/>
        <w:rPr>
          <w:highlight w:val="yellow"/>
          <w:shd w:val="clear" w:color="auto" w:fill="FFF2CC"/>
        </w:rPr>
      </w:pPr>
    </w:p>
    <w:p w14:paraId="0C5F3B35" w14:textId="778C0EFB" w:rsidR="00D958F5" w:rsidRPr="00FB68F6" w:rsidRDefault="009A10D1" w:rsidP="00FB68F6">
      <w:pPr>
        <w:pStyle w:val="ListParagraph"/>
        <w:numPr>
          <w:ilvl w:val="2"/>
          <w:numId w:val="1"/>
        </w:numPr>
        <w:ind w:left="0" w:firstLine="0"/>
        <w:rPr>
          <w:highlight w:val="yellow"/>
          <w:shd w:val="clear" w:color="auto" w:fill="FFF2CC"/>
        </w:rPr>
      </w:pPr>
      <w:r w:rsidRPr="003E0928">
        <w:rPr>
          <w:highlight w:val="yellow"/>
          <w:shd w:val="clear" w:color="auto" w:fill="FFF2CC"/>
        </w:rPr>
        <w:t>Resuspend each well in 50 µL of the respective panel. Incubate at 4</w:t>
      </w:r>
      <w:r w:rsidR="00FB68F6">
        <w:rPr>
          <w:highlight w:val="yellow"/>
          <w:shd w:val="clear" w:color="auto" w:fill="FFF2CC"/>
        </w:rPr>
        <w:t xml:space="preserve"> </w:t>
      </w:r>
      <w:r w:rsidRPr="003E0928">
        <w:rPr>
          <w:highlight w:val="yellow"/>
          <w:shd w:val="clear" w:color="auto" w:fill="FFF2CC"/>
        </w:rPr>
        <w:t>°C for 30 min.</w:t>
      </w:r>
      <w:r w:rsidR="00FB68F6">
        <w:rPr>
          <w:highlight w:val="yellow"/>
          <w:shd w:val="clear" w:color="auto" w:fill="FFF2CC"/>
        </w:rPr>
        <w:t xml:space="preserve"> </w:t>
      </w:r>
      <w:r w:rsidRPr="00FB68F6">
        <w:rPr>
          <w:highlight w:val="yellow"/>
          <w:shd w:val="clear" w:color="auto" w:fill="FFF2CC"/>
        </w:rPr>
        <w:t xml:space="preserve">Wash cells with 150 µL </w:t>
      </w:r>
      <w:r w:rsidR="00FB68F6">
        <w:rPr>
          <w:highlight w:val="yellow"/>
          <w:shd w:val="clear" w:color="auto" w:fill="FFF2CC"/>
        </w:rPr>
        <w:t xml:space="preserve">of </w:t>
      </w:r>
      <w:proofErr w:type="spellStart"/>
      <w:r w:rsidRPr="00FB68F6">
        <w:rPr>
          <w:highlight w:val="yellow"/>
          <w:shd w:val="clear" w:color="auto" w:fill="FFF2CC"/>
        </w:rPr>
        <w:t>CyFACS</w:t>
      </w:r>
      <w:proofErr w:type="spellEnd"/>
      <w:r w:rsidRPr="00FB68F6">
        <w:rPr>
          <w:highlight w:val="yellow"/>
          <w:shd w:val="clear" w:color="auto" w:fill="FFF2CC"/>
        </w:rPr>
        <w:t xml:space="preserve">. Centrifuge and flick </w:t>
      </w:r>
      <w:r w:rsidR="00FB68F6">
        <w:rPr>
          <w:highlight w:val="yellow"/>
          <w:shd w:val="clear" w:color="auto" w:fill="FFF2CC"/>
        </w:rPr>
        <w:t xml:space="preserve">the </w:t>
      </w:r>
      <w:r w:rsidRPr="00FB68F6">
        <w:rPr>
          <w:color w:val="000000" w:themeColor="text1"/>
          <w:highlight w:val="yellow"/>
          <w:shd w:val="clear" w:color="auto" w:fill="FFF2CC"/>
        </w:rPr>
        <w:t>plate.</w:t>
      </w:r>
      <w:r w:rsidR="00FB68F6">
        <w:rPr>
          <w:highlight w:val="yellow"/>
          <w:shd w:val="clear" w:color="auto" w:fill="FFF2CC"/>
        </w:rPr>
        <w:t xml:space="preserve"> </w:t>
      </w:r>
      <w:r w:rsidRPr="00FB68F6">
        <w:rPr>
          <w:color w:val="000000" w:themeColor="text1"/>
          <w:highlight w:val="yellow"/>
          <w:shd w:val="clear" w:color="auto" w:fill="FFF2CC"/>
        </w:rPr>
        <w:t xml:space="preserve">Wash cells </w:t>
      </w:r>
      <w:r w:rsidR="00FB68F6">
        <w:rPr>
          <w:color w:val="000000" w:themeColor="text1"/>
          <w:highlight w:val="yellow"/>
          <w:shd w:val="clear" w:color="auto" w:fill="FFF2CC"/>
        </w:rPr>
        <w:t xml:space="preserve">again </w:t>
      </w:r>
      <w:r w:rsidRPr="00FB68F6">
        <w:rPr>
          <w:color w:val="000000" w:themeColor="text1"/>
          <w:highlight w:val="yellow"/>
          <w:shd w:val="clear" w:color="auto" w:fill="FFF2CC"/>
        </w:rPr>
        <w:t xml:space="preserve">with 200 µL </w:t>
      </w:r>
      <w:r w:rsidR="00FB68F6">
        <w:rPr>
          <w:color w:val="000000" w:themeColor="text1"/>
          <w:highlight w:val="yellow"/>
          <w:shd w:val="clear" w:color="auto" w:fill="FFF2CC"/>
        </w:rPr>
        <w:t xml:space="preserve">of </w:t>
      </w:r>
      <w:proofErr w:type="spellStart"/>
      <w:r w:rsidRPr="00FB68F6">
        <w:rPr>
          <w:color w:val="000000" w:themeColor="text1"/>
          <w:highlight w:val="yellow"/>
          <w:shd w:val="clear" w:color="auto" w:fill="FFF2CC"/>
        </w:rPr>
        <w:t>CyFACS</w:t>
      </w:r>
      <w:proofErr w:type="spellEnd"/>
      <w:r w:rsidRPr="00FB68F6">
        <w:rPr>
          <w:color w:val="000000" w:themeColor="text1"/>
          <w:highlight w:val="yellow"/>
          <w:shd w:val="clear" w:color="auto" w:fill="FFF2CC"/>
        </w:rPr>
        <w:t xml:space="preserve">. Centrifuge and flick </w:t>
      </w:r>
      <w:r w:rsidR="00CA5653">
        <w:rPr>
          <w:color w:val="000000" w:themeColor="text1"/>
          <w:highlight w:val="yellow"/>
          <w:shd w:val="clear" w:color="auto" w:fill="FFF2CC"/>
        </w:rPr>
        <w:t xml:space="preserve">the </w:t>
      </w:r>
      <w:r w:rsidRPr="00FB68F6">
        <w:rPr>
          <w:color w:val="000000" w:themeColor="text1"/>
          <w:highlight w:val="yellow"/>
          <w:shd w:val="clear" w:color="auto" w:fill="FFF2CC"/>
        </w:rPr>
        <w:t>plate.</w:t>
      </w:r>
    </w:p>
    <w:p w14:paraId="3C6F2856" w14:textId="77777777" w:rsidR="00D958F5" w:rsidRPr="003E0928" w:rsidRDefault="00D958F5" w:rsidP="00E13138">
      <w:pPr>
        <w:rPr>
          <w:highlight w:val="yellow"/>
          <w:shd w:val="clear" w:color="auto" w:fill="FFF2CC"/>
        </w:rPr>
      </w:pPr>
    </w:p>
    <w:p w14:paraId="1FC4D9A2" w14:textId="3A70E568" w:rsidR="00D958F5" w:rsidRPr="003E0928" w:rsidRDefault="009A10D1" w:rsidP="00E13138">
      <w:pPr>
        <w:pStyle w:val="ListParagraph"/>
        <w:numPr>
          <w:ilvl w:val="1"/>
          <w:numId w:val="1"/>
        </w:numPr>
        <w:ind w:left="0" w:firstLine="0"/>
        <w:rPr>
          <w:color w:val="000000" w:themeColor="text1"/>
          <w:highlight w:val="yellow"/>
          <w:shd w:val="clear" w:color="auto" w:fill="FFF2CC"/>
        </w:rPr>
      </w:pPr>
      <w:r w:rsidRPr="003E0928">
        <w:rPr>
          <w:color w:val="000000" w:themeColor="text1"/>
          <w:highlight w:val="yellow"/>
          <w:shd w:val="clear" w:color="auto" w:fill="FFF2CC"/>
        </w:rPr>
        <w:t>Fix cells as described in step 1</w:t>
      </w:r>
      <w:r w:rsidR="00483A42">
        <w:rPr>
          <w:color w:val="000000" w:themeColor="text1"/>
          <w:highlight w:val="yellow"/>
          <w:shd w:val="clear" w:color="auto" w:fill="FFF2CC"/>
        </w:rPr>
        <w:t>.2.6</w:t>
      </w:r>
      <w:r w:rsidRPr="003E0928">
        <w:rPr>
          <w:color w:val="000000" w:themeColor="text1"/>
          <w:highlight w:val="yellow"/>
          <w:shd w:val="clear" w:color="auto" w:fill="FFF2CC"/>
        </w:rPr>
        <w:t>.</w:t>
      </w:r>
    </w:p>
    <w:p w14:paraId="5F9A4A49" w14:textId="77777777" w:rsidR="00E13138" w:rsidRPr="00FB68F6" w:rsidRDefault="00E13138" w:rsidP="00FB68F6"/>
    <w:p w14:paraId="5DDDDE03" w14:textId="440371FD" w:rsidR="00D958F5" w:rsidRPr="00FB68F6" w:rsidRDefault="009A10D1" w:rsidP="00FB68F6">
      <w:r w:rsidRPr="00FB68F6">
        <w:t>NOTE:</w:t>
      </w:r>
      <w:r w:rsidR="00FB68F6">
        <w:t xml:space="preserve"> Perform all</w:t>
      </w:r>
      <w:r w:rsidRPr="00FB68F6">
        <w:t xml:space="preserve"> subsequent centrifuge spins at 700 </w:t>
      </w:r>
      <w:r w:rsidRPr="00FB68F6">
        <w:rPr>
          <w:i/>
          <w:iCs/>
        </w:rPr>
        <w:t>x g</w:t>
      </w:r>
      <w:r w:rsidRPr="00FB68F6">
        <w:t xml:space="preserve"> for 5 min at 4</w:t>
      </w:r>
      <w:r w:rsidR="00FB68F6">
        <w:t xml:space="preserve"> </w:t>
      </w:r>
      <w:r w:rsidRPr="00FB68F6">
        <w:t>°C.</w:t>
      </w:r>
    </w:p>
    <w:p w14:paraId="239B01D7" w14:textId="77777777" w:rsidR="00D958F5" w:rsidRPr="003E0928" w:rsidRDefault="00D958F5" w:rsidP="00E13138">
      <w:pPr>
        <w:rPr>
          <w:color w:val="000000" w:themeColor="text1"/>
          <w:highlight w:val="yellow"/>
          <w:shd w:val="clear" w:color="auto" w:fill="FFF2CC"/>
        </w:rPr>
      </w:pPr>
    </w:p>
    <w:p w14:paraId="4E254FFC" w14:textId="181DA951" w:rsidR="00D958F5" w:rsidRPr="003E0928" w:rsidRDefault="009A10D1" w:rsidP="00E13138">
      <w:pPr>
        <w:pStyle w:val="ListParagraph"/>
        <w:numPr>
          <w:ilvl w:val="1"/>
          <w:numId w:val="1"/>
        </w:numPr>
        <w:ind w:left="0" w:firstLine="0"/>
        <w:rPr>
          <w:color w:val="000000" w:themeColor="text1"/>
          <w:highlight w:val="yellow"/>
          <w:shd w:val="clear" w:color="auto" w:fill="FFF2CC"/>
        </w:rPr>
      </w:pPr>
      <w:r w:rsidRPr="003E0928">
        <w:rPr>
          <w:color w:val="000000" w:themeColor="text1"/>
          <w:highlight w:val="yellow"/>
          <w:shd w:val="clear" w:color="auto" w:fill="FFF2CC"/>
        </w:rPr>
        <w:t>Permeabilize cells as described in step 1</w:t>
      </w:r>
      <w:r w:rsidR="00483A42">
        <w:rPr>
          <w:color w:val="000000" w:themeColor="text1"/>
          <w:highlight w:val="yellow"/>
          <w:shd w:val="clear" w:color="auto" w:fill="FFF2CC"/>
        </w:rPr>
        <w:t>.2.7</w:t>
      </w:r>
      <w:r w:rsidRPr="003E0928">
        <w:rPr>
          <w:color w:val="000000" w:themeColor="text1"/>
          <w:highlight w:val="yellow"/>
          <w:shd w:val="clear" w:color="auto" w:fill="FFF2CC"/>
        </w:rPr>
        <w:t>.</w:t>
      </w:r>
    </w:p>
    <w:p w14:paraId="087A429A" w14:textId="77777777" w:rsidR="00D958F5" w:rsidRPr="003E0928" w:rsidRDefault="00D958F5" w:rsidP="00E13138">
      <w:pPr>
        <w:rPr>
          <w:highlight w:val="yellow"/>
          <w:shd w:val="clear" w:color="auto" w:fill="FFF2CC"/>
        </w:rPr>
      </w:pPr>
    </w:p>
    <w:p w14:paraId="563EA0B1" w14:textId="77777777" w:rsidR="00E13138" w:rsidRPr="003E0928" w:rsidRDefault="009A10D1" w:rsidP="00E13138">
      <w:pPr>
        <w:pStyle w:val="ListParagraph"/>
        <w:numPr>
          <w:ilvl w:val="1"/>
          <w:numId w:val="1"/>
        </w:numPr>
        <w:ind w:left="0" w:firstLine="0"/>
        <w:rPr>
          <w:highlight w:val="yellow"/>
          <w:shd w:val="clear" w:color="auto" w:fill="FFF2CC"/>
        </w:rPr>
      </w:pPr>
      <w:r w:rsidRPr="003E0928">
        <w:rPr>
          <w:highlight w:val="yellow"/>
          <w:shd w:val="clear" w:color="auto" w:fill="FFF2CC"/>
        </w:rPr>
        <w:t>Intracellular staining</w:t>
      </w:r>
    </w:p>
    <w:p w14:paraId="24B3258E" w14:textId="77777777" w:rsidR="00E13138" w:rsidRPr="003E0928" w:rsidRDefault="00E13138" w:rsidP="00E13138">
      <w:pPr>
        <w:pStyle w:val="ListParagraph"/>
        <w:ind w:left="0"/>
        <w:rPr>
          <w:highlight w:val="yellow"/>
          <w:shd w:val="clear" w:color="auto" w:fill="FFF2CC"/>
        </w:rPr>
      </w:pPr>
    </w:p>
    <w:p w14:paraId="18B49E28" w14:textId="77777777" w:rsidR="00FB68F6" w:rsidRPr="00FB68F6" w:rsidRDefault="009A10D1" w:rsidP="00E13138">
      <w:pPr>
        <w:pStyle w:val="ListParagraph"/>
        <w:numPr>
          <w:ilvl w:val="2"/>
          <w:numId w:val="1"/>
        </w:numPr>
        <w:ind w:left="0" w:firstLine="0"/>
        <w:rPr>
          <w:highlight w:val="yellow"/>
          <w:shd w:val="clear" w:color="auto" w:fill="FFF2CC"/>
        </w:rPr>
      </w:pPr>
      <w:r w:rsidRPr="003E0928">
        <w:rPr>
          <w:highlight w:val="yellow"/>
          <w:shd w:val="clear" w:color="auto" w:fill="FFF2CC"/>
        </w:rPr>
        <w:t xml:space="preserve">Dissolve the intracellular NK panel </w:t>
      </w:r>
      <w:proofErr w:type="spellStart"/>
      <w:r w:rsidRPr="003E0928">
        <w:rPr>
          <w:highlight w:val="yellow"/>
          <w:shd w:val="clear" w:color="auto" w:fill="FFF2CC"/>
        </w:rPr>
        <w:t>lyosphere</w:t>
      </w:r>
      <w:proofErr w:type="spellEnd"/>
      <w:r w:rsidRPr="003E0928">
        <w:rPr>
          <w:highlight w:val="yellow"/>
          <w:shd w:val="clear" w:color="auto" w:fill="FFF2CC"/>
        </w:rPr>
        <w:t xml:space="preserve"> in 50 µL of Perm buffer. Prepare an </w:t>
      </w:r>
      <w:r w:rsidRPr="003E0928">
        <w:rPr>
          <w:color w:val="000000" w:themeColor="text1"/>
          <w:highlight w:val="yellow"/>
          <w:shd w:val="clear" w:color="auto" w:fill="FFF2CC"/>
        </w:rPr>
        <w:t xml:space="preserve">intracellular antibody cocktail for PBMC samples if so desired. </w:t>
      </w:r>
      <w:r w:rsidR="00E13138" w:rsidRPr="003E0928">
        <w:rPr>
          <w:color w:val="000000" w:themeColor="text1"/>
          <w:highlight w:val="yellow"/>
          <w:shd w:val="clear" w:color="auto" w:fill="FFF2CC"/>
        </w:rPr>
        <w:t xml:space="preserve"> </w:t>
      </w:r>
    </w:p>
    <w:p w14:paraId="77C16FDE" w14:textId="77777777" w:rsidR="00FB68F6" w:rsidRPr="00FB68F6" w:rsidRDefault="00FB68F6" w:rsidP="00FB68F6">
      <w:pPr>
        <w:rPr>
          <w:highlight w:val="yellow"/>
        </w:rPr>
      </w:pPr>
    </w:p>
    <w:p w14:paraId="5945ABA8" w14:textId="05620913" w:rsidR="00E13138" w:rsidRPr="00FB68F6" w:rsidRDefault="009A10D1" w:rsidP="00FB68F6">
      <w:r w:rsidRPr="00FB68F6">
        <w:t>NOTE: Any antibody cocktail that has not been previously filtered (i.e.</w:t>
      </w:r>
      <w:r w:rsidR="00CA5653">
        <w:t>,</w:t>
      </w:r>
      <w:r w:rsidRPr="00FB68F6">
        <w:t xml:space="preserve"> prior to lyophilization or freezing) should be filtered through a centrifugal filter unit (0.1 µm pore size) at 10,600 x </w:t>
      </w:r>
      <w:r w:rsidRPr="00CA5653">
        <w:rPr>
          <w:i/>
          <w:iCs/>
        </w:rPr>
        <w:t>g</w:t>
      </w:r>
      <w:r w:rsidRPr="00FB68F6">
        <w:t xml:space="preserve"> for 3 min prior to staining.</w:t>
      </w:r>
    </w:p>
    <w:p w14:paraId="139E246D" w14:textId="77777777" w:rsidR="00E13138" w:rsidRPr="003E0928" w:rsidRDefault="00E13138" w:rsidP="00E13138">
      <w:pPr>
        <w:pStyle w:val="ListParagraph"/>
        <w:ind w:left="0"/>
        <w:rPr>
          <w:highlight w:val="yellow"/>
          <w:shd w:val="clear" w:color="auto" w:fill="FFF2CC"/>
        </w:rPr>
      </w:pPr>
    </w:p>
    <w:p w14:paraId="435B25ED" w14:textId="3CCD6B1C" w:rsidR="00E13138" w:rsidRPr="003E0928" w:rsidRDefault="009A10D1" w:rsidP="00E13138">
      <w:pPr>
        <w:pStyle w:val="ListParagraph"/>
        <w:numPr>
          <w:ilvl w:val="2"/>
          <w:numId w:val="1"/>
        </w:numPr>
        <w:ind w:left="0" w:firstLine="0"/>
        <w:rPr>
          <w:highlight w:val="yellow"/>
          <w:shd w:val="clear" w:color="auto" w:fill="FFF2CC"/>
        </w:rPr>
      </w:pPr>
      <w:r w:rsidRPr="003E0928">
        <w:rPr>
          <w:highlight w:val="yellow"/>
          <w:shd w:val="clear" w:color="auto" w:fill="FFF2CC"/>
        </w:rPr>
        <w:t>Resuspend wells in 50 µL of the respective intracellular panels. If an intracellular panel is not used in conjunction with the ligand surface panel, resuspend PBMC wells in 50 µL of the Perm buffer. Incubate at 4</w:t>
      </w:r>
      <w:r w:rsidR="00FB68F6">
        <w:rPr>
          <w:highlight w:val="yellow"/>
          <w:shd w:val="clear" w:color="auto" w:fill="FFF2CC"/>
        </w:rPr>
        <w:t xml:space="preserve"> </w:t>
      </w:r>
      <w:r w:rsidRPr="003E0928">
        <w:rPr>
          <w:highlight w:val="yellow"/>
          <w:shd w:val="clear" w:color="auto" w:fill="FFF2CC"/>
        </w:rPr>
        <w:t>°C for 45 min.</w:t>
      </w:r>
    </w:p>
    <w:p w14:paraId="77E49712" w14:textId="77777777" w:rsidR="00E13138" w:rsidRPr="003E0928" w:rsidRDefault="00E13138" w:rsidP="00E13138">
      <w:pPr>
        <w:pStyle w:val="ListParagraph"/>
        <w:ind w:left="0"/>
        <w:rPr>
          <w:highlight w:val="yellow"/>
          <w:shd w:val="clear" w:color="auto" w:fill="FFF2CC"/>
        </w:rPr>
      </w:pPr>
    </w:p>
    <w:p w14:paraId="7C069116" w14:textId="1F489F02" w:rsidR="00E13138" w:rsidRPr="00FB68F6" w:rsidRDefault="009A10D1" w:rsidP="00FB68F6">
      <w:pPr>
        <w:pStyle w:val="ListParagraph"/>
        <w:numPr>
          <w:ilvl w:val="2"/>
          <w:numId w:val="1"/>
        </w:numPr>
        <w:ind w:left="0" w:firstLine="0"/>
        <w:rPr>
          <w:highlight w:val="yellow"/>
          <w:shd w:val="clear" w:color="auto" w:fill="FFF2CC"/>
        </w:rPr>
      </w:pPr>
      <w:r w:rsidRPr="003E0928">
        <w:rPr>
          <w:highlight w:val="yellow"/>
          <w:shd w:val="clear" w:color="auto" w:fill="FFF2CC"/>
        </w:rPr>
        <w:t xml:space="preserve">Wash cells with 150 µL </w:t>
      </w:r>
      <w:r w:rsidR="00FB68F6">
        <w:rPr>
          <w:highlight w:val="yellow"/>
          <w:shd w:val="clear" w:color="auto" w:fill="FFF2CC"/>
        </w:rPr>
        <w:t xml:space="preserve">of </w:t>
      </w:r>
      <w:r w:rsidRPr="003E0928">
        <w:rPr>
          <w:highlight w:val="yellow"/>
          <w:shd w:val="clear" w:color="auto" w:fill="FFF2CC"/>
        </w:rPr>
        <w:t>Perm buffer. Centrifuge and flick plate.</w:t>
      </w:r>
      <w:r w:rsidR="00FB68F6">
        <w:rPr>
          <w:highlight w:val="yellow"/>
          <w:shd w:val="clear" w:color="auto" w:fill="FFF2CC"/>
        </w:rPr>
        <w:t xml:space="preserve"> </w:t>
      </w:r>
      <w:r w:rsidRPr="00FB68F6">
        <w:rPr>
          <w:highlight w:val="yellow"/>
          <w:shd w:val="clear" w:color="auto" w:fill="FFF2CC"/>
        </w:rPr>
        <w:t xml:space="preserve">Wash cells with 200 µL </w:t>
      </w:r>
      <w:r w:rsidR="00FB68F6">
        <w:rPr>
          <w:highlight w:val="yellow"/>
          <w:shd w:val="clear" w:color="auto" w:fill="FFF2CC"/>
        </w:rPr>
        <w:t xml:space="preserve">of </w:t>
      </w:r>
      <w:r w:rsidRPr="00FB68F6">
        <w:rPr>
          <w:highlight w:val="yellow"/>
          <w:shd w:val="clear" w:color="auto" w:fill="FFF2CC"/>
        </w:rPr>
        <w:t xml:space="preserve">Perm buffer. Centrifuge and flick </w:t>
      </w:r>
      <w:r w:rsidR="00CA5653">
        <w:rPr>
          <w:highlight w:val="yellow"/>
          <w:shd w:val="clear" w:color="auto" w:fill="FFF2CC"/>
        </w:rPr>
        <w:t xml:space="preserve">the </w:t>
      </w:r>
      <w:r w:rsidRPr="00FB68F6">
        <w:rPr>
          <w:highlight w:val="yellow"/>
          <w:shd w:val="clear" w:color="auto" w:fill="FFF2CC"/>
        </w:rPr>
        <w:t>plate.</w:t>
      </w:r>
    </w:p>
    <w:p w14:paraId="3D1E3D0D" w14:textId="77777777" w:rsidR="00E13138" w:rsidRPr="003E0928" w:rsidRDefault="00E13138" w:rsidP="00FB68F6">
      <w:pPr>
        <w:pStyle w:val="ListParagraph"/>
        <w:ind w:left="0"/>
        <w:rPr>
          <w:highlight w:val="yellow"/>
          <w:shd w:val="clear" w:color="auto" w:fill="FFF2CC"/>
        </w:rPr>
      </w:pPr>
    </w:p>
    <w:p w14:paraId="640308AD" w14:textId="28D7EA87" w:rsidR="00D958F5" w:rsidRPr="003E0928" w:rsidRDefault="009A10D1" w:rsidP="00FB68F6">
      <w:pPr>
        <w:pStyle w:val="ListParagraph"/>
        <w:numPr>
          <w:ilvl w:val="2"/>
          <w:numId w:val="1"/>
        </w:numPr>
        <w:ind w:left="0" w:firstLine="0"/>
        <w:rPr>
          <w:highlight w:val="yellow"/>
          <w:shd w:val="clear" w:color="auto" w:fill="FFF2CC"/>
        </w:rPr>
      </w:pPr>
      <w:r w:rsidRPr="003E0928">
        <w:rPr>
          <w:highlight w:val="yellow"/>
          <w:shd w:val="clear" w:color="auto" w:fill="FFF2CC"/>
        </w:rPr>
        <w:t>Wash cells twice with 200 µL</w:t>
      </w:r>
      <w:r w:rsidR="00FB68F6">
        <w:rPr>
          <w:highlight w:val="yellow"/>
          <w:shd w:val="clear" w:color="auto" w:fill="FFF2CC"/>
        </w:rPr>
        <w:t xml:space="preserve"> of</w:t>
      </w:r>
      <w:r w:rsidRPr="003E0928">
        <w:rPr>
          <w:highlight w:val="yellow"/>
          <w:shd w:val="clear" w:color="auto" w:fill="FFF2CC"/>
        </w:rPr>
        <w:t xml:space="preserve"> </w:t>
      </w:r>
      <w:proofErr w:type="spellStart"/>
      <w:r w:rsidRPr="003E0928">
        <w:rPr>
          <w:highlight w:val="yellow"/>
          <w:shd w:val="clear" w:color="auto" w:fill="FFF2CC"/>
        </w:rPr>
        <w:t>CyFACS</w:t>
      </w:r>
      <w:proofErr w:type="spellEnd"/>
      <w:r w:rsidRPr="003E0928">
        <w:rPr>
          <w:highlight w:val="yellow"/>
          <w:shd w:val="clear" w:color="auto" w:fill="FFF2CC"/>
        </w:rPr>
        <w:t xml:space="preserve">. Centrifuge and flick </w:t>
      </w:r>
      <w:r w:rsidR="00CA5653">
        <w:rPr>
          <w:highlight w:val="yellow"/>
          <w:shd w:val="clear" w:color="auto" w:fill="FFF2CC"/>
        </w:rPr>
        <w:t xml:space="preserve">the </w:t>
      </w:r>
      <w:r w:rsidRPr="003E0928">
        <w:rPr>
          <w:highlight w:val="yellow"/>
          <w:shd w:val="clear" w:color="auto" w:fill="FFF2CC"/>
        </w:rPr>
        <w:t>plate.</w:t>
      </w:r>
    </w:p>
    <w:p w14:paraId="6370AFE2" w14:textId="77777777" w:rsidR="00D958F5" w:rsidRPr="003E0928" w:rsidRDefault="00D958F5" w:rsidP="00FB68F6">
      <w:pPr>
        <w:rPr>
          <w:color w:val="000000" w:themeColor="text1"/>
          <w:highlight w:val="yellow"/>
          <w:shd w:val="clear" w:color="auto" w:fill="FFF2CC"/>
        </w:rPr>
      </w:pPr>
    </w:p>
    <w:p w14:paraId="4CBAA85A" w14:textId="4E724904" w:rsidR="00FB68F6" w:rsidRPr="00396BD0" w:rsidRDefault="009A10D1" w:rsidP="00396BD0">
      <w:pPr>
        <w:pStyle w:val="ListParagraph"/>
        <w:numPr>
          <w:ilvl w:val="1"/>
          <w:numId w:val="1"/>
        </w:numPr>
        <w:ind w:left="0" w:firstLine="0"/>
        <w:rPr>
          <w:color w:val="000000" w:themeColor="text1"/>
          <w:highlight w:val="yellow"/>
          <w:shd w:val="clear" w:color="auto" w:fill="FFF2CC"/>
        </w:rPr>
      </w:pPr>
      <w:r w:rsidRPr="00FB68F6">
        <w:rPr>
          <w:color w:val="000000" w:themeColor="text1"/>
          <w:highlight w:val="yellow"/>
          <w:shd w:val="clear" w:color="auto" w:fill="FFF2CC"/>
        </w:rPr>
        <w:t>DNA intercalator staining</w:t>
      </w:r>
      <w:r w:rsidR="00FB68F6" w:rsidRPr="00FB68F6">
        <w:rPr>
          <w:color w:val="000000" w:themeColor="text1"/>
          <w:highlight w:val="yellow"/>
          <w:shd w:val="clear" w:color="auto" w:fill="FFF2CC"/>
        </w:rPr>
        <w:t>. Perform DNA intercalator staining as described in step 1</w:t>
      </w:r>
      <w:r w:rsidR="00396BD0">
        <w:rPr>
          <w:color w:val="000000" w:themeColor="text1"/>
          <w:highlight w:val="yellow"/>
          <w:shd w:val="clear" w:color="auto" w:fill="FFF2CC"/>
        </w:rPr>
        <w:t xml:space="preserve">.2.9.1. </w:t>
      </w:r>
      <w:r w:rsidR="00FB68F6" w:rsidRPr="00396BD0">
        <w:rPr>
          <w:color w:val="000000" w:themeColor="text1"/>
          <w:highlight w:val="yellow"/>
          <w:shd w:val="clear" w:color="auto" w:fill="FFF2CC"/>
        </w:rPr>
        <w:t>Incubate plate overnight at 4</w:t>
      </w:r>
      <w:r w:rsidR="00CA5653">
        <w:rPr>
          <w:color w:val="000000" w:themeColor="text1"/>
          <w:highlight w:val="yellow"/>
          <w:shd w:val="clear" w:color="auto" w:fill="FFF2CC"/>
        </w:rPr>
        <w:t xml:space="preserve"> </w:t>
      </w:r>
      <w:r w:rsidR="00FB68F6" w:rsidRPr="00396BD0">
        <w:rPr>
          <w:color w:val="000000" w:themeColor="text1"/>
          <w:highlight w:val="yellow"/>
          <w:shd w:val="clear" w:color="auto" w:fill="FFF2CC"/>
        </w:rPr>
        <w:t xml:space="preserve">°C. </w:t>
      </w:r>
    </w:p>
    <w:p w14:paraId="4488447A" w14:textId="77777777" w:rsidR="00FB68F6" w:rsidRPr="00FB68F6" w:rsidRDefault="00FB68F6" w:rsidP="00FB68F6"/>
    <w:p w14:paraId="0D418657" w14:textId="4C794256" w:rsidR="00D958F5" w:rsidRPr="00FB68F6" w:rsidRDefault="009A10D1" w:rsidP="00FB68F6">
      <w:r w:rsidRPr="00FB68F6">
        <w:t>NOTE: Intercalator binds to cellular nucleic acid and is used to identify nucleated cells in mass cytometry.</w:t>
      </w:r>
      <w:r w:rsidR="00FB68F6">
        <w:t xml:space="preserve"> </w:t>
      </w:r>
      <w:r w:rsidRPr="00FB68F6">
        <w:t>Plates can be stored covered with paraf</w:t>
      </w:r>
      <w:r w:rsidR="00FB68F6" w:rsidRPr="00FB68F6">
        <w:t>fin film</w:t>
      </w:r>
      <w:r w:rsidRPr="00FB68F6">
        <w:t xml:space="preserve"> for up to a week at 4</w:t>
      </w:r>
      <w:r w:rsidR="00FB68F6" w:rsidRPr="00FB68F6">
        <w:t xml:space="preserve"> </w:t>
      </w:r>
      <w:r w:rsidRPr="00FB68F6">
        <w:t>°C.</w:t>
      </w:r>
    </w:p>
    <w:p w14:paraId="25CB6A1C" w14:textId="77777777" w:rsidR="00D958F5" w:rsidRPr="003E0928" w:rsidRDefault="00D958F5" w:rsidP="00E13138">
      <w:pPr>
        <w:rPr>
          <w:color w:val="000000" w:themeColor="text1"/>
          <w:highlight w:val="yellow"/>
          <w:shd w:val="clear" w:color="auto" w:fill="FFF2CC"/>
        </w:rPr>
      </w:pPr>
    </w:p>
    <w:p w14:paraId="60EB5564" w14:textId="0039E968" w:rsidR="00396BD0" w:rsidRDefault="00396BD0" w:rsidP="00396BD0">
      <w:pPr>
        <w:pStyle w:val="ListParagraph"/>
        <w:numPr>
          <w:ilvl w:val="1"/>
          <w:numId w:val="1"/>
        </w:numPr>
        <w:ind w:left="0" w:firstLine="0"/>
        <w:rPr>
          <w:color w:val="000000" w:themeColor="text1"/>
          <w:highlight w:val="yellow"/>
          <w:shd w:val="clear" w:color="auto" w:fill="FFF2CC"/>
        </w:rPr>
      </w:pPr>
      <w:r w:rsidRPr="00913366">
        <w:rPr>
          <w:color w:val="000000" w:themeColor="text1"/>
          <w:highlight w:val="yellow"/>
        </w:rPr>
        <w:t xml:space="preserve">Before running the samples on </w:t>
      </w:r>
      <w:proofErr w:type="spellStart"/>
      <w:r w:rsidRPr="00913366">
        <w:rPr>
          <w:color w:val="000000" w:themeColor="text1"/>
          <w:highlight w:val="yellow"/>
        </w:rPr>
        <w:t>CyTOF</w:t>
      </w:r>
      <w:proofErr w:type="spellEnd"/>
      <w:r w:rsidRPr="00913366">
        <w:rPr>
          <w:color w:val="000000" w:themeColor="text1"/>
          <w:highlight w:val="yellow"/>
        </w:rPr>
        <w:t xml:space="preserve">, </w:t>
      </w:r>
      <w:r>
        <w:rPr>
          <w:color w:val="000000" w:themeColor="text1"/>
          <w:highlight w:val="yellow"/>
          <w:shd w:val="clear" w:color="auto" w:fill="FFF2CC"/>
        </w:rPr>
        <w:t>was</w:t>
      </w:r>
      <w:r w:rsidR="00CE38CD">
        <w:rPr>
          <w:color w:val="000000" w:themeColor="text1"/>
          <w:highlight w:val="yellow"/>
          <w:shd w:val="clear" w:color="auto" w:fill="FFF2CC"/>
        </w:rPr>
        <w:t>h</w:t>
      </w:r>
      <w:r>
        <w:rPr>
          <w:color w:val="000000" w:themeColor="text1"/>
          <w:highlight w:val="yellow"/>
          <w:shd w:val="clear" w:color="auto" w:fill="FFF2CC"/>
        </w:rPr>
        <w:t xml:space="preserve"> cells as described in steps 1.2.9.3 and 1.2.9.4.</w:t>
      </w:r>
    </w:p>
    <w:p w14:paraId="3548951B" w14:textId="77777777" w:rsidR="00396BD0" w:rsidRDefault="00396BD0" w:rsidP="00544DD7">
      <w:pPr>
        <w:pStyle w:val="ListParagraph"/>
        <w:ind w:left="0"/>
        <w:rPr>
          <w:color w:val="000000" w:themeColor="text1"/>
          <w:highlight w:val="yellow"/>
          <w:shd w:val="clear" w:color="auto" w:fill="FFF2CC"/>
        </w:rPr>
      </w:pPr>
    </w:p>
    <w:p w14:paraId="64B1C0C8" w14:textId="4289C687" w:rsidR="00D958F5" w:rsidRPr="00FB68F6" w:rsidRDefault="009A10D1" w:rsidP="00FB68F6">
      <w:pPr>
        <w:pStyle w:val="ListParagraph"/>
        <w:numPr>
          <w:ilvl w:val="1"/>
          <w:numId w:val="1"/>
        </w:numPr>
        <w:ind w:left="0" w:firstLine="0"/>
        <w:rPr>
          <w:color w:val="000000" w:themeColor="text1"/>
          <w:highlight w:val="yellow"/>
          <w:shd w:val="clear" w:color="auto" w:fill="FFF2CC"/>
        </w:rPr>
      </w:pPr>
      <w:r w:rsidRPr="00FB68F6">
        <w:rPr>
          <w:color w:val="000000" w:themeColor="text1"/>
          <w:highlight w:val="yellow"/>
          <w:shd w:val="clear" w:color="auto" w:fill="FFF2CC"/>
        </w:rPr>
        <w:lastRenderedPageBreak/>
        <w:t xml:space="preserve">Run samples on </w:t>
      </w:r>
      <w:proofErr w:type="spellStart"/>
      <w:r w:rsidRPr="00FB68F6">
        <w:rPr>
          <w:color w:val="000000" w:themeColor="text1"/>
          <w:highlight w:val="yellow"/>
          <w:shd w:val="clear" w:color="auto" w:fill="FFF2CC"/>
        </w:rPr>
        <w:t>CyTOF</w:t>
      </w:r>
      <w:proofErr w:type="spellEnd"/>
      <w:r w:rsidRPr="00FB68F6">
        <w:rPr>
          <w:color w:val="000000" w:themeColor="text1"/>
          <w:highlight w:val="yellow"/>
          <w:shd w:val="clear" w:color="auto" w:fill="FFF2CC"/>
        </w:rPr>
        <w:t>.</w:t>
      </w:r>
    </w:p>
    <w:p w14:paraId="2D661DAA" w14:textId="77777777" w:rsidR="00355713" w:rsidRDefault="00355713" w:rsidP="00E13138">
      <w:pPr>
        <w:rPr>
          <w:b/>
          <w:color w:val="000000" w:themeColor="text1"/>
        </w:rPr>
      </w:pPr>
      <w:bookmarkStart w:id="3" w:name="1fob9te" w:colFirst="0" w:colLast="0"/>
      <w:bookmarkEnd w:id="2"/>
      <w:bookmarkEnd w:id="3"/>
    </w:p>
    <w:p w14:paraId="418CCB4A" w14:textId="77777777" w:rsidR="00D958F5" w:rsidRPr="00960D40" w:rsidRDefault="009A10D1" w:rsidP="00E13138">
      <w:pPr>
        <w:rPr>
          <w:color w:val="000000" w:themeColor="text1"/>
        </w:rPr>
      </w:pPr>
      <w:r w:rsidRPr="00960D40">
        <w:rPr>
          <w:b/>
          <w:color w:val="000000" w:themeColor="text1"/>
        </w:rPr>
        <w:t>REPRESENTATIVE RESULTS:</w:t>
      </w:r>
      <w:r w:rsidRPr="00960D40">
        <w:rPr>
          <w:color w:val="000000" w:themeColor="text1"/>
        </w:rPr>
        <w:t xml:space="preserve"> </w:t>
      </w:r>
    </w:p>
    <w:p w14:paraId="515FA921" w14:textId="77777777" w:rsidR="00D958F5" w:rsidRPr="00960D40" w:rsidRDefault="009A10D1" w:rsidP="00E13138">
      <w:pPr>
        <w:widowControl/>
        <w:rPr>
          <w:color w:val="000000" w:themeColor="text1"/>
        </w:rPr>
      </w:pPr>
      <w:r w:rsidRPr="00960D40">
        <w:rPr>
          <w:color w:val="000000" w:themeColor="text1"/>
        </w:rPr>
        <w:t>Antibodies were conjugated to metal isotopes using commercially available labeling kits, according to the manufacturer’s instructions. Antibody clones were validated by flow cytometry and mass cytometry prior to use in this panel. An initial list of clones was selected based on review of the literature and antibody availability. The expression levels of some ligands for NK cell receptors are low or undetectable on healthy PBMCs. Therefore, positive staining for some antibodies was validated by stainin</w:t>
      </w:r>
      <w:r w:rsidR="00960D40" w:rsidRPr="00960D40">
        <w:rPr>
          <w:color w:val="000000" w:themeColor="text1"/>
        </w:rPr>
        <w:t xml:space="preserve">g </w:t>
      </w:r>
      <w:r w:rsidRPr="00960D40">
        <w:rPr>
          <w:color w:val="000000" w:themeColor="text1"/>
        </w:rPr>
        <w:t>healthy PBMCs, chronic myeloid leukemia K562 cells, acute lymphoblastic leukemia NALM6 cells, or B cell acute lymphoblastic leukemia 697 cells (</w:t>
      </w:r>
      <w:r w:rsidRPr="00FB68F6">
        <w:rPr>
          <w:b/>
          <w:bCs/>
          <w:color w:val="000000" w:themeColor="text1"/>
        </w:rPr>
        <w:t>Supplemental Figure 1</w:t>
      </w:r>
      <w:r w:rsidRPr="00960D40">
        <w:rPr>
          <w:color w:val="000000" w:themeColor="text1"/>
        </w:rPr>
        <w:t xml:space="preserve">). Clones selected for the NK cell panel that did not produce an adequate stain or were too expensive were substituted for different ones, as detailed in </w:t>
      </w:r>
      <w:r w:rsidRPr="00FB68F6">
        <w:rPr>
          <w:b/>
          <w:bCs/>
          <w:color w:val="000000" w:themeColor="text1"/>
        </w:rPr>
        <w:t xml:space="preserve">Supplemental Table </w:t>
      </w:r>
      <w:proofErr w:type="gramStart"/>
      <w:r w:rsidRPr="00FB68F6">
        <w:rPr>
          <w:b/>
          <w:bCs/>
          <w:color w:val="000000" w:themeColor="text1"/>
        </w:rPr>
        <w:t>1</w:t>
      </w:r>
      <w:proofErr w:type="gramEnd"/>
      <w:r w:rsidRPr="00960D40">
        <w:rPr>
          <w:color w:val="000000" w:themeColor="text1"/>
        </w:rPr>
        <w:t xml:space="preserve"> and shown in </w:t>
      </w:r>
      <w:r w:rsidRPr="00FB68F6">
        <w:rPr>
          <w:b/>
          <w:bCs/>
          <w:color w:val="000000" w:themeColor="text1"/>
        </w:rPr>
        <w:t>Supplemental Figure 2</w:t>
      </w:r>
      <w:r w:rsidRPr="00960D40">
        <w:rPr>
          <w:color w:val="000000" w:themeColor="text1"/>
        </w:rPr>
        <w:t xml:space="preserve">. </w:t>
      </w:r>
    </w:p>
    <w:p w14:paraId="3675BBBA" w14:textId="77777777" w:rsidR="00E13138" w:rsidRDefault="00E13138" w:rsidP="00E13138">
      <w:pPr>
        <w:widowControl/>
        <w:rPr>
          <w:color w:val="000000" w:themeColor="text1"/>
        </w:rPr>
      </w:pPr>
    </w:p>
    <w:p w14:paraId="5DE82942" w14:textId="5ED5CC7D" w:rsidR="00D958F5" w:rsidRPr="00960D40" w:rsidRDefault="009A10D1" w:rsidP="00E13138">
      <w:pPr>
        <w:widowControl/>
        <w:rPr>
          <w:color w:val="000000" w:themeColor="text1"/>
        </w:rPr>
      </w:pPr>
      <w:r w:rsidRPr="00960D40">
        <w:rPr>
          <w:color w:val="000000" w:themeColor="text1"/>
        </w:rPr>
        <w:t>Metal-isotope pairing with antibodies for these panels was performed using the principles outlined by Takahashi et al.</w:t>
      </w:r>
      <w:hyperlink r:id="rId13">
        <w:r w:rsidRPr="00960D40">
          <w:rPr>
            <w:color w:val="000000" w:themeColor="text1"/>
            <w:vertAlign w:val="superscript"/>
          </w:rPr>
          <w:t>16</w:t>
        </w:r>
      </w:hyperlink>
      <w:r w:rsidRPr="00960D40">
        <w:rPr>
          <w:color w:val="000000" w:themeColor="text1"/>
        </w:rPr>
        <w:t>. Lineage markers were of medium to high intensity. Consequently, they were mainly conjugated to low and medium sensitivity masses leaving high sensitivity masses available for conjugation to antibodies against more dimly expressed markers.  A publicly available panel designer softwar</w:t>
      </w:r>
      <w:r w:rsidR="00960D40" w:rsidRPr="00960D40">
        <w:rPr>
          <w:color w:val="000000" w:themeColor="text1"/>
        </w:rPr>
        <w:t xml:space="preserve">e </w:t>
      </w:r>
      <w:r w:rsidRPr="00960D40">
        <w:rPr>
          <w:color w:val="000000" w:themeColor="text1"/>
        </w:rPr>
        <w:t>was used to detect abundance sensitivity (M</w:t>
      </w:r>
      <w:r w:rsidR="00FB68F6">
        <w:rPr>
          <w:color w:val="000000" w:themeColor="text1"/>
        </w:rPr>
        <w:t xml:space="preserve"> </w:t>
      </w:r>
      <w:r w:rsidRPr="00960D40">
        <w:rPr>
          <w:color w:val="000000" w:themeColor="text1"/>
        </w:rPr>
        <w:t>±</w:t>
      </w:r>
      <w:r w:rsidR="00FB68F6">
        <w:rPr>
          <w:color w:val="000000" w:themeColor="text1"/>
        </w:rPr>
        <w:t xml:space="preserve"> </w:t>
      </w:r>
      <w:r w:rsidRPr="00960D40">
        <w:rPr>
          <w:color w:val="000000" w:themeColor="text1"/>
        </w:rPr>
        <w:t>1 bleed</w:t>
      </w:r>
      <w:proofErr w:type="gramStart"/>
      <w:r w:rsidRPr="00960D40">
        <w:rPr>
          <w:color w:val="000000" w:themeColor="text1"/>
        </w:rPr>
        <w:t>)</w:t>
      </w:r>
      <w:proofErr w:type="gramEnd"/>
      <w:r w:rsidRPr="00960D40">
        <w:rPr>
          <w:color w:val="000000" w:themeColor="text1"/>
        </w:rPr>
        <w:t xml:space="preserve"> or oxidation (M</w:t>
      </w:r>
      <w:r w:rsidR="00FB68F6">
        <w:rPr>
          <w:color w:val="000000" w:themeColor="text1"/>
        </w:rPr>
        <w:t xml:space="preserve"> </w:t>
      </w:r>
      <w:r w:rsidRPr="00960D40">
        <w:rPr>
          <w:color w:val="000000" w:themeColor="text1"/>
        </w:rPr>
        <w:t>+</w:t>
      </w:r>
      <w:r w:rsidR="00FB68F6">
        <w:rPr>
          <w:color w:val="000000" w:themeColor="text1"/>
        </w:rPr>
        <w:t xml:space="preserve"> </w:t>
      </w:r>
      <w:r w:rsidRPr="00960D40">
        <w:rPr>
          <w:color w:val="000000" w:themeColor="text1"/>
        </w:rPr>
        <w:t>16 bleed) issues and antibody-metal pairs were re-assigned accordingly. Additionally, several markers were conjugated on different metals with minimal differences noted on signal intensities (</w:t>
      </w:r>
      <w:r w:rsidRPr="00FB68F6">
        <w:rPr>
          <w:b/>
          <w:bCs/>
          <w:color w:val="000000" w:themeColor="text1"/>
        </w:rPr>
        <w:t>Supplemental Table 2</w:t>
      </w:r>
      <w:r w:rsidRPr="00960D40">
        <w:rPr>
          <w:color w:val="000000" w:themeColor="text1"/>
        </w:rPr>
        <w:t xml:space="preserve"> and </w:t>
      </w:r>
      <w:r w:rsidRPr="00FB68F6">
        <w:rPr>
          <w:b/>
          <w:bCs/>
          <w:color w:val="000000" w:themeColor="text1"/>
        </w:rPr>
        <w:t>Supplemental Figure 3</w:t>
      </w:r>
      <w:r w:rsidRPr="00960D40">
        <w:rPr>
          <w:color w:val="000000" w:themeColor="text1"/>
        </w:rPr>
        <w:t xml:space="preserve">). Antibody-metal pairings and clone information for the NK and ligand panels are listed in </w:t>
      </w:r>
      <w:r w:rsidRPr="00FB68F6">
        <w:rPr>
          <w:b/>
          <w:bCs/>
          <w:color w:val="000000" w:themeColor="text1"/>
        </w:rPr>
        <w:t>Table 1</w:t>
      </w:r>
      <w:r w:rsidRPr="00960D40">
        <w:rPr>
          <w:color w:val="000000" w:themeColor="text1"/>
        </w:rPr>
        <w:t xml:space="preserve"> and </w:t>
      </w:r>
      <w:r w:rsidRPr="00FB68F6">
        <w:rPr>
          <w:b/>
          <w:bCs/>
          <w:color w:val="000000" w:themeColor="text1"/>
        </w:rPr>
        <w:t xml:space="preserve">Table </w:t>
      </w:r>
      <w:proofErr w:type="gramStart"/>
      <w:r w:rsidRPr="00FB68F6">
        <w:rPr>
          <w:b/>
          <w:bCs/>
          <w:color w:val="000000" w:themeColor="text1"/>
        </w:rPr>
        <w:t>2</w:t>
      </w:r>
      <w:proofErr w:type="gramEnd"/>
      <w:r w:rsidRPr="00960D40">
        <w:rPr>
          <w:color w:val="000000" w:themeColor="text1"/>
        </w:rPr>
        <w:t xml:space="preserve"> respectively. </w:t>
      </w:r>
    </w:p>
    <w:p w14:paraId="0DA56B1D" w14:textId="77777777" w:rsidR="00E13138" w:rsidRDefault="00E13138" w:rsidP="00E13138">
      <w:pPr>
        <w:widowControl/>
        <w:rPr>
          <w:color w:val="000000" w:themeColor="text1"/>
        </w:rPr>
      </w:pPr>
    </w:p>
    <w:p w14:paraId="2E83B3C0" w14:textId="7FE5E67C" w:rsidR="00D958F5" w:rsidRPr="00960D40" w:rsidRDefault="009A10D1" w:rsidP="00E13138">
      <w:pPr>
        <w:widowControl/>
        <w:rPr>
          <w:color w:val="000000" w:themeColor="text1"/>
        </w:rPr>
      </w:pPr>
      <w:r w:rsidRPr="00960D40">
        <w:rPr>
          <w:color w:val="000000" w:themeColor="text1"/>
        </w:rPr>
        <w:t>In-house conjugated antibodies were titrated on PBMCs at five different titers: 0.625, 1.25, 2.5, 5, and 10 µg/</w:t>
      </w:r>
      <w:proofErr w:type="spellStart"/>
      <w:r w:rsidRPr="00960D40">
        <w:rPr>
          <w:color w:val="000000" w:themeColor="text1"/>
        </w:rPr>
        <w:t>mL.</w:t>
      </w:r>
      <w:proofErr w:type="spellEnd"/>
      <w:r w:rsidRPr="00960D40">
        <w:rPr>
          <w:color w:val="000000" w:themeColor="text1"/>
        </w:rPr>
        <w:t xml:space="preserve"> The lowest antibody titer which resulted in the highest signal intensity and the best separation between positive and negative populations was selected based on visual assessment. Titrations for the NK and ligand panels are shown in </w:t>
      </w:r>
      <w:r w:rsidRPr="00FB68F6">
        <w:rPr>
          <w:b/>
          <w:bCs/>
          <w:color w:val="000000" w:themeColor="text1"/>
        </w:rPr>
        <w:t>Figure 1</w:t>
      </w:r>
      <w:r w:rsidRPr="00960D40">
        <w:rPr>
          <w:color w:val="000000" w:themeColor="text1"/>
        </w:rPr>
        <w:t xml:space="preserve"> and </w:t>
      </w:r>
      <w:r w:rsidRPr="00FB68F6">
        <w:rPr>
          <w:b/>
          <w:bCs/>
          <w:color w:val="000000" w:themeColor="text1"/>
        </w:rPr>
        <w:t xml:space="preserve">Figure </w:t>
      </w:r>
      <w:proofErr w:type="gramStart"/>
      <w:r w:rsidRPr="00FB68F6">
        <w:rPr>
          <w:b/>
          <w:bCs/>
          <w:color w:val="000000" w:themeColor="text1"/>
        </w:rPr>
        <w:t>2</w:t>
      </w:r>
      <w:proofErr w:type="gramEnd"/>
      <w:r w:rsidRPr="00960D40">
        <w:rPr>
          <w:color w:val="000000" w:themeColor="text1"/>
        </w:rPr>
        <w:t xml:space="preserve"> respectively. For certain markers, a clear distinction between positive and negative populations was not identified, due to the marker being dimly expressed or universally positive. To determine the most accurate working dilution for these antibodies, titers were assessed on multiple cell types (PBMCs, T cells, B cells, or NK cells), or on cell lines, to allow for identification of both positive and negative cell populations (</w:t>
      </w:r>
      <w:r w:rsidRPr="00FB68F6">
        <w:rPr>
          <w:b/>
          <w:bCs/>
          <w:color w:val="000000" w:themeColor="text1"/>
        </w:rPr>
        <w:t>Supplemental Figure 4</w:t>
      </w:r>
      <w:r w:rsidRPr="00960D40">
        <w:rPr>
          <w:color w:val="000000" w:themeColor="text1"/>
        </w:rPr>
        <w:t>). The staining index (SI) for each marker was not calculated as this metric is not applicable to CyTOF data</w:t>
      </w:r>
      <w:hyperlink r:id="rId14">
        <w:r w:rsidRPr="00960D40">
          <w:rPr>
            <w:color w:val="000000" w:themeColor="text1"/>
            <w:vertAlign w:val="superscript"/>
          </w:rPr>
          <w:t>17,18</w:t>
        </w:r>
      </w:hyperlink>
      <w:r w:rsidRPr="00960D40">
        <w:rPr>
          <w:color w:val="000000" w:themeColor="text1"/>
        </w:rPr>
        <w:t xml:space="preserve">. </w:t>
      </w:r>
    </w:p>
    <w:p w14:paraId="173B8171" w14:textId="77777777" w:rsidR="00E13138" w:rsidRDefault="00E13138" w:rsidP="00E13138">
      <w:pPr>
        <w:rPr>
          <w:color w:val="000000" w:themeColor="text1"/>
        </w:rPr>
      </w:pPr>
    </w:p>
    <w:p w14:paraId="0D93A060" w14:textId="384D7401" w:rsidR="00D958F5" w:rsidRPr="00960D40" w:rsidRDefault="009A10D1" w:rsidP="00E13138">
      <w:pPr>
        <w:rPr>
          <w:color w:val="000000" w:themeColor="text1"/>
        </w:rPr>
      </w:pPr>
      <w:r w:rsidRPr="00960D40">
        <w:rPr>
          <w:color w:val="000000" w:themeColor="text1"/>
        </w:rPr>
        <w:t>The panels described here were designed to be compatible with sample barcoding. There are several barcoding methods available for CyTOF. The most commonly used are a commercially available Palladium-based kit, which requires fixation prior to barcoding, and the CD45-based barcoding method described by Mei et al.</w:t>
      </w:r>
      <w:hyperlink r:id="rId15">
        <w:r w:rsidRPr="00960D40">
          <w:rPr>
            <w:color w:val="000000" w:themeColor="text1"/>
            <w:vertAlign w:val="superscript"/>
          </w:rPr>
          <w:t>15</w:t>
        </w:r>
      </w:hyperlink>
      <w:r w:rsidRPr="00960D40">
        <w:rPr>
          <w:color w:val="000000" w:themeColor="text1"/>
        </w:rPr>
        <w:t>, which allows the barcoding of live cells. To assess which barcoding method best fit our needs, we tested the stability of NK cell marker staining after fixation in an early version of the NK cell panel (</w:t>
      </w:r>
      <w:proofErr w:type="gramStart"/>
      <w:r w:rsidRPr="00FB68F6">
        <w:rPr>
          <w:b/>
          <w:bCs/>
          <w:color w:val="000000" w:themeColor="text1"/>
        </w:rPr>
        <w:t>Supplemental  Figure</w:t>
      </w:r>
      <w:proofErr w:type="gramEnd"/>
      <w:r w:rsidRPr="00FB68F6">
        <w:rPr>
          <w:b/>
          <w:bCs/>
          <w:color w:val="000000" w:themeColor="text1"/>
        </w:rPr>
        <w:t xml:space="preserve"> 5</w:t>
      </w:r>
      <w:r w:rsidRPr="00960D40">
        <w:rPr>
          <w:color w:val="000000" w:themeColor="text1"/>
        </w:rPr>
        <w:t xml:space="preserve">). We found that the expression of </w:t>
      </w:r>
      <w:proofErr w:type="gramStart"/>
      <w:r w:rsidRPr="00960D40">
        <w:rPr>
          <w:color w:val="000000" w:themeColor="text1"/>
        </w:rPr>
        <w:t>a majority of</w:t>
      </w:r>
      <w:proofErr w:type="gramEnd"/>
      <w:r w:rsidRPr="00960D40">
        <w:rPr>
          <w:color w:val="000000" w:themeColor="text1"/>
        </w:rPr>
        <w:t xml:space="preserve"> NK cell markers was affected by fixation. Consequently, we decided to use a modified two-of-four, CD45-based barcoding method on live cells</w:t>
      </w:r>
      <w:hyperlink r:id="rId16">
        <w:r w:rsidRPr="00960D40">
          <w:rPr>
            <w:color w:val="000000" w:themeColor="text1"/>
            <w:vertAlign w:val="superscript"/>
          </w:rPr>
          <w:t>15</w:t>
        </w:r>
      </w:hyperlink>
      <w:r w:rsidRPr="00960D40">
        <w:rPr>
          <w:color w:val="000000" w:themeColor="text1"/>
        </w:rPr>
        <w:t xml:space="preserve">. This barcoding </w:t>
      </w:r>
      <w:r w:rsidRPr="00960D40">
        <w:rPr>
          <w:color w:val="000000" w:themeColor="text1"/>
        </w:rPr>
        <w:lastRenderedPageBreak/>
        <w:t xml:space="preserve">method uses </w:t>
      </w:r>
      <w:r w:rsidRPr="00960D40">
        <w:rPr>
          <w:color w:val="000000" w:themeColor="text1"/>
          <w:vertAlign w:val="superscript"/>
        </w:rPr>
        <w:t>102</w:t>
      </w:r>
      <w:r w:rsidRPr="00960D40">
        <w:rPr>
          <w:color w:val="000000" w:themeColor="text1"/>
        </w:rPr>
        <w:t xml:space="preserve">Pd, </w:t>
      </w:r>
      <w:r w:rsidRPr="00960D40">
        <w:rPr>
          <w:color w:val="000000" w:themeColor="text1"/>
          <w:vertAlign w:val="superscript"/>
        </w:rPr>
        <w:t>104</w:t>
      </w:r>
      <w:r w:rsidRPr="00960D40">
        <w:rPr>
          <w:color w:val="000000" w:themeColor="text1"/>
        </w:rPr>
        <w:t xml:space="preserve">Pd, </w:t>
      </w:r>
      <w:r w:rsidRPr="00960D40">
        <w:rPr>
          <w:color w:val="000000" w:themeColor="text1"/>
          <w:vertAlign w:val="superscript"/>
        </w:rPr>
        <w:t>106</w:t>
      </w:r>
      <w:r w:rsidRPr="00960D40">
        <w:rPr>
          <w:color w:val="000000" w:themeColor="text1"/>
        </w:rPr>
        <w:t xml:space="preserve">Pd, and </w:t>
      </w:r>
      <w:r w:rsidRPr="00960D40">
        <w:rPr>
          <w:color w:val="000000" w:themeColor="text1"/>
          <w:vertAlign w:val="superscript"/>
        </w:rPr>
        <w:t>108</w:t>
      </w:r>
      <w:r w:rsidRPr="00960D40">
        <w:rPr>
          <w:color w:val="000000" w:themeColor="text1"/>
        </w:rPr>
        <w:t xml:space="preserve">Pd, and differs from the three-of-six method originally described by Mei et al., which used </w:t>
      </w:r>
      <w:r w:rsidRPr="00960D40">
        <w:rPr>
          <w:color w:val="000000" w:themeColor="text1"/>
          <w:vertAlign w:val="superscript"/>
        </w:rPr>
        <w:t>104</w:t>
      </w:r>
      <w:r w:rsidRPr="00960D40">
        <w:rPr>
          <w:color w:val="000000" w:themeColor="text1"/>
        </w:rPr>
        <w:t xml:space="preserve">Pd, </w:t>
      </w:r>
      <w:r w:rsidRPr="00960D40">
        <w:rPr>
          <w:color w:val="000000" w:themeColor="text1"/>
          <w:vertAlign w:val="superscript"/>
        </w:rPr>
        <w:t>106</w:t>
      </w:r>
      <w:r w:rsidRPr="00960D40">
        <w:rPr>
          <w:color w:val="000000" w:themeColor="text1"/>
        </w:rPr>
        <w:t xml:space="preserve">Pd, </w:t>
      </w:r>
      <w:r w:rsidRPr="00960D40">
        <w:rPr>
          <w:color w:val="000000" w:themeColor="text1"/>
          <w:vertAlign w:val="superscript"/>
        </w:rPr>
        <w:t>108</w:t>
      </w:r>
      <w:r w:rsidRPr="00960D40">
        <w:rPr>
          <w:color w:val="000000" w:themeColor="text1"/>
        </w:rPr>
        <w:t xml:space="preserve">Pd, </w:t>
      </w:r>
      <w:r w:rsidRPr="00960D40">
        <w:rPr>
          <w:color w:val="000000" w:themeColor="text1"/>
          <w:vertAlign w:val="superscript"/>
        </w:rPr>
        <w:t>110</w:t>
      </w:r>
      <w:r w:rsidRPr="00960D40">
        <w:rPr>
          <w:color w:val="000000" w:themeColor="text1"/>
        </w:rPr>
        <w:t xml:space="preserve">Pd, </w:t>
      </w:r>
      <w:r w:rsidRPr="00960D40">
        <w:rPr>
          <w:color w:val="000000" w:themeColor="text1"/>
          <w:vertAlign w:val="superscript"/>
        </w:rPr>
        <w:t>113</w:t>
      </w:r>
      <w:r w:rsidRPr="00960D40">
        <w:rPr>
          <w:color w:val="000000" w:themeColor="text1"/>
        </w:rPr>
        <w:t xml:space="preserve">In, and </w:t>
      </w:r>
      <w:r w:rsidRPr="00960D40">
        <w:rPr>
          <w:color w:val="000000" w:themeColor="text1"/>
          <w:vertAlign w:val="superscript"/>
        </w:rPr>
        <w:t>115</w:t>
      </w:r>
      <w:r w:rsidRPr="00960D40">
        <w:rPr>
          <w:color w:val="000000" w:themeColor="text1"/>
        </w:rPr>
        <w:t xml:space="preserve">In. Indium channels were not included in our barcoding scheme, as they interfered with the signal from </w:t>
      </w:r>
      <w:r w:rsidRPr="00960D40">
        <w:rPr>
          <w:color w:val="000000" w:themeColor="text1"/>
          <w:vertAlign w:val="superscript"/>
        </w:rPr>
        <w:t>115</w:t>
      </w:r>
      <w:r w:rsidRPr="00960D40">
        <w:rPr>
          <w:color w:val="000000" w:themeColor="text1"/>
        </w:rPr>
        <w:t xml:space="preserve">In-CD3. </w:t>
      </w:r>
      <w:r w:rsidRPr="00960D40">
        <w:rPr>
          <w:color w:val="000000" w:themeColor="text1"/>
          <w:vertAlign w:val="superscript"/>
        </w:rPr>
        <w:t>110</w:t>
      </w:r>
      <w:r w:rsidRPr="00960D40">
        <w:rPr>
          <w:color w:val="000000" w:themeColor="text1"/>
        </w:rPr>
        <w:t xml:space="preserve">Pd was not included as it interfered with the signal from the HLA-DR </w:t>
      </w:r>
      <w:proofErr w:type="spellStart"/>
      <w:r w:rsidRPr="00960D40">
        <w:rPr>
          <w:color w:val="000000" w:themeColor="text1"/>
        </w:rPr>
        <w:t>Qdot</w:t>
      </w:r>
      <w:proofErr w:type="spellEnd"/>
      <w:r w:rsidRPr="00960D40">
        <w:rPr>
          <w:color w:val="000000" w:themeColor="text1"/>
        </w:rPr>
        <w:t xml:space="preserve"> and the CD19 </w:t>
      </w:r>
      <w:proofErr w:type="spellStart"/>
      <w:r w:rsidRPr="00960D40">
        <w:rPr>
          <w:color w:val="000000" w:themeColor="text1"/>
        </w:rPr>
        <w:t>Qdot</w:t>
      </w:r>
      <w:proofErr w:type="spellEnd"/>
      <w:r w:rsidRPr="00960D40">
        <w:rPr>
          <w:color w:val="000000" w:themeColor="text1"/>
        </w:rPr>
        <w:t xml:space="preserve"> in the NK cell and ligand panels, respectively.</w:t>
      </w:r>
    </w:p>
    <w:p w14:paraId="00EB636F" w14:textId="77777777" w:rsidR="00E13138" w:rsidRDefault="00E13138" w:rsidP="00E13138">
      <w:pPr>
        <w:widowControl/>
        <w:rPr>
          <w:color w:val="000000" w:themeColor="text1"/>
        </w:rPr>
      </w:pPr>
    </w:p>
    <w:p w14:paraId="737C2B42" w14:textId="51CEADB9" w:rsidR="00D958F5" w:rsidRPr="00960D40" w:rsidRDefault="009A10D1" w:rsidP="00E13138">
      <w:pPr>
        <w:widowControl/>
        <w:rPr>
          <w:color w:val="000000" w:themeColor="text1"/>
          <w:highlight w:val="white"/>
        </w:rPr>
      </w:pPr>
      <w:r w:rsidRPr="00960D40">
        <w:rPr>
          <w:color w:val="000000" w:themeColor="text1"/>
        </w:rPr>
        <w:t xml:space="preserve">Although we recommend NK cell purification prior to staining, the NK cell panel is designed to allow for the phenotyping of NK cells from whole PBMCs. An example of our NK cell gating strategy is shown in </w:t>
      </w:r>
      <w:r w:rsidRPr="00FB68F6">
        <w:rPr>
          <w:b/>
          <w:bCs/>
          <w:color w:val="000000" w:themeColor="text1"/>
        </w:rPr>
        <w:t>Figure 3A</w:t>
      </w:r>
      <w:r w:rsidRPr="00960D40">
        <w:rPr>
          <w:color w:val="000000" w:themeColor="text1"/>
        </w:rPr>
        <w:t xml:space="preserve"> using PBMCs from a healthy donor. Staining and gates for each of the NK markers are shown on healthy, isolated NK cells in </w:t>
      </w:r>
      <w:r w:rsidRPr="00FB68F6">
        <w:rPr>
          <w:b/>
          <w:bCs/>
          <w:color w:val="000000" w:themeColor="text1"/>
        </w:rPr>
        <w:t>Figure 3B</w:t>
      </w:r>
      <w:r w:rsidR="00960D40" w:rsidRPr="00960D40">
        <w:rPr>
          <w:color w:val="000000" w:themeColor="text1"/>
        </w:rPr>
        <w:t xml:space="preserve">. </w:t>
      </w:r>
      <w:r w:rsidRPr="00960D40">
        <w:rPr>
          <w:color w:val="000000" w:themeColor="text1"/>
        </w:rPr>
        <w:t xml:space="preserve">The ligand panel is designed to detect the expression of NK cell ligands on whole PBMCs. </w:t>
      </w:r>
      <w:r w:rsidRPr="00FB68F6">
        <w:rPr>
          <w:b/>
          <w:bCs/>
          <w:color w:val="000000" w:themeColor="text1"/>
        </w:rPr>
        <w:t>Figure 4A</w:t>
      </w:r>
      <w:r w:rsidRPr="00960D40">
        <w:rPr>
          <w:color w:val="000000" w:themeColor="text1"/>
        </w:rPr>
        <w:t xml:space="preserve"> illustrates the gating strategy used to identify CD4</w:t>
      </w:r>
      <w:r w:rsidRPr="00960D40">
        <w:rPr>
          <w:color w:val="000000" w:themeColor="text1"/>
          <w:vertAlign w:val="superscript"/>
        </w:rPr>
        <w:t>+</w:t>
      </w:r>
      <w:r w:rsidRPr="00960D40">
        <w:rPr>
          <w:color w:val="000000" w:themeColor="text1"/>
        </w:rPr>
        <w:t xml:space="preserve"> T cells, CD8</w:t>
      </w:r>
      <w:r w:rsidRPr="00960D40">
        <w:rPr>
          <w:color w:val="000000" w:themeColor="text1"/>
          <w:vertAlign w:val="superscript"/>
        </w:rPr>
        <w:t>+</w:t>
      </w:r>
      <w:r w:rsidRPr="00960D40">
        <w:rPr>
          <w:color w:val="000000" w:themeColor="text1"/>
        </w:rPr>
        <w:t xml:space="preserve"> T cells, NK cells, monocytes, and CD19</w:t>
      </w:r>
      <w:r w:rsidRPr="00960D40">
        <w:rPr>
          <w:color w:val="000000" w:themeColor="text1"/>
          <w:vertAlign w:val="superscript"/>
        </w:rPr>
        <w:t>+</w:t>
      </w:r>
      <w:r w:rsidRPr="00960D40">
        <w:rPr>
          <w:color w:val="000000" w:themeColor="text1"/>
        </w:rPr>
        <w:t xml:space="preserve"> B cells in PBMCs from a healthy donor. Representative staining examples for each ligand are shown in </w:t>
      </w:r>
      <w:r w:rsidRPr="00FB68F6">
        <w:rPr>
          <w:b/>
          <w:bCs/>
          <w:color w:val="000000" w:themeColor="text1"/>
        </w:rPr>
        <w:t>Figure 4B</w:t>
      </w:r>
      <w:r w:rsidRPr="00960D40">
        <w:rPr>
          <w:color w:val="000000" w:themeColor="text1"/>
        </w:rPr>
        <w:t xml:space="preserve"> using </w:t>
      </w:r>
      <w:r w:rsidRPr="00960D40">
        <w:rPr>
          <w:color w:val="000000" w:themeColor="text1"/>
          <w:highlight w:val="white"/>
        </w:rPr>
        <w:t xml:space="preserve">PBMCs from acute dengue patients and HIV-infected individuals who were virologically suppressed. </w:t>
      </w:r>
    </w:p>
    <w:p w14:paraId="73E61C00" w14:textId="77777777" w:rsidR="00E13138" w:rsidRDefault="00E13138" w:rsidP="00E13138">
      <w:pPr>
        <w:widowControl/>
        <w:rPr>
          <w:color w:val="000000" w:themeColor="text1"/>
          <w:highlight w:val="white"/>
        </w:rPr>
      </w:pPr>
    </w:p>
    <w:p w14:paraId="7D947F81" w14:textId="77803D1B" w:rsidR="00D958F5" w:rsidRPr="00960D40" w:rsidRDefault="009A10D1" w:rsidP="00E13138">
      <w:pPr>
        <w:widowControl/>
        <w:rPr>
          <w:color w:val="000000" w:themeColor="text1"/>
          <w:highlight w:val="white"/>
        </w:rPr>
      </w:pPr>
      <w:r w:rsidRPr="00960D40">
        <w:rPr>
          <w:color w:val="000000" w:themeColor="text1"/>
          <w:highlight w:val="white"/>
        </w:rPr>
        <w:t>To ensure panel stability over time, our protocol includes two possible options: lyophilization through a third</w:t>
      </w:r>
      <w:r w:rsidR="00FB68F6">
        <w:rPr>
          <w:color w:val="000000" w:themeColor="text1"/>
          <w:highlight w:val="white"/>
        </w:rPr>
        <w:t>-</w:t>
      </w:r>
      <w:r w:rsidRPr="00960D40">
        <w:rPr>
          <w:color w:val="000000" w:themeColor="text1"/>
          <w:highlight w:val="white"/>
        </w:rPr>
        <w:t>party company into single use beads or freezing of pre-made aliquots at -80</w:t>
      </w:r>
      <w:r w:rsidR="00FB68F6">
        <w:rPr>
          <w:color w:val="000000" w:themeColor="text1"/>
          <w:highlight w:val="white"/>
        </w:rPr>
        <w:t xml:space="preserve"> </w:t>
      </w:r>
      <w:r w:rsidRPr="00960D40">
        <w:rPr>
          <w:color w:val="000000" w:themeColor="text1"/>
          <w:highlight w:val="white"/>
        </w:rPr>
        <w:t xml:space="preserve">°C. For this protocol, the NK panel was </w:t>
      </w:r>
      <w:r w:rsidR="00960D40" w:rsidRPr="00960D40">
        <w:rPr>
          <w:color w:val="000000" w:themeColor="text1"/>
          <w:highlight w:val="white"/>
        </w:rPr>
        <w:t>lyophilized</w:t>
      </w:r>
      <w:r w:rsidR="00836B97">
        <w:rPr>
          <w:color w:val="000000" w:themeColor="text1"/>
          <w:highlight w:val="white"/>
        </w:rPr>
        <w:t>,</w:t>
      </w:r>
      <w:r w:rsidRPr="00960D40">
        <w:rPr>
          <w:color w:val="000000" w:themeColor="text1"/>
          <w:highlight w:val="white"/>
        </w:rPr>
        <w:t xml:space="preserve"> and the ligand panel was frozen. Both methods were validated prior to using each panel on clinical samples. </w:t>
      </w:r>
    </w:p>
    <w:p w14:paraId="3ACA8BFB" w14:textId="77777777" w:rsidR="00E13138" w:rsidRDefault="00E13138" w:rsidP="00E13138">
      <w:pPr>
        <w:widowControl/>
        <w:rPr>
          <w:color w:val="000000" w:themeColor="text1"/>
          <w:highlight w:val="white"/>
        </w:rPr>
      </w:pPr>
    </w:p>
    <w:p w14:paraId="44EC73DF" w14:textId="6931E928" w:rsidR="00D958F5" w:rsidRPr="00960D40" w:rsidRDefault="009A10D1" w:rsidP="00E13138">
      <w:pPr>
        <w:widowControl/>
        <w:rPr>
          <w:color w:val="000000" w:themeColor="text1"/>
          <w:highlight w:val="white"/>
        </w:rPr>
      </w:pPr>
      <w:r w:rsidRPr="00960D40">
        <w:rPr>
          <w:color w:val="000000" w:themeColor="text1"/>
          <w:highlight w:val="white"/>
        </w:rPr>
        <w:t xml:space="preserve">We produced over 700 reactions of the NK panel from one master mix by performing multiple conjugations of each antibody in the panel. After validation and titration of each conjugated antibody, the antibodies were combined into a master mix, filtered through a sterile 0.1 </w:t>
      </w:r>
      <w:proofErr w:type="spellStart"/>
      <w:r w:rsidRPr="00960D40">
        <w:rPr>
          <w:color w:val="000000" w:themeColor="text1"/>
          <w:highlight w:val="white"/>
        </w:rPr>
        <w:t>μm</w:t>
      </w:r>
      <w:proofErr w:type="spellEnd"/>
      <w:r w:rsidRPr="00960D40">
        <w:rPr>
          <w:color w:val="000000" w:themeColor="text1"/>
          <w:highlight w:val="white"/>
        </w:rPr>
        <w:t xml:space="preserve"> syringe filter unit, and sent to a </w:t>
      </w:r>
      <w:proofErr w:type="gramStart"/>
      <w:r w:rsidRPr="00960D40">
        <w:rPr>
          <w:color w:val="000000" w:themeColor="text1"/>
          <w:highlight w:val="white"/>
        </w:rPr>
        <w:t>third party</w:t>
      </w:r>
      <w:proofErr w:type="gramEnd"/>
      <w:r w:rsidRPr="00960D40">
        <w:rPr>
          <w:color w:val="000000" w:themeColor="text1"/>
          <w:highlight w:val="white"/>
        </w:rPr>
        <w:t xml:space="preserve"> company for lyophilizatio</w:t>
      </w:r>
      <w:r w:rsidR="00960D40" w:rsidRPr="00960D40">
        <w:rPr>
          <w:color w:val="000000" w:themeColor="text1"/>
          <w:highlight w:val="white"/>
        </w:rPr>
        <w:t>n.</w:t>
      </w:r>
      <w:r w:rsidRPr="00960D40">
        <w:rPr>
          <w:color w:val="000000" w:themeColor="text1"/>
          <w:highlight w:val="white"/>
        </w:rPr>
        <w:t xml:space="preserve"> Two sets of </w:t>
      </w:r>
      <w:proofErr w:type="gramStart"/>
      <w:r w:rsidRPr="00960D40">
        <w:rPr>
          <w:color w:val="000000" w:themeColor="text1"/>
          <w:highlight w:val="white"/>
        </w:rPr>
        <w:t>single-stain</w:t>
      </w:r>
      <w:proofErr w:type="gramEnd"/>
      <w:r w:rsidRPr="00960D40">
        <w:rPr>
          <w:color w:val="000000" w:themeColor="text1"/>
          <w:highlight w:val="white"/>
        </w:rPr>
        <w:t xml:space="preserve"> </w:t>
      </w:r>
      <w:proofErr w:type="spellStart"/>
      <w:r w:rsidRPr="00960D40">
        <w:rPr>
          <w:color w:val="000000" w:themeColor="text1"/>
          <w:highlight w:val="white"/>
        </w:rPr>
        <w:t>lyospheres</w:t>
      </w:r>
      <w:proofErr w:type="spellEnd"/>
      <w:r w:rsidRPr="00960D40">
        <w:rPr>
          <w:color w:val="000000" w:themeColor="text1"/>
          <w:highlight w:val="white"/>
        </w:rPr>
        <w:t xml:space="preserve"> were made, one for surface staining, and one for intracellular staining. Antibodies not conjugated in-house (HLA-DR and CD16) could not be added to the </w:t>
      </w:r>
      <w:proofErr w:type="spellStart"/>
      <w:r w:rsidRPr="00960D40">
        <w:rPr>
          <w:color w:val="000000" w:themeColor="text1"/>
          <w:highlight w:val="white"/>
        </w:rPr>
        <w:t>lyosphere</w:t>
      </w:r>
      <w:proofErr w:type="spellEnd"/>
      <w:r w:rsidRPr="00960D40">
        <w:rPr>
          <w:color w:val="000000" w:themeColor="text1"/>
          <w:highlight w:val="white"/>
        </w:rPr>
        <w:t>, due to the presence of antibody stabilize</w:t>
      </w:r>
      <w:r w:rsidR="00960D40" w:rsidRPr="00960D40">
        <w:rPr>
          <w:color w:val="000000" w:themeColor="text1"/>
          <w:highlight w:val="white"/>
        </w:rPr>
        <w:t xml:space="preserve">r, </w:t>
      </w:r>
      <w:r w:rsidRPr="00960D40">
        <w:rPr>
          <w:color w:val="000000" w:themeColor="text1"/>
          <w:highlight w:val="white"/>
        </w:rPr>
        <w:t xml:space="preserve">which interferes with the lyophilization process. These antibodies are added to the panel on the day of staining. A comparison between stains obtained pre- and post-lyophilization is shown in </w:t>
      </w:r>
      <w:r w:rsidRPr="00FB68F6">
        <w:rPr>
          <w:b/>
          <w:bCs/>
          <w:color w:val="000000" w:themeColor="text1"/>
          <w:highlight w:val="white"/>
        </w:rPr>
        <w:t>Supplemental Figure 6</w:t>
      </w:r>
      <w:r w:rsidRPr="00960D40">
        <w:rPr>
          <w:color w:val="000000" w:themeColor="text1"/>
          <w:highlight w:val="white"/>
        </w:rPr>
        <w:t xml:space="preserve">. The clone of LILRB1 antibody initially used in the </w:t>
      </w:r>
      <w:proofErr w:type="spellStart"/>
      <w:r w:rsidRPr="00960D40">
        <w:rPr>
          <w:color w:val="000000" w:themeColor="text1"/>
          <w:highlight w:val="white"/>
        </w:rPr>
        <w:t>lyospheres</w:t>
      </w:r>
      <w:proofErr w:type="spellEnd"/>
      <w:r w:rsidRPr="00960D40">
        <w:rPr>
          <w:color w:val="000000" w:themeColor="text1"/>
          <w:highlight w:val="white"/>
        </w:rPr>
        <w:t xml:space="preserve"> did not produce a sufficiently strong stain (</w:t>
      </w:r>
      <w:r w:rsidRPr="00FB68F6">
        <w:rPr>
          <w:b/>
          <w:bCs/>
          <w:color w:val="000000" w:themeColor="text1"/>
          <w:highlight w:val="white"/>
        </w:rPr>
        <w:t>Supplemental Table 1</w:t>
      </w:r>
      <w:r w:rsidRPr="00960D40">
        <w:rPr>
          <w:color w:val="000000" w:themeColor="text1"/>
          <w:highlight w:val="white"/>
        </w:rPr>
        <w:t xml:space="preserve"> and </w:t>
      </w:r>
      <w:r w:rsidRPr="00FB68F6">
        <w:rPr>
          <w:b/>
          <w:bCs/>
          <w:color w:val="000000" w:themeColor="text1"/>
          <w:highlight w:val="white"/>
        </w:rPr>
        <w:t>Supplemental Figure 2</w:t>
      </w:r>
      <w:r w:rsidRPr="00960D40">
        <w:rPr>
          <w:color w:val="000000" w:themeColor="text1"/>
          <w:highlight w:val="white"/>
        </w:rPr>
        <w:t xml:space="preserve">). A better clone was subsequently identified, </w:t>
      </w:r>
      <w:proofErr w:type="gramStart"/>
      <w:r w:rsidRPr="00960D40">
        <w:rPr>
          <w:color w:val="000000" w:themeColor="text1"/>
          <w:highlight w:val="white"/>
        </w:rPr>
        <w:t>conjugated</w:t>
      </w:r>
      <w:proofErr w:type="gramEnd"/>
      <w:r w:rsidRPr="00960D40">
        <w:rPr>
          <w:color w:val="000000" w:themeColor="text1"/>
          <w:highlight w:val="white"/>
        </w:rPr>
        <w:t xml:space="preserve"> and added to the panel on the day of staining (</w:t>
      </w:r>
      <w:r w:rsidRPr="00FB68F6">
        <w:rPr>
          <w:b/>
          <w:bCs/>
          <w:color w:val="000000" w:themeColor="text1"/>
          <w:highlight w:val="white"/>
        </w:rPr>
        <w:t>Table 1</w:t>
      </w:r>
      <w:r w:rsidRPr="00960D40">
        <w:rPr>
          <w:color w:val="000000" w:themeColor="text1"/>
          <w:highlight w:val="white"/>
        </w:rPr>
        <w:t xml:space="preserve">). The KIR2DS2 polyclonal antibody used in the </w:t>
      </w:r>
      <w:proofErr w:type="spellStart"/>
      <w:r w:rsidRPr="00960D40">
        <w:rPr>
          <w:color w:val="000000" w:themeColor="text1"/>
          <w:highlight w:val="white"/>
        </w:rPr>
        <w:t>lyopsheres</w:t>
      </w:r>
      <w:proofErr w:type="spellEnd"/>
      <w:r w:rsidRPr="00960D40">
        <w:rPr>
          <w:color w:val="000000" w:themeColor="text1"/>
          <w:highlight w:val="white"/>
        </w:rPr>
        <w:t xml:space="preserve"> was noted to produce a non-specific stain after lyophilization and we do not recommend its use for subsequent analyses (</w:t>
      </w:r>
      <w:r w:rsidRPr="00FB68F6">
        <w:rPr>
          <w:b/>
          <w:bCs/>
          <w:color w:val="000000" w:themeColor="text1"/>
          <w:highlight w:val="white"/>
        </w:rPr>
        <w:t>Supplemental Table 1</w:t>
      </w:r>
      <w:r w:rsidRPr="00960D40">
        <w:rPr>
          <w:color w:val="000000" w:themeColor="text1"/>
          <w:highlight w:val="white"/>
        </w:rPr>
        <w:t xml:space="preserve"> and </w:t>
      </w:r>
      <w:r w:rsidRPr="00FB68F6">
        <w:rPr>
          <w:b/>
          <w:bCs/>
          <w:color w:val="000000" w:themeColor="text1"/>
          <w:highlight w:val="white"/>
        </w:rPr>
        <w:t>Supplemental Figure 2</w:t>
      </w:r>
      <w:r w:rsidRPr="00960D40">
        <w:rPr>
          <w:color w:val="000000" w:themeColor="text1"/>
          <w:highlight w:val="white"/>
        </w:rPr>
        <w:t>). Most intracellular stains slightly increased in intensity following lyophilization (</w:t>
      </w:r>
      <w:r w:rsidRPr="00FB68F6">
        <w:rPr>
          <w:b/>
          <w:bCs/>
          <w:color w:val="000000" w:themeColor="text1"/>
          <w:highlight w:val="white"/>
        </w:rPr>
        <w:t>Supplemental Figure 6</w:t>
      </w:r>
      <w:r w:rsidRPr="00960D40">
        <w:rPr>
          <w:color w:val="000000" w:themeColor="text1"/>
          <w:highlight w:val="white"/>
        </w:rPr>
        <w:t>).</w:t>
      </w:r>
    </w:p>
    <w:p w14:paraId="5B6135C0" w14:textId="77777777" w:rsidR="00E13138" w:rsidRDefault="00E13138" w:rsidP="00E13138">
      <w:pPr>
        <w:widowControl/>
        <w:rPr>
          <w:highlight w:val="white"/>
        </w:rPr>
      </w:pPr>
    </w:p>
    <w:p w14:paraId="3E25FD2A" w14:textId="61FA3769" w:rsidR="00D958F5" w:rsidRDefault="009A10D1" w:rsidP="00E13138">
      <w:pPr>
        <w:widowControl/>
      </w:pPr>
      <w:r>
        <w:rPr>
          <w:highlight w:val="white"/>
        </w:rPr>
        <w:t>Prior to storage of the ligand panel master mix at -80</w:t>
      </w:r>
      <w:r w:rsidR="00FB68F6">
        <w:rPr>
          <w:highlight w:val="white"/>
        </w:rPr>
        <w:t xml:space="preserve"> </w:t>
      </w:r>
      <w:r>
        <w:rPr>
          <w:highlight w:val="white"/>
        </w:rPr>
        <w:t>°C, we tested two different storage conditions. We prepared a smaller master mix of this panel and stored aliquots at -80</w:t>
      </w:r>
      <w:r w:rsidR="00FB68F6">
        <w:rPr>
          <w:highlight w:val="white"/>
        </w:rPr>
        <w:t xml:space="preserve"> </w:t>
      </w:r>
      <w:r>
        <w:rPr>
          <w:highlight w:val="white"/>
        </w:rPr>
        <w:t>°C and in liquid nitrogen for approximately two months. After two months we stained whole PBMCs with the frozen aliquots. We compared the staining to that of PBMCs from the same donor stained with the freshly prepared panel (</w:t>
      </w:r>
      <w:r w:rsidRPr="00FB68F6">
        <w:rPr>
          <w:b/>
          <w:bCs/>
          <w:highlight w:val="white"/>
        </w:rPr>
        <w:t>Supplemental Figure 7</w:t>
      </w:r>
      <w:r>
        <w:rPr>
          <w:highlight w:val="white"/>
        </w:rPr>
        <w:t>). We found storage at -80</w:t>
      </w:r>
      <w:r w:rsidR="00FB68F6">
        <w:rPr>
          <w:highlight w:val="white"/>
        </w:rPr>
        <w:t xml:space="preserve"> </w:t>
      </w:r>
      <w:r>
        <w:rPr>
          <w:highlight w:val="white"/>
        </w:rPr>
        <w:t xml:space="preserve">°C and in liquid nitrogen does not change the signal intensity for most markers. In fact, the signal intensity of anti-pan HLA class I, anti-CD7, anti-CD4, anti-HLA-Bw4, anti-CD14, anti-CD11b, and anti-LFA-3 is </w:t>
      </w:r>
      <w:r>
        <w:rPr>
          <w:highlight w:val="white"/>
        </w:rPr>
        <w:lastRenderedPageBreak/>
        <w:t>higher upon freezing, particularly in the case of samples stored at -80</w:t>
      </w:r>
      <w:r w:rsidR="00FB68F6">
        <w:rPr>
          <w:highlight w:val="white"/>
        </w:rPr>
        <w:t xml:space="preserve"> </w:t>
      </w:r>
      <w:r>
        <w:rPr>
          <w:highlight w:val="white"/>
        </w:rPr>
        <w:t>°C. We could not determine whether the signal intensities of anti-LLT-1, anti-Nectin-1, anti-MICA/B, anti-DR4/5, anti-ULBP-1,2,5,6, anti-Nectin-2, anti-CD155, and anti-B7-H6 were affected by freezing, due to the fact that healthy PBMCs do not express high levels of these markers. However, validation of these markers on cell lines (</w:t>
      </w:r>
      <w:r w:rsidRPr="00FB68F6">
        <w:rPr>
          <w:b/>
          <w:bCs/>
          <w:highlight w:val="white"/>
        </w:rPr>
        <w:t>Supplemental Figure 1</w:t>
      </w:r>
      <w:r>
        <w:rPr>
          <w:highlight w:val="white"/>
        </w:rPr>
        <w:t>) was performed using conjugated antibodies stored at -80</w:t>
      </w:r>
      <w:r w:rsidR="00FB68F6">
        <w:rPr>
          <w:highlight w:val="white"/>
        </w:rPr>
        <w:t xml:space="preserve"> </w:t>
      </w:r>
      <w:r>
        <w:rPr>
          <w:highlight w:val="white"/>
        </w:rPr>
        <w:t xml:space="preserve">°C. Consequently, we were confident that freezing did not result in a significant loss of signal. Signal intensity did decrease upon freezing for five markers: anti-CD8, anti-ICAM-1, anti-CCR2, anti-CD33, and anti-CD56. However, in </w:t>
      </w:r>
      <w:proofErr w:type="gramStart"/>
      <w:r>
        <w:rPr>
          <w:highlight w:val="white"/>
        </w:rPr>
        <w:t>all of</w:t>
      </w:r>
      <w:proofErr w:type="gramEnd"/>
      <w:r>
        <w:rPr>
          <w:highlight w:val="white"/>
        </w:rPr>
        <w:t xml:space="preserve"> these cases the clear separation between the positive and negative populations remained. Given that metal-conjugated antibodies are not stable at 4</w:t>
      </w:r>
      <w:r w:rsidR="00FB68F6">
        <w:rPr>
          <w:highlight w:val="white"/>
        </w:rPr>
        <w:t xml:space="preserve"> </w:t>
      </w:r>
      <w:r>
        <w:rPr>
          <w:highlight w:val="white"/>
        </w:rPr>
        <w:t>°C for long periods of time, freezing was necessary to preserve panel stability long-term, and despite a decrease in staining intensity in a subset of markers, we were able to retain sufficient staining separation. Importantly, the loss of signal intensity of anti-CD8, anti-CCR2, and anti-CD56 was greater in the samples stored in liquid nitrogen compared to those stored at -80</w:t>
      </w:r>
      <w:r w:rsidR="00FB68F6">
        <w:rPr>
          <w:highlight w:val="white"/>
        </w:rPr>
        <w:t xml:space="preserve"> </w:t>
      </w:r>
      <w:r>
        <w:rPr>
          <w:highlight w:val="white"/>
        </w:rPr>
        <w:t>°C. Based on this data, we decided to store the panel at -80</w:t>
      </w:r>
      <w:r w:rsidR="00FB68F6">
        <w:rPr>
          <w:highlight w:val="white"/>
        </w:rPr>
        <w:t xml:space="preserve"> </w:t>
      </w:r>
      <w:r>
        <w:rPr>
          <w:highlight w:val="white"/>
        </w:rPr>
        <w:t>°C.</w:t>
      </w:r>
    </w:p>
    <w:p w14:paraId="526E1537" w14:textId="77777777" w:rsidR="00D958F5" w:rsidRDefault="00D958F5" w:rsidP="00E13138">
      <w:pPr>
        <w:widowControl/>
        <w:pBdr>
          <w:top w:val="nil"/>
          <w:left w:val="nil"/>
          <w:bottom w:val="nil"/>
          <w:right w:val="nil"/>
          <w:between w:val="nil"/>
        </w:pBdr>
        <w:rPr>
          <w:b/>
        </w:rPr>
      </w:pPr>
    </w:p>
    <w:p w14:paraId="6430BA77" w14:textId="77777777" w:rsidR="00D958F5" w:rsidRDefault="009A10D1" w:rsidP="00E13138">
      <w:pPr>
        <w:widowControl/>
        <w:pBdr>
          <w:top w:val="nil"/>
          <w:left w:val="nil"/>
          <w:bottom w:val="nil"/>
          <w:right w:val="nil"/>
          <w:between w:val="nil"/>
        </w:pBdr>
        <w:rPr>
          <w:i/>
          <w:color w:val="808080"/>
        </w:rPr>
      </w:pPr>
      <w:r>
        <w:rPr>
          <w:b/>
        </w:rPr>
        <w:t>FIGURE AND TABLE LEGENDS:</w:t>
      </w:r>
      <w:r>
        <w:rPr>
          <w:i/>
          <w:color w:val="808080"/>
        </w:rPr>
        <w:t xml:space="preserve"> </w:t>
      </w:r>
    </w:p>
    <w:p w14:paraId="3C6E5F1E" w14:textId="77777777" w:rsidR="00D958F5" w:rsidRDefault="00D958F5" w:rsidP="00E13138">
      <w:pPr>
        <w:widowControl/>
        <w:pBdr>
          <w:top w:val="nil"/>
          <w:left w:val="nil"/>
          <w:bottom w:val="nil"/>
          <w:right w:val="nil"/>
          <w:between w:val="nil"/>
        </w:pBdr>
        <w:rPr>
          <w:i/>
          <w:color w:val="808080"/>
        </w:rPr>
      </w:pPr>
    </w:p>
    <w:p w14:paraId="7143CD59" w14:textId="77777777" w:rsidR="00D958F5" w:rsidRDefault="009A10D1" w:rsidP="00E13138">
      <w:pPr>
        <w:rPr>
          <w:highlight w:val="white"/>
        </w:rPr>
      </w:pPr>
      <w:r>
        <w:rPr>
          <w:b/>
          <w:highlight w:val="white"/>
        </w:rPr>
        <w:t xml:space="preserve">Figure 1: Titration of in-house conjugated antibody-metal conjugates for NK panel. </w:t>
      </w:r>
      <w:r>
        <w:rPr>
          <w:highlight w:val="white"/>
        </w:rPr>
        <w:t>Titrations of in-house conjugated antibodies were performed on PBMCs from a healthy donor using five different concentrations: 0.625, 1.25, 2.5, 5, and 10 µg/</w:t>
      </w:r>
      <w:proofErr w:type="spellStart"/>
      <w:r>
        <w:rPr>
          <w:highlight w:val="white"/>
        </w:rPr>
        <w:t>mL.</w:t>
      </w:r>
      <w:proofErr w:type="spellEnd"/>
      <w:r>
        <w:rPr>
          <w:highlight w:val="white"/>
        </w:rPr>
        <w:t xml:space="preserve"> Titers for anti-CD3, anti-CD14, anti-CD33, anti-CD19, anti-PD-1 and anti-CD56 were determined by gating on live cells. Titers for anti-CD4 and anti-CD8 were determined by gating on T cells. Titers for the remaining antibodies were determined by gating on NK cells. Since NKp44 is not expressed on resting NK cells, titers were determined on PBMCs stimulated with IL-2 and shown on NK cells. The red arrows indicate the titer selected for each antibody. </w:t>
      </w:r>
    </w:p>
    <w:p w14:paraId="5129CC29" w14:textId="77777777" w:rsidR="00D958F5" w:rsidRDefault="00D958F5" w:rsidP="00E13138">
      <w:pPr>
        <w:rPr>
          <w:highlight w:val="white"/>
        </w:rPr>
      </w:pPr>
    </w:p>
    <w:p w14:paraId="4B8A3269" w14:textId="77777777" w:rsidR="00D958F5" w:rsidRDefault="009A10D1" w:rsidP="00E13138">
      <w:pPr>
        <w:rPr>
          <w:highlight w:val="white"/>
        </w:rPr>
      </w:pPr>
      <w:r>
        <w:rPr>
          <w:b/>
          <w:highlight w:val="white"/>
        </w:rPr>
        <w:t>Figure 2: Titration of in-house conjugated ligand panel antibodies.</w:t>
      </w:r>
      <w:r>
        <w:rPr>
          <w:highlight w:val="white"/>
        </w:rPr>
        <w:t xml:space="preserve"> Titrations of in-house conjugated antibodies were performed on PBMCs from a healthy donor using five different concentrations: 0.625, 1.25, 2.5, 5, and 10 µg/</w:t>
      </w:r>
      <w:proofErr w:type="spellStart"/>
      <w:r>
        <w:rPr>
          <w:highlight w:val="white"/>
        </w:rPr>
        <w:t>mL.</w:t>
      </w:r>
      <w:proofErr w:type="spellEnd"/>
      <w:r>
        <w:rPr>
          <w:highlight w:val="white"/>
        </w:rPr>
        <w:t xml:space="preserve"> Titers for anti-HLA-DR, anti-ICAM-1, anti-CCR2, anti-CD14, anti-CD11b, and anti-LFA-3 were </w:t>
      </w:r>
      <w:r w:rsidRPr="00960D40">
        <w:rPr>
          <w:color w:val="000000" w:themeColor="text1"/>
          <w:highlight w:val="white"/>
        </w:rPr>
        <w:t>determined by gating on CD3</w:t>
      </w:r>
      <w:r w:rsidRPr="00960D40">
        <w:rPr>
          <w:color w:val="000000" w:themeColor="text1"/>
          <w:highlight w:val="white"/>
          <w:vertAlign w:val="superscript"/>
        </w:rPr>
        <w:t>-</w:t>
      </w:r>
      <w:r w:rsidRPr="00960D40">
        <w:rPr>
          <w:color w:val="000000" w:themeColor="text1"/>
          <w:highlight w:val="white"/>
        </w:rPr>
        <w:t>CD7</w:t>
      </w:r>
      <w:r w:rsidRPr="00960D40">
        <w:rPr>
          <w:color w:val="000000" w:themeColor="text1"/>
          <w:highlight w:val="white"/>
          <w:vertAlign w:val="superscript"/>
        </w:rPr>
        <w:t>-</w:t>
      </w:r>
      <w:r w:rsidRPr="00960D40">
        <w:rPr>
          <w:color w:val="000000" w:themeColor="text1"/>
          <w:highlight w:val="white"/>
        </w:rPr>
        <w:t xml:space="preserve"> cells. Titers for anti-CD3, anti-pan HLA class I, anti-CD7, anti-CD48, anti-LLT-1, anti-HLA-C,E, anti-HLA-E, anti-</w:t>
      </w:r>
      <w:proofErr w:type="spellStart"/>
      <w:r w:rsidRPr="00960D40">
        <w:rPr>
          <w:color w:val="000000" w:themeColor="text1"/>
          <w:highlight w:val="white"/>
        </w:rPr>
        <w:t>FasR</w:t>
      </w:r>
      <w:proofErr w:type="spellEnd"/>
      <w:r w:rsidRPr="00960D40">
        <w:rPr>
          <w:color w:val="000000" w:themeColor="text1"/>
          <w:highlight w:val="white"/>
        </w:rPr>
        <w:t xml:space="preserve">, anti-Nectin-1, anti-MICA/MICB, anti-DR4/DR5, anti-ULBP-1,2,5,6, anti-Nectin-2, anti-CD155, anti-HLA-Bw4, anti-HLA-Bw6, anti-CD33, anti-CD56, and anti-B7-H6 were </w:t>
      </w:r>
      <w:r>
        <w:rPr>
          <w:highlight w:val="white"/>
        </w:rPr>
        <w:t>determined by gating on live cells. Titers for anti-CD4 and anti-CD8 were determined by gating on CD3</w:t>
      </w:r>
      <w:r>
        <w:rPr>
          <w:highlight w:val="white"/>
          <w:vertAlign w:val="superscript"/>
        </w:rPr>
        <w:t>+</w:t>
      </w:r>
      <w:r>
        <w:rPr>
          <w:highlight w:val="white"/>
        </w:rPr>
        <w:t xml:space="preserve"> cells. The red arrows indicate the titer selected for each antibody.</w:t>
      </w:r>
    </w:p>
    <w:p w14:paraId="0FBCC71B" w14:textId="77777777" w:rsidR="00D958F5" w:rsidRDefault="00D958F5" w:rsidP="00E13138">
      <w:pPr>
        <w:widowControl/>
        <w:rPr>
          <w:b/>
        </w:rPr>
      </w:pPr>
    </w:p>
    <w:p w14:paraId="582F0BEE" w14:textId="3BA7BEA1" w:rsidR="00D958F5" w:rsidRDefault="009A10D1" w:rsidP="00E13138">
      <w:pPr>
        <w:rPr>
          <w:highlight w:val="white"/>
        </w:rPr>
      </w:pPr>
      <w:r>
        <w:rPr>
          <w:b/>
          <w:highlight w:val="white"/>
        </w:rPr>
        <w:t>Figure 3</w:t>
      </w:r>
      <w:r w:rsidR="00FB68F6">
        <w:rPr>
          <w:b/>
          <w:highlight w:val="white"/>
        </w:rPr>
        <w:t>:</w:t>
      </w:r>
      <w:r>
        <w:rPr>
          <w:b/>
          <w:highlight w:val="white"/>
        </w:rPr>
        <w:t xml:space="preserve"> NK panel gating strategy and performance. </w:t>
      </w:r>
      <w:r>
        <w:rPr>
          <w:highlight w:val="white"/>
        </w:rPr>
        <w:t>(</w:t>
      </w:r>
      <w:r w:rsidRPr="00FB68F6">
        <w:rPr>
          <w:b/>
          <w:bCs/>
          <w:highlight w:val="white"/>
        </w:rPr>
        <w:t>A</w:t>
      </w:r>
      <w:r>
        <w:rPr>
          <w:highlight w:val="white"/>
        </w:rPr>
        <w:t xml:space="preserve">) Serial negative gating from whole PBMCs to NK </w:t>
      </w:r>
      <w:r w:rsidRPr="00960D40">
        <w:rPr>
          <w:color w:val="000000" w:themeColor="text1"/>
          <w:highlight w:val="white"/>
        </w:rPr>
        <w:t xml:space="preserve">cells is shown in a healthy donor. Intact, bead and event-length gates ensure successful gating to single cells. Cisplatin staining was performed as a Live/Dead stain. T </w:t>
      </w:r>
      <w:proofErr w:type="gramStart"/>
      <w:r w:rsidRPr="00960D40">
        <w:rPr>
          <w:color w:val="000000" w:themeColor="text1"/>
          <w:highlight w:val="white"/>
        </w:rPr>
        <w:t>cells  and</w:t>
      </w:r>
      <w:proofErr w:type="gramEnd"/>
      <w:r w:rsidRPr="00960D40">
        <w:rPr>
          <w:color w:val="000000" w:themeColor="text1"/>
          <w:highlight w:val="white"/>
        </w:rPr>
        <w:t xml:space="preserve"> B cells were excluded using CD3 and CD19. Monocytes were excluded by negative </w:t>
      </w:r>
      <w:proofErr w:type="spellStart"/>
      <w:r w:rsidRPr="00960D40">
        <w:rPr>
          <w:color w:val="000000" w:themeColor="text1"/>
          <w:highlight w:val="white"/>
        </w:rPr>
        <w:t>gating</w:t>
      </w:r>
      <w:proofErr w:type="spellEnd"/>
      <w:r w:rsidRPr="00960D40">
        <w:rPr>
          <w:color w:val="000000" w:themeColor="text1"/>
          <w:highlight w:val="white"/>
        </w:rPr>
        <w:t xml:space="preserve"> on CD4 and CD14/CD33 and by further negative gating of CD56-/HLA-</w:t>
      </w:r>
      <w:proofErr w:type="spellStart"/>
      <w:r w:rsidRPr="00960D40">
        <w:rPr>
          <w:color w:val="000000" w:themeColor="text1"/>
          <w:highlight w:val="white"/>
        </w:rPr>
        <w:t>DR</w:t>
      </w:r>
      <w:r w:rsidRPr="00960D40">
        <w:rPr>
          <w:color w:val="000000" w:themeColor="text1"/>
          <w:highlight w:val="white"/>
          <w:vertAlign w:val="superscript"/>
        </w:rPr>
        <w:t>bright</w:t>
      </w:r>
      <w:proofErr w:type="spellEnd"/>
      <w:r w:rsidRPr="00960D40">
        <w:rPr>
          <w:color w:val="000000" w:themeColor="text1"/>
          <w:highlight w:val="white"/>
        </w:rPr>
        <w:t xml:space="preserve"> cells. CD56 and CD16 were used to identify different subsets of NK cells (CD56</w:t>
      </w:r>
      <w:r w:rsidRPr="00960D40">
        <w:rPr>
          <w:color w:val="000000" w:themeColor="text1"/>
          <w:highlight w:val="white"/>
          <w:vertAlign w:val="superscript"/>
        </w:rPr>
        <w:t>bright</w:t>
      </w:r>
      <w:r w:rsidRPr="00960D40">
        <w:rPr>
          <w:color w:val="000000" w:themeColor="text1"/>
          <w:highlight w:val="white"/>
        </w:rPr>
        <w:t>, CD56</w:t>
      </w:r>
      <w:r w:rsidRPr="00960D40">
        <w:rPr>
          <w:color w:val="000000" w:themeColor="text1"/>
          <w:highlight w:val="white"/>
          <w:vertAlign w:val="superscript"/>
        </w:rPr>
        <w:t>dim</w:t>
      </w:r>
      <w:r w:rsidRPr="00960D40">
        <w:rPr>
          <w:color w:val="000000" w:themeColor="text1"/>
          <w:highlight w:val="white"/>
        </w:rPr>
        <w:t xml:space="preserve"> and CD56</w:t>
      </w:r>
      <w:r w:rsidRPr="00960D40">
        <w:rPr>
          <w:color w:val="000000" w:themeColor="text1"/>
          <w:highlight w:val="white"/>
          <w:vertAlign w:val="superscript"/>
        </w:rPr>
        <w:t>-</w:t>
      </w:r>
      <w:r w:rsidRPr="00960D40">
        <w:rPr>
          <w:color w:val="000000" w:themeColor="text1"/>
          <w:highlight w:val="white"/>
        </w:rPr>
        <w:t>). (</w:t>
      </w:r>
      <w:r w:rsidRPr="00FB68F6">
        <w:rPr>
          <w:b/>
          <w:bCs/>
          <w:color w:val="000000" w:themeColor="text1"/>
          <w:highlight w:val="white"/>
        </w:rPr>
        <w:t>B</w:t>
      </w:r>
      <w:r w:rsidRPr="00960D40">
        <w:rPr>
          <w:color w:val="000000" w:themeColor="text1"/>
          <w:highlight w:val="white"/>
        </w:rPr>
        <w:t xml:space="preserve">) Examples of expression of NK cell receptors on NK cells from one healthy donor </w:t>
      </w:r>
      <w:r>
        <w:rPr>
          <w:highlight w:val="white"/>
        </w:rPr>
        <w:t>purified by magnetic-bead isolation.</w:t>
      </w:r>
    </w:p>
    <w:p w14:paraId="1FE9A159" w14:textId="77777777" w:rsidR="00D958F5" w:rsidRDefault="00D958F5" w:rsidP="00E13138">
      <w:pPr>
        <w:rPr>
          <w:highlight w:val="white"/>
        </w:rPr>
      </w:pPr>
    </w:p>
    <w:p w14:paraId="60DF9EC8" w14:textId="77777777" w:rsidR="00D958F5" w:rsidRPr="00960D40" w:rsidRDefault="009A10D1" w:rsidP="00E13138">
      <w:pPr>
        <w:rPr>
          <w:color w:val="000000" w:themeColor="text1"/>
          <w:highlight w:val="white"/>
        </w:rPr>
      </w:pPr>
      <w:r w:rsidRPr="00960D40">
        <w:rPr>
          <w:b/>
          <w:color w:val="000000" w:themeColor="text1"/>
          <w:highlight w:val="white"/>
        </w:rPr>
        <w:t>Figure 4: Ligand panel gating and performance.</w:t>
      </w:r>
      <w:r w:rsidRPr="00960D40">
        <w:rPr>
          <w:color w:val="000000" w:themeColor="text1"/>
          <w:highlight w:val="white"/>
        </w:rPr>
        <w:t xml:space="preserve"> (</w:t>
      </w:r>
      <w:r w:rsidRPr="00FB68F6">
        <w:rPr>
          <w:b/>
          <w:bCs/>
          <w:color w:val="000000" w:themeColor="text1"/>
          <w:highlight w:val="white"/>
        </w:rPr>
        <w:t>A</w:t>
      </w:r>
      <w:r w:rsidRPr="00960D40">
        <w:rPr>
          <w:color w:val="000000" w:themeColor="text1"/>
          <w:highlight w:val="white"/>
        </w:rPr>
        <w:t xml:space="preserve">) Gating of major immune cell subsets from PBMCs derived from a healthy donor following normalization, calibration bead removal, and </w:t>
      </w:r>
      <w:proofErr w:type="spellStart"/>
      <w:r w:rsidRPr="00960D40">
        <w:rPr>
          <w:color w:val="000000" w:themeColor="text1"/>
          <w:highlight w:val="white"/>
        </w:rPr>
        <w:t>debarcodin</w:t>
      </w:r>
      <w:r w:rsidR="00960D40" w:rsidRPr="00960D40">
        <w:rPr>
          <w:color w:val="000000" w:themeColor="text1"/>
          <w:highlight w:val="white"/>
        </w:rPr>
        <w:t>g</w:t>
      </w:r>
      <w:proofErr w:type="spellEnd"/>
      <w:r w:rsidR="00960D40" w:rsidRPr="00960D40">
        <w:rPr>
          <w:color w:val="000000" w:themeColor="text1"/>
          <w:highlight w:val="white"/>
        </w:rPr>
        <w:t>.</w:t>
      </w:r>
      <w:r w:rsidRPr="00960D40">
        <w:rPr>
          <w:color w:val="000000" w:themeColor="text1"/>
          <w:highlight w:val="white"/>
        </w:rPr>
        <w:t xml:space="preserve"> (</w:t>
      </w:r>
      <w:r w:rsidRPr="00FB68F6">
        <w:rPr>
          <w:b/>
          <w:bCs/>
          <w:color w:val="000000" w:themeColor="text1"/>
          <w:highlight w:val="white"/>
        </w:rPr>
        <w:t>B</w:t>
      </w:r>
      <w:r w:rsidRPr="00960D40">
        <w:rPr>
          <w:color w:val="000000" w:themeColor="text1"/>
          <w:highlight w:val="white"/>
        </w:rPr>
        <w:t>) Expression of ligands for NK cell receptors as well as several myeloid markers on live PBMCs. Staining for all ligands except Nectin-1 and B7-H6 is shown on PBMCs from acute dengue patients. Staining for Nectin-1 and B7-H6 is shown on PBMCs from HIV-infected individuals who were virologically suppressed.</w:t>
      </w:r>
    </w:p>
    <w:p w14:paraId="7DDB5B7C" w14:textId="77777777" w:rsidR="00D958F5" w:rsidRDefault="00D958F5" w:rsidP="00E13138">
      <w:pPr>
        <w:widowControl/>
        <w:rPr>
          <w:b/>
        </w:rPr>
      </w:pPr>
    </w:p>
    <w:p w14:paraId="63519569" w14:textId="77777777" w:rsidR="00D958F5" w:rsidRPr="00D15C4A" w:rsidRDefault="009A10D1" w:rsidP="00E13138">
      <w:pPr>
        <w:widowControl/>
        <w:rPr>
          <w:color w:val="000000" w:themeColor="text1"/>
        </w:rPr>
      </w:pPr>
      <w:r w:rsidRPr="00D15C4A">
        <w:rPr>
          <w:b/>
          <w:color w:val="000000" w:themeColor="text1"/>
        </w:rPr>
        <w:t xml:space="preserve">Supplemental Figure 1: Verification of antibody clones for ligand panel on cell lines. </w:t>
      </w:r>
      <w:r w:rsidRPr="00D15C4A">
        <w:rPr>
          <w:color w:val="000000" w:themeColor="text1"/>
        </w:rPr>
        <w:t>Antibodies against ligands for NK cell receptors that are expressed at low levels on healthy PBMCs were validated by staining cell lines. Chronic myeloid leukemia K562 cells were stained with anti-ICAM-1, anti-MICA/MICB, anti-DR4/DR5, anti-ULBP-1,2,5,6, anti-Nectin-2, anti-CD155, and anti-B7-H6. Acute lymphoblastic leukemia NALM6 cells were stained with anti-LLT-1 and B cell acute lymphoblastic leukemia 697 cells were stained with anti-Nectin-1. Dot plots and histograms showing staining on healthy PBMCs are in blue. Dot plots and histograms showing staining on the respective cell line are in red. The percentage of cells of the respective cell line that are positive for a given marker are provided.</w:t>
      </w:r>
    </w:p>
    <w:p w14:paraId="4BDDD69A" w14:textId="77777777" w:rsidR="00D958F5" w:rsidRDefault="00D958F5" w:rsidP="00E13138">
      <w:pPr>
        <w:widowControl/>
      </w:pPr>
    </w:p>
    <w:p w14:paraId="5117D298" w14:textId="46FCCE72" w:rsidR="00D958F5" w:rsidRPr="00FB68F6" w:rsidRDefault="009A10D1" w:rsidP="00E13138">
      <w:pPr>
        <w:rPr>
          <w:b/>
          <w:highlight w:val="white"/>
        </w:rPr>
      </w:pPr>
      <w:r>
        <w:rPr>
          <w:b/>
          <w:highlight w:val="white"/>
        </w:rPr>
        <w:t>Supplemental Figure 2: Validation of antibody clones.</w:t>
      </w:r>
      <w:r w:rsidR="00FB68F6">
        <w:rPr>
          <w:b/>
          <w:highlight w:val="white"/>
        </w:rPr>
        <w:t xml:space="preserve"> </w:t>
      </w:r>
      <w:r>
        <w:rPr>
          <w:highlight w:val="white"/>
        </w:rPr>
        <w:t>(</w:t>
      </w:r>
      <w:r w:rsidRPr="00FB68F6">
        <w:rPr>
          <w:b/>
          <w:bCs/>
          <w:highlight w:val="white"/>
        </w:rPr>
        <w:t>A</w:t>
      </w:r>
      <w:r>
        <w:rPr>
          <w:highlight w:val="white"/>
        </w:rPr>
        <w:t xml:space="preserve">) Different antibody clones were tested </w:t>
      </w:r>
      <w:r w:rsidRPr="00D15C4A">
        <w:rPr>
          <w:color w:val="000000" w:themeColor="text1"/>
          <w:highlight w:val="white"/>
        </w:rPr>
        <w:t>in healthy donors to identify the clone with the best specificity. 2B4, CXCR6, KIR2DS4, NKG2A and TIGIT are shown on NK cells. CD56 and LILRB1 are shown on live cells. (</w:t>
      </w:r>
      <w:r w:rsidRPr="00FB68F6">
        <w:rPr>
          <w:b/>
          <w:bCs/>
          <w:color w:val="000000" w:themeColor="text1"/>
          <w:highlight w:val="white"/>
        </w:rPr>
        <w:t>B</w:t>
      </w:r>
      <w:r w:rsidRPr="00D15C4A">
        <w:rPr>
          <w:color w:val="000000" w:themeColor="text1"/>
          <w:highlight w:val="white"/>
        </w:rPr>
        <w:t>) The KIR2DS2 antibody clone showed a non-specific stain after lyophilization. An example of staining on the same donor is provided pre- and post-lyophilization</w:t>
      </w:r>
      <w:r>
        <w:rPr>
          <w:highlight w:val="white"/>
        </w:rPr>
        <w:t>.</w:t>
      </w:r>
    </w:p>
    <w:p w14:paraId="19F6E418" w14:textId="77777777" w:rsidR="00D958F5" w:rsidRDefault="00D958F5" w:rsidP="00E13138">
      <w:pPr>
        <w:rPr>
          <w:b/>
          <w:highlight w:val="white"/>
        </w:rPr>
      </w:pPr>
    </w:p>
    <w:p w14:paraId="1FD9B6D2" w14:textId="498808A9" w:rsidR="00D958F5" w:rsidRPr="00FB68F6" w:rsidRDefault="009A10D1" w:rsidP="00E13138">
      <w:r>
        <w:rPr>
          <w:b/>
          <w:highlight w:val="white"/>
        </w:rPr>
        <w:t>Supplemental Figure 3</w:t>
      </w:r>
      <w:r w:rsidR="00181029">
        <w:rPr>
          <w:b/>
          <w:highlight w:val="white"/>
        </w:rPr>
        <w:t xml:space="preserve">: </w:t>
      </w:r>
      <w:r>
        <w:rPr>
          <w:b/>
          <w:highlight w:val="white"/>
        </w:rPr>
        <w:t>Optimization of antibody/metal pairs.</w:t>
      </w:r>
      <w:r w:rsidR="00FB68F6">
        <w:t xml:space="preserve"> </w:t>
      </w:r>
      <w:r w:rsidRPr="00D15C4A">
        <w:rPr>
          <w:color w:val="000000" w:themeColor="text1"/>
          <w:highlight w:val="white"/>
        </w:rPr>
        <w:t>Staining of PBMCs from healthy donors are shown. (</w:t>
      </w:r>
      <w:r w:rsidRPr="00FB68F6">
        <w:rPr>
          <w:b/>
          <w:bCs/>
          <w:color w:val="000000" w:themeColor="text1"/>
          <w:highlight w:val="white"/>
        </w:rPr>
        <w:t>A</w:t>
      </w:r>
      <w:r w:rsidRPr="00D15C4A">
        <w:rPr>
          <w:color w:val="000000" w:themeColor="text1"/>
          <w:highlight w:val="white"/>
        </w:rPr>
        <w:t>) Antibody/metal pairs tested for the panel. (</w:t>
      </w:r>
      <w:r w:rsidRPr="00FB68F6">
        <w:rPr>
          <w:b/>
          <w:bCs/>
          <w:color w:val="000000" w:themeColor="text1"/>
          <w:highlight w:val="white"/>
        </w:rPr>
        <w:t>B</w:t>
      </w:r>
      <w:r w:rsidRPr="00D15C4A">
        <w:rPr>
          <w:color w:val="000000" w:themeColor="text1"/>
          <w:highlight w:val="white"/>
        </w:rPr>
        <w:t>) Antibody/metal pairs used in the panel. LILRB1 and PD1 are shown on live cells. All the other markers are shown on NK cells.</w:t>
      </w:r>
    </w:p>
    <w:p w14:paraId="7E476808" w14:textId="77777777" w:rsidR="00D958F5" w:rsidRPr="00D15C4A" w:rsidRDefault="00D958F5" w:rsidP="00E13138">
      <w:pPr>
        <w:rPr>
          <w:color w:val="000000" w:themeColor="text1"/>
        </w:rPr>
      </w:pPr>
    </w:p>
    <w:p w14:paraId="019E47BF" w14:textId="3FBB9096" w:rsidR="00D958F5" w:rsidRPr="00FB68F6" w:rsidRDefault="009A10D1" w:rsidP="00E13138">
      <w:pPr>
        <w:rPr>
          <w:b/>
          <w:color w:val="000000" w:themeColor="text1"/>
          <w:highlight w:val="white"/>
        </w:rPr>
      </w:pPr>
      <w:r w:rsidRPr="00D15C4A">
        <w:rPr>
          <w:b/>
          <w:color w:val="000000" w:themeColor="text1"/>
          <w:highlight w:val="white"/>
        </w:rPr>
        <w:t>Supplemental Figure 4</w:t>
      </w:r>
      <w:r w:rsidR="00181029">
        <w:rPr>
          <w:b/>
          <w:color w:val="000000" w:themeColor="text1"/>
          <w:highlight w:val="white"/>
        </w:rPr>
        <w:t>:</w:t>
      </w:r>
      <w:r w:rsidRPr="00D15C4A">
        <w:rPr>
          <w:b/>
          <w:color w:val="000000" w:themeColor="text1"/>
          <w:highlight w:val="white"/>
        </w:rPr>
        <w:t xml:space="preserve"> Titration of dimly expressed and mostly positive NK cell markers.</w:t>
      </w:r>
      <w:r w:rsidR="00FB68F6">
        <w:rPr>
          <w:b/>
          <w:color w:val="000000" w:themeColor="text1"/>
          <w:highlight w:val="white"/>
        </w:rPr>
        <w:t xml:space="preserve"> </w:t>
      </w:r>
      <w:r w:rsidRPr="00D15C4A">
        <w:rPr>
          <w:color w:val="000000" w:themeColor="text1"/>
          <w:highlight w:val="white"/>
        </w:rPr>
        <w:t>Titers for antibodies against NK cell markers that did not show a clear positive and negative population were assessed both on NK cells (red) and on either B cells (blue) or PBMCs (grey) from healthy donors. The arrows indicate the titer selected for each antibody.</w:t>
      </w:r>
    </w:p>
    <w:p w14:paraId="30331E17" w14:textId="77777777" w:rsidR="00D958F5" w:rsidRPr="00D15C4A" w:rsidRDefault="00D958F5" w:rsidP="00E13138">
      <w:pPr>
        <w:rPr>
          <w:color w:val="000000" w:themeColor="text1"/>
          <w:highlight w:val="white"/>
        </w:rPr>
      </w:pPr>
    </w:p>
    <w:p w14:paraId="34161892" w14:textId="78042E61" w:rsidR="00D958F5" w:rsidRPr="00D15C4A" w:rsidRDefault="009A10D1" w:rsidP="00E13138">
      <w:pPr>
        <w:rPr>
          <w:color w:val="000000" w:themeColor="text1"/>
        </w:rPr>
      </w:pPr>
      <w:r w:rsidRPr="00D15C4A">
        <w:rPr>
          <w:b/>
          <w:color w:val="000000" w:themeColor="text1"/>
          <w:highlight w:val="white"/>
        </w:rPr>
        <w:t>Supplemental Figure 5</w:t>
      </w:r>
      <w:r w:rsidR="00181029">
        <w:rPr>
          <w:b/>
          <w:color w:val="000000" w:themeColor="text1"/>
          <w:highlight w:val="white"/>
        </w:rPr>
        <w:t>:</w:t>
      </w:r>
      <w:r w:rsidRPr="00D15C4A">
        <w:rPr>
          <w:b/>
          <w:color w:val="000000" w:themeColor="text1"/>
          <w:highlight w:val="white"/>
        </w:rPr>
        <w:t xml:space="preserve"> Optimization of barcoding protocol. </w:t>
      </w:r>
      <w:r w:rsidRPr="00D15C4A">
        <w:rPr>
          <w:color w:val="000000" w:themeColor="text1"/>
          <w:highlight w:val="white"/>
        </w:rPr>
        <w:t>Epitope stability was tested before and after fixation with 2% paraformaldehyde on PBMCs from a healthy donor. (</w:t>
      </w:r>
      <w:r w:rsidRPr="00FB68F6">
        <w:rPr>
          <w:b/>
          <w:bCs/>
          <w:color w:val="000000" w:themeColor="text1"/>
          <w:highlight w:val="white"/>
        </w:rPr>
        <w:t>A</w:t>
      </w:r>
      <w:r w:rsidRPr="00D15C4A">
        <w:rPr>
          <w:color w:val="000000" w:themeColor="text1"/>
          <w:highlight w:val="white"/>
        </w:rPr>
        <w:t xml:space="preserve">) CD3, </w:t>
      </w:r>
      <w:r>
        <w:rPr>
          <w:highlight w:val="white"/>
        </w:rPr>
        <w:t>CD14 and CD56 staining was similar before (red) and after (blue) fixation, CD4 and CD16 staining was significantly affected by fixation. (</w:t>
      </w:r>
      <w:r w:rsidRPr="00FB68F6">
        <w:rPr>
          <w:b/>
          <w:bCs/>
          <w:highlight w:val="white"/>
        </w:rPr>
        <w:t>B</w:t>
      </w:r>
      <w:r>
        <w:rPr>
          <w:highlight w:val="white"/>
        </w:rPr>
        <w:t>) Many NK cell markers were affected by fixation, including CD2, CD38, KIR3DL2, CD62L, KIR2DS4, NKp46, NKG2C, NKp30, NKG2D, KIR3DL1, TIGIT, KIR2DL1, KIR2DL3 and NTB-A.</w:t>
      </w:r>
    </w:p>
    <w:p w14:paraId="4EB97191" w14:textId="77777777" w:rsidR="00D958F5" w:rsidRPr="00D15C4A" w:rsidRDefault="00D958F5" w:rsidP="00E13138">
      <w:pPr>
        <w:rPr>
          <w:color w:val="000000" w:themeColor="text1"/>
          <w:highlight w:val="white"/>
        </w:rPr>
      </w:pPr>
    </w:p>
    <w:p w14:paraId="3B46A5AD" w14:textId="77777777" w:rsidR="00D958F5" w:rsidRPr="00D15C4A" w:rsidRDefault="009A10D1" w:rsidP="00E13138">
      <w:pPr>
        <w:rPr>
          <w:color w:val="000000" w:themeColor="text1"/>
          <w:highlight w:val="white"/>
        </w:rPr>
      </w:pPr>
      <w:r w:rsidRPr="00D15C4A">
        <w:rPr>
          <w:b/>
          <w:color w:val="000000" w:themeColor="text1"/>
          <w:highlight w:val="white"/>
        </w:rPr>
        <w:t xml:space="preserve">Supplemental Figure 6: Confirmation of panel stability after lyophilization. </w:t>
      </w:r>
      <w:r w:rsidRPr="00D15C4A">
        <w:rPr>
          <w:color w:val="000000" w:themeColor="text1"/>
          <w:highlight w:val="white"/>
        </w:rPr>
        <w:t>The stability of in-house antibody conjugates was confirmed by staining PBMCs from the same blood bank donor pre-lyophilization (blue) and post-lyophilization (red). Anti-CD3, anti-CD14, anti-CD33, anti-CD19, anti-PD-1, anti-CD56 stains are shown on live cells. Anti-CD4 and anti-CD8 are shown on CD3</w:t>
      </w:r>
      <w:r w:rsidRPr="00D15C4A">
        <w:rPr>
          <w:color w:val="000000" w:themeColor="text1"/>
          <w:highlight w:val="white"/>
          <w:vertAlign w:val="superscript"/>
        </w:rPr>
        <w:t>+</w:t>
      </w:r>
      <w:r w:rsidRPr="00D15C4A">
        <w:rPr>
          <w:color w:val="000000" w:themeColor="text1"/>
          <w:highlight w:val="white"/>
        </w:rPr>
        <w:t xml:space="preserve"> </w:t>
      </w:r>
      <w:r w:rsidRPr="00D15C4A">
        <w:rPr>
          <w:color w:val="000000" w:themeColor="text1"/>
          <w:highlight w:val="white"/>
        </w:rPr>
        <w:lastRenderedPageBreak/>
        <w:t>cells. Titers for the remaining antibodies are shown on NK cells, gated according to the gating scheme shown in Figure 1. Notably, anti-KIR2DS2 stained non-specifically after lyophilization and therefore has not been used for subsequent analyses.</w:t>
      </w:r>
    </w:p>
    <w:p w14:paraId="204E9F7D" w14:textId="77777777" w:rsidR="00D958F5" w:rsidRDefault="00D958F5" w:rsidP="00E13138">
      <w:pPr>
        <w:rPr>
          <w:b/>
          <w:highlight w:val="white"/>
        </w:rPr>
      </w:pPr>
    </w:p>
    <w:p w14:paraId="03493663" w14:textId="535BBAB7" w:rsidR="00D958F5" w:rsidRDefault="009A10D1" w:rsidP="00E13138">
      <w:pPr>
        <w:rPr>
          <w:highlight w:val="white"/>
        </w:rPr>
      </w:pPr>
      <w:r>
        <w:rPr>
          <w:b/>
          <w:highlight w:val="white"/>
        </w:rPr>
        <w:t>Supplemental Figure 7: Confirmation of ligand panel stability at -80</w:t>
      </w:r>
      <w:r w:rsidR="00FB68F6">
        <w:rPr>
          <w:b/>
          <w:highlight w:val="white"/>
        </w:rPr>
        <w:t xml:space="preserve"> </w:t>
      </w:r>
      <w:r>
        <w:rPr>
          <w:b/>
          <w:highlight w:val="white"/>
        </w:rPr>
        <w:t>°C.</w:t>
      </w:r>
      <w:r>
        <w:rPr>
          <w:highlight w:val="white"/>
        </w:rPr>
        <w:t xml:space="preserve"> The stability of in-house antibody conjugates was confirmed by staining healthy PBMCs from the same donor with a freshly prepared master mix as well as the same mix after storage at -80°C or in liquid nitrogen. Anti-HLA-DR, anti-ICAM-1, and anti-LFA-3 staining is shown on CD3</w:t>
      </w:r>
      <w:r>
        <w:rPr>
          <w:highlight w:val="white"/>
          <w:vertAlign w:val="superscript"/>
        </w:rPr>
        <w:t>-</w:t>
      </w:r>
      <w:r>
        <w:rPr>
          <w:highlight w:val="white"/>
        </w:rPr>
        <w:t>CD7</w:t>
      </w:r>
      <w:r>
        <w:rPr>
          <w:highlight w:val="white"/>
          <w:vertAlign w:val="superscript"/>
        </w:rPr>
        <w:t>-</w:t>
      </w:r>
      <w:r>
        <w:rPr>
          <w:highlight w:val="white"/>
        </w:rPr>
        <w:t xml:space="preserve"> cells. Anti-CD3, anti-pan HLA class I, anti-CD7, anti-CD48, anti-LLT-1 anti-HLA-E, anti-</w:t>
      </w:r>
      <w:proofErr w:type="spellStart"/>
      <w:r>
        <w:rPr>
          <w:highlight w:val="white"/>
        </w:rPr>
        <w:t>FasR</w:t>
      </w:r>
      <w:proofErr w:type="spellEnd"/>
      <w:r>
        <w:rPr>
          <w:highlight w:val="white"/>
        </w:rPr>
        <w:t>, anti-Nectin-1, anti-MICA/B, anti-DR4/5, anti-ULBP-1,2,5,6, anti-Nectin-2, anti-CD155, anti-HLA-Bw4, anti-HLA-Bw6, and anti-B7-H6 staining is shown on live cells. Anti-CD8 and anti-CD4 staining is shown on CD3</w:t>
      </w:r>
      <w:r>
        <w:rPr>
          <w:highlight w:val="white"/>
          <w:vertAlign w:val="superscript"/>
        </w:rPr>
        <w:t>+</w:t>
      </w:r>
      <w:r>
        <w:rPr>
          <w:highlight w:val="white"/>
        </w:rPr>
        <w:t xml:space="preserve"> cells</w:t>
      </w:r>
      <w:r w:rsidRPr="00D15C4A">
        <w:rPr>
          <w:color w:val="000000" w:themeColor="text1"/>
          <w:highlight w:val="white"/>
        </w:rPr>
        <w:t>. Anti-HLA-</w:t>
      </w:r>
      <w:proofErr w:type="gramStart"/>
      <w:r w:rsidRPr="00D15C4A">
        <w:rPr>
          <w:color w:val="000000" w:themeColor="text1"/>
          <w:highlight w:val="white"/>
        </w:rPr>
        <w:t>C,E</w:t>
      </w:r>
      <w:proofErr w:type="gramEnd"/>
      <w:r w:rsidRPr="00D15C4A">
        <w:rPr>
          <w:color w:val="000000" w:themeColor="text1"/>
          <w:highlight w:val="white"/>
        </w:rPr>
        <w:t>, anti-CCR2, anti-CD11b, and anti-CD33 staining is shown on CD3</w:t>
      </w:r>
      <w:r w:rsidRPr="00D15C4A">
        <w:rPr>
          <w:color w:val="000000" w:themeColor="text1"/>
          <w:highlight w:val="white"/>
          <w:vertAlign w:val="superscript"/>
        </w:rPr>
        <w:t>-</w:t>
      </w:r>
      <w:r w:rsidRPr="00D15C4A">
        <w:rPr>
          <w:color w:val="000000" w:themeColor="text1"/>
          <w:highlight w:val="white"/>
        </w:rPr>
        <w:t>CD7</w:t>
      </w:r>
      <w:r w:rsidRPr="00D15C4A">
        <w:rPr>
          <w:color w:val="000000" w:themeColor="text1"/>
          <w:highlight w:val="white"/>
          <w:vertAlign w:val="superscript"/>
        </w:rPr>
        <w:t>-</w:t>
      </w:r>
      <w:r w:rsidRPr="00D15C4A">
        <w:rPr>
          <w:color w:val="000000" w:themeColor="text1"/>
          <w:highlight w:val="white"/>
        </w:rPr>
        <w:t>CD14</w:t>
      </w:r>
      <w:r w:rsidRPr="00D15C4A">
        <w:rPr>
          <w:color w:val="000000" w:themeColor="text1"/>
          <w:highlight w:val="white"/>
          <w:vertAlign w:val="superscript"/>
        </w:rPr>
        <w:t>+</w:t>
      </w:r>
      <w:r w:rsidRPr="00D15C4A">
        <w:rPr>
          <w:color w:val="000000" w:themeColor="text1"/>
          <w:highlight w:val="white"/>
        </w:rPr>
        <w:t xml:space="preserve"> cells. Anti-CD14 staining is shown on CD3</w:t>
      </w:r>
      <w:r w:rsidRPr="00D15C4A">
        <w:rPr>
          <w:color w:val="000000" w:themeColor="text1"/>
          <w:highlight w:val="white"/>
          <w:vertAlign w:val="superscript"/>
        </w:rPr>
        <w:t>-</w:t>
      </w:r>
      <w:r w:rsidRPr="00D15C4A">
        <w:rPr>
          <w:color w:val="000000" w:themeColor="text1"/>
          <w:highlight w:val="white"/>
        </w:rPr>
        <w:t>CD7</w:t>
      </w:r>
      <w:r w:rsidRPr="00D15C4A">
        <w:rPr>
          <w:color w:val="000000" w:themeColor="text1"/>
          <w:highlight w:val="white"/>
          <w:vertAlign w:val="superscript"/>
        </w:rPr>
        <w:t>-</w:t>
      </w:r>
      <w:r w:rsidRPr="00D15C4A">
        <w:rPr>
          <w:color w:val="000000" w:themeColor="text1"/>
          <w:highlight w:val="white"/>
        </w:rPr>
        <w:t>CD33</w:t>
      </w:r>
      <w:r w:rsidRPr="00D15C4A">
        <w:rPr>
          <w:color w:val="000000" w:themeColor="text1"/>
          <w:highlight w:val="white"/>
          <w:vertAlign w:val="superscript"/>
        </w:rPr>
        <w:t>+</w:t>
      </w:r>
      <w:r w:rsidRPr="00D15C4A">
        <w:rPr>
          <w:color w:val="000000" w:themeColor="text1"/>
          <w:highlight w:val="white"/>
        </w:rPr>
        <w:t xml:space="preserve"> cells and anti-CD56 staining is shown on CD3</w:t>
      </w:r>
      <w:r>
        <w:rPr>
          <w:highlight w:val="white"/>
          <w:vertAlign w:val="superscript"/>
        </w:rPr>
        <w:t>-</w:t>
      </w:r>
      <w:r>
        <w:rPr>
          <w:highlight w:val="white"/>
        </w:rPr>
        <w:t>CD7</w:t>
      </w:r>
      <w:r>
        <w:rPr>
          <w:highlight w:val="white"/>
          <w:vertAlign w:val="superscript"/>
        </w:rPr>
        <w:t>+</w:t>
      </w:r>
      <w:r>
        <w:rPr>
          <w:highlight w:val="white"/>
        </w:rPr>
        <w:t>CD14</w:t>
      </w:r>
      <w:r>
        <w:rPr>
          <w:highlight w:val="white"/>
          <w:vertAlign w:val="superscript"/>
        </w:rPr>
        <w:t>-</w:t>
      </w:r>
      <w:r>
        <w:rPr>
          <w:highlight w:val="white"/>
        </w:rPr>
        <w:t>HLA-DR</w:t>
      </w:r>
      <w:r>
        <w:rPr>
          <w:highlight w:val="white"/>
          <w:vertAlign w:val="superscript"/>
        </w:rPr>
        <w:t>-</w:t>
      </w:r>
      <w:r>
        <w:rPr>
          <w:highlight w:val="white"/>
        </w:rPr>
        <w:t xml:space="preserve"> cells. Histograms showing staining with the freshly prepared panel are in red. Histograms showing staining with the panel after storage at -80°C for approximately two months are in blue. Histograms showing staining with the panel after storage in liquid nitrogen (LN</w:t>
      </w:r>
      <w:r>
        <w:rPr>
          <w:highlight w:val="white"/>
          <w:vertAlign w:val="subscript"/>
        </w:rPr>
        <w:t>2</w:t>
      </w:r>
      <w:r>
        <w:rPr>
          <w:highlight w:val="white"/>
        </w:rPr>
        <w:t xml:space="preserve">) for approximately two months are in green. Samples were stained and run on different days. Files were normalized and beads were removed using the </w:t>
      </w:r>
      <w:proofErr w:type="spellStart"/>
      <w:r w:rsidR="00A36023">
        <w:rPr>
          <w:highlight w:val="white"/>
        </w:rPr>
        <w:t>p</w:t>
      </w:r>
      <w:r>
        <w:rPr>
          <w:highlight w:val="white"/>
        </w:rPr>
        <w:t>remessa</w:t>
      </w:r>
      <w:proofErr w:type="spellEnd"/>
      <w:r>
        <w:rPr>
          <w:highlight w:val="white"/>
        </w:rPr>
        <w:t xml:space="preserve"> package.</w:t>
      </w:r>
    </w:p>
    <w:p w14:paraId="2AB81B61" w14:textId="77777777" w:rsidR="00D958F5" w:rsidRDefault="00D958F5" w:rsidP="00E13138">
      <w:pPr>
        <w:rPr>
          <w:highlight w:val="white"/>
        </w:rPr>
      </w:pPr>
    </w:p>
    <w:p w14:paraId="73FF208B" w14:textId="197C00F0" w:rsidR="00D958F5" w:rsidRDefault="009A10D1" w:rsidP="00E13138">
      <w:pPr>
        <w:widowControl/>
      </w:pPr>
      <w:r>
        <w:rPr>
          <w:b/>
        </w:rPr>
        <w:t>Table 1</w:t>
      </w:r>
      <w:r w:rsidR="00FB68F6">
        <w:rPr>
          <w:b/>
        </w:rPr>
        <w:t>:</w:t>
      </w:r>
      <w:r>
        <w:rPr>
          <w:b/>
        </w:rPr>
        <w:t xml:space="preserve"> NK panel. </w:t>
      </w:r>
      <w:r>
        <w:t xml:space="preserve">Markers are ordered according to the isotopic mass of the metal to which they were conjugated. </w:t>
      </w:r>
      <w:r>
        <w:rPr>
          <w:vertAlign w:val="superscript"/>
        </w:rPr>
        <w:t>191</w:t>
      </w:r>
      <w:r>
        <w:t>Ir/</w:t>
      </w:r>
      <w:r>
        <w:rPr>
          <w:vertAlign w:val="superscript"/>
        </w:rPr>
        <w:t>193</w:t>
      </w:r>
      <w:r>
        <w:t xml:space="preserve">Ir is the natural abundance of the nucleic acid intercalator. </w:t>
      </w:r>
      <w:r>
        <w:rPr>
          <w:vertAlign w:val="superscript"/>
        </w:rPr>
        <w:t>194</w:t>
      </w:r>
      <w:r>
        <w:t>Pt/</w:t>
      </w:r>
      <w:r>
        <w:rPr>
          <w:vertAlign w:val="superscript"/>
        </w:rPr>
        <w:t>195</w:t>
      </w:r>
      <w:r>
        <w:t>Pt is the natural abundance of cisplatin.</w:t>
      </w:r>
    </w:p>
    <w:p w14:paraId="1D907035" w14:textId="77777777" w:rsidR="00D958F5" w:rsidRDefault="00D958F5" w:rsidP="00E13138">
      <w:pPr>
        <w:widowControl/>
        <w:rPr>
          <w:b/>
        </w:rPr>
      </w:pPr>
    </w:p>
    <w:p w14:paraId="6A7762D8" w14:textId="243FADAA" w:rsidR="00D958F5" w:rsidRDefault="009A10D1" w:rsidP="00FB68F6">
      <w:pPr>
        <w:widowControl/>
      </w:pPr>
      <w:r>
        <w:rPr>
          <w:b/>
        </w:rPr>
        <w:t xml:space="preserve">Table 2: Ligand </w:t>
      </w:r>
      <w:r w:rsidR="00FB68F6">
        <w:rPr>
          <w:b/>
        </w:rPr>
        <w:t>p</w:t>
      </w:r>
      <w:r>
        <w:rPr>
          <w:b/>
        </w:rPr>
        <w:t>anel.</w:t>
      </w:r>
      <w:r w:rsidR="00FB68F6">
        <w:t xml:space="preserve"> </w:t>
      </w:r>
      <w:r>
        <w:t xml:space="preserve">Markers are ordered according to the isotopic mass of the metal to which they were conjugated. </w:t>
      </w:r>
      <w:r>
        <w:rPr>
          <w:vertAlign w:val="superscript"/>
        </w:rPr>
        <w:t>191</w:t>
      </w:r>
      <w:r>
        <w:t>Ir/</w:t>
      </w:r>
      <w:r>
        <w:rPr>
          <w:vertAlign w:val="superscript"/>
        </w:rPr>
        <w:t>193</w:t>
      </w:r>
      <w:r>
        <w:t xml:space="preserve">Ir is the natural abundance of the nucleic acid intercalator. </w:t>
      </w:r>
      <w:r>
        <w:rPr>
          <w:vertAlign w:val="superscript"/>
        </w:rPr>
        <w:t>194</w:t>
      </w:r>
      <w:r>
        <w:t>Pt/</w:t>
      </w:r>
      <w:r>
        <w:rPr>
          <w:vertAlign w:val="superscript"/>
        </w:rPr>
        <w:t>195</w:t>
      </w:r>
      <w:r>
        <w:t>Pt is the natural abundance of cisplatin.</w:t>
      </w:r>
    </w:p>
    <w:p w14:paraId="0117F8D3" w14:textId="77777777" w:rsidR="00D958F5" w:rsidRDefault="00D958F5" w:rsidP="00E13138">
      <w:pPr>
        <w:rPr>
          <w:highlight w:val="white"/>
        </w:rPr>
      </w:pPr>
    </w:p>
    <w:p w14:paraId="0FB16FE7" w14:textId="77777777" w:rsidR="00D958F5" w:rsidRPr="00FB68F6" w:rsidRDefault="009A10D1" w:rsidP="00E13138">
      <w:pPr>
        <w:widowControl/>
        <w:rPr>
          <w:b/>
          <w:bCs/>
        </w:rPr>
      </w:pPr>
      <w:r>
        <w:rPr>
          <w:b/>
        </w:rPr>
        <w:t>Supplemental Table 1:</w:t>
      </w:r>
      <w:r w:rsidRPr="00FB68F6">
        <w:rPr>
          <w:b/>
          <w:bCs/>
        </w:rPr>
        <w:t xml:space="preserve"> Antibodies for NK cell panel that were tested, but not used.</w:t>
      </w:r>
    </w:p>
    <w:p w14:paraId="251E9BB5" w14:textId="77777777" w:rsidR="00D958F5" w:rsidRPr="00FB68F6" w:rsidRDefault="00D958F5" w:rsidP="00E13138">
      <w:pPr>
        <w:widowControl/>
        <w:rPr>
          <w:b/>
          <w:bCs/>
        </w:rPr>
      </w:pPr>
    </w:p>
    <w:p w14:paraId="224822DE" w14:textId="77777777" w:rsidR="00D958F5" w:rsidRDefault="009A10D1" w:rsidP="00E13138">
      <w:pPr>
        <w:widowControl/>
        <w:rPr>
          <w:color w:val="808080"/>
        </w:rPr>
      </w:pPr>
      <w:r w:rsidRPr="00FB68F6">
        <w:rPr>
          <w:b/>
          <w:bCs/>
        </w:rPr>
        <w:t>Supplemental</w:t>
      </w:r>
      <w:r w:rsidR="00D15C4A" w:rsidRPr="00FB68F6">
        <w:rPr>
          <w:b/>
          <w:bCs/>
        </w:rPr>
        <w:t xml:space="preserve"> </w:t>
      </w:r>
      <w:r w:rsidRPr="00FB68F6">
        <w:rPr>
          <w:b/>
          <w:bCs/>
        </w:rPr>
        <w:t>Table 2: Antibodies for NK cell panel that were tested with a different antibody/metal pairing</w:t>
      </w:r>
      <w:r>
        <w:t>.</w:t>
      </w:r>
      <w:r>
        <w:rPr>
          <w:color w:val="808080"/>
        </w:rPr>
        <w:t xml:space="preserve"> </w:t>
      </w:r>
    </w:p>
    <w:p w14:paraId="446E7202" w14:textId="77777777" w:rsidR="00D958F5" w:rsidRDefault="00D958F5" w:rsidP="00E13138">
      <w:pPr>
        <w:rPr>
          <w:b/>
          <w:color w:val="000000"/>
        </w:rPr>
      </w:pPr>
    </w:p>
    <w:p w14:paraId="5C188044" w14:textId="77777777" w:rsidR="00D958F5" w:rsidRDefault="009A10D1" w:rsidP="00E13138">
      <w:pPr>
        <w:rPr>
          <w:color w:val="808080"/>
        </w:rPr>
      </w:pPr>
      <w:bookmarkStart w:id="4" w:name="3znysh7" w:colFirst="0" w:colLast="0"/>
      <w:bookmarkEnd w:id="4"/>
      <w:r>
        <w:rPr>
          <w:b/>
        </w:rPr>
        <w:t xml:space="preserve">DISCUSSION: </w:t>
      </w:r>
    </w:p>
    <w:p w14:paraId="32FDA871" w14:textId="6D4E5263" w:rsidR="00D958F5" w:rsidRPr="0072124A" w:rsidRDefault="009A10D1" w:rsidP="00E13138">
      <w:pPr>
        <w:pBdr>
          <w:top w:val="nil"/>
          <w:left w:val="nil"/>
          <w:bottom w:val="nil"/>
          <w:right w:val="nil"/>
          <w:between w:val="nil"/>
        </w:pBdr>
        <w:rPr>
          <w:color w:val="000000" w:themeColor="text1"/>
        </w:rPr>
      </w:pPr>
      <w:r>
        <w:t>Here we describe the design and application of two complimentary CyTOF panels aimed at profiling the NK cell receptor-ligand repertoire. This protocol includes several steps that are critical to obtaining quality data. CyTOF uses heavy metal ions, rather than fluorochromes, as label probes for antibodies</w:t>
      </w:r>
      <w:hyperlink r:id="rId17">
        <w:r>
          <w:rPr>
            <w:color w:val="000000"/>
            <w:vertAlign w:val="superscript"/>
          </w:rPr>
          <w:t>19</w:t>
        </w:r>
      </w:hyperlink>
      <w:r>
        <w:t xml:space="preserve">. This technology is therefore subject to potential contaminating signals </w:t>
      </w:r>
      <w:r w:rsidRPr="0072124A">
        <w:rPr>
          <w:color w:val="000000" w:themeColor="text1"/>
        </w:rPr>
        <w:t>from environmental metals</w:t>
      </w:r>
      <w:hyperlink r:id="rId18">
        <w:r w:rsidRPr="0072124A">
          <w:rPr>
            <w:color w:val="000000" w:themeColor="text1"/>
            <w:vertAlign w:val="superscript"/>
          </w:rPr>
          <w:t>20</w:t>
        </w:r>
      </w:hyperlink>
      <w:r w:rsidRPr="0072124A">
        <w:rPr>
          <w:color w:val="000000" w:themeColor="text1"/>
        </w:rPr>
        <w:t xml:space="preserve">. Potential sources of metal impurities include laboratory dish soap (barium) and lab buffers (mercury, lead, tin). For this reason, it is advised that all buffers be prepared with </w:t>
      </w:r>
      <w:r w:rsidR="00842EDE">
        <w:rPr>
          <w:color w:val="000000" w:themeColor="text1"/>
        </w:rPr>
        <w:t>ultrapure</w:t>
      </w:r>
      <w:r w:rsidRPr="0072124A">
        <w:rPr>
          <w:color w:val="000000" w:themeColor="text1"/>
        </w:rPr>
        <w:t xml:space="preserve"> water, and that all reagents be stored in plastic or glass containers that have never been washed with soap. Another critical step in this protocol is the viability stain, which uses a cisplatin-based method as described by Fienberg et al.</w:t>
      </w:r>
      <w:hyperlink r:id="rId19">
        <w:r w:rsidRPr="0072124A">
          <w:rPr>
            <w:color w:val="000000" w:themeColor="text1"/>
            <w:vertAlign w:val="superscript"/>
          </w:rPr>
          <w:t>21</w:t>
        </w:r>
      </w:hyperlink>
      <w:r w:rsidRPr="0072124A">
        <w:rPr>
          <w:color w:val="000000" w:themeColor="text1"/>
        </w:rPr>
        <w:t xml:space="preserve">. This method includes a one-minute incubation step, during which cisplatin preferentially labels non-viable cells. Cisplatin staining must be performed in the absence of FBS. Consequently, cells must be thoroughly </w:t>
      </w:r>
      <w:r w:rsidRPr="0072124A">
        <w:rPr>
          <w:color w:val="000000" w:themeColor="text1"/>
        </w:rPr>
        <w:lastRenderedPageBreak/>
        <w:t xml:space="preserve">washed with </w:t>
      </w:r>
      <w:proofErr w:type="spellStart"/>
      <w:r w:rsidRPr="0072124A">
        <w:rPr>
          <w:color w:val="000000" w:themeColor="text1"/>
        </w:rPr>
        <w:t>CyPBS</w:t>
      </w:r>
      <w:proofErr w:type="spellEnd"/>
      <w:r w:rsidRPr="0072124A">
        <w:rPr>
          <w:color w:val="000000" w:themeColor="text1"/>
        </w:rPr>
        <w:t xml:space="preserve"> prior to staining. Additionally, to avoid off-target staining of viable cells, the cisplatin stain needs to be quenched with FBS after precisely one minute. This protocol was optimized for maximum cell recovery and staining performance. Therefore, the fixation and permeabilization steps are also significant. Several </w:t>
      </w:r>
      <w:proofErr w:type="gramStart"/>
      <w:r w:rsidRPr="0072124A">
        <w:rPr>
          <w:color w:val="000000" w:themeColor="text1"/>
        </w:rPr>
        <w:t>fixation</w:t>
      </w:r>
      <w:proofErr w:type="gramEnd"/>
      <w:r w:rsidRPr="0072124A">
        <w:rPr>
          <w:color w:val="000000" w:themeColor="text1"/>
        </w:rPr>
        <w:t xml:space="preserve"> and</w:t>
      </w:r>
      <w:r w:rsidR="0072124A" w:rsidRPr="0072124A">
        <w:rPr>
          <w:color w:val="000000" w:themeColor="text1"/>
        </w:rPr>
        <w:t xml:space="preserve"> </w:t>
      </w:r>
      <w:r w:rsidRPr="0072124A">
        <w:rPr>
          <w:color w:val="000000" w:themeColor="text1"/>
        </w:rPr>
        <w:t>permeabilization reagents are compatible with CyTOF. However, we found that fixation with 2% PFA</w:t>
      </w:r>
      <w:r>
        <w:t xml:space="preserve">, followed by </w:t>
      </w:r>
      <w:r w:rsidRPr="0072124A">
        <w:rPr>
          <w:color w:val="000000" w:themeColor="text1"/>
        </w:rPr>
        <w:t xml:space="preserve">permeabilization with a specific permeabilization buffer detailed in the </w:t>
      </w:r>
      <w:r w:rsidRPr="00842EDE">
        <w:rPr>
          <w:b/>
          <w:bCs/>
          <w:color w:val="000000" w:themeColor="text1"/>
        </w:rPr>
        <w:t>Table of Materials</w:t>
      </w:r>
      <w:r w:rsidRPr="0072124A">
        <w:rPr>
          <w:color w:val="000000" w:themeColor="text1"/>
        </w:rPr>
        <w:t xml:space="preserve">, resulted in maximal cell recovery. As this is a transient permeabilization method, intracellular staining needs to be performed in the permeabilization buffer to ensure adequate antibody penetrance. Cells also need to be washed thoroughly with the permeabilization buffer following intracellular staining to remove unbound antibodies. </w:t>
      </w:r>
    </w:p>
    <w:p w14:paraId="2EC6E7E0" w14:textId="77777777" w:rsidR="00E13138" w:rsidRDefault="00E13138" w:rsidP="00E13138">
      <w:pPr>
        <w:rPr>
          <w:color w:val="000000" w:themeColor="text1"/>
        </w:rPr>
      </w:pPr>
    </w:p>
    <w:p w14:paraId="4833B491" w14:textId="11FCCEA2" w:rsidR="00D958F5" w:rsidRPr="0072124A" w:rsidRDefault="009A10D1" w:rsidP="00E13138">
      <w:pPr>
        <w:rPr>
          <w:color w:val="000000" w:themeColor="text1"/>
        </w:rPr>
      </w:pPr>
      <w:r w:rsidRPr="0072124A">
        <w:rPr>
          <w:color w:val="000000" w:themeColor="text1"/>
        </w:rPr>
        <w:t>This protocol allows for several possible modifications. The CyTOF panels detailed here can be customized to include additional markers or substitute existing ones. In particular, the ligand panel wa</w:t>
      </w:r>
      <w:r w:rsidR="0072124A" w:rsidRPr="0072124A">
        <w:rPr>
          <w:color w:val="000000" w:themeColor="text1"/>
        </w:rPr>
        <w:t xml:space="preserve">s </w:t>
      </w:r>
      <w:r w:rsidRPr="0072124A">
        <w:rPr>
          <w:color w:val="000000" w:themeColor="text1"/>
        </w:rPr>
        <w:t xml:space="preserve">designed with several open channels to allow for flexibility in panel design. Any change or addition to the panel may require additional troubleshooting. </w:t>
      </w:r>
      <w:proofErr w:type="gramStart"/>
      <w:r w:rsidRPr="0072124A">
        <w:rPr>
          <w:color w:val="000000" w:themeColor="text1"/>
        </w:rPr>
        <w:t>In particular</w:t>
      </w:r>
      <w:r w:rsidR="00836B97">
        <w:rPr>
          <w:color w:val="000000" w:themeColor="text1"/>
        </w:rPr>
        <w:t>,</w:t>
      </w:r>
      <w:r w:rsidRPr="0072124A">
        <w:rPr>
          <w:color w:val="000000" w:themeColor="text1"/>
        </w:rPr>
        <w:t xml:space="preserve"> any</w:t>
      </w:r>
      <w:proofErr w:type="gramEnd"/>
      <w:r w:rsidRPr="0072124A">
        <w:rPr>
          <w:color w:val="000000" w:themeColor="text1"/>
        </w:rPr>
        <w:t xml:space="preserve"> antibody/metal isotope pair should be thoroughly validated as described above, to avoid any issue of signal spillover to the existing channels. These panels were also designed to be compatible with sample barcoding. Barcoding decreases the possibility of batch effects and sample-to-sample carryover, while minimizing reagent consumption</w:t>
      </w:r>
      <w:hyperlink r:id="rId20">
        <w:r w:rsidRPr="0072124A">
          <w:rPr>
            <w:color w:val="000000" w:themeColor="text1"/>
            <w:vertAlign w:val="superscript"/>
          </w:rPr>
          <w:t>22</w:t>
        </w:r>
      </w:hyperlink>
      <w:r w:rsidRPr="0072124A">
        <w:rPr>
          <w:color w:val="000000" w:themeColor="text1"/>
        </w:rPr>
        <w:t>.</w:t>
      </w:r>
      <w:r w:rsidR="00842EDE">
        <w:rPr>
          <w:color w:val="000000" w:themeColor="text1"/>
        </w:rPr>
        <w:t xml:space="preserve"> </w:t>
      </w:r>
      <w:r w:rsidRPr="0072124A">
        <w:rPr>
          <w:color w:val="000000" w:themeColor="text1"/>
        </w:rPr>
        <w:t>Although barcoding typically results in overall increased data quality, this step is not necessary for the acquisition of good quality CyTOF data and can be skipped entirely. Similarly, although we recommend NK cell purification prior to staining, the NK cell panel is compatible with the phenotyping of NK cells from whole PBMCs.</w:t>
      </w:r>
    </w:p>
    <w:p w14:paraId="486CF40C" w14:textId="77777777" w:rsidR="00842EDE" w:rsidRDefault="00842EDE" w:rsidP="00E13138">
      <w:pPr>
        <w:pBdr>
          <w:top w:val="nil"/>
          <w:left w:val="nil"/>
          <w:bottom w:val="nil"/>
          <w:right w:val="nil"/>
          <w:between w:val="nil"/>
        </w:pBdr>
        <w:rPr>
          <w:color w:val="000000" w:themeColor="text1"/>
        </w:rPr>
      </w:pPr>
    </w:p>
    <w:p w14:paraId="02A2FD64" w14:textId="54AB3DC1" w:rsidR="00D958F5" w:rsidRPr="0072124A" w:rsidRDefault="009A10D1" w:rsidP="00E13138">
      <w:pPr>
        <w:pBdr>
          <w:top w:val="nil"/>
          <w:left w:val="nil"/>
          <w:bottom w:val="nil"/>
          <w:right w:val="nil"/>
          <w:between w:val="nil"/>
        </w:pBdr>
        <w:rPr>
          <w:color w:val="000000" w:themeColor="text1"/>
        </w:rPr>
      </w:pPr>
      <w:r w:rsidRPr="0072124A">
        <w:rPr>
          <w:color w:val="000000" w:themeColor="text1"/>
        </w:rPr>
        <w:t>This method has some limitations. Due to the inherently low throughput nature of CyTOF, this method is not suitable for samples with low cell counts. Such samples are unlikely to yield data of sufficient quality for analysis. Additionally, given that these panels were specifically designed to interrogate NK cell-target cell interactions, they are limited in their ability to assess interactions between other cell types, such as CD8</w:t>
      </w:r>
      <w:r w:rsidRPr="0072124A">
        <w:rPr>
          <w:color w:val="000000" w:themeColor="text1"/>
          <w:vertAlign w:val="superscript"/>
        </w:rPr>
        <w:t>+</w:t>
      </w:r>
      <w:r w:rsidRPr="0072124A">
        <w:rPr>
          <w:color w:val="000000" w:themeColor="text1"/>
        </w:rPr>
        <w:t xml:space="preserve"> T cells and myeloid cells. Similarly, these panels were designed for direct</w:t>
      </w:r>
      <w:r w:rsidRPr="0072124A">
        <w:rPr>
          <w:i/>
          <w:color w:val="000000" w:themeColor="text1"/>
        </w:rPr>
        <w:t xml:space="preserve"> ex vivo</w:t>
      </w:r>
      <w:r w:rsidRPr="0072124A">
        <w:rPr>
          <w:color w:val="000000" w:themeColor="text1"/>
        </w:rPr>
        <w:t xml:space="preserve"> immunophenotyping and were not tested or validated for use under activating conditions, such as cytokine stimulation. Moreover, although these panels cover a comprehensive list of NK cell receptors and ligands, they are not fully exhaustive, and several potentially important markers were not included due to space limitations. Some of these markers include, but are not limited to KLRG1, CRACC, TIM-3, LAIR-1 in the NK panel and PD-L1 in the ligand panel. Finally, this method is not suitable for use in fixed samples, given that </w:t>
      </w:r>
      <w:proofErr w:type="gramStart"/>
      <w:r w:rsidRPr="0072124A">
        <w:rPr>
          <w:color w:val="000000" w:themeColor="text1"/>
        </w:rPr>
        <w:t>the majority of</w:t>
      </w:r>
      <w:proofErr w:type="gramEnd"/>
      <w:r w:rsidRPr="0072124A">
        <w:rPr>
          <w:color w:val="000000" w:themeColor="text1"/>
        </w:rPr>
        <w:t xml:space="preserve"> NK cell markers’ epitopes are affected by fixation.</w:t>
      </w:r>
    </w:p>
    <w:p w14:paraId="4BD78074" w14:textId="77777777" w:rsidR="00E13138" w:rsidRDefault="00E13138" w:rsidP="00E13138">
      <w:pPr>
        <w:pBdr>
          <w:top w:val="nil"/>
          <w:left w:val="nil"/>
          <w:bottom w:val="nil"/>
          <w:right w:val="nil"/>
          <w:between w:val="nil"/>
        </w:pBdr>
        <w:rPr>
          <w:color w:val="000000" w:themeColor="text1"/>
        </w:rPr>
      </w:pPr>
    </w:p>
    <w:p w14:paraId="41DF8938" w14:textId="33D2694D" w:rsidR="00D958F5" w:rsidRPr="0072124A" w:rsidRDefault="009A10D1" w:rsidP="00E13138">
      <w:pPr>
        <w:pBdr>
          <w:top w:val="nil"/>
          <w:left w:val="nil"/>
          <w:bottom w:val="nil"/>
          <w:right w:val="nil"/>
          <w:between w:val="nil"/>
        </w:pBdr>
        <w:rPr>
          <w:color w:val="000000" w:themeColor="text1"/>
        </w:rPr>
      </w:pPr>
      <w:r w:rsidRPr="0072124A">
        <w:rPr>
          <w:color w:val="000000" w:themeColor="text1"/>
        </w:rPr>
        <w:t>The protocol described here has significant benefits compared to other methods. Other groups have described flow cytometry panels aimed at the study of NK cells</w:t>
      </w:r>
      <w:hyperlink r:id="rId21">
        <w:r w:rsidRPr="0072124A">
          <w:rPr>
            <w:color w:val="000000" w:themeColor="text1"/>
            <w:vertAlign w:val="superscript"/>
          </w:rPr>
          <w:t>3–8,23</w:t>
        </w:r>
      </w:hyperlink>
      <w:r w:rsidRPr="0072124A">
        <w:rPr>
          <w:color w:val="000000" w:themeColor="text1"/>
        </w:rPr>
        <w:t>. Compared to flow cytometry, the use of CyTOF eliminates issues related to fluorophore compensation, allowing for the simultaneous detection of a high number of markers.</w:t>
      </w:r>
      <w:r w:rsidR="00842EDE">
        <w:rPr>
          <w:color w:val="000000" w:themeColor="text1"/>
        </w:rPr>
        <w:t xml:space="preserve"> </w:t>
      </w:r>
      <w:r w:rsidRPr="0072124A">
        <w:rPr>
          <w:color w:val="000000" w:themeColor="text1"/>
        </w:rPr>
        <w:t>Although others have also developed CyTOF panels to study NK cells</w:t>
      </w:r>
      <w:hyperlink r:id="rId22">
        <w:r w:rsidRPr="0072124A">
          <w:rPr>
            <w:color w:val="000000" w:themeColor="text1"/>
            <w:vertAlign w:val="superscript"/>
          </w:rPr>
          <w:t>9–14</w:t>
        </w:r>
      </w:hyperlink>
      <w:r w:rsidRPr="0072124A">
        <w:rPr>
          <w:color w:val="000000" w:themeColor="text1"/>
        </w:rPr>
        <w:t xml:space="preserve">,  here we describe the use of two complementary CyTOF panels, which </w:t>
      </w:r>
      <w:r>
        <w:t>interrogate the expression of both NK cell receptors and their ligand</w:t>
      </w:r>
      <w:r>
        <w:rPr>
          <w:color w:val="CC0000"/>
        </w:rPr>
        <w:t>s</w:t>
      </w:r>
      <w:r>
        <w:t xml:space="preserve">, </w:t>
      </w:r>
      <w:r w:rsidRPr="0072124A">
        <w:rPr>
          <w:color w:val="000000" w:themeColor="text1"/>
        </w:rPr>
        <w:t>therefore providing a more detailed picture of NK cell function.</w:t>
      </w:r>
    </w:p>
    <w:p w14:paraId="07FE6F95" w14:textId="77777777" w:rsidR="00E13138" w:rsidRDefault="00E13138" w:rsidP="00E13138">
      <w:pPr>
        <w:pBdr>
          <w:top w:val="nil"/>
          <w:left w:val="nil"/>
          <w:bottom w:val="nil"/>
          <w:right w:val="nil"/>
          <w:between w:val="nil"/>
        </w:pBdr>
        <w:rPr>
          <w:color w:val="000000" w:themeColor="text1"/>
        </w:rPr>
      </w:pPr>
    </w:p>
    <w:p w14:paraId="37A00369" w14:textId="6EB2F99E" w:rsidR="00D958F5" w:rsidRDefault="009A10D1" w:rsidP="00E13138">
      <w:pPr>
        <w:pBdr>
          <w:top w:val="nil"/>
          <w:left w:val="nil"/>
          <w:bottom w:val="nil"/>
          <w:right w:val="nil"/>
          <w:between w:val="nil"/>
        </w:pBdr>
      </w:pPr>
      <w:r w:rsidRPr="0072124A">
        <w:rPr>
          <w:color w:val="000000" w:themeColor="text1"/>
        </w:rPr>
        <w:t>Our group has used this protocol and one or both of these panels to characterize the human NK cell response in healthy donors, and in a variety of disease settings including HIV infection and dengue virus infection</w:t>
      </w:r>
      <w:hyperlink r:id="rId23">
        <w:r w:rsidRPr="0072124A">
          <w:rPr>
            <w:color w:val="000000" w:themeColor="text1"/>
            <w:vertAlign w:val="superscript"/>
          </w:rPr>
          <w:t>24–28</w:t>
        </w:r>
      </w:hyperlink>
      <w:r w:rsidRPr="0072124A">
        <w:rPr>
          <w:color w:val="000000" w:themeColor="text1"/>
        </w:rPr>
        <w:t>. Despite being designed for the purpose of studying viral infections, these panels lend themselves to the study of NK cells in other conditions given the breath of proteins they cover. In fact, our group also used these panels to characterize the NK cell receptor-ligand repertoire in patients with immunodeficiencies and multiple sclerosis</w:t>
      </w:r>
      <w:hyperlink r:id="rId24">
        <w:r w:rsidRPr="0072124A">
          <w:rPr>
            <w:color w:val="000000" w:themeColor="text1"/>
            <w:vertAlign w:val="superscript"/>
          </w:rPr>
          <w:t>25,27,29,30</w:t>
        </w:r>
      </w:hyperlink>
      <w:r w:rsidRPr="0072124A">
        <w:rPr>
          <w:color w:val="000000" w:themeColor="text1"/>
        </w:rPr>
        <w:t>, as well a</w:t>
      </w:r>
      <w:r w:rsidR="0072124A" w:rsidRPr="0072124A">
        <w:rPr>
          <w:color w:val="000000" w:themeColor="text1"/>
        </w:rPr>
        <w:t>s</w:t>
      </w:r>
      <w:r w:rsidRPr="0072124A">
        <w:rPr>
          <w:color w:val="000000" w:themeColor="text1"/>
        </w:rPr>
        <w:t xml:space="preserve"> in humanized mice</w:t>
      </w:r>
      <w:hyperlink r:id="rId25">
        <w:r w:rsidRPr="0072124A">
          <w:rPr>
            <w:color w:val="000000" w:themeColor="text1"/>
            <w:vertAlign w:val="superscript"/>
          </w:rPr>
          <w:t>31,32</w:t>
        </w:r>
      </w:hyperlink>
      <w:r w:rsidRPr="0072124A">
        <w:rPr>
          <w:color w:val="000000" w:themeColor="text1"/>
        </w:rPr>
        <w:t xml:space="preserve">. As such, the use of these panels can be extended to other contexts. For example, many </w:t>
      </w:r>
      <w:r>
        <w:t xml:space="preserve">NK cell receptors and cognate ligands implicated in the setting of cancer are included in these panels, making these panels excellent tools for future studies on the role of NK cells in the anti-tumor response. More broadly, our protocol for mass production and storage of CyTOF panels as well as parallel processing of samples can be applied to the execution and application of any CyTOF panel.  </w:t>
      </w:r>
    </w:p>
    <w:p w14:paraId="10AFAA5D" w14:textId="77777777" w:rsidR="00D958F5" w:rsidRDefault="00D958F5" w:rsidP="00E13138">
      <w:pPr>
        <w:rPr>
          <w:b/>
        </w:rPr>
      </w:pPr>
      <w:bookmarkStart w:id="5" w:name="2et92p0" w:colFirst="0" w:colLast="0"/>
      <w:bookmarkEnd w:id="5"/>
    </w:p>
    <w:p w14:paraId="0ADCF090" w14:textId="77777777" w:rsidR="00D958F5" w:rsidRDefault="009A10D1" w:rsidP="00E13138">
      <w:r>
        <w:rPr>
          <w:b/>
        </w:rPr>
        <w:t>ACKNOWLEDGMENTS:</w:t>
      </w:r>
      <w:r>
        <w:t xml:space="preserve"> </w:t>
      </w:r>
    </w:p>
    <w:p w14:paraId="5905856D" w14:textId="77777777" w:rsidR="00D958F5" w:rsidRDefault="009A10D1" w:rsidP="00E13138">
      <w:pPr>
        <w:rPr>
          <w:highlight w:val="white"/>
        </w:rPr>
      </w:pPr>
      <w:r>
        <w:rPr>
          <w:highlight w:val="white"/>
        </w:rPr>
        <w:t xml:space="preserve">The authors would like to thank all current and former members of the </w:t>
      </w:r>
      <w:proofErr w:type="spellStart"/>
      <w:r>
        <w:rPr>
          <w:highlight w:val="white"/>
        </w:rPr>
        <w:t>Blish</w:t>
      </w:r>
      <w:proofErr w:type="spellEnd"/>
      <w:r>
        <w:rPr>
          <w:highlight w:val="white"/>
        </w:rPr>
        <w:t xml:space="preserve"> Laboratory who contributed to this panel. Thank you to the AIDS Clinical Trials Group and the ACTG A5321 team as well as Dr. Sandra López-</w:t>
      </w:r>
      <w:proofErr w:type="spellStart"/>
      <w:r>
        <w:rPr>
          <w:highlight w:val="white"/>
        </w:rPr>
        <w:t>Vergès</w:t>
      </w:r>
      <w:proofErr w:type="spellEnd"/>
      <w:r>
        <w:rPr>
          <w:highlight w:val="white"/>
        </w:rPr>
        <w:t xml:space="preserve"> and Davis </w:t>
      </w:r>
      <w:proofErr w:type="spellStart"/>
      <w:r>
        <w:rPr>
          <w:highlight w:val="white"/>
        </w:rPr>
        <w:t>Beltrán</w:t>
      </w:r>
      <w:proofErr w:type="spellEnd"/>
      <w:r>
        <w:rPr>
          <w:highlight w:val="white"/>
        </w:rPr>
        <w:t xml:space="preserve"> at Gorgas Memorial Institute for Health Studies for sample curation. Finally, thank you to Michael </w:t>
      </w:r>
      <w:proofErr w:type="spellStart"/>
      <w:r>
        <w:rPr>
          <w:highlight w:val="white"/>
        </w:rPr>
        <w:t>Leipold</w:t>
      </w:r>
      <w:proofErr w:type="spellEnd"/>
      <w:r>
        <w:rPr>
          <w:highlight w:val="white"/>
        </w:rPr>
        <w:t xml:space="preserve">, Holden </w:t>
      </w:r>
      <w:proofErr w:type="spellStart"/>
      <w:r>
        <w:rPr>
          <w:highlight w:val="white"/>
        </w:rPr>
        <w:t>Maecker</w:t>
      </w:r>
      <w:proofErr w:type="spellEnd"/>
      <w:r>
        <w:rPr>
          <w:highlight w:val="white"/>
        </w:rPr>
        <w:t xml:space="preserve">, and the Stanford Human Immune Monitoring Center for use of their Helios machines. This work was supported by NIH U19AI057229, NIH R21 AI135287, NIH R21 AI130532, NIH DP1 DA046089, and Burroughs </w:t>
      </w:r>
      <w:proofErr w:type="spellStart"/>
      <w:r>
        <w:rPr>
          <w:highlight w:val="white"/>
        </w:rPr>
        <w:t>Wellcome</w:t>
      </w:r>
      <w:proofErr w:type="spellEnd"/>
      <w:r>
        <w:rPr>
          <w:highlight w:val="white"/>
        </w:rPr>
        <w:t xml:space="preserve"> Fund Investigators in the Pathogenesis of Infectious Diseases #1016687 to CB, </w:t>
      </w:r>
      <w:r>
        <w:rPr>
          <w:b/>
          <w:highlight w:val="white"/>
        </w:rPr>
        <w:t xml:space="preserve"> </w:t>
      </w:r>
      <w:r>
        <w:rPr>
          <w:highlight w:val="white"/>
        </w:rPr>
        <w:t xml:space="preserve">NIH Ruth L. </w:t>
      </w:r>
      <w:proofErr w:type="spellStart"/>
      <w:r>
        <w:rPr>
          <w:highlight w:val="white"/>
        </w:rPr>
        <w:t>Kirschstein</w:t>
      </w:r>
      <w:proofErr w:type="spellEnd"/>
      <w:r>
        <w:rPr>
          <w:highlight w:val="white"/>
        </w:rPr>
        <w:t xml:space="preserve"> Institutional National Research Service Award T32 AI007502, TL1 TR001084 and NIH/NIAID K08 AI138640 to EV, National Science Foundation Graduate Research Fellowship DGE-1656518 to JM and NIH training grant T32-AI-007290 (PI Olivia Martinez). The ACTG study received grant support from AI-68634 (Statistical and Data Management Center), UM1-A1-26617, AI-131798, and AI-68636 (ACTG). CB is the Tashia and John </w:t>
      </w:r>
      <w:proofErr w:type="spellStart"/>
      <w:r>
        <w:rPr>
          <w:highlight w:val="white"/>
        </w:rPr>
        <w:t>Morgridge</w:t>
      </w:r>
      <w:proofErr w:type="spellEnd"/>
      <w:r>
        <w:rPr>
          <w:highlight w:val="white"/>
        </w:rPr>
        <w:t xml:space="preserve"> Faculty Scholar in Pediatric Translational Medicine from the Stanford Maternal Child Health Research Institute and an Investigator of the Chan Zuckerberg </w:t>
      </w:r>
      <w:proofErr w:type="spellStart"/>
      <w:r>
        <w:rPr>
          <w:highlight w:val="white"/>
        </w:rPr>
        <w:t>Biohub</w:t>
      </w:r>
      <w:proofErr w:type="spellEnd"/>
      <w:r>
        <w:rPr>
          <w:highlight w:val="white"/>
        </w:rPr>
        <w:t>.</w:t>
      </w:r>
    </w:p>
    <w:p w14:paraId="43DC7A84" w14:textId="77777777" w:rsidR="00D958F5" w:rsidRDefault="00D958F5" w:rsidP="00E13138">
      <w:pPr>
        <w:rPr>
          <w:color w:val="808080"/>
        </w:rPr>
      </w:pPr>
    </w:p>
    <w:p w14:paraId="7C550493" w14:textId="77777777" w:rsidR="00D958F5" w:rsidRDefault="009A10D1" w:rsidP="00E13138">
      <w:pPr>
        <w:rPr>
          <w:b/>
        </w:rPr>
      </w:pPr>
      <w:bookmarkStart w:id="6" w:name="tyjcwt" w:colFirst="0" w:colLast="0"/>
      <w:bookmarkEnd w:id="6"/>
      <w:r>
        <w:rPr>
          <w:b/>
        </w:rPr>
        <w:t xml:space="preserve">DISCLOSURES: </w:t>
      </w:r>
    </w:p>
    <w:p w14:paraId="6B7A337B" w14:textId="77777777" w:rsidR="00842EDE" w:rsidRDefault="009A10D1" w:rsidP="00842EDE">
      <w:pPr>
        <w:pBdr>
          <w:top w:val="nil"/>
          <w:left w:val="nil"/>
          <w:bottom w:val="nil"/>
          <w:right w:val="nil"/>
          <w:between w:val="nil"/>
        </w:pBdr>
      </w:pPr>
      <w:r>
        <w:t>The authors have nothing to disclose.</w:t>
      </w:r>
      <w:bookmarkStart w:id="7" w:name="3dy6vkm" w:colFirst="0" w:colLast="0"/>
      <w:bookmarkEnd w:id="7"/>
    </w:p>
    <w:p w14:paraId="0DA11403" w14:textId="77777777" w:rsidR="00842EDE" w:rsidRDefault="00842EDE" w:rsidP="00E5141E">
      <w:pPr>
        <w:pBdr>
          <w:top w:val="nil"/>
          <w:left w:val="nil"/>
          <w:bottom w:val="nil"/>
          <w:right w:val="nil"/>
          <w:between w:val="nil"/>
        </w:pBdr>
      </w:pPr>
    </w:p>
    <w:p w14:paraId="05967DEC" w14:textId="7BE14F03" w:rsidR="00D958F5" w:rsidRPr="00842EDE" w:rsidRDefault="009A10D1" w:rsidP="00E5141E">
      <w:pPr>
        <w:pBdr>
          <w:top w:val="nil"/>
          <w:left w:val="nil"/>
          <w:bottom w:val="nil"/>
          <w:right w:val="nil"/>
          <w:between w:val="nil"/>
        </w:pBdr>
        <w:rPr>
          <w:color w:val="808080"/>
        </w:rPr>
      </w:pPr>
      <w:r w:rsidRPr="00E13138">
        <w:rPr>
          <w:b/>
        </w:rPr>
        <w:t>REFERENCES:</w:t>
      </w:r>
      <w:r w:rsidRPr="00E13138">
        <w:t xml:space="preserve"> </w:t>
      </w:r>
    </w:p>
    <w:p w14:paraId="796983B9" w14:textId="691338C6" w:rsidR="00D958F5" w:rsidRPr="00E13138" w:rsidRDefault="009A10D1" w:rsidP="00E5141E">
      <w:pPr>
        <w:pBdr>
          <w:top w:val="nil"/>
          <w:left w:val="nil"/>
          <w:bottom w:val="nil"/>
          <w:right w:val="nil"/>
          <w:between w:val="nil"/>
        </w:pBdr>
        <w:rPr>
          <w:color w:val="000000"/>
        </w:rPr>
      </w:pPr>
      <w:r w:rsidRPr="00E13138">
        <w:rPr>
          <w:color w:val="000000"/>
        </w:rPr>
        <w:t>1.</w:t>
      </w:r>
      <w:r w:rsidRPr="00E13138">
        <w:rPr>
          <w:color w:val="000000"/>
        </w:rPr>
        <w:tab/>
      </w:r>
      <w:hyperlink r:id="rId26">
        <w:proofErr w:type="spellStart"/>
        <w:r w:rsidRPr="00E13138">
          <w:rPr>
            <w:color w:val="000000"/>
          </w:rPr>
          <w:t>Shimasaki</w:t>
        </w:r>
        <w:proofErr w:type="spellEnd"/>
        <w:r w:rsidRPr="00E13138">
          <w:rPr>
            <w:color w:val="000000"/>
          </w:rPr>
          <w:t xml:space="preserve">, N., Jain, A., Campana, D. NK cells for cancer immunotherapy. </w:t>
        </w:r>
      </w:hyperlink>
      <w:hyperlink r:id="rId27">
        <w:r w:rsidRPr="00E13138">
          <w:rPr>
            <w:i/>
            <w:color w:val="000000"/>
          </w:rPr>
          <w:t xml:space="preserve">Nature </w:t>
        </w:r>
        <w:r w:rsidR="00836B97">
          <w:rPr>
            <w:i/>
            <w:color w:val="000000"/>
          </w:rPr>
          <w:t>R</w:t>
        </w:r>
        <w:r w:rsidRPr="00E13138">
          <w:rPr>
            <w:i/>
            <w:color w:val="000000"/>
          </w:rPr>
          <w:t xml:space="preserve">eviews. Drug </w:t>
        </w:r>
        <w:r w:rsidR="00836B97">
          <w:rPr>
            <w:i/>
            <w:color w:val="000000"/>
          </w:rPr>
          <w:t>D</w:t>
        </w:r>
        <w:r w:rsidRPr="00E13138">
          <w:rPr>
            <w:i/>
            <w:color w:val="000000"/>
          </w:rPr>
          <w:t>iscovery</w:t>
        </w:r>
      </w:hyperlink>
      <w:hyperlink r:id="rId28">
        <w:r w:rsidRPr="00E13138">
          <w:rPr>
            <w:color w:val="000000"/>
          </w:rPr>
          <w:t xml:space="preserve">. </w:t>
        </w:r>
      </w:hyperlink>
      <w:hyperlink r:id="rId29">
        <w:r w:rsidRPr="00E13138">
          <w:rPr>
            <w:b/>
            <w:color w:val="000000"/>
          </w:rPr>
          <w:t>19</w:t>
        </w:r>
      </w:hyperlink>
      <w:hyperlink r:id="rId30">
        <w:r w:rsidRPr="00E13138">
          <w:rPr>
            <w:color w:val="000000"/>
          </w:rPr>
          <w:t xml:space="preserve"> (3), 200–218 (2020).</w:t>
        </w:r>
      </w:hyperlink>
    </w:p>
    <w:p w14:paraId="5FEF4ADD" w14:textId="72002AE1" w:rsidR="00D958F5" w:rsidRPr="00E13138" w:rsidRDefault="009A10D1" w:rsidP="00E5141E">
      <w:pPr>
        <w:pBdr>
          <w:top w:val="nil"/>
          <w:left w:val="nil"/>
          <w:bottom w:val="nil"/>
          <w:right w:val="nil"/>
          <w:between w:val="nil"/>
        </w:pBdr>
        <w:rPr>
          <w:color w:val="000000"/>
        </w:rPr>
      </w:pPr>
      <w:r w:rsidRPr="00E13138">
        <w:rPr>
          <w:color w:val="000000"/>
        </w:rPr>
        <w:t>2.</w:t>
      </w:r>
      <w:r w:rsidRPr="00E13138">
        <w:rPr>
          <w:color w:val="000000"/>
        </w:rPr>
        <w:tab/>
      </w:r>
      <w:hyperlink r:id="rId31">
        <w:proofErr w:type="spellStart"/>
        <w:r w:rsidRPr="00E13138">
          <w:rPr>
            <w:color w:val="000000"/>
          </w:rPr>
          <w:t>Vivier</w:t>
        </w:r>
        <w:proofErr w:type="spellEnd"/>
        <w:r w:rsidRPr="00E13138">
          <w:rPr>
            <w:color w:val="000000"/>
          </w:rPr>
          <w:t xml:space="preserve">, E., </w:t>
        </w:r>
        <w:proofErr w:type="spellStart"/>
        <w:r w:rsidRPr="00E13138">
          <w:rPr>
            <w:color w:val="000000"/>
          </w:rPr>
          <w:t>Tomasello</w:t>
        </w:r>
        <w:proofErr w:type="spellEnd"/>
        <w:r w:rsidRPr="00E13138">
          <w:rPr>
            <w:color w:val="000000"/>
          </w:rPr>
          <w:t xml:space="preserve">, E., </w:t>
        </w:r>
        <w:proofErr w:type="spellStart"/>
        <w:r w:rsidRPr="00E13138">
          <w:rPr>
            <w:color w:val="000000"/>
          </w:rPr>
          <w:t>Baratin</w:t>
        </w:r>
        <w:proofErr w:type="spellEnd"/>
        <w:r w:rsidRPr="00E13138">
          <w:rPr>
            <w:color w:val="000000"/>
          </w:rPr>
          <w:t xml:space="preserve">, M., </w:t>
        </w:r>
        <w:proofErr w:type="spellStart"/>
        <w:r w:rsidRPr="00E13138">
          <w:rPr>
            <w:color w:val="000000"/>
          </w:rPr>
          <w:t>Walzer</w:t>
        </w:r>
        <w:proofErr w:type="spellEnd"/>
        <w:r w:rsidRPr="00E13138">
          <w:rPr>
            <w:color w:val="000000"/>
          </w:rPr>
          <w:t xml:space="preserve">, T., </w:t>
        </w:r>
        <w:proofErr w:type="spellStart"/>
        <w:r w:rsidRPr="00E13138">
          <w:rPr>
            <w:color w:val="000000"/>
          </w:rPr>
          <w:t>Ugolini</w:t>
        </w:r>
        <w:proofErr w:type="spellEnd"/>
        <w:r w:rsidRPr="00E13138">
          <w:rPr>
            <w:color w:val="000000"/>
          </w:rPr>
          <w:t xml:space="preserve">, S. Functions of natural killer cells. </w:t>
        </w:r>
      </w:hyperlink>
      <w:hyperlink r:id="rId32">
        <w:r w:rsidRPr="00E13138">
          <w:rPr>
            <w:i/>
            <w:color w:val="000000"/>
          </w:rPr>
          <w:t xml:space="preserve">Nature </w:t>
        </w:r>
        <w:r w:rsidR="00836B97">
          <w:rPr>
            <w:i/>
            <w:color w:val="000000"/>
          </w:rPr>
          <w:t>I</w:t>
        </w:r>
        <w:r w:rsidRPr="00E13138">
          <w:rPr>
            <w:i/>
            <w:color w:val="000000"/>
          </w:rPr>
          <w:t>mmunology</w:t>
        </w:r>
      </w:hyperlink>
      <w:hyperlink r:id="rId33">
        <w:r w:rsidRPr="00E13138">
          <w:rPr>
            <w:color w:val="000000"/>
          </w:rPr>
          <w:t xml:space="preserve">. </w:t>
        </w:r>
      </w:hyperlink>
      <w:hyperlink r:id="rId34">
        <w:r w:rsidRPr="00E13138">
          <w:rPr>
            <w:b/>
            <w:color w:val="000000"/>
          </w:rPr>
          <w:t>9</w:t>
        </w:r>
      </w:hyperlink>
      <w:hyperlink r:id="rId35">
        <w:r w:rsidRPr="00E13138">
          <w:rPr>
            <w:color w:val="000000"/>
          </w:rPr>
          <w:t xml:space="preserve"> (5), 503–510 (2008).</w:t>
        </w:r>
      </w:hyperlink>
    </w:p>
    <w:p w14:paraId="7A17E775" w14:textId="43DFF0C1" w:rsidR="00D958F5" w:rsidRPr="00E13138" w:rsidRDefault="009A10D1" w:rsidP="00E5141E">
      <w:pPr>
        <w:pBdr>
          <w:top w:val="nil"/>
          <w:left w:val="nil"/>
          <w:bottom w:val="nil"/>
          <w:right w:val="nil"/>
          <w:between w:val="nil"/>
        </w:pBdr>
        <w:rPr>
          <w:color w:val="000000"/>
        </w:rPr>
      </w:pPr>
      <w:r w:rsidRPr="00E13138">
        <w:rPr>
          <w:color w:val="000000"/>
        </w:rPr>
        <w:t>3.</w:t>
      </w:r>
      <w:r w:rsidRPr="00E13138">
        <w:rPr>
          <w:color w:val="000000"/>
        </w:rPr>
        <w:tab/>
      </w:r>
      <w:hyperlink r:id="rId36">
        <w:r w:rsidRPr="00E13138">
          <w:rPr>
            <w:color w:val="000000"/>
          </w:rPr>
          <w:t>Eller, M.</w:t>
        </w:r>
        <w:r w:rsidR="00836B97">
          <w:rPr>
            <w:color w:val="000000"/>
          </w:rPr>
          <w:t xml:space="preserve"> </w:t>
        </w:r>
        <w:r w:rsidRPr="00E13138">
          <w:rPr>
            <w:color w:val="000000"/>
          </w:rPr>
          <w:t>A., Currier, J.</w:t>
        </w:r>
        <w:r w:rsidR="00836B97">
          <w:rPr>
            <w:color w:val="000000"/>
          </w:rPr>
          <w:t xml:space="preserve"> </w:t>
        </w:r>
        <w:r w:rsidRPr="00E13138">
          <w:rPr>
            <w:color w:val="000000"/>
          </w:rPr>
          <w:t xml:space="preserve">R. OMIP-007: phenotypic analysis of human natural killer cells. </w:t>
        </w:r>
      </w:hyperlink>
      <w:hyperlink r:id="rId37">
        <w:r w:rsidRPr="00E13138">
          <w:rPr>
            <w:i/>
            <w:color w:val="000000"/>
          </w:rPr>
          <w:t xml:space="preserve">Cytometry. Part A: </w:t>
        </w:r>
        <w:r w:rsidR="00836B97">
          <w:rPr>
            <w:i/>
            <w:color w:val="000000"/>
          </w:rPr>
          <w:t>T</w:t>
        </w:r>
        <w:r w:rsidRPr="00E13138">
          <w:rPr>
            <w:i/>
            <w:color w:val="000000"/>
          </w:rPr>
          <w:t xml:space="preserve">he </w:t>
        </w:r>
        <w:r w:rsidR="00836B97">
          <w:rPr>
            <w:i/>
            <w:color w:val="000000"/>
          </w:rPr>
          <w:t>J</w:t>
        </w:r>
        <w:r w:rsidRPr="00E13138">
          <w:rPr>
            <w:i/>
            <w:color w:val="000000"/>
          </w:rPr>
          <w:t>ournal of the International Society for Analytical Cytology</w:t>
        </w:r>
      </w:hyperlink>
      <w:hyperlink r:id="rId38">
        <w:r w:rsidRPr="00E13138">
          <w:rPr>
            <w:color w:val="000000"/>
          </w:rPr>
          <w:t xml:space="preserve">. </w:t>
        </w:r>
      </w:hyperlink>
      <w:hyperlink r:id="rId39">
        <w:r w:rsidRPr="00E13138">
          <w:rPr>
            <w:b/>
            <w:color w:val="000000"/>
          </w:rPr>
          <w:t>81</w:t>
        </w:r>
      </w:hyperlink>
      <w:hyperlink r:id="rId40">
        <w:r w:rsidRPr="00E13138">
          <w:rPr>
            <w:color w:val="000000"/>
          </w:rPr>
          <w:t xml:space="preserve"> (6), 447–449 (2012).</w:t>
        </w:r>
      </w:hyperlink>
    </w:p>
    <w:p w14:paraId="02177848" w14:textId="627FD4D7" w:rsidR="00D958F5" w:rsidRPr="00E13138" w:rsidRDefault="009A10D1" w:rsidP="00E5141E">
      <w:pPr>
        <w:pBdr>
          <w:top w:val="nil"/>
          <w:left w:val="nil"/>
          <w:bottom w:val="nil"/>
          <w:right w:val="nil"/>
          <w:between w:val="nil"/>
        </w:pBdr>
        <w:rPr>
          <w:color w:val="000000"/>
        </w:rPr>
      </w:pPr>
      <w:r w:rsidRPr="00E13138">
        <w:rPr>
          <w:color w:val="000000"/>
        </w:rPr>
        <w:t>4.</w:t>
      </w:r>
      <w:r w:rsidRPr="00E13138">
        <w:rPr>
          <w:color w:val="000000"/>
        </w:rPr>
        <w:tab/>
      </w:r>
      <w:hyperlink r:id="rId41">
        <w:proofErr w:type="spellStart"/>
        <w:r w:rsidRPr="00E13138">
          <w:rPr>
            <w:color w:val="000000"/>
          </w:rPr>
          <w:t>Mahnke</w:t>
        </w:r>
        <w:proofErr w:type="spellEnd"/>
        <w:r w:rsidRPr="00E13138">
          <w:rPr>
            <w:color w:val="000000"/>
          </w:rPr>
          <w:t>, Y.</w:t>
        </w:r>
        <w:r w:rsidR="00836B97">
          <w:rPr>
            <w:color w:val="000000"/>
          </w:rPr>
          <w:t xml:space="preserve"> </w:t>
        </w:r>
        <w:r w:rsidRPr="00E13138">
          <w:rPr>
            <w:color w:val="000000"/>
          </w:rPr>
          <w:t xml:space="preserve">D., </w:t>
        </w:r>
        <w:proofErr w:type="spellStart"/>
        <w:r w:rsidRPr="00E13138">
          <w:rPr>
            <w:color w:val="000000"/>
          </w:rPr>
          <w:t>Beddall</w:t>
        </w:r>
        <w:proofErr w:type="spellEnd"/>
        <w:r w:rsidRPr="00E13138">
          <w:rPr>
            <w:color w:val="000000"/>
          </w:rPr>
          <w:t>, M.</w:t>
        </w:r>
        <w:r w:rsidR="00836B97">
          <w:rPr>
            <w:color w:val="000000"/>
          </w:rPr>
          <w:t xml:space="preserve"> </w:t>
        </w:r>
        <w:r w:rsidRPr="00E13138">
          <w:rPr>
            <w:color w:val="000000"/>
          </w:rPr>
          <w:t xml:space="preserve">H., </w:t>
        </w:r>
        <w:proofErr w:type="spellStart"/>
        <w:r w:rsidRPr="00E13138">
          <w:rPr>
            <w:color w:val="000000"/>
          </w:rPr>
          <w:t>Roederer</w:t>
        </w:r>
        <w:proofErr w:type="spellEnd"/>
        <w:r w:rsidRPr="00E13138">
          <w:rPr>
            <w:color w:val="000000"/>
          </w:rPr>
          <w:t xml:space="preserve">, M. OMIP-029: Human NK-cell </w:t>
        </w:r>
        <w:proofErr w:type="spellStart"/>
        <w:r w:rsidRPr="00E13138">
          <w:rPr>
            <w:color w:val="000000"/>
          </w:rPr>
          <w:t>phenotypization</w:t>
        </w:r>
        <w:proofErr w:type="spellEnd"/>
        <w:r w:rsidRPr="00E13138">
          <w:rPr>
            <w:color w:val="000000"/>
          </w:rPr>
          <w:t xml:space="preserve">. </w:t>
        </w:r>
      </w:hyperlink>
      <w:hyperlink r:id="rId42">
        <w:r w:rsidRPr="00E13138">
          <w:rPr>
            <w:i/>
            <w:color w:val="000000"/>
          </w:rPr>
          <w:t xml:space="preserve">Cytometry. Part A: </w:t>
        </w:r>
        <w:r w:rsidR="00836B97">
          <w:rPr>
            <w:i/>
            <w:color w:val="000000"/>
          </w:rPr>
          <w:t>T</w:t>
        </w:r>
        <w:r w:rsidRPr="00E13138">
          <w:rPr>
            <w:i/>
            <w:color w:val="000000"/>
          </w:rPr>
          <w:t xml:space="preserve">he </w:t>
        </w:r>
        <w:r w:rsidR="00836B97">
          <w:rPr>
            <w:i/>
            <w:color w:val="000000"/>
          </w:rPr>
          <w:t>J</w:t>
        </w:r>
        <w:r w:rsidRPr="00E13138">
          <w:rPr>
            <w:i/>
            <w:color w:val="000000"/>
          </w:rPr>
          <w:t>ournal of the International Society for Analytical Cytology</w:t>
        </w:r>
      </w:hyperlink>
      <w:hyperlink r:id="rId43">
        <w:r w:rsidRPr="00E13138">
          <w:rPr>
            <w:color w:val="000000"/>
          </w:rPr>
          <w:t xml:space="preserve">. </w:t>
        </w:r>
      </w:hyperlink>
      <w:hyperlink r:id="rId44">
        <w:r w:rsidRPr="00E13138">
          <w:rPr>
            <w:b/>
            <w:color w:val="000000"/>
          </w:rPr>
          <w:t>87</w:t>
        </w:r>
      </w:hyperlink>
      <w:hyperlink r:id="rId45">
        <w:r w:rsidRPr="00E13138">
          <w:rPr>
            <w:color w:val="000000"/>
          </w:rPr>
          <w:t xml:space="preserve"> (11), 986–988 (2015).</w:t>
        </w:r>
      </w:hyperlink>
    </w:p>
    <w:p w14:paraId="596E1089" w14:textId="77777777" w:rsidR="00D958F5" w:rsidRPr="00E13138" w:rsidRDefault="009A10D1" w:rsidP="00E5141E">
      <w:pPr>
        <w:pBdr>
          <w:top w:val="nil"/>
          <w:left w:val="nil"/>
          <w:bottom w:val="nil"/>
          <w:right w:val="nil"/>
          <w:between w:val="nil"/>
        </w:pBdr>
        <w:rPr>
          <w:color w:val="000000"/>
        </w:rPr>
      </w:pPr>
      <w:r w:rsidRPr="00E13138">
        <w:rPr>
          <w:color w:val="000000"/>
        </w:rPr>
        <w:lastRenderedPageBreak/>
        <w:t>5.</w:t>
      </w:r>
      <w:r w:rsidRPr="00E13138">
        <w:rPr>
          <w:color w:val="000000"/>
        </w:rPr>
        <w:tab/>
      </w:r>
      <w:hyperlink r:id="rId46">
        <w:r w:rsidRPr="00E13138">
          <w:rPr>
            <w:color w:val="000000"/>
          </w:rPr>
          <w:t xml:space="preserve">Hammer, Q., </w:t>
        </w:r>
        <w:proofErr w:type="spellStart"/>
        <w:r w:rsidRPr="00E13138">
          <w:rPr>
            <w:color w:val="000000"/>
          </w:rPr>
          <w:t>Romagnani</w:t>
        </w:r>
        <w:proofErr w:type="spellEnd"/>
        <w:r w:rsidRPr="00E13138">
          <w:rPr>
            <w:color w:val="000000"/>
          </w:rPr>
          <w:t xml:space="preserve">, C. OMIP-039: Detection and analysis of human adaptive NKG2C + natural killer cells : Detection of Human Adaptive NKG2C + NK Cells. </w:t>
        </w:r>
      </w:hyperlink>
      <w:hyperlink r:id="rId47">
        <w:r w:rsidRPr="00E13138">
          <w:rPr>
            <w:i/>
            <w:color w:val="000000"/>
          </w:rPr>
          <w:t>Cytometry</w:t>
        </w:r>
      </w:hyperlink>
      <w:hyperlink r:id="rId48">
        <w:r w:rsidRPr="00E13138">
          <w:rPr>
            <w:color w:val="000000"/>
          </w:rPr>
          <w:t xml:space="preserve">. </w:t>
        </w:r>
      </w:hyperlink>
      <w:hyperlink r:id="rId49">
        <w:r w:rsidRPr="00E13138">
          <w:rPr>
            <w:b/>
            <w:color w:val="000000"/>
          </w:rPr>
          <w:t>91</w:t>
        </w:r>
      </w:hyperlink>
      <w:hyperlink r:id="rId50">
        <w:r w:rsidRPr="00E13138">
          <w:rPr>
            <w:color w:val="000000"/>
          </w:rPr>
          <w:t xml:space="preserve"> (10), 997–1000 (2017).</w:t>
        </w:r>
      </w:hyperlink>
    </w:p>
    <w:p w14:paraId="6E7D4251" w14:textId="07984615" w:rsidR="00D958F5" w:rsidRPr="00E13138" w:rsidRDefault="009A10D1" w:rsidP="00E5141E">
      <w:pPr>
        <w:pBdr>
          <w:top w:val="nil"/>
          <w:left w:val="nil"/>
          <w:bottom w:val="nil"/>
          <w:right w:val="nil"/>
          <w:between w:val="nil"/>
        </w:pBdr>
        <w:rPr>
          <w:color w:val="000000"/>
        </w:rPr>
      </w:pPr>
      <w:r w:rsidRPr="00E13138">
        <w:rPr>
          <w:color w:val="000000"/>
        </w:rPr>
        <w:t>6.</w:t>
      </w:r>
      <w:r w:rsidRPr="00E13138">
        <w:rPr>
          <w:color w:val="000000"/>
        </w:rPr>
        <w:tab/>
      </w:r>
      <w:hyperlink r:id="rId51">
        <w:proofErr w:type="spellStart"/>
        <w:r w:rsidRPr="00E13138">
          <w:rPr>
            <w:color w:val="000000"/>
          </w:rPr>
          <w:t>Liechti</w:t>
        </w:r>
        <w:proofErr w:type="spellEnd"/>
        <w:r w:rsidRPr="00E13138">
          <w:rPr>
            <w:color w:val="000000"/>
          </w:rPr>
          <w:t xml:space="preserve">, T., </w:t>
        </w:r>
        <w:proofErr w:type="spellStart"/>
        <w:r w:rsidRPr="00E13138">
          <w:rPr>
            <w:color w:val="000000"/>
          </w:rPr>
          <w:t>Roederer</w:t>
        </w:r>
        <w:proofErr w:type="spellEnd"/>
        <w:r w:rsidRPr="00E13138">
          <w:rPr>
            <w:color w:val="000000"/>
          </w:rPr>
          <w:t xml:space="preserve">, M. OMIP‐058: 30‐Parameter </w:t>
        </w:r>
        <w:r w:rsidR="00836B97">
          <w:rPr>
            <w:color w:val="000000"/>
          </w:rPr>
          <w:t>f</w:t>
        </w:r>
        <w:r w:rsidRPr="00E13138">
          <w:rPr>
            <w:color w:val="000000"/>
          </w:rPr>
          <w:t xml:space="preserve">low </w:t>
        </w:r>
        <w:r w:rsidR="00836B97">
          <w:rPr>
            <w:color w:val="000000"/>
          </w:rPr>
          <w:t>c</w:t>
        </w:r>
        <w:r w:rsidRPr="00E13138">
          <w:rPr>
            <w:color w:val="000000"/>
          </w:rPr>
          <w:t xml:space="preserve">ytometry </w:t>
        </w:r>
        <w:r w:rsidR="00836B97">
          <w:rPr>
            <w:color w:val="000000"/>
          </w:rPr>
          <w:t>p</w:t>
        </w:r>
        <w:r w:rsidRPr="00E13138">
          <w:rPr>
            <w:color w:val="000000"/>
          </w:rPr>
          <w:t xml:space="preserve">anel to </w:t>
        </w:r>
        <w:r w:rsidR="00836B97">
          <w:rPr>
            <w:color w:val="000000"/>
          </w:rPr>
          <w:t>c</w:t>
        </w:r>
        <w:r w:rsidRPr="00E13138">
          <w:rPr>
            <w:color w:val="000000"/>
          </w:rPr>
          <w:t xml:space="preserve">haracterize </w:t>
        </w:r>
        <w:proofErr w:type="spellStart"/>
        <w:r w:rsidRPr="00E13138">
          <w:rPr>
            <w:color w:val="000000"/>
          </w:rPr>
          <w:t>iNKT</w:t>
        </w:r>
        <w:proofErr w:type="spellEnd"/>
        <w:r w:rsidRPr="00E13138">
          <w:rPr>
            <w:color w:val="000000"/>
          </w:rPr>
          <w:t xml:space="preserve">, NK, </w:t>
        </w:r>
        <w:r w:rsidR="00836B97">
          <w:rPr>
            <w:color w:val="000000"/>
          </w:rPr>
          <w:t>u</w:t>
        </w:r>
        <w:r w:rsidRPr="00E13138">
          <w:rPr>
            <w:color w:val="000000"/>
          </w:rPr>
          <w:t xml:space="preserve">nconventional and </w:t>
        </w:r>
        <w:r w:rsidR="00836B97">
          <w:rPr>
            <w:color w:val="000000"/>
          </w:rPr>
          <w:t>c</w:t>
        </w:r>
        <w:r w:rsidRPr="00E13138">
          <w:rPr>
            <w:color w:val="000000"/>
          </w:rPr>
          <w:t xml:space="preserve">onventional T </w:t>
        </w:r>
        <w:r w:rsidR="00836B97">
          <w:rPr>
            <w:color w:val="000000"/>
          </w:rPr>
          <w:t>c</w:t>
        </w:r>
        <w:r w:rsidRPr="00E13138">
          <w:rPr>
            <w:color w:val="000000"/>
          </w:rPr>
          <w:t xml:space="preserve">ells. </w:t>
        </w:r>
      </w:hyperlink>
      <w:hyperlink r:id="rId52">
        <w:r w:rsidRPr="00E13138">
          <w:rPr>
            <w:i/>
            <w:color w:val="000000"/>
          </w:rPr>
          <w:t>Cytometry</w:t>
        </w:r>
      </w:hyperlink>
      <w:hyperlink r:id="rId53">
        <w:r w:rsidRPr="00E13138">
          <w:rPr>
            <w:color w:val="000000"/>
          </w:rPr>
          <w:t xml:space="preserve">. </w:t>
        </w:r>
      </w:hyperlink>
      <w:hyperlink r:id="rId54">
        <w:r w:rsidRPr="00E13138">
          <w:rPr>
            <w:b/>
            <w:color w:val="000000"/>
          </w:rPr>
          <w:t>95</w:t>
        </w:r>
      </w:hyperlink>
      <w:hyperlink r:id="rId55">
        <w:r w:rsidRPr="00E13138">
          <w:rPr>
            <w:color w:val="000000"/>
          </w:rPr>
          <w:t xml:space="preserve"> (9), 946–951 (2019).</w:t>
        </w:r>
      </w:hyperlink>
    </w:p>
    <w:p w14:paraId="56661982" w14:textId="77777777" w:rsidR="00D958F5" w:rsidRPr="00E13138" w:rsidRDefault="009A10D1" w:rsidP="00E5141E">
      <w:pPr>
        <w:pBdr>
          <w:top w:val="nil"/>
          <w:left w:val="nil"/>
          <w:bottom w:val="nil"/>
          <w:right w:val="nil"/>
          <w:between w:val="nil"/>
        </w:pBdr>
        <w:rPr>
          <w:color w:val="000000"/>
        </w:rPr>
      </w:pPr>
      <w:r w:rsidRPr="00E13138">
        <w:rPr>
          <w:color w:val="000000"/>
        </w:rPr>
        <w:t>7.</w:t>
      </w:r>
      <w:r w:rsidRPr="00E13138">
        <w:rPr>
          <w:color w:val="000000"/>
        </w:rPr>
        <w:tab/>
      </w:r>
      <w:hyperlink r:id="rId56">
        <w:proofErr w:type="spellStart"/>
        <w:r w:rsidRPr="00E13138">
          <w:rPr>
            <w:color w:val="000000"/>
          </w:rPr>
          <w:t>Béziat</w:t>
        </w:r>
        <w:proofErr w:type="spellEnd"/>
        <w:r w:rsidRPr="00E13138">
          <w:rPr>
            <w:color w:val="000000"/>
          </w:rPr>
          <w:t xml:space="preserve">, V. </w:t>
        </w:r>
      </w:hyperlink>
      <w:hyperlink r:id="rId57">
        <w:r w:rsidRPr="00836B97">
          <w:rPr>
            <w:color w:val="000000"/>
          </w:rPr>
          <w:t>et al.</w:t>
        </w:r>
      </w:hyperlink>
      <w:hyperlink r:id="rId58">
        <w:r w:rsidRPr="00E13138">
          <w:rPr>
            <w:color w:val="000000"/>
          </w:rPr>
          <w:t xml:space="preserve"> NK cell responses to cytomegalovirus infection lead to stable imprints in the human KIR repertoire and involve activating KIRs. </w:t>
        </w:r>
      </w:hyperlink>
      <w:hyperlink r:id="rId59">
        <w:r w:rsidRPr="00E13138">
          <w:rPr>
            <w:i/>
            <w:color w:val="000000"/>
          </w:rPr>
          <w:t>Blood</w:t>
        </w:r>
      </w:hyperlink>
      <w:hyperlink r:id="rId60">
        <w:r w:rsidRPr="00E13138">
          <w:rPr>
            <w:color w:val="000000"/>
          </w:rPr>
          <w:t xml:space="preserve">. </w:t>
        </w:r>
      </w:hyperlink>
      <w:hyperlink r:id="rId61">
        <w:r w:rsidRPr="00E13138">
          <w:rPr>
            <w:b/>
            <w:color w:val="000000"/>
          </w:rPr>
          <w:t>121</w:t>
        </w:r>
      </w:hyperlink>
      <w:hyperlink r:id="rId62">
        <w:r w:rsidRPr="00E13138">
          <w:rPr>
            <w:color w:val="000000"/>
          </w:rPr>
          <w:t xml:space="preserve"> (14), 2678–2688 (2013).</w:t>
        </w:r>
      </w:hyperlink>
    </w:p>
    <w:p w14:paraId="25ED6246" w14:textId="0B52BD55" w:rsidR="00D958F5" w:rsidRPr="00E13138" w:rsidRDefault="009A10D1" w:rsidP="00E5141E">
      <w:pPr>
        <w:pBdr>
          <w:top w:val="nil"/>
          <w:left w:val="nil"/>
          <w:bottom w:val="nil"/>
          <w:right w:val="nil"/>
          <w:between w:val="nil"/>
        </w:pBdr>
        <w:rPr>
          <w:color w:val="000000"/>
        </w:rPr>
      </w:pPr>
      <w:r w:rsidRPr="00E13138">
        <w:rPr>
          <w:color w:val="000000"/>
        </w:rPr>
        <w:t>8.</w:t>
      </w:r>
      <w:r w:rsidRPr="00E13138">
        <w:rPr>
          <w:color w:val="000000"/>
        </w:rPr>
        <w:tab/>
      </w:r>
      <w:hyperlink r:id="rId63">
        <w:proofErr w:type="spellStart"/>
        <w:r w:rsidRPr="00E13138">
          <w:rPr>
            <w:color w:val="000000"/>
          </w:rPr>
          <w:t>Pfefferle</w:t>
        </w:r>
        <w:proofErr w:type="spellEnd"/>
        <w:r w:rsidRPr="00E13138">
          <w:rPr>
            <w:color w:val="000000"/>
          </w:rPr>
          <w:t xml:space="preserve">, A. </w:t>
        </w:r>
      </w:hyperlink>
      <w:hyperlink r:id="rId64">
        <w:r w:rsidRPr="00836B97">
          <w:rPr>
            <w:color w:val="000000"/>
          </w:rPr>
          <w:t>et al.</w:t>
        </w:r>
      </w:hyperlink>
      <w:hyperlink r:id="rId65">
        <w:r w:rsidRPr="00E13138">
          <w:rPr>
            <w:color w:val="000000"/>
          </w:rPr>
          <w:t xml:space="preserve"> Intra-</w:t>
        </w:r>
        <w:r w:rsidR="00836B97">
          <w:rPr>
            <w:color w:val="000000"/>
          </w:rPr>
          <w:t>l</w:t>
        </w:r>
        <w:r w:rsidRPr="00E13138">
          <w:rPr>
            <w:color w:val="000000"/>
          </w:rPr>
          <w:t xml:space="preserve">ineage </w:t>
        </w:r>
        <w:r w:rsidR="00836B97">
          <w:rPr>
            <w:color w:val="000000"/>
          </w:rPr>
          <w:t>p</w:t>
        </w:r>
        <w:r w:rsidRPr="00E13138">
          <w:rPr>
            <w:color w:val="000000"/>
          </w:rPr>
          <w:t xml:space="preserve">lasticity and </w:t>
        </w:r>
        <w:r w:rsidR="00836B97">
          <w:rPr>
            <w:color w:val="000000"/>
          </w:rPr>
          <w:t>f</w:t>
        </w:r>
        <w:r w:rsidRPr="00E13138">
          <w:rPr>
            <w:color w:val="000000"/>
          </w:rPr>
          <w:t xml:space="preserve">unctional </w:t>
        </w:r>
        <w:r w:rsidR="00836B97">
          <w:rPr>
            <w:color w:val="000000"/>
          </w:rPr>
          <w:t>r</w:t>
        </w:r>
        <w:r w:rsidRPr="00E13138">
          <w:rPr>
            <w:color w:val="000000"/>
          </w:rPr>
          <w:t xml:space="preserve">eprogramming </w:t>
        </w:r>
        <w:r w:rsidR="00836B97">
          <w:rPr>
            <w:color w:val="000000"/>
          </w:rPr>
          <w:t>m</w:t>
        </w:r>
        <w:r w:rsidRPr="00E13138">
          <w:rPr>
            <w:color w:val="000000"/>
          </w:rPr>
          <w:t xml:space="preserve">aintain </w:t>
        </w:r>
        <w:r w:rsidR="00836B97">
          <w:rPr>
            <w:color w:val="000000"/>
          </w:rPr>
          <w:t>n</w:t>
        </w:r>
        <w:r w:rsidRPr="00E13138">
          <w:rPr>
            <w:color w:val="000000"/>
          </w:rPr>
          <w:t xml:space="preserve">atural </w:t>
        </w:r>
        <w:r w:rsidR="00836B97">
          <w:rPr>
            <w:color w:val="000000"/>
          </w:rPr>
          <w:t>k</w:t>
        </w:r>
        <w:r w:rsidRPr="00E13138">
          <w:rPr>
            <w:color w:val="000000"/>
          </w:rPr>
          <w:t xml:space="preserve">iller </w:t>
        </w:r>
        <w:r w:rsidR="00836B97">
          <w:rPr>
            <w:color w:val="000000"/>
          </w:rPr>
          <w:t>c</w:t>
        </w:r>
        <w:r w:rsidRPr="00E13138">
          <w:rPr>
            <w:color w:val="000000"/>
          </w:rPr>
          <w:t xml:space="preserve">ell </w:t>
        </w:r>
        <w:r w:rsidR="00836B97">
          <w:rPr>
            <w:color w:val="000000"/>
          </w:rPr>
          <w:t>r</w:t>
        </w:r>
        <w:r w:rsidRPr="00E13138">
          <w:rPr>
            <w:color w:val="000000"/>
          </w:rPr>
          <w:t xml:space="preserve">epertoire </w:t>
        </w:r>
        <w:r w:rsidR="00836B97">
          <w:rPr>
            <w:color w:val="000000"/>
          </w:rPr>
          <w:t>d</w:t>
        </w:r>
        <w:r w:rsidRPr="00E13138">
          <w:rPr>
            <w:color w:val="000000"/>
          </w:rPr>
          <w:t xml:space="preserve">iversity. </w:t>
        </w:r>
      </w:hyperlink>
      <w:r w:rsidR="00836B97" w:rsidRPr="00836B97">
        <w:rPr>
          <w:i/>
          <w:iCs/>
        </w:rPr>
        <w:t>Cell Reports.</w:t>
      </w:r>
      <w:r w:rsidR="00836B97">
        <w:rPr>
          <w:color w:val="000000"/>
        </w:rPr>
        <w:t xml:space="preserve"> </w:t>
      </w:r>
      <w:r w:rsidR="00836B97" w:rsidRPr="00836B97">
        <w:rPr>
          <w:b/>
          <w:bCs/>
          <w:color w:val="000000"/>
        </w:rPr>
        <w:t>29</w:t>
      </w:r>
      <w:r w:rsidR="00836B97">
        <w:rPr>
          <w:color w:val="000000"/>
        </w:rPr>
        <w:t xml:space="preserve"> (8) 2284-2294 (2019).</w:t>
      </w:r>
      <w:r w:rsidR="00836B97" w:rsidRPr="00E13138">
        <w:rPr>
          <w:color w:val="000000"/>
        </w:rPr>
        <w:t xml:space="preserve"> </w:t>
      </w:r>
    </w:p>
    <w:p w14:paraId="1EDFED4D" w14:textId="5A16BEEA" w:rsidR="00D958F5" w:rsidRPr="00E13138" w:rsidRDefault="009A10D1" w:rsidP="00E5141E">
      <w:pPr>
        <w:pBdr>
          <w:top w:val="nil"/>
          <w:left w:val="nil"/>
          <w:bottom w:val="nil"/>
          <w:right w:val="nil"/>
          <w:between w:val="nil"/>
        </w:pBdr>
        <w:rPr>
          <w:color w:val="000000"/>
        </w:rPr>
      </w:pPr>
      <w:r w:rsidRPr="00E13138">
        <w:rPr>
          <w:color w:val="000000"/>
        </w:rPr>
        <w:t>9.</w:t>
      </w:r>
      <w:r w:rsidRPr="00E13138">
        <w:rPr>
          <w:color w:val="000000"/>
        </w:rPr>
        <w:tab/>
      </w:r>
      <w:hyperlink r:id="rId66">
        <w:proofErr w:type="spellStart"/>
        <w:r w:rsidRPr="00E13138">
          <w:rPr>
            <w:color w:val="000000"/>
          </w:rPr>
          <w:t>Barcenilla</w:t>
        </w:r>
        <w:proofErr w:type="spellEnd"/>
        <w:r w:rsidRPr="00E13138">
          <w:rPr>
            <w:color w:val="000000"/>
          </w:rPr>
          <w:t xml:space="preserve">, H., </w:t>
        </w:r>
        <w:proofErr w:type="spellStart"/>
        <w:r w:rsidRPr="00E13138">
          <w:rPr>
            <w:color w:val="000000"/>
          </w:rPr>
          <w:t>Åkerman</w:t>
        </w:r>
        <w:proofErr w:type="spellEnd"/>
        <w:r w:rsidRPr="00E13138">
          <w:rPr>
            <w:color w:val="000000"/>
          </w:rPr>
          <w:t xml:space="preserve">, L., Pihl, M., </w:t>
        </w:r>
        <w:proofErr w:type="spellStart"/>
        <w:r w:rsidRPr="00E13138">
          <w:rPr>
            <w:color w:val="000000"/>
          </w:rPr>
          <w:t>Ludvigsson</w:t>
        </w:r>
        <w:proofErr w:type="spellEnd"/>
        <w:r w:rsidRPr="00E13138">
          <w:rPr>
            <w:color w:val="000000"/>
          </w:rPr>
          <w:t xml:space="preserve">, J., Casas, R. Mass </w:t>
        </w:r>
        <w:r w:rsidR="00836B97" w:rsidRPr="00E13138">
          <w:rPr>
            <w:color w:val="000000"/>
          </w:rPr>
          <w:t xml:space="preserve">cytometry identifies distinct subsets of regulatory </w:t>
        </w:r>
        <w:r w:rsidR="00836B97">
          <w:rPr>
            <w:color w:val="000000"/>
          </w:rPr>
          <w:t>T</w:t>
        </w:r>
        <w:r w:rsidR="00836B97" w:rsidRPr="00E13138">
          <w:rPr>
            <w:color w:val="000000"/>
          </w:rPr>
          <w:t xml:space="preserve"> cells and </w:t>
        </w:r>
        <w:r w:rsidR="00836B97">
          <w:rPr>
            <w:color w:val="000000"/>
          </w:rPr>
          <w:t>N</w:t>
        </w:r>
        <w:r w:rsidR="00836B97" w:rsidRPr="00E13138">
          <w:rPr>
            <w:color w:val="000000"/>
          </w:rPr>
          <w:t xml:space="preserve">atural killer cells associated with high risk for </w:t>
        </w:r>
        <w:r w:rsidR="00836B97">
          <w:rPr>
            <w:color w:val="000000"/>
          </w:rPr>
          <w:t>T</w:t>
        </w:r>
        <w:r w:rsidR="00836B97" w:rsidRPr="00E13138">
          <w:rPr>
            <w:color w:val="000000"/>
          </w:rPr>
          <w:t>ype 1 diabetes</w:t>
        </w:r>
        <w:r w:rsidRPr="00E13138">
          <w:rPr>
            <w:color w:val="000000"/>
          </w:rPr>
          <w:t xml:space="preserve">. </w:t>
        </w:r>
      </w:hyperlink>
      <w:hyperlink r:id="rId67">
        <w:r w:rsidRPr="00E13138">
          <w:rPr>
            <w:i/>
            <w:color w:val="000000"/>
          </w:rPr>
          <w:t xml:space="preserve">Frontiers in </w:t>
        </w:r>
        <w:r w:rsidR="00836B97">
          <w:rPr>
            <w:i/>
            <w:color w:val="000000"/>
          </w:rPr>
          <w:t>I</w:t>
        </w:r>
        <w:r w:rsidRPr="00E13138">
          <w:rPr>
            <w:i/>
            <w:color w:val="000000"/>
          </w:rPr>
          <w:t>mmunology</w:t>
        </w:r>
      </w:hyperlink>
      <w:hyperlink r:id="rId68">
        <w:r w:rsidRPr="00E13138">
          <w:rPr>
            <w:color w:val="000000"/>
          </w:rPr>
          <w:t xml:space="preserve">. </w:t>
        </w:r>
      </w:hyperlink>
      <w:hyperlink r:id="rId69">
        <w:r w:rsidRPr="00E13138">
          <w:rPr>
            <w:b/>
            <w:color w:val="000000"/>
          </w:rPr>
          <w:t>10</w:t>
        </w:r>
      </w:hyperlink>
      <w:hyperlink r:id="rId70">
        <w:r w:rsidRPr="00E13138">
          <w:rPr>
            <w:color w:val="000000"/>
          </w:rPr>
          <w:t>, 982 (2019).</w:t>
        </w:r>
      </w:hyperlink>
    </w:p>
    <w:p w14:paraId="0F9F5C99" w14:textId="6405D4AD" w:rsidR="00D958F5" w:rsidRPr="00E13138" w:rsidRDefault="009A10D1" w:rsidP="00E5141E">
      <w:pPr>
        <w:pBdr>
          <w:top w:val="nil"/>
          <w:left w:val="nil"/>
          <w:bottom w:val="nil"/>
          <w:right w:val="nil"/>
          <w:between w:val="nil"/>
        </w:pBdr>
        <w:rPr>
          <w:color w:val="000000"/>
        </w:rPr>
      </w:pPr>
      <w:r w:rsidRPr="00E13138">
        <w:rPr>
          <w:color w:val="000000"/>
        </w:rPr>
        <w:t>10.</w:t>
      </w:r>
      <w:r w:rsidRPr="00E13138">
        <w:rPr>
          <w:color w:val="000000"/>
        </w:rPr>
        <w:tab/>
      </w:r>
      <w:hyperlink r:id="rId71">
        <w:proofErr w:type="spellStart"/>
        <w:r w:rsidRPr="00E13138">
          <w:rPr>
            <w:color w:val="000000"/>
          </w:rPr>
          <w:t>Kurioka</w:t>
        </w:r>
        <w:proofErr w:type="spellEnd"/>
        <w:r w:rsidRPr="00E13138">
          <w:rPr>
            <w:color w:val="000000"/>
          </w:rPr>
          <w:t xml:space="preserve">, A. </w:t>
        </w:r>
      </w:hyperlink>
      <w:hyperlink r:id="rId72">
        <w:r w:rsidRPr="00836B97">
          <w:rPr>
            <w:color w:val="000000"/>
          </w:rPr>
          <w:t>et al.</w:t>
        </w:r>
      </w:hyperlink>
      <w:hyperlink r:id="rId73">
        <w:r w:rsidRPr="00E13138">
          <w:rPr>
            <w:color w:val="000000"/>
          </w:rPr>
          <w:t xml:space="preserve"> CD161 </w:t>
        </w:r>
        <w:r w:rsidR="00836B97">
          <w:rPr>
            <w:color w:val="000000"/>
          </w:rPr>
          <w:t>d</w:t>
        </w:r>
        <w:r w:rsidRPr="00E13138">
          <w:rPr>
            <w:color w:val="000000"/>
          </w:rPr>
          <w:t xml:space="preserve">efines a </w:t>
        </w:r>
        <w:r w:rsidR="00836B97">
          <w:rPr>
            <w:color w:val="000000"/>
          </w:rPr>
          <w:t>f</w:t>
        </w:r>
        <w:r w:rsidRPr="00E13138">
          <w:rPr>
            <w:color w:val="000000"/>
          </w:rPr>
          <w:t xml:space="preserve">unctionally </w:t>
        </w:r>
        <w:r w:rsidR="00836B97">
          <w:rPr>
            <w:color w:val="000000"/>
          </w:rPr>
          <w:t>d</w:t>
        </w:r>
        <w:r w:rsidRPr="00E13138">
          <w:rPr>
            <w:color w:val="000000"/>
          </w:rPr>
          <w:t xml:space="preserve">istinct </w:t>
        </w:r>
        <w:r w:rsidR="00836B97">
          <w:rPr>
            <w:color w:val="000000"/>
          </w:rPr>
          <w:t>s</w:t>
        </w:r>
        <w:r w:rsidRPr="00E13138">
          <w:rPr>
            <w:color w:val="000000"/>
          </w:rPr>
          <w:t xml:space="preserve">ubset of </w:t>
        </w:r>
        <w:r w:rsidR="00836B97">
          <w:rPr>
            <w:color w:val="000000"/>
          </w:rPr>
          <w:t>p</w:t>
        </w:r>
        <w:r w:rsidRPr="00E13138">
          <w:rPr>
            <w:color w:val="000000"/>
          </w:rPr>
          <w:t>ro-</w:t>
        </w:r>
        <w:r w:rsidR="00836B97">
          <w:rPr>
            <w:color w:val="000000"/>
          </w:rPr>
          <w:t>i</w:t>
        </w:r>
        <w:r w:rsidRPr="00E13138">
          <w:rPr>
            <w:color w:val="000000"/>
          </w:rPr>
          <w:t xml:space="preserve">nflammatory Natural </w:t>
        </w:r>
        <w:r w:rsidR="00836B97">
          <w:rPr>
            <w:color w:val="000000"/>
          </w:rPr>
          <w:t>k</w:t>
        </w:r>
        <w:r w:rsidRPr="00E13138">
          <w:rPr>
            <w:color w:val="000000"/>
          </w:rPr>
          <w:t xml:space="preserve">iller </w:t>
        </w:r>
        <w:r w:rsidR="00836B97">
          <w:rPr>
            <w:color w:val="000000"/>
          </w:rPr>
          <w:t>c</w:t>
        </w:r>
        <w:r w:rsidRPr="00E13138">
          <w:rPr>
            <w:color w:val="000000"/>
          </w:rPr>
          <w:t xml:space="preserve">ells. </w:t>
        </w:r>
      </w:hyperlink>
      <w:hyperlink r:id="rId74">
        <w:r w:rsidRPr="00E13138">
          <w:rPr>
            <w:i/>
            <w:color w:val="000000"/>
          </w:rPr>
          <w:t xml:space="preserve">Frontiers in </w:t>
        </w:r>
        <w:r w:rsidR="00836B97">
          <w:rPr>
            <w:i/>
            <w:color w:val="000000"/>
          </w:rPr>
          <w:t>I</w:t>
        </w:r>
        <w:r w:rsidRPr="00E13138">
          <w:rPr>
            <w:i/>
            <w:color w:val="000000"/>
          </w:rPr>
          <w:t>mmunology</w:t>
        </w:r>
      </w:hyperlink>
      <w:hyperlink r:id="rId75">
        <w:r w:rsidRPr="00E13138">
          <w:rPr>
            <w:color w:val="000000"/>
          </w:rPr>
          <w:t xml:space="preserve">. </w:t>
        </w:r>
      </w:hyperlink>
      <w:hyperlink r:id="rId76">
        <w:r w:rsidRPr="00E13138">
          <w:rPr>
            <w:b/>
            <w:color w:val="000000"/>
          </w:rPr>
          <w:t>9</w:t>
        </w:r>
      </w:hyperlink>
      <w:hyperlink r:id="rId77">
        <w:r w:rsidRPr="00E13138">
          <w:rPr>
            <w:color w:val="000000"/>
          </w:rPr>
          <w:t>, 486 (2018).</w:t>
        </w:r>
      </w:hyperlink>
    </w:p>
    <w:p w14:paraId="6FB000D8" w14:textId="5C2F4DE6" w:rsidR="00D958F5" w:rsidRPr="00E13138" w:rsidRDefault="009A10D1" w:rsidP="00E5141E">
      <w:pPr>
        <w:pBdr>
          <w:top w:val="nil"/>
          <w:left w:val="nil"/>
          <w:bottom w:val="nil"/>
          <w:right w:val="nil"/>
          <w:between w:val="nil"/>
        </w:pBdr>
        <w:rPr>
          <w:color w:val="000000"/>
        </w:rPr>
      </w:pPr>
      <w:r w:rsidRPr="00E13138">
        <w:rPr>
          <w:color w:val="000000"/>
        </w:rPr>
        <w:t>11.</w:t>
      </w:r>
      <w:r w:rsidRPr="00E13138">
        <w:rPr>
          <w:color w:val="000000"/>
        </w:rPr>
        <w:tab/>
      </w:r>
      <w:hyperlink r:id="rId78">
        <w:proofErr w:type="spellStart"/>
        <w:r w:rsidRPr="00E13138">
          <w:rPr>
            <w:color w:val="000000"/>
          </w:rPr>
          <w:t>Romee</w:t>
        </w:r>
        <w:proofErr w:type="spellEnd"/>
        <w:r w:rsidRPr="00E13138">
          <w:rPr>
            <w:color w:val="000000"/>
          </w:rPr>
          <w:t xml:space="preserve">, R. </w:t>
        </w:r>
      </w:hyperlink>
      <w:hyperlink r:id="rId79">
        <w:r w:rsidRPr="00836B97">
          <w:rPr>
            <w:color w:val="000000"/>
          </w:rPr>
          <w:t>et al.</w:t>
        </w:r>
      </w:hyperlink>
      <w:hyperlink r:id="rId80">
        <w:r w:rsidRPr="00E13138">
          <w:rPr>
            <w:color w:val="000000"/>
          </w:rPr>
          <w:t xml:space="preserve"> Cytokine-induced memory-like natural killer cells exhibit enhanced responses against myeloid leukemia. </w:t>
        </w:r>
      </w:hyperlink>
      <w:hyperlink r:id="rId81">
        <w:r w:rsidRPr="00E13138">
          <w:rPr>
            <w:i/>
            <w:color w:val="000000"/>
          </w:rPr>
          <w:t xml:space="preserve">Science </w:t>
        </w:r>
        <w:r w:rsidR="00836B97">
          <w:rPr>
            <w:i/>
            <w:color w:val="000000"/>
          </w:rPr>
          <w:t>T</w:t>
        </w:r>
        <w:r w:rsidRPr="00E13138">
          <w:rPr>
            <w:i/>
            <w:color w:val="000000"/>
          </w:rPr>
          <w:t xml:space="preserve">ranslational </w:t>
        </w:r>
        <w:r w:rsidR="00836B97">
          <w:rPr>
            <w:i/>
            <w:color w:val="000000"/>
          </w:rPr>
          <w:t>M</w:t>
        </w:r>
        <w:r w:rsidRPr="00E13138">
          <w:rPr>
            <w:i/>
            <w:color w:val="000000"/>
          </w:rPr>
          <w:t>edicine</w:t>
        </w:r>
      </w:hyperlink>
      <w:hyperlink r:id="rId82">
        <w:r w:rsidRPr="00E13138">
          <w:rPr>
            <w:color w:val="000000"/>
          </w:rPr>
          <w:t xml:space="preserve">. </w:t>
        </w:r>
      </w:hyperlink>
      <w:hyperlink r:id="rId83">
        <w:r w:rsidRPr="00E13138">
          <w:rPr>
            <w:b/>
            <w:color w:val="000000"/>
          </w:rPr>
          <w:t>8</w:t>
        </w:r>
      </w:hyperlink>
      <w:hyperlink r:id="rId84">
        <w:r w:rsidRPr="00E13138">
          <w:rPr>
            <w:color w:val="000000"/>
          </w:rPr>
          <w:t xml:space="preserve"> (357), 357ra123 (2016).</w:t>
        </w:r>
      </w:hyperlink>
    </w:p>
    <w:p w14:paraId="4E1D3F33" w14:textId="60E4164A" w:rsidR="00D958F5" w:rsidRPr="00E13138" w:rsidRDefault="009A10D1" w:rsidP="00E5141E">
      <w:pPr>
        <w:pBdr>
          <w:top w:val="nil"/>
          <w:left w:val="nil"/>
          <w:bottom w:val="nil"/>
          <w:right w:val="nil"/>
          <w:between w:val="nil"/>
        </w:pBdr>
        <w:rPr>
          <w:color w:val="000000"/>
        </w:rPr>
      </w:pPr>
      <w:r w:rsidRPr="00E13138">
        <w:rPr>
          <w:color w:val="000000"/>
        </w:rPr>
        <w:t>12.</w:t>
      </w:r>
      <w:r w:rsidRPr="00E13138">
        <w:rPr>
          <w:color w:val="000000"/>
        </w:rPr>
        <w:tab/>
      </w:r>
      <w:hyperlink r:id="rId85">
        <w:r w:rsidRPr="00E13138">
          <w:rPr>
            <w:color w:val="000000"/>
          </w:rPr>
          <w:t xml:space="preserve">Shinko, D. </w:t>
        </w:r>
      </w:hyperlink>
      <w:hyperlink r:id="rId86">
        <w:r w:rsidRPr="00836B97">
          <w:rPr>
            <w:color w:val="000000"/>
          </w:rPr>
          <w:t>et al.</w:t>
        </w:r>
      </w:hyperlink>
      <w:hyperlink r:id="rId87">
        <w:r w:rsidRPr="00E13138">
          <w:rPr>
            <w:color w:val="000000"/>
          </w:rPr>
          <w:t xml:space="preserve"> Mass </w:t>
        </w:r>
        <w:r w:rsidR="00836B97">
          <w:rPr>
            <w:color w:val="000000"/>
          </w:rPr>
          <w:t>c</w:t>
        </w:r>
        <w:r w:rsidRPr="00E13138">
          <w:rPr>
            <w:color w:val="000000"/>
          </w:rPr>
          <w:t xml:space="preserve">ytometry </w:t>
        </w:r>
        <w:r w:rsidR="00836B97">
          <w:rPr>
            <w:color w:val="000000"/>
          </w:rPr>
          <w:t>r</w:t>
        </w:r>
        <w:r w:rsidRPr="00E13138">
          <w:rPr>
            <w:color w:val="000000"/>
          </w:rPr>
          <w:t xml:space="preserve">eveals a </w:t>
        </w:r>
        <w:r w:rsidR="00836B97">
          <w:rPr>
            <w:color w:val="000000"/>
          </w:rPr>
          <w:t>s</w:t>
        </w:r>
        <w:r w:rsidRPr="00E13138">
          <w:rPr>
            <w:color w:val="000000"/>
          </w:rPr>
          <w:t xml:space="preserve">ustained </w:t>
        </w:r>
        <w:r w:rsidR="00836B97">
          <w:rPr>
            <w:color w:val="000000"/>
          </w:rPr>
          <w:t>r</w:t>
        </w:r>
        <w:r w:rsidRPr="00E13138">
          <w:rPr>
            <w:color w:val="000000"/>
          </w:rPr>
          <w:t xml:space="preserve">eduction in CD16+ Natural </w:t>
        </w:r>
        <w:r w:rsidR="00836B97">
          <w:rPr>
            <w:color w:val="000000"/>
          </w:rPr>
          <w:t>k</w:t>
        </w:r>
        <w:r w:rsidRPr="00E13138">
          <w:rPr>
            <w:color w:val="000000"/>
          </w:rPr>
          <w:t xml:space="preserve">iller </w:t>
        </w:r>
        <w:r w:rsidR="00836B97">
          <w:rPr>
            <w:color w:val="000000"/>
          </w:rPr>
          <w:t>c</w:t>
        </w:r>
        <w:r w:rsidRPr="00E13138">
          <w:rPr>
            <w:color w:val="000000"/>
          </w:rPr>
          <w:t xml:space="preserve">ells </w:t>
        </w:r>
        <w:r w:rsidR="00836B97">
          <w:rPr>
            <w:color w:val="000000"/>
          </w:rPr>
          <w:t>f</w:t>
        </w:r>
        <w:r w:rsidRPr="00E13138">
          <w:rPr>
            <w:color w:val="000000"/>
          </w:rPr>
          <w:t xml:space="preserve">ollowing </w:t>
        </w:r>
        <w:r w:rsidR="00836B97">
          <w:rPr>
            <w:color w:val="000000"/>
          </w:rPr>
          <w:t>c</w:t>
        </w:r>
        <w:r w:rsidRPr="00E13138">
          <w:rPr>
            <w:color w:val="000000"/>
          </w:rPr>
          <w:t xml:space="preserve">hemotherapy in </w:t>
        </w:r>
        <w:r w:rsidR="00836B97">
          <w:rPr>
            <w:color w:val="000000"/>
          </w:rPr>
          <w:t>c</w:t>
        </w:r>
        <w:r w:rsidRPr="00E13138">
          <w:rPr>
            <w:color w:val="000000"/>
          </w:rPr>
          <w:t xml:space="preserve">olorectal </w:t>
        </w:r>
        <w:r w:rsidR="00836B97">
          <w:rPr>
            <w:color w:val="000000"/>
          </w:rPr>
          <w:t>c</w:t>
        </w:r>
        <w:r w:rsidRPr="00E13138">
          <w:rPr>
            <w:color w:val="000000"/>
          </w:rPr>
          <w:t xml:space="preserve">ancer </w:t>
        </w:r>
        <w:r w:rsidR="00836B97">
          <w:rPr>
            <w:color w:val="000000"/>
          </w:rPr>
          <w:t>p</w:t>
        </w:r>
        <w:r w:rsidRPr="00E13138">
          <w:rPr>
            <w:color w:val="000000"/>
          </w:rPr>
          <w:t xml:space="preserve">atients. </w:t>
        </w:r>
      </w:hyperlink>
      <w:hyperlink r:id="rId88">
        <w:r w:rsidRPr="00E13138">
          <w:rPr>
            <w:i/>
            <w:color w:val="000000"/>
          </w:rPr>
          <w:t xml:space="preserve">Frontiers in </w:t>
        </w:r>
        <w:r w:rsidR="00836B97">
          <w:rPr>
            <w:i/>
            <w:color w:val="000000"/>
          </w:rPr>
          <w:t>I</w:t>
        </w:r>
        <w:r w:rsidRPr="00E13138">
          <w:rPr>
            <w:i/>
            <w:color w:val="000000"/>
          </w:rPr>
          <w:t>mmunology</w:t>
        </w:r>
      </w:hyperlink>
      <w:hyperlink r:id="rId89">
        <w:r w:rsidRPr="00E13138">
          <w:rPr>
            <w:color w:val="000000"/>
          </w:rPr>
          <w:t xml:space="preserve">. </w:t>
        </w:r>
      </w:hyperlink>
      <w:hyperlink r:id="rId90">
        <w:r w:rsidRPr="00E13138">
          <w:rPr>
            <w:b/>
            <w:color w:val="000000"/>
          </w:rPr>
          <w:t>10</w:t>
        </w:r>
      </w:hyperlink>
      <w:hyperlink r:id="rId91">
        <w:r w:rsidRPr="00E13138">
          <w:rPr>
            <w:color w:val="000000"/>
          </w:rPr>
          <w:t>, 2584 (2019).</w:t>
        </w:r>
      </w:hyperlink>
    </w:p>
    <w:p w14:paraId="530E748C" w14:textId="59E5E438" w:rsidR="00D958F5" w:rsidRPr="00E13138" w:rsidRDefault="009A10D1" w:rsidP="00E5141E">
      <w:pPr>
        <w:pBdr>
          <w:top w:val="nil"/>
          <w:left w:val="nil"/>
          <w:bottom w:val="nil"/>
          <w:right w:val="nil"/>
          <w:between w:val="nil"/>
        </w:pBdr>
        <w:rPr>
          <w:color w:val="000000"/>
        </w:rPr>
      </w:pPr>
      <w:r w:rsidRPr="00E13138">
        <w:rPr>
          <w:color w:val="000000"/>
        </w:rPr>
        <w:t>13.</w:t>
      </w:r>
      <w:r w:rsidRPr="00E13138">
        <w:rPr>
          <w:color w:val="000000"/>
        </w:rPr>
        <w:tab/>
      </w:r>
      <w:hyperlink r:id="rId92">
        <w:proofErr w:type="spellStart"/>
        <w:r w:rsidRPr="00E13138">
          <w:rPr>
            <w:color w:val="000000"/>
          </w:rPr>
          <w:t>Pohlmeyer</w:t>
        </w:r>
        <w:proofErr w:type="spellEnd"/>
        <w:r w:rsidRPr="00E13138">
          <w:rPr>
            <w:color w:val="000000"/>
          </w:rPr>
          <w:t>, C.</w:t>
        </w:r>
        <w:r w:rsidR="00836B97">
          <w:rPr>
            <w:color w:val="000000"/>
          </w:rPr>
          <w:t xml:space="preserve"> </w:t>
        </w:r>
        <w:r w:rsidRPr="00E13138">
          <w:rPr>
            <w:color w:val="000000"/>
          </w:rPr>
          <w:t xml:space="preserve">W. </w:t>
        </w:r>
      </w:hyperlink>
      <w:hyperlink r:id="rId93">
        <w:r w:rsidRPr="00836B97">
          <w:rPr>
            <w:color w:val="000000"/>
          </w:rPr>
          <w:t>et al.</w:t>
        </w:r>
      </w:hyperlink>
      <w:hyperlink r:id="rId94">
        <w:r w:rsidRPr="00E13138">
          <w:rPr>
            <w:color w:val="000000"/>
          </w:rPr>
          <w:t xml:space="preserve"> Identification of NK </w:t>
        </w:r>
        <w:r w:rsidR="00836B97">
          <w:rPr>
            <w:color w:val="000000"/>
          </w:rPr>
          <w:t>c</w:t>
        </w:r>
        <w:r w:rsidRPr="00E13138">
          <w:rPr>
            <w:color w:val="000000"/>
          </w:rPr>
          <w:t xml:space="preserve">ell </w:t>
        </w:r>
        <w:r w:rsidR="00836B97">
          <w:rPr>
            <w:color w:val="000000"/>
          </w:rPr>
          <w:t>s</w:t>
        </w:r>
        <w:r w:rsidRPr="00E13138">
          <w:rPr>
            <w:color w:val="000000"/>
          </w:rPr>
          <w:t xml:space="preserve">ubpopulations </w:t>
        </w:r>
        <w:r w:rsidR="00836B97">
          <w:rPr>
            <w:color w:val="000000"/>
          </w:rPr>
          <w:t>t</w:t>
        </w:r>
        <w:r w:rsidRPr="00E13138">
          <w:rPr>
            <w:color w:val="000000"/>
          </w:rPr>
          <w:t xml:space="preserve">hat </w:t>
        </w:r>
        <w:r w:rsidR="00836B97">
          <w:rPr>
            <w:color w:val="000000"/>
          </w:rPr>
          <w:t>d</w:t>
        </w:r>
        <w:r w:rsidRPr="00E13138">
          <w:rPr>
            <w:color w:val="000000"/>
          </w:rPr>
          <w:t>ifferentiate HIV-</w:t>
        </w:r>
        <w:r w:rsidR="00836B97">
          <w:rPr>
            <w:color w:val="000000"/>
          </w:rPr>
          <w:t>i</w:t>
        </w:r>
        <w:r w:rsidRPr="00E13138">
          <w:rPr>
            <w:color w:val="000000"/>
          </w:rPr>
          <w:t xml:space="preserve">nfected </w:t>
        </w:r>
        <w:r w:rsidR="00836B97">
          <w:rPr>
            <w:color w:val="000000"/>
          </w:rPr>
          <w:t>s</w:t>
        </w:r>
        <w:r w:rsidRPr="00E13138">
          <w:rPr>
            <w:color w:val="000000"/>
          </w:rPr>
          <w:t xml:space="preserve">ubject </w:t>
        </w:r>
        <w:r w:rsidR="00836B97">
          <w:rPr>
            <w:color w:val="000000"/>
          </w:rPr>
          <w:t>c</w:t>
        </w:r>
        <w:r w:rsidRPr="00E13138">
          <w:rPr>
            <w:color w:val="000000"/>
          </w:rPr>
          <w:t xml:space="preserve">ohorts with </w:t>
        </w:r>
        <w:r w:rsidR="00836B97">
          <w:rPr>
            <w:color w:val="000000"/>
          </w:rPr>
          <w:t>d</w:t>
        </w:r>
        <w:r w:rsidRPr="00E13138">
          <w:rPr>
            <w:color w:val="000000"/>
          </w:rPr>
          <w:t xml:space="preserve">iverse </w:t>
        </w:r>
        <w:r w:rsidR="00836B97">
          <w:rPr>
            <w:color w:val="000000"/>
          </w:rPr>
          <w:t>l</w:t>
        </w:r>
        <w:r w:rsidRPr="00E13138">
          <w:rPr>
            <w:color w:val="000000"/>
          </w:rPr>
          <w:t xml:space="preserve">evels of </w:t>
        </w:r>
        <w:r w:rsidR="00836B97">
          <w:rPr>
            <w:color w:val="000000"/>
          </w:rPr>
          <w:t>v</w:t>
        </w:r>
        <w:r w:rsidRPr="00E13138">
          <w:rPr>
            <w:color w:val="000000"/>
          </w:rPr>
          <w:t xml:space="preserve">irus </w:t>
        </w:r>
        <w:r w:rsidR="00836B97">
          <w:rPr>
            <w:color w:val="000000"/>
          </w:rPr>
          <w:t>c</w:t>
        </w:r>
        <w:r w:rsidRPr="00E13138">
          <w:rPr>
            <w:color w:val="000000"/>
          </w:rPr>
          <w:t xml:space="preserve">ontrol. </w:t>
        </w:r>
      </w:hyperlink>
      <w:hyperlink r:id="rId95">
        <w:r w:rsidRPr="00E13138">
          <w:rPr>
            <w:i/>
            <w:color w:val="000000"/>
          </w:rPr>
          <w:t xml:space="preserve">Journal of </w:t>
        </w:r>
        <w:r w:rsidR="00836B97">
          <w:rPr>
            <w:i/>
            <w:color w:val="000000"/>
          </w:rPr>
          <w:t>V</w:t>
        </w:r>
        <w:r w:rsidRPr="00E13138">
          <w:rPr>
            <w:i/>
            <w:color w:val="000000"/>
          </w:rPr>
          <w:t>irology</w:t>
        </w:r>
      </w:hyperlink>
      <w:hyperlink r:id="rId96">
        <w:r w:rsidRPr="00E13138">
          <w:rPr>
            <w:color w:val="000000"/>
          </w:rPr>
          <w:t xml:space="preserve">. </w:t>
        </w:r>
      </w:hyperlink>
      <w:hyperlink r:id="rId97">
        <w:r w:rsidRPr="00E13138">
          <w:rPr>
            <w:b/>
            <w:color w:val="000000"/>
          </w:rPr>
          <w:t>93</w:t>
        </w:r>
      </w:hyperlink>
      <w:hyperlink r:id="rId98">
        <w:r w:rsidRPr="00E13138">
          <w:rPr>
            <w:color w:val="000000"/>
          </w:rPr>
          <w:t xml:space="preserve"> (7) </w:t>
        </w:r>
      </w:hyperlink>
      <w:hyperlink r:id="rId99">
        <w:r w:rsidRPr="00E13138">
          <w:rPr>
            <w:color w:val="000000"/>
          </w:rPr>
          <w:t>JVI.01790-18</w:t>
        </w:r>
      </w:hyperlink>
      <w:hyperlink r:id="rId100">
        <w:r w:rsidRPr="00E13138">
          <w:rPr>
            <w:color w:val="000000"/>
          </w:rPr>
          <w:t xml:space="preserve"> (2019).</w:t>
        </w:r>
      </w:hyperlink>
    </w:p>
    <w:p w14:paraId="6C9A03B6" w14:textId="4A5DD75A" w:rsidR="00D958F5" w:rsidRPr="00E13138" w:rsidRDefault="009A10D1" w:rsidP="00E5141E">
      <w:pPr>
        <w:pBdr>
          <w:top w:val="nil"/>
          <w:left w:val="nil"/>
          <w:bottom w:val="nil"/>
          <w:right w:val="nil"/>
          <w:between w:val="nil"/>
        </w:pBdr>
        <w:rPr>
          <w:color w:val="000000"/>
        </w:rPr>
      </w:pPr>
      <w:r w:rsidRPr="00E13138">
        <w:rPr>
          <w:color w:val="000000"/>
        </w:rPr>
        <w:t>14.</w:t>
      </w:r>
      <w:r w:rsidRPr="00E13138">
        <w:rPr>
          <w:color w:val="000000"/>
        </w:rPr>
        <w:tab/>
      </w:r>
      <w:hyperlink r:id="rId101">
        <w:proofErr w:type="spellStart"/>
        <w:r w:rsidRPr="00E13138">
          <w:rPr>
            <w:color w:val="000000"/>
          </w:rPr>
          <w:t>Palgen</w:t>
        </w:r>
        <w:proofErr w:type="spellEnd"/>
        <w:r w:rsidRPr="00E13138">
          <w:rPr>
            <w:color w:val="000000"/>
          </w:rPr>
          <w:t xml:space="preserve">, J.-L. </w:t>
        </w:r>
      </w:hyperlink>
      <w:hyperlink r:id="rId102">
        <w:r w:rsidRPr="00836B97">
          <w:rPr>
            <w:color w:val="000000"/>
          </w:rPr>
          <w:t>et al.</w:t>
        </w:r>
      </w:hyperlink>
      <w:hyperlink r:id="rId103">
        <w:r w:rsidRPr="00E13138">
          <w:rPr>
            <w:color w:val="000000"/>
          </w:rPr>
          <w:t xml:space="preserve"> NK cell immune responses differ after prime and boost vaccination. </w:t>
        </w:r>
      </w:hyperlink>
      <w:hyperlink r:id="rId104">
        <w:r w:rsidRPr="00E13138">
          <w:rPr>
            <w:i/>
            <w:color w:val="000000"/>
          </w:rPr>
          <w:t xml:space="preserve">Journal of </w:t>
        </w:r>
        <w:r w:rsidR="00836B97">
          <w:rPr>
            <w:i/>
            <w:color w:val="000000"/>
          </w:rPr>
          <w:t>L</w:t>
        </w:r>
        <w:r w:rsidRPr="00E13138">
          <w:rPr>
            <w:i/>
            <w:color w:val="000000"/>
          </w:rPr>
          <w:t xml:space="preserve">eukocyte </w:t>
        </w:r>
        <w:r w:rsidR="00836B97">
          <w:rPr>
            <w:i/>
            <w:color w:val="000000"/>
          </w:rPr>
          <w:t>B</w:t>
        </w:r>
        <w:r w:rsidRPr="00E13138">
          <w:rPr>
            <w:i/>
            <w:color w:val="000000"/>
          </w:rPr>
          <w:t>iology</w:t>
        </w:r>
      </w:hyperlink>
      <w:hyperlink r:id="rId105">
        <w:r w:rsidRPr="00E13138">
          <w:rPr>
            <w:color w:val="000000"/>
          </w:rPr>
          <w:t xml:space="preserve">. </w:t>
        </w:r>
      </w:hyperlink>
      <w:hyperlink r:id="rId106">
        <w:r w:rsidRPr="00E13138">
          <w:rPr>
            <w:b/>
            <w:color w:val="000000"/>
          </w:rPr>
          <w:t>105</w:t>
        </w:r>
      </w:hyperlink>
      <w:hyperlink r:id="rId107">
        <w:r w:rsidRPr="00E13138">
          <w:rPr>
            <w:color w:val="000000"/>
          </w:rPr>
          <w:t xml:space="preserve"> (5), 1055–1073 (2019).</w:t>
        </w:r>
      </w:hyperlink>
    </w:p>
    <w:p w14:paraId="6B8D49B0" w14:textId="01034921" w:rsidR="00D958F5" w:rsidRPr="00E13138" w:rsidRDefault="009A10D1" w:rsidP="00E5141E">
      <w:pPr>
        <w:pBdr>
          <w:top w:val="nil"/>
          <w:left w:val="nil"/>
          <w:bottom w:val="nil"/>
          <w:right w:val="nil"/>
          <w:between w:val="nil"/>
        </w:pBdr>
        <w:rPr>
          <w:color w:val="000000"/>
        </w:rPr>
      </w:pPr>
      <w:r w:rsidRPr="00E13138">
        <w:rPr>
          <w:color w:val="000000"/>
        </w:rPr>
        <w:t>15.</w:t>
      </w:r>
      <w:r w:rsidRPr="00E13138">
        <w:rPr>
          <w:color w:val="000000"/>
        </w:rPr>
        <w:tab/>
      </w:r>
      <w:hyperlink r:id="rId108">
        <w:r w:rsidRPr="00E13138">
          <w:rPr>
            <w:color w:val="000000"/>
          </w:rPr>
          <w:t>Mei, H.</w:t>
        </w:r>
        <w:r w:rsidR="00836B97">
          <w:rPr>
            <w:color w:val="000000"/>
          </w:rPr>
          <w:t xml:space="preserve"> </w:t>
        </w:r>
        <w:r w:rsidRPr="00E13138">
          <w:rPr>
            <w:color w:val="000000"/>
          </w:rPr>
          <w:t>E., Leipold, M.</w:t>
        </w:r>
        <w:r w:rsidR="00836B97">
          <w:rPr>
            <w:color w:val="000000"/>
          </w:rPr>
          <w:t xml:space="preserve"> </w:t>
        </w:r>
        <w:r w:rsidRPr="00E13138">
          <w:rPr>
            <w:color w:val="000000"/>
          </w:rPr>
          <w:t>D., Schulz, A.</w:t>
        </w:r>
        <w:r w:rsidR="00836B97">
          <w:rPr>
            <w:color w:val="000000"/>
          </w:rPr>
          <w:t xml:space="preserve"> </w:t>
        </w:r>
        <w:r w:rsidRPr="00E13138">
          <w:rPr>
            <w:color w:val="000000"/>
          </w:rPr>
          <w:t xml:space="preserve">R. Barcoding of live human peripheral blood mononuclear cells for multiplexed mass cytometry. </w:t>
        </w:r>
      </w:hyperlink>
      <w:hyperlink r:id="rId109">
        <w:r w:rsidRPr="00E13138">
          <w:rPr>
            <w:i/>
            <w:color w:val="000000"/>
          </w:rPr>
          <w:t>The Journal of</w:t>
        </w:r>
      </w:hyperlink>
      <w:r w:rsidR="000E2FD5" w:rsidRPr="000E2FD5">
        <w:rPr>
          <w:i/>
          <w:iCs/>
          <w:color w:val="000000"/>
        </w:rPr>
        <w:t xml:space="preserve"> Immunology.</w:t>
      </w:r>
      <w:r w:rsidR="000E2FD5" w:rsidRPr="000E2FD5">
        <w:t xml:space="preserve"> </w:t>
      </w:r>
      <w:r w:rsidR="000E2FD5" w:rsidRPr="000E2FD5">
        <w:rPr>
          <w:b/>
          <w:bCs/>
        </w:rPr>
        <w:t>194</w:t>
      </w:r>
      <w:r w:rsidR="000E2FD5" w:rsidRPr="000E2FD5">
        <w:t> (4) 2022-2031 (2015</w:t>
      </w:r>
      <w:r w:rsidR="000E2FD5">
        <w:t>).</w:t>
      </w:r>
    </w:p>
    <w:p w14:paraId="2650C66C" w14:textId="433EA20B" w:rsidR="00D958F5" w:rsidRPr="00E13138" w:rsidRDefault="009A10D1" w:rsidP="00E5141E">
      <w:pPr>
        <w:pBdr>
          <w:top w:val="nil"/>
          <w:left w:val="nil"/>
          <w:bottom w:val="nil"/>
          <w:right w:val="nil"/>
          <w:between w:val="nil"/>
        </w:pBdr>
        <w:rPr>
          <w:color w:val="000000"/>
        </w:rPr>
      </w:pPr>
      <w:r w:rsidRPr="00E13138">
        <w:rPr>
          <w:color w:val="000000"/>
        </w:rPr>
        <w:t>16.</w:t>
      </w:r>
      <w:r w:rsidRPr="00E13138">
        <w:rPr>
          <w:color w:val="000000"/>
        </w:rPr>
        <w:tab/>
      </w:r>
      <w:hyperlink r:id="rId110">
        <w:r w:rsidRPr="00E13138">
          <w:rPr>
            <w:color w:val="000000"/>
          </w:rPr>
          <w:t xml:space="preserve">Takahashi, C. </w:t>
        </w:r>
      </w:hyperlink>
      <w:hyperlink r:id="rId111">
        <w:r w:rsidRPr="000E2FD5">
          <w:rPr>
            <w:color w:val="000000"/>
          </w:rPr>
          <w:t>et al.</w:t>
        </w:r>
      </w:hyperlink>
      <w:hyperlink r:id="rId112">
        <w:r w:rsidRPr="00E13138">
          <w:rPr>
            <w:color w:val="000000"/>
          </w:rPr>
          <w:t xml:space="preserve"> Mass cytometry panel optimization through the designed distribution of signal interference. </w:t>
        </w:r>
      </w:hyperlink>
      <w:hyperlink r:id="rId113">
        <w:r w:rsidRPr="00E13138">
          <w:rPr>
            <w:i/>
            <w:color w:val="000000"/>
          </w:rPr>
          <w:t xml:space="preserve">Cytometry. Part A: </w:t>
        </w:r>
        <w:r w:rsidR="000E2FD5">
          <w:rPr>
            <w:i/>
            <w:color w:val="000000"/>
          </w:rPr>
          <w:t>T</w:t>
        </w:r>
        <w:r w:rsidRPr="00E13138">
          <w:rPr>
            <w:i/>
            <w:color w:val="000000"/>
          </w:rPr>
          <w:t xml:space="preserve">he </w:t>
        </w:r>
        <w:r w:rsidR="000E2FD5">
          <w:rPr>
            <w:i/>
            <w:color w:val="000000"/>
          </w:rPr>
          <w:t>J</w:t>
        </w:r>
        <w:r w:rsidRPr="00E13138">
          <w:rPr>
            <w:i/>
            <w:color w:val="000000"/>
          </w:rPr>
          <w:t>ournal of the International Society for Analytical Cytology</w:t>
        </w:r>
      </w:hyperlink>
      <w:hyperlink r:id="rId114">
        <w:r w:rsidRPr="00E13138">
          <w:rPr>
            <w:color w:val="000000"/>
          </w:rPr>
          <w:t xml:space="preserve">. </w:t>
        </w:r>
      </w:hyperlink>
      <w:hyperlink r:id="rId115">
        <w:r w:rsidRPr="00E13138">
          <w:rPr>
            <w:b/>
            <w:color w:val="000000"/>
          </w:rPr>
          <w:t>91</w:t>
        </w:r>
      </w:hyperlink>
      <w:hyperlink r:id="rId116">
        <w:r w:rsidRPr="00E13138">
          <w:rPr>
            <w:color w:val="000000"/>
          </w:rPr>
          <w:t xml:space="preserve"> (1), 39–47 (2017).</w:t>
        </w:r>
      </w:hyperlink>
    </w:p>
    <w:p w14:paraId="03D8DCDA" w14:textId="43DD00D2" w:rsidR="00D958F5" w:rsidRPr="00E13138" w:rsidRDefault="009A10D1" w:rsidP="00E5141E">
      <w:pPr>
        <w:pBdr>
          <w:top w:val="nil"/>
          <w:left w:val="nil"/>
          <w:bottom w:val="nil"/>
          <w:right w:val="nil"/>
          <w:between w:val="nil"/>
        </w:pBdr>
        <w:rPr>
          <w:color w:val="000000"/>
        </w:rPr>
      </w:pPr>
      <w:r w:rsidRPr="00E13138">
        <w:rPr>
          <w:color w:val="000000"/>
        </w:rPr>
        <w:t>17.</w:t>
      </w:r>
      <w:r w:rsidRPr="00E13138">
        <w:rPr>
          <w:color w:val="000000"/>
        </w:rPr>
        <w:tab/>
      </w:r>
      <w:hyperlink r:id="rId117">
        <w:r w:rsidRPr="00E13138">
          <w:rPr>
            <w:color w:val="000000"/>
          </w:rPr>
          <w:t xml:space="preserve">Baumgart, S., </w:t>
        </w:r>
        <w:proofErr w:type="spellStart"/>
        <w:r w:rsidRPr="00E13138">
          <w:rPr>
            <w:color w:val="000000"/>
          </w:rPr>
          <w:t>Peddinghaus</w:t>
        </w:r>
        <w:proofErr w:type="spellEnd"/>
        <w:r w:rsidRPr="00E13138">
          <w:rPr>
            <w:color w:val="000000"/>
          </w:rPr>
          <w:t>, A., Schulte-Wrede, U., Mei, H.</w:t>
        </w:r>
        <w:r w:rsidR="000E2FD5">
          <w:rPr>
            <w:color w:val="000000"/>
          </w:rPr>
          <w:t xml:space="preserve"> </w:t>
        </w:r>
        <w:r w:rsidRPr="00E13138">
          <w:rPr>
            <w:color w:val="000000"/>
          </w:rPr>
          <w:t xml:space="preserve">E., </w:t>
        </w:r>
        <w:proofErr w:type="spellStart"/>
        <w:r w:rsidRPr="00E13138">
          <w:rPr>
            <w:color w:val="000000"/>
          </w:rPr>
          <w:t>Grützkau</w:t>
        </w:r>
        <w:proofErr w:type="spellEnd"/>
        <w:r w:rsidRPr="00E13138">
          <w:rPr>
            <w:color w:val="000000"/>
          </w:rPr>
          <w:t xml:space="preserve">, A. OMIP-034: Comprehensive immune phenotyping of human peripheral leukocytes by mass cytometry for monitoring immunomodulatory therapies. </w:t>
        </w:r>
      </w:hyperlink>
      <w:hyperlink r:id="rId118">
        <w:r w:rsidRPr="00E13138">
          <w:rPr>
            <w:i/>
            <w:color w:val="000000"/>
          </w:rPr>
          <w:t xml:space="preserve">Cytometry. Part A: </w:t>
        </w:r>
        <w:r w:rsidR="000E2FD5">
          <w:rPr>
            <w:i/>
            <w:color w:val="000000"/>
          </w:rPr>
          <w:t>T</w:t>
        </w:r>
        <w:r w:rsidRPr="00E13138">
          <w:rPr>
            <w:i/>
            <w:color w:val="000000"/>
          </w:rPr>
          <w:t xml:space="preserve">he </w:t>
        </w:r>
        <w:r w:rsidR="000E2FD5">
          <w:rPr>
            <w:i/>
            <w:color w:val="000000"/>
          </w:rPr>
          <w:t>J</w:t>
        </w:r>
        <w:r w:rsidRPr="00E13138">
          <w:rPr>
            <w:i/>
            <w:color w:val="000000"/>
          </w:rPr>
          <w:t>ournal of the International Society for Analytical Cytology</w:t>
        </w:r>
      </w:hyperlink>
      <w:hyperlink r:id="rId119">
        <w:r w:rsidRPr="00E13138">
          <w:rPr>
            <w:color w:val="000000"/>
          </w:rPr>
          <w:t xml:space="preserve">. </w:t>
        </w:r>
      </w:hyperlink>
      <w:hyperlink r:id="rId120">
        <w:r w:rsidRPr="00E13138">
          <w:rPr>
            <w:b/>
            <w:color w:val="000000"/>
          </w:rPr>
          <w:t>91</w:t>
        </w:r>
      </w:hyperlink>
      <w:hyperlink r:id="rId121">
        <w:r w:rsidRPr="00E13138">
          <w:rPr>
            <w:color w:val="000000"/>
          </w:rPr>
          <w:t xml:space="preserve"> (1), 34–38 (2017).</w:t>
        </w:r>
      </w:hyperlink>
    </w:p>
    <w:p w14:paraId="319D52D7" w14:textId="52782231" w:rsidR="00D958F5" w:rsidRPr="00E13138" w:rsidRDefault="009A10D1" w:rsidP="00E5141E">
      <w:pPr>
        <w:pBdr>
          <w:top w:val="nil"/>
          <w:left w:val="nil"/>
          <w:bottom w:val="nil"/>
          <w:right w:val="nil"/>
          <w:between w:val="nil"/>
        </w:pBdr>
        <w:rPr>
          <w:color w:val="000000"/>
        </w:rPr>
      </w:pPr>
      <w:r w:rsidRPr="00E13138">
        <w:rPr>
          <w:color w:val="000000"/>
        </w:rPr>
        <w:t>18.</w:t>
      </w:r>
      <w:r w:rsidRPr="00E13138">
        <w:rPr>
          <w:color w:val="000000"/>
        </w:rPr>
        <w:tab/>
      </w:r>
      <w:hyperlink r:id="rId122">
        <w:proofErr w:type="spellStart"/>
        <w:r w:rsidRPr="00E13138">
          <w:rPr>
            <w:color w:val="000000"/>
          </w:rPr>
          <w:t>Leipold</w:t>
        </w:r>
        <w:proofErr w:type="spellEnd"/>
        <w:r w:rsidRPr="00E13138">
          <w:rPr>
            <w:color w:val="000000"/>
          </w:rPr>
          <w:t>, M.</w:t>
        </w:r>
        <w:r w:rsidR="000E2FD5">
          <w:rPr>
            <w:color w:val="000000"/>
          </w:rPr>
          <w:t xml:space="preserve"> </w:t>
        </w:r>
        <w:r w:rsidRPr="00E13138">
          <w:rPr>
            <w:color w:val="000000"/>
          </w:rPr>
          <w:t xml:space="preserve">D. Another step on the path to mass cytometry standardization. </w:t>
        </w:r>
      </w:hyperlink>
      <w:hyperlink r:id="rId123">
        <w:r w:rsidRPr="00E13138">
          <w:rPr>
            <w:i/>
            <w:color w:val="000000"/>
          </w:rPr>
          <w:t xml:space="preserve">Cytometry. Part A: </w:t>
        </w:r>
        <w:r w:rsidR="000E2FD5">
          <w:rPr>
            <w:i/>
            <w:color w:val="000000"/>
          </w:rPr>
          <w:t>T</w:t>
        </w:r>
        <w:r w:rsidRPr="00E13138">
          <w:rPr>
            <w:i/>
            <w:color w:val="000000"/>
          </w:rPr>
          <w:t xml:space="preserve">he </w:t>
        </w:r>
        <w:r w:rsidR="000E2FD5">
          <w:rPr>
            <w:i/>
            <w:color w:val="000000"/>
          </w:rPr>
          <w:t>J</w:t>
        </w:r>
        <w:r w:rsidRPr="00E13138">
          <w:rPr>
            <w:i/>
            <w:color w:val="000000"/>
          </w:rPr>
          <w:t>ournal of the International Society for Analytical Cytology</w:t>
        </w:r>
      </w:hyperlink>
      <w:hyperlink r:id="rId124">
        <w:r w:rsidRPr="00E13138">
          <w:rPr>
            <w:color w:val="000000"/>
          </w:rPr>
          <w:t xml:space="preserve">. </w:t>
        </w:r>
      </w:hyperlink>
      <w:hyperlink r:id="rId125">
        <w:r w:rsidRPr="00E13138">
          <w:rPr>
            <w:b/>
            <w:color w:val="000000"/>
          </w:rPr>
          <w:t>87</w:t>
        </w:r>
      </w:hyperlink>
      <w:hyperlink r:id="rId126">
        <w:r w:rsidRPr="00E13138">
          <w:rPr>
            <w:color w:val="000000"/>
          </w:rPr>
          <w:t xml:space="preserve"> (5), 380–382 (2015).</w:t>
        </w:r>
      </w:hyperlink>
    </w:p>
    <w:p w14:paraId="7B7FCC0E" w14:textId="73F811CD" w:rsidR="00D958F5" w:rsidRPr="00E13138" w:rsidRDefault="009A10D1" w:rsidP="00E5141E">
      <w:pPr>
        <w:pBdr>
          <w:top w:val="nil"/>
          <w:left w:val="nil"/>
          <w:bottom w:val="nil"/>
          <w:right w:val="nil"/>
          <w:between w:val="nil"/>
        </w:pBdr>
        <w:rPr>
          <w:color w:val="000000"/>
        </w:rPr>
      </w:pPr>
      <w:r w:rsidRPr="00E13138">
        <w:rPr>
          <w:color w:val="000000"/>
        </w:rPr>
        <w:t>19.</w:t>
      </w:r>
      <w:r w:rsidRPr="00E13138">
        <w:rPr>
          <w:color w:val="000000"/>
        </w:rPr>
        <w:tab/>
      </w:r>
      <w:hyperlink r:id="rId127">
        <w:r w:rsidRPr="00E13138">
          <w:rPr>
            <w:color w:val="000000"/>
          </w:rPr>
          <w:t>Bendall, S.</w:t>
        </w:r>
        <w:r w:rsidR="000E2FD5">
          <w:rPr>
            <w:color w:val="000000"/>
          </w:rPr>
          <w:t xml:space="preserve"> </w:t>
        </w:r>
        <w:r w:rsidRPr="00E13138">
          <w:rPr>
            <w:color w:val="000000"/>
          </w:rPr>
          <w:t xml:space="preserve">C. </w:t>
        </w:r>
      </w:hyperlink>
      <w:hyperlink r:id="rId128">
        <w:r w:rsidRPr="000E2FD5">
          <w:rPr>
            <w:color w:val="000000"/>
          </w:rPr>
          <w:t>et al.</w:t>
        </w:r>
      </w:hyperlink>
      <w:hyperlink r:id="rId129">
        <w:r w:rsidRPr="00E13138">
          <w:rPr>
            <w:color w:val="000000"/>
          </w:rPr>
          <w:t xml:space="preserve"> Single-cell mass cytometry of differential immune and drug responses across a human hematopoietic continuum. </w:t>
        </w:r>
      </w:hyperlink>
      <w:hyperlink r:id="rId130">
        <w:r w:rsidRPr="00E13138">
          <w:rPr>
            <w:i/>
            <w:color w:val="000000"/>
          </w:rPr>
          <w:t>Science</w:t>
        </w:r>
      </w:hyperlink>
      <w:hyperlink r:id="rId131">
        <w:r w:rsidRPr="00E13138">
          <w:rPr>
            <w:color w:val="000000"/>
          </w:rPr>
          <w:t xml:space="preserve">. </w:t>
        </w:r>
      </w:hyperlink>
      <w:hyperlink r:id="rId132">
        <w:r w:rsidRPr="00E13138">
          <w:rPr>
            <w:b/>
            <w:color w:val="000000"/>
          </w:rPr>
          <w:t>332</w:t>
        </w:r>
      </w:hyperlink>
      <w:hyperlink r:id="rId133">
        <w:r w:rsidRPr="00E13138">
          <w:rPr>
            <w:color w:val="000000"/>
          </w:rPr>
          <w:t xml:space="preserve"> (6030), 687–696 (2011).</w:t>
        </w:r>
      </w:hyperlink>
    </w:p>
    <w:p w14:paraId="70C44000" w14:textId="2AC52ECE" w:rsidR="00D958F5" w:rsidRPr="00E13138" w:rsidRDefault="009A10D1" w:rsidP="00E5141E">
      <w:pPr>
        <w:pBdr>
          <w:top w:val="nil"/>
          <w:left w:val="nil"/>
          <w:bottom w:val="nil"/>
          <w:right w:val="nil"/>
          <w:between w:val="nil"/>
        </w:pBdr>
        <w:rPr>
          <w:color w:val="000000"/>
        </w:rPr>
      </w:pPr>
      <w:r w:rsidRPr="00E13138">
        <w:rPr>
          <w:color w:val="000000"/>
        </w:rPr>
        <w:t>20.</w:t>
      </w:r>
      <w:r w:rsidRPr="00E13138">
        <w:rPr>
          <w:color w:val="000000"/>
        </w:rPr>
        <w:tab/>
      </w:r>
      <w:hyperlink r:id="rId134">
        <w:proofErr w:type="spellStart"/>
        <w:r w:rsidRPr="00E13138">
          <w:rPr>
            <w:color w:val="000000"/>
          </w:rPr>
          <w:t>Leipold</w:t>
        </w:r>
        <w:proofErr w:type="spellEnd"/>
        <w:r w:rsidRPr="00E13138">
          <w:rPr>
            <w:color w:val="000000"/>
          </w:rPr>
          <w:t>, M.</w:t>
        </w:r>
        <w:r w:rsidR="000E2FD5">
          <w:rPr>
            <w:color w:val="000000"/>
          </w:rPr>
          <w:t xml:space="preserve"> </w:t>
        </w:r>
        <w:r w:rsidRPr="00E13138">
          <w:rPr>
            <w:color w:val="000000"/>
          </w:rPr>
          <w:t>D., Newell, E.</w:t>
        </w:r>
        <w:r w:rsidR="000E2FD5">
          <w:rPr>
            <w:color w:val="000000"/>
          </w:rPr>
          <w:t xml:space="preserve"> </w:t>
        </w:r>
        <w:r w:rsidRPr="00E13138">
          <w:rPr>
            <w:color w:val="000000"/>
          </w:rPr>
          <w:t xml:space="preserve">W., </w:t>
        </w:r>
        <w:proofErr w:type="spellStart"/>
        <w:r w:rsidRPr="00E13138">
          <w:rPr>
            <w:color w:val="000000"/>
          </w:rPr>
          <w:t>Maecker</w:t>
        </w:r>
        <w:proofErr w:type="spellEnd"/>
        <w:r w:rsidRPr="00E13138">
          <w:rPr>
            <w:color w:val="000000"/>
          </w:rPr>
          <w:t>, H.</w:t>
        </w:r>
        <w:r w:rsidR="000E2FD5">
          <w:rPr>
            <w:color w:val="000000"/>
          </w:rPr>
          <w:t xml:space="preserve"> </w:t>
        </w:r>
        <w:r w:rsidRPr="00E13138">
          <w:rPr>
            <w:color w:val="000000"/>
          </w:rPr>
          <w:t xml:space="preserve">T. Multiparameter </w:t>
        </w:r>
        <w:r w:rsidR="000E2FD5">
          <w:rPr>
            <w:color w:val="000000"/>
          </w:rPr>
          <w:t>p</w:t>
        </w:r>
        <w:r w:rsidRPr="00E13138">
          <w:rPr>
            <w:color w:val="000000"/>
          </w:rPr>
          <w:t xml:space="preserve">henotyping of </w:t>
        </w:r>
        <w:r w:rsidR="000E2FD5">
          <w:rPr>
            <w:color w:val="000000"/>
          </w:rPr>
          <w:t>h</w:t>
        </w:r>
        <w:r w:rsidRPr="00E13138">
          <w:rPr>
            <w:color w:val="000000"/>
          </w:rPr>
          <w:t xml:space="preserve">uman PBMCs </w:t>
        </w:r>
        <w:r w:rsidR="000E2FD5">
          <w:rPr>
            <w:color w:val="000000"/>
          </w:rPr>
          <w:t>u</w:t>
        </w:r>
        <w:r w:rsidRPr="00E13138">
          <w:rPr>
            <w:color w:val="000000"/>
          </w:rPr>
          <w:t xml:space="preserve">sing </w:t>
        </w:r>
        <w:r w:rsidR="000E2FD5">
          <w:rPr>
            <w:color w:val="000000"/>
          </w:rPr>
          <w:t>m</w:t>
        </w:r>
        <w:r w:rsidRPr="00E13138">
          <w:rPr>
            <w:color w:val="000000"/>
          </w:rPr>
          <w:t xml:space="preserve">ass </w:t>
        </w:r>
        <w:r w:rsidR="000E2FD5">
          <w:rPr>
            <w:color w:val="000000"/>
          </w:rPr>
          <w:t>c</w:t>
        </w:r>
        <w:r w:rsidRPr="00E13138">
          <w:rPr>
            <w:color w:val="000000"/>
          </w:rPr>
          <w:t xml:space="preserve">ytometry. </w:t>
        </w:r>
      </w:hyperlink>
      <w:hyperlink r:id="rId135">
        <w:r w:rsidRPr="00E13138">
          <w:rPr>
            <w:i/>
            <w:color w:val="000000"/>
          </w:rPr>
          <w:t xml:space="preserve">Methods in </w:t>
        </w:r>
        <w:r w:rsidR="000E2FD5">
          <w:rPr>
            <w:i/>
            <w:color w:val="000000"/>
          </w:rPr>
          <w:t>M</w:t>
        </w:r>
        <w:r w:rsidRPr="00E13138">
          <w:rPr>
            <w:i/>
            <w:color w:val="000000"/>
          </w:rPr>
          <w:t xml:space="preserve">olecular </w:t>
        </w:r>
        <w:r w:rsidR="000E2FD5">
          <w:rPr>
            <w:i/>
            <w:color w:val="000000"/>
          </w:rPr>
          <w:t>B</w:t>
        </w:r>
        <w:r w:rsidRPr="00E13138">
          <w:rPr>
            <w:i/>
            <w:color w:val="000000"/>
          </w:rPr>
          <w:t xml:space="preserve">iology </w:t>
        </w:r>
      </w:hyperlink>
      <w:hyperlink r:id="rId136">
        <w:r w:rsidRPr="00E13138">
          <w:rPr>
            <w:color w:val="000000"/>
          </w:rPr>
          <w:t xml:space="preserve">. </w:t>
        </w:r>
      </w:hyperlink>
      <w:hyperlink r:id="rId137">
        <w:r w:rsidRPr="00E13138">
          <w:rPr>
            <w:b/>
            <w:color w:val="000000"/>
          </w:rPr>
          <w:t>1343</w:t>
        </w:r>
      </w:hyperlink>
      <w:hyperlink r:id="rId138">
        <w:r w:rsidRPr="00E13138">
          <w:rPr>
            <w:color w:val="000000"/>
          </w:rPr>
          <w:t>, 81–95 (2015).</w:t>
        </w:r>
      </w:hyperlink>
    </w:p>
    <w:p w14:paraId="33D83736" w14:textId="04903C3B" w:rsidR="00D958F5" w:rsidRPr="00E13138" w:rsidRDefault="009A10D1" w:rsidP="00E5141E">
      <w:pPr>
        <w:pBdr>
          <w:top w:val="nil"/>
          <w:left w:val="nil"/>
          <w:bottom w:val="nil"/>
          <w:right w:val="nil"/>
          <w:between w:val="nil"/>
        </w:pBdr>
        <w:rPr>
          <w:color w:val="000000"/>
        </w:rPr>
      </w:pPr>
      <w:r w:rsidRPr="00E13138">
        <w:rPr>
          <w:color w:val="000000"/>
        </w:rPr>
        <w:t>21.</w:t>
      </w:r>
      <w:r w:rsidRPr="00E13138">
        <w:rPr>
          <w:color w:val="000000"/>
        </w:rPr>
        <w:tab/>
      </w:r>
      <w:hyperlink r:id="rId139">
        <w:r w:rsidRPr="00E13138">
          <w:rPr>
            <w:color w:val="000000"/>
          </w:rPr>
          <w:t>Fienberg, H.</w:t>
        </w:r>
        <w:r w:rsidR="000E2FD5">
          <w:rPr>
            <w:color w:val="000000"/>
          </w:rPr>
          <w:t xml:space="preserve"> </w:t>
        </w:r>
        <w:r w:rsidRPr="00E13138">
          <w:rPr>
            <w:color w:val="000000"/>
          </w:rPr>
          <w:t>G., Simonds, E.</w:t>
        </w:r>
        <w:r w:rsidR="000E2FD5">
          <w:rPr>
            <w:color w:val="000000"/>
          </w:rPr>
          <w:t xml:space="preserve"> </w:t>
        </w:r>
        <w:r w:rsidRPr="00E13138">
          <w:rPr>
            <w:color w:val="000000"/>
          </w:rPr>
          <w:t xml:space="preserve">F., </w:t>
        </w:r>
        <w:proofErr w:type="spellStart"/>
        <w:r w:rsidRPr="00E13138">
          <w:rPr>
            <w:color w:val="000000"/>
          </w:rPr>
          <w:t>Fantl</w:t>
        </w:r>
        <w:proofErr w:type="spellEnd"/>
        <w:r w:rsidRPr="00E13138">
          <w:rPr>
            <w:color w:val="000000"/>
          </w:rPr>
          <w:t>, W.</w:t>
        </w:r>
        <w:r w:rsidR="000E2FD5">
          <w:rPr>
            <w:color w:val="000000"/>
          </w:rPr>
          <w:t xml:space="preserve"> </w:t>
        </w:r>
        <w:r w:rsidRPr="00E13138">
          <w:rPr>
            <w:color w:val="000000"/>
          </w:rPr>
          <w:t>J., Nolan, G.</w:t>
        </w:r>
        <w:r w:rsidR="000E2FD5">
          <w:rPr>
            <w:color w:val="000000"/>
          </w:rPr>
          <w:t xml:space="preserve"> </w:t>
        </w:r>
        <w:r w:rsidRPr="00E13138">
          <w:rPr>
            <w:color w:val="000000"/>
          </w:rPr>
          <w:t xml:space="preserve">P., </w:t>
        </w:r>
        <w:proofErr w:type="spellStart"/>
        <w:r w:rsidRPr="00E13138">
          <w:rPr>
            <w:color w:val="000000"/>
          </w:rPr>
          <w:t>Bodenmiller</w:t>
        </w:r>
        <w:proofErr w:type="spellEnd"/>
        <w:r w:rsidRPr="00E13138">
          <w:rPr>
            <w:color w:val="000000"/>
          </w:rPr>
          <w:t xml:space="preserve">, B. A platinum-based covalent viability reagent for single-cell mass cytometry. </w:t>
        </w:r>
      </w:hyperlink>
      <w:hyperlink r:id="rId140">
        <w:r w:rsidRPr="00E13138">
          <w:rPr>
            <w:i/>
            <w:color w:val="000000"/>
          </w:rPr>
          <w:t xml:space="preserve">Cytometry. Part A: </w:t>
        </w:r>
        <w:r w:rsidR="000E2FD5">
          <w:rPr>
            <w:i/>
            <w:color w:val="000000"/>
          </w:rPr>
          <w:t>T</w:t>
        </w:r>
        <w:r w:rsidRPr="00E13138">
          <w:rPr>
            <w:i/>
            <w:color w:val="000000"/>
          </w:rPr>
          <w:t xml:space="preserve">he </w:t>
        </w:r>
        <w:r w:rsidR="000E2FD5">
          <w:rPr>
            <w:i/>
            <w:color w:val="000000"/>
          </w:rPr>
          <w:t>J</w:t>
        </w:r>
        <w:r w:rsidRPr="00E13138">
          <w:rPr>
            <w:i/>
            <w:color w:val="000000"/>
          </w:rPr>
          <w:t>ournal of the International Society for Analytical Cytology</w:t>
        </w:r>
      </w:hyperlink>
      <w:hyperlink r:id="rId141">
        <w:r w:rsidRPr="00E13138">
          <w:rPr>
            <w:color w:val="000000"/>
          </w:rPr>
          <w:t xml:space="preserve">. </w:t>
        </w:r>
      </w:hyperlink>
      <w:hyperlink r:id="rId142">
        <w:r w:rsidRPr="00E13138">
          <w:rPr>
            <w:b/>
            <w:color w:val="000000"/>
          </w:rPr>
          <w:t>81</w:t>
        </w:r>
      </w:hyperlink>
      <w:hyperlink r:id="rId143">
        <w:r w:rsidRPr="00E13138">
          <w:rPr>
            <w:color w:val="000000"/>
          </w:rPr>
          <w:t xml:space="preserve"> (6), 467–475 (2012).</w:t>
        </w:r>
      </w:hyperlink>
    </w:p>
    <w:p w14:paraId="08CAEC29" w14:textId="16ECF0CD" w:rsidR="00D958F5" w:rsidRPr="00E13138" w:rsidRDefault="009A10D1" w:rsidP="00E5141E">
      <w:pPr>
        <w:pBdr>
          <w:top w:val="nil"/>
          <w:left w:val="nil"/>
          <w:bottom w:val="nil"/>
          <w:right w:val="nil"/>
          <w:between w:val="nil"/>
        </w:pBdr>
        <w:rPr>
          <w:color w:val="000000"/>
        </w:rPr>
      </w:pPr>
      <w:r w:rsidRPr="00E13138">
        <w:rPr>
          <w:color w:val="000000"/>
        </w:rPr>
        <w:t>22.</w:t>
      </w:r>
      <w:r w:rsidRPr="00E13138">
        <w:rPr>
          <w:color w:val="000000"/>
        </w:rPr>
        <w:tab/>
      </w:r>
      <w:hyperlink r:id="rId144">
        <w:proofErr w:type="spellStart"/>
        <w:r w:rsidRPr="00E13138">
          <w:rPr>
            <w:color w:val="000000"/>
          </w:rPr>
          <w:t>Zivanovic</w:t>
        </w:r>
        <w:proofErr w:type="spellEnd"/>
        <w:r w:rsidRPr="00E13138">
          <w:rPr>
            <w:color w:val="000000"/>
          </w:rPr>
          <w:t xml:space="preserve">, N., Jacobs, A., </w:t>
        </w:r>
        <w:proofErr w:type="spellStart"/>
        <w:r w:rsidRPr="00E13138">
          <w:rPr>
            <w:color w:val="000000"/>
          </w:rPr>
          <w:t>Bodenmiller</w:t>
        </w:r>
        <w:proofErr w:type="spellEnd"/>
        <w:r w:rsidRPr="00E13138">
          <w:rPr>
            <w:color w:val="000000"/>
          </w:rPr>
          <w:t xml:space="preserve">, B. A practical guide to multiplexed mass cytometry. </w:t>
        </w:r>
      </w:hyperlink>
      <w:hyperlink r:id="rId145">
        <w:r w:rsidRPr="00E13138">
          <w:rPr>
            <w:i/>
            <w:color w:val="000000"/>
          </w:rPr>
          <w:t xml:space="preserve">Current </w:t>
        </w:r>
        <w:r w:rsidR="000E2FD5">
          <w:rPr>
            <w:i/>
            <w:color w:val="000000"/>
          </w:rPr>
          <w:t>T</w:t>
        </w:r>
        <w:r w:rsidRPr="00E13138">
          <w:rPr>
            <w:i/>
            <w:color w:val="000000"/>
          </w:rPr>
          <w:t xml:space="preserve">opics in </w:t>
        </w:r>
        <w:r w:rsidR="000E2FD5">
          <w:rPr>
            <w:i/>
            <w:color w:val="000000"/>
          </w:rPr>
          <w:t>M</w:t>
        </w:r>
        <w:r w:rsidRPr="00E13138">
          <w:rPr>
            <w:i/>
            <w:color w:val="000000"/>
          </w:rPr>
          <w:t xml:space="preserve">icrobiology and </w:t>
        </w:r>
        <w:r w:rsidR="000E2FD5">
          <w:rPr>
            <w:i/>
            <w:color w:val="000000"/>
          </w:rPr>
          <w:t>I</w:t>
        </w:r>
        <w:r w:rsidRPr="00E13138">
          <w:rPr>
            <w:i/>
            <w:color w:val="000000"/>
          </w:rPr>
          <w:t>mmunology</w:t>
        </w:r>
      </w:hyperlink>
      <w:hyperlink r:id="rId146">
        <w:r w:rsidRPr="00E13138">
          <w:rPr>
            <w:color w:val="000000"/>
          </w:rPr>
          <w:t xml:space="preserve">. </w:t>
        </w:r>
      </w:hyperlink>
      <w:hyperlink r:id="rId147">
        <w:r w:rsidRPr="00E13138">
          <w:rPr>
            <w:b/>
            <w:color w:val="000000"/>
          </w:rPr>
          <w:t>377</w:t>
        </w:r>
      </w:hyperlink>
      <w:hyperlink r:id="rId148">
        <w:r w:rsidRPr="00E13138">
          <w:rPr>
            <w:color w:val="000000"/>
          </w:rPr>
          <w:t>, 95–109 (2014).</w:t>
        </w:r>
      </w:hyperlink>
    </w:p>
    <w:p w14:paraId="6BD296B1" w14:textId="18F69A04" w:rsidR="00D958F5" w:rsidRPr="00E13138" w:rsidRDefault="009A10D1" w:rsidP="00E5141E">
      <w:pPr>
        <w:pBdr>
          <w:top w:val="nil"/>
          <w:left w:val="nil"/>
          <w:bottom w:val="nil"/>
          <w:right w:val="nil"/>
          <w:between w:val="nil"/>
        </w:pBdr>
        <w:rPr>
          <w:color w:val="000000"/>
        </w:rPr>
      </w:pPr>
      <w:r w:rsidRPr="00E13138">
        <w:rPr>
          <w:color w:val="000000"/>
        </w:rPr>
        <w:lastRenderedPageBreak/>
        <w:t>23.</w:t>
      </w:r>
      <w:r w:rsidRPr="00E13138">
        <w:rPr>
          <w:color w:val="000000"/>
        </w:rPr>
        <w:tab/>
      </w:r>
      <w:hyperlink r:id="rId149">
        <w:proofErr w:type="spellStart"/>
        <w:r w:rsidRPr="00E13138">
          <w:rPr>
            <w:color w:val="000000"/>
          </w:rPr>
          <w:t>Béziat</w:t>
        </w:r>
        <w:proofErr w:type="spellEnd"/>
        <w:r w:rsidRPr="00E13138">
          <w:rPr>
            <w:color w:val="000000"/>
          </w:rPr>
          <w:t>, V., Hilton, H.</w:t>
        </w:r>
        <w:r w:rsidR="000E2FD5">
          <w:rPr>
            <w:color w:val="000000"/>
          </w:rPr>
          <w:t xml:space="preserve"> </w:t>
        </w:r>
        <w:r w:rsidRPr="00E13138">
          <w:rPr>
            <w:color w:val="000000"/>
          </w:rPr>
          <w:t>G., Norman, P.</w:t>
        </w:r>
        <w:r w:rsidR="000E2FD5">
          <w:rPr>
            <w:color w:val="000000"/>
          </w:rPr>
          <w:t xml:space="preserve"> </w:t>
        </w:r>
        <w:r w:rsidRPr="00E13138">
          <w:rPr>
            <w:color w:val="000000"/>
          </w:rPr>
          <w:t xml:space="preserve">J., </w:t>
        </w:r>
        <w:proofErr w:type="spellStart"/>
        <w:r w:rsidRPr="00E13138">
          <w:rPr>
            <w:color w:val="000000"/>
          </w:rPr>
          <w:t>Traherne</w:t>
        </w:r>
        <w:proofErr w:type="spellEnd"/>
        <w:r w:rsidRPr="00E13138">
          <w:rPr>
            <w:color w:val="000000"/>
          </w:rPr>
          <w:t>, J.</w:t>
        </w:r>
        <w:r w:rsidR="000E2FD5">
          <w:rPr>
            <w:color w:val="000000"/>
          </w:rPr>
          <w:t xml:space="preserve"> </w:t>
        </w:r>
        <w:r w:rsidRPr="00E13138">
          <w:rPr>
            <w:color w:val="000000"/>
          </w:rPr>
          <w:t xml:space="preserve">A. Deciphering the killer-cell immunoglobulin-like receptor system at super-resolution for natural killer and T-cell biology. </w:t>
        </w:r>
      </w:hyperlink>
      <w:hyperlink r:id="rId150">
        <w:r w:rsidRPr="00E13138">
          <w:rPr>
            <w:i/>
            <w:color w:val="000000"/>
          </w:rPr>
          <w:t>Immunology</w:t>
        </w:r>
      </w:hyperlink>
      <w:hyperlink r:id="rId151">
        <w:r w:rsidRPr="00E13138">
          <w:rPr>
            <w:color w:val="000000"/>
          </w:rPr>
          <w:t xml:space="preserve">. </w:t>
        </w:r>
      </w:hyperlink>
      <w:hyperlink r:id="rId152">
        <w:r w:rsidRPr="00E13138">
          <w:rPr>
            <w:b/>
            <w:color w:val="000000"/>
          </w:rPr>
          <w:t>150</w:t>
        </w:r>
      </w:hyperlink>
      <w:hyperlink r:id="rId153">
        <w:r w:rsidRPr="00E13138">
          <w:rPr>
            <w:color w:val="000000"/>
          </w:rPr>
          <w:t xml:space="preserve"> (3), 248–264 (2017).</w:t>
        </w:r>
      </w:hyperlink>
    </w:p>
    <w:p w14:paraId="08EBEE2E" w14:textId="60A3A197" w:rsidR="00D958F5" w:rsidRPr="00E13138" w:rsidRDefault="009A10D1" w:rsidP="00E5141E">
      <w:pPr>
        <w:pBdr>
          <w:top w:val="nil"/>
          <w:left w:val="nil"/>
          <w:bottom w:val="nil"/>
          <w:right w:val="nil"/>
          <w:between w:val="nil"/>
        </w:pBdr>
        <w:rPr>
          <w:color w:val="000000"/>
        </w:rPr>
      </w:pPr>
      <w:r w:rsidRPr="00E13138">
        <w:rPr>
          <w:color w:val="000000"/>
        </w:rPr>
        <w:t>24.</w:t>
      </w:r>
      <w:r w:rsidRPr="00E13138">
        <w:rPr>
          <w:color w:val="000000"/>
        </w:rPr>
        <w:tab/>
      </w:r>
      <w:hyperlink r:id="rId154">
        <w:r w:rsidRPr="00E13138">
          <w:rPr>
            <w:color w:val="000000"/>
          </w:rPr>
          <w:t>Wilk, A.</w:t>
        </w:r>
        <w:r w:rsidR="000E2FD5">
          <w:rPr>
            <w:color w:val="000000"/>
          </w:rPr>
          <w:t xml:space="preserve"> </w:t>
        </w:r>
        <w:r w:rsidRPr="00E13138">
          <w:rPr>
            <w:color w:val="000000"/>
          </w:rPr>
          <w:t xml:space="preserve">J. </w:t>
        </w:r>
      </w:hyperlink>
      <w:hyperlink r:id="rId155">
        <w:r w:rsidRPr="000E2FD5">
          <w:rPr>
            <w:color w:val="000000"/>
          </w:rPr>
          <w:t>et al.</w:t>
        </w:r>
      </w:hyperlink>
      <w:hyperlink r:id="rId156">
        <w:r w:rsidRPr="00E13138">
          <w:rPr>
            <w:color w:val="000000"/>
          </w:rPr>
          <w:t xml:space="preserve"> Charge-</w:t>
        </w:r>
        <w:r w:rsidR="000E2FD5">
          <w:rPr>
            <w:color w:val="000000"/>
          </w:rPr>
          <w:t>a</w:t>
        </w:r>
        <w:r w:rsidRPr="00E13138">
          <w:rPr>
            <w:color w:val="000000"/>
          </w:rPr>
          <w:t xml:space="preserve">ltering </w:t>
        </w:r>
        <w:r w:rsidR="000E2FD5">
          <w:rPr>
            <w:color w:val="000000"/>
          </w:rPr>
          <w:t>r</w:t>
        </w:r>
        <w:r w:rsidRPr="00E13138">
          <w:rPr>
            <w:color w:val="000000"/>
          </w:rPr>
          <w:t xml:space="preserve">eleasable </w:t>
        </w:r>
        <w:r w:rsidR="000E2FD5">
          <w:rPr>
            <w:color w:val="000000"/>
          </w:rPr>
          <w:t>t</w:t>
        </w:r>
        <w:r w:rsidRPr="00E13138">
          <w:rPr>
            <w:color w:val="000000"/>
          </w:rPr>
          <w:t xml:space="preserve">ransporters </w:t>
        </w:r>
        <w:r w:rsidR="000E2FD5">
          <w:rPr>
            <w:color w:val="000000"/>
          </w:rPr>
          <w:t>e</w:t>
        </w:r>
        <w:r w:rsidRPr="00E13138">
          <w:rPr>
            <w:color w:val="000000"/>
          </w:rPr>
          <w:t xml:space="preserve">nable </w:t>
        </w:r>
        <w:r w:rsidR="000E2FD5">
          <w:rPr>
            <w:color w:val="000000"/>
          </w:rPr>
          <w:t>s</w:t>
        </w:r>
        <w:r w:rsidRPr="00E13138">
          <w:rPr>
            <w:color w:val="000000"/>
          </w:rPr>
          <w:t xml:space="preserve">pecific </w:t>
        </w:r>
        <w:r w:rsidR="000E2FD5">
          <w:rPr>
            <w:color w:val="000000"/>
          </w:rPr>
          <w:t>p</w:t>
        </w:r>
        <w:r w:rsidRPr="00E13138">
          <w:rPr>
            <w:color w:val="000000"/>
          </w:rPr>
          <w:t xml:space="preserve">henotypic </w:t>
        </w:r>
        <w:r w:rsidR="000E2FD5">
          <w:rPr>
            <w:color w:val="000000"/>
          </w:rPr>
          <w:t>m</w:t>
        </w:r>
        <w:r w:rsidRPr="00E13138">
          <w:rPr>
            <w:color w:val="000000"/>
          </w:rPr>
          <w:t xml:space="preserve">anipulation of </w:t>
        </w:r>
        <w:r w:rsidR="000E2FD5">
          <w:rPr>
            <w:color w:val="000000"/>
          </w:rPr>
          <w:t>r</w:t>
        </w:r>
        <w:r w:rsidRPr="00E13138">
          <w:rPr>
            <w:color w:val="000000"/>
          </w:rPr>
          <w:t xml:space="preserve">esting </w:t>
        </w:r>
        <w:r w:rsidR="000E2FD5">
          <w:rPr>
            <w:color w:val="000000"/>
          </w:rPr>
          <w:t>p</w:t>
        </w:r>
        <w:r w:rsidRPr="00E13138">
          <w:rPr>
            <w:color w:val="000000"/>
          </w:rPr>
          <w:t xml:space="preserve">rimary </w:t>
        </w:r>
        <w:r w:rsidR="000E2FD5">
          <w:rPr>
            <w:color w:val="000000"/>
          </w:rPr>
          <w:t>n</w:t>
        </w:r>
        <w:r w:rsidRPr="00E13138">
          <w:rPr>
            <w:color w:val="000000"/>
          </w:rPr>
          <w:t xml:space="preserve">atural </w:t>
        </w:r>
        <w:r w:rsidR="000E2FD5">
          <w:rPr>
            <w:color w:val="000000"/>
          </w:rPr>
          <w:t>k</w:t>
        </w:r>
        <w:r w:rsidRPr="00E13138">
          <w:rPr>
            <w:color w:val="000000"/>
          </w:rPr>
          <w:t xml:space="preserve">iller </w:t>
        </w:r>
        <w:r w:rsidR="000E2FD5">
          <w:rPr>
            <w:color w:val="000000"/>
          </w:rPr>
          <w:t>c</w:t>
        </w:r>
        <w:r w:rsidRPr="00E13138">
          <w:rPr>
            <w:color w:val="000000"/>
          </w:rPr>
          <w:t xml:space="preserve">ells. </w:t>
        </w:r>
      </w:hyperlink>
      <w:hyperlink r:id="rId157">
        <w:proofErr w:type="spellStart"/>
        <w:r w:rsidR="000E2FD5">
          <w:rPr>
            <w:i/>
            <w:color w:val="000000"/>
          </w:rPr>
          <w:t>B</w:t>
        </w:r>
        <w:r w:rsidRPr="00E13138">
          <w:rPr>
            <w:i/>
            <w:color w:val="000000"/>
          </w:rPr>
          <w:t>ioRxiv</w:t>
        </w:r>
        <w:proofErr w:type="spellEnd"/>
      </w:hyperlink>
      <w:hyperlink r:id="rId158">
        <w:r w:rsidRPr="00E13138">
          <w:rPr>
            <w:color w:val="000000"/>
          </w:rPr>
          <w:t xml:space="preserve">. 2020.02.28.970491 </w:t>
        </w:r>
      </w:hyperlink>
      <w:hyperlink r:id="rId159">
        <w:r w:rsidRPr="00E13138">
          <w:rPr>
            <w:color w:val="000000"/>
          </w:rPr>
          <w:t xml:space="preserve"> (2020).</w:t>
        </w:r>
      </w:hyperlink>
    </w:p>
    <w:p w14:paraId="5E1D0126" w14:textId="77777777" w:rsidR="00D958F5" w:rsidRPr="00E13138" w:rsidRDefault="009A10D1" w:rsidP="00E5141E">
      <w:pPr>
        <w:pBdr>
          <w:top w:val="nil"/>
          <w:left w:val="nil"/>
          <w:bottom w:val="nil"/>
          <w:right w:val="nil"/>
          <w:between w:val="nil"/>
        </w:pBdr>
        <w:rPr>
          <w:color w:val="000000"/>
        </w:rPr>
      </w:pPr>
      <w:r w:rsidRPr="00E13138">
        <w:rPr>
          <w:color w:val="000000"/>
        </w:rPr>
        <w:t>25.</w:t>
      </w:r>
      <w:r w:rsidRPr="00E13138">
        <w:rPr>
          <w:color w:val="000000"/>
        </w:rPr>
        <w:tab/>
      </w:r>
      <w:hyperlink r:id="rId160">
        <w:r w:rsidRPr="00E13138">
          <w:rPr>
            <w:color w:val="000000"/>
          </w:rPr>
          <w:t xml:space="preserve">Vendrame, E. </w:t>
        </w:r>
      </w:hyperlink>
      <w:hyperlink r:id="rId161">
        <w:r w:rsidRPr="000E2FD5">
          <w:rPr>
            <w:color w:val="000000"/>
          </w:rPr>
          <w:t>et al.</w:t>
        </w:r>
      </w:hyperlink>
      <w:hyperlink r:id="rId162">
        <w:r w:rsidRPr="00E13138">
          <w:rPr>
            <w:color w:val="000000"/>
          </w:rPr>
          <w:t xml:space="preserve"> TIGIT is upregulated by HIV-1 infection and marks a highly functional adaptive and mature subset of natural killer cells. </w:t>
        </w:r>
      </w:hyperlink>
      <w:hyperlink r:id="rId163">
        <w:r w:rsidRPr="00E13138">
          <w:rPr>
            <w:i/>
            <w:color w:val="000000"/>
          </w:rPr>
          <w:t xml:space="preserve">AIDS </w:t>
        </w:r>
      </w:hyperlink>
      <w:hyperlink r:id="rId164">
        <w:r w:rsidRPr="00E13138">
          <w:rPr>
            <w:color w:val="000000"/>
          </w:rPr>
          <w:t xml:space="preserve">. </w:t>
        </w:r>
      </w:hyperlink>
      <w:hyperlink r:id="rId165">
        <w:r w:rsidRPr="00E13138">
          <w:rPr>
            <w:b/>
            <w:color w:val="000000"/>
          </w:rPr>
          <w:t>34</w:t>
        </w:r>
      </w:hyperlink>
      <w:hyperlink r:id="rId166">
        <w:r w:rsidRPr="00E13138">
          <w:rPr>
            <w:color w:val="000000"/>
          </w:rPr>
          <w:t xml:space="preserve"> (6), 801–813 (2020).</w:t>
        </w:r>
      </w:hyperlink>
    </w:p>
    <w:p w14:paraId="19C1EF9D" w14:textId="4C19D996" w:rsidR="00D958F5" w:rsidRPr="00E13138" w:rsidRDefault="009A10D1" w:rsidP="00E5141E">
      <w:pPr>
        <w:pBdr>
          <w:top w:val="nil"/>
          <w:left w:val="nil"/>
          <w:bottom w:val="nil"/>
          <w:right w:val="nil"/>
          <w:between w:val="nil"/>
        </w:pBdr>
        <w:rPr>
          <w:color w:val="000000"/>
        </w:rPr>
      </w:pPr>
      <w:r w:rsidRPr="00E13138">
        <w:rPr>
          <w:color w:val="000000"/>
        </w:rPr>
        <w:t>26.</w:t>
      </w:r>
      <w:r w:rsidRPr="00E13138">
        <w:rPr>
          <w:color w:val="000000"/>
        </w:rPr>
        <w:tab/>
      </w:r>
      <w:hyperlink r:id="rId167">
        <w:r w:rsidRPr="00E13138">
          <w:rPr>
            <w:color w:val="000000"/>
          </w:rPr>
          <w:t xml:space="preserve">Zhao, N.Q. </w:t>
        </w:r>
      </w:hyperlink>
      <w:hyperlink r:id="rId168">
        <w:r w:rsidRPr="000E2FD5">
          <w:rPr>
            <w:color w:val="000000"/>
          </w:rPr>
          <w:t>et al.</w:t>
        </w:r>
      </w:hyperlink>
      <w:hyperlink r:id="rId169">
        <w:r w:rsidRPr="00E13138">
          <w:rPr>
            <w:color w:val="000000"/>
          </w:rPr>
          <w:t xml:space="preserve"> Natural killer cell phenotype is altered in HIV-exposed seronegative women. </w:t>
        </w:r>
      </w:hyperlink>
      <w:hyperlink r:id="rId170">
        <w:proofErr w:type="spellStart"/>
        <w:r w:rsidRPr="00E13138">
          <w:rPr>
            <w:i/>
            <w:color w:val="000000"/>
          </w:rPr>
          <w:t>PloS</w:t>
        </w:r>
        <w:proofErr w:type="spellEnd"/>
        <w:r w:rsidRPr="00E13138">
          <w:rPr>
            <w:i/>
            <w:color w:val="000000"/>
          </w:rPr>
          <w:t xml:space="preserve"> </w:t>
        </w:r>
        <w:r w:rsidR="000E2FD5">
          <w:rPr>
            <w:i/>
            <w:color w:val="000000"/>
          </w:rPr>
          <w:t>O</w:t>
        </w:r>
        <w:r w:rsidRPr="00E13138">
          <w:rPr>
            <w:i/>
            <w:color w:val="000000"/>
          </w:rPr>
          <w:t>ne</w:t>
        </w:r>
      </w:hyperlink>
      <w:hyperlink r:id="rId171">
        <w:r w:rsidRPr="00E13138">
          <w:rPr>
            <w:color w:val="000000"/>
          </w:rPr>
          <w:t xml:space="preserve">. </w:t>
        </w:r>
      </w:hyperlink>
      <w:hyperlink r:id="rId172">
        <w:r w:rsidRPr="00E13138">
          <w:rPr>
            <w:b/>
            <w:color w:val="000000"/>
          </w:rPr>
          <w:t>15</w:t>
        </w:r>
      </w:hyperlink>
      <w:hyperlink r:id="rId173">
        <w:r w:rsidRPr="00E13138">
          <w:rPr>
            <w:color w:val="000000"/>
          </w:rPr>
          <w:t xml:space="preserve"> (9), e0238347 (2020).</w:t>
        </w:r>
      </w:hyperlink>
    </w:p>
    <w:p w14:paraId="40122796" w14:textId="7824AA35" w:rsidR="00D958F5" w:rsidRPr="00E13138" w:rsidRDefault="009A10D1" w:rsidP="00E5141E">
      <w:pPr>
        <w:pBdr>
          <w:top w:val="nil"/>
          <w:left w:val="nil"/>
          <w:bottom w:val="nil"/>
          <w:right w:val="nil"/>
          <w:between w:val="nil"/>
        </w:pBdr>
        <w:rPr>
          <w:color w:val="000000"/>
        </w:rPr>
      </w:pPr>
      <w:r w:rsidRPr="00E13138">
        <w:rPr>
          <w:color w:val="000000"/>
        </w:rPr>
        <w:t>27.</w:t>
      </w:r>
      <w:r w:rsidRPr="00E13138">
        <w:rPr>
          <w:color w:val="000000"/>
        </w:rPr>
        <w:tab/>
      </w:r>
      <w:hyperlink r:id="rId174">
        <w:r w:rsidRPr="00E13138">
          <w:rPr>
            <w:color w:val="000000"/>
          </w:rPr>
          <w:t>McKechnie, J.</w:t>
        </w:r>
        <w:r w:rsidR="000E2FD5">
          <w:rPr>
            <w:color w:val="000000"/>
          </w:rPr>
          <w:t xml:space="preserve"> </w:t>
        </w:r>
        <w:r w:rsidRPr="00E13138">
          <w:rPr>
            <w:color w:val="000000"/>
          </w:rPr>
          <w:t xml:space="preserve">L. </w:t>
        </w:r>
      </w:hyperlink>
      <w:hyperlink r:id="rId175">
        <w:r w:rsidRPr="000E2FD5">
          <w:rPr>
            <w:color w:val="000000"/>
          </w:rPr>
          <w:t>et al.</w:t>
        </w:r>
      </w:hyperlink>
      <w:hyperlink r:id="rId176">
        <w:r w:rsidRPr="00E13138">
          <w:rPr>
            <w:color w:val="000000"/>
          </w:rPr>
          <w:t xml:space="preserve"> HLA </w:t>
        </w:r>
        <w:r w:rsidR="000E2FD5">
          <w:rPr>
            <w:color w:val="000000"/>
          </w:rPr>
          <w:t>u</w:t>
        </w:r>
        <w:r w:rsidRPr="00E13138">
          <w:rPr>
            <w:color w:val="000000"/>
          </w:rPr>
          <w:t xml:space="preserve">pregulation </w:t>
        </w:r>
        <w:r w:rsidR="000E2FD5">
          <w:rPr>
            <w:color w:val="000000"/>
          </w:rPr>
          <w:t>d</w:t>
        </w:r>
        <w:r w:rsidRPr="00E13138">
          <w:rPr>
            <w:color w:val="000000"/>
          </w:rPr>
          <w:t xml:space="preserve">uring </w:t>
        </w:r>
        <w:r w:rsidR="000E2FD5">
          <w:rPr>
            <w:color w:val="000000"/>
          </w:rPr>
          <w:t>d</w:t>
        </w:r>
        <w:r w:rsidRPr="00E13138">
          <w:rPr>
            <w:color w:val="000000"/>
          </w:rPr>
          <w:t xml:space="preserve">engue </w:t>
        </w:r>
        <w:r w:rsidR="000E2FD5">
          <w:rPr>
            <w:color w:val="000000"/>
          </w:rPr>
          <w:t>v</w:t>
        </w:r>
        <w:r w:rsidRPr="00E13138">
          <w:rPr>
            <w:color w:val="000000"/>
          </w:rPr>
          <w:t xml:space="preserve">irus </w:t>
        </w:r>
        <w:r w:rsidR="000E2FD5">
          <w:rPr>
            <w:color w:val="000000"/>
          </w:rPr>
          <w:t>i</w:t>
        </w:r>
        <w:r w:rsidRPr="00E13138">
          <w:rPr>
            <w:color w:val="000000"/>
          </w:rPr>
          <w:t xml:space="preserve">nfection </w:t>
        </w:r>
        <w:r w:rsidR="000E2FD5">
          <w:rPr>
            <w:color w:val="000000"/>
          </w:rPr>
          <w:t>s</w:t>
        </w:r>
        <w:r w:rsidRPr="00E13138">
          <w:rPr>
            <w:color w:val="000000"/>
          </w:rPr>
          <w:t xml:space="preserve">uppresses the </w:t>
        </w:r>
        <w:r w:rsidR="000E2FD5">
          <w:rPr>
            <w:color w:val="000000"/>
          </w:rPr>
          <w:t>n</w:t>
        </w:r>
        <w:r w:rsidRPr="00E13138">
          <w:rPr>
            <w:color w:val="000000"/>
          </w:rPr>
          <w:t xml:space="preserve">atural </w:t>
        </w:r>
        <w:r w:rsidR="000E2FD5">
          <w:rPr>
            <w:color w:val="000000"/>
          </w:rPr>
          <w:t>k</w:t>
        </w:r>
        <w:r w:rsidRPr="00E13138">
          <w:rPr>
            <w:color w:val="000000"/>
          </w:rPr>
          <w:t xml:space="preserve">iller </w:t>
        </w:r>
        <w:r w:rsidR="000E2FD5">
          <w:rPr>
            <w:color w:val="000000"/>
          </w:rPr>
          <w:t>c</w:t>
        </w:r>
        <w:r w:rsidRPr="00E13138">
          <w:rPr>
            <w:color w:val="000000"/>
          </w:rPr>
          <w:t xml:space="preserve">ell </w:t>
        </w:r>
        <w:r w:rsidR="000E2FD5">
          <w:rPr>
            <w:color w:val="000000"/>
          </w:rPr>
          <w:t>r</w:t>
        </w:r>
        <w:r w:rsidRPr="00E13138">
          <w:rPr>
            <w:color w:val="000000"/>
          </w:rPr>
          <w:t xml:space="preserve">esponse. </w:t>
        </w:r>
      </w:hyperlink>
      <w:hyperlink r:id="rId177">
        <w:r w:rsidRPr="00E13138">
          <w:rPr>
            <w:i/>
            <w:color w:val="000000"/>
          </w:rPr>
          <w:t xml:space="preserve">Frontiers in </w:t>
        </w:r>
        <w:r w:rsidR="000E2FD5">
          <w:rPr>
            <w:i/>
            <w:color w:val="000000"/>
          </w:rPr>
          <w:t>C</w:t>
        </w:r>
        <w:r w:rsidRPr="00E13138">
          <w:rPr>
            <w:i/>
            <w:color w:val="000000"/>
          </w:rPr>
          <w:t xml:space="preserve">ellular and </w:t>
        </w:r>
        <w:r w:rsidR="000E2FD5">
          <w:rPr>
            <w:i/>
            <w:color w:val="000000"/>
          </w:rPr>
          <w:t>I</w:t>
        </w:r>
        <w:r w:rsidRPr="00E13138">
          <w:rPr>
            <w:i/>
            <w:color w:val="000000"/>
          </w:rPr>
          <w:t xml:space="preserve">nfection </w:t>
        </w:r>
        <w:r w:rsidR="000E2FD5">
          <w:rPr>
            <w:i/>
            <w:color w:val="000000"/>
          </w:rPr>
          <w:t>M</w:t>
        </w:r>
        <w:r w:rsidRPr="00E13138">
          <w:rPr>
            <w:i/>
            <w:color w:val="000000"/>
          </w:rPr>
          <w:t>icrobiology</w:t>
        </w:r>
      </w:hyperlink>
      <w:hyperlink r:id="rId178">
        <w:r w:rsidRPr="00E13138">
          <w:rPr>
            <w:color w:val="000000"/>
          </w:rPr>
          <w:t xml:space="preserve">. </w:t>
        </w:r>
      </w:hyperlink>
      <w:hyperlink r:id="rId179">
        <w:r w:rsidRPr="00E13138">
          <w:rPr>
            <w:b/>
            <w:color w:val="000000"/>
          </w:rPr>
          <w:t>9</w:t>
        </w:r>
      </w:hyperlink>
      <w:hyperlink r:id="rId180">
        <w:r w:rsidRPr="00E13138">
          <w:rPr>
            <w:color w:val="000000"/>
          </w:rPr>
          <w:t>, 268 (2019).</w:t>
        </w:r>
      </w:hyperlink>
    </w:p>
    <w:p w14:paraId="13857F42" w14:textId="486CF7E0" w:rsidR="00D958F5" w:rsidRPr="00E13138" w:rsidRDefault="009A10D1" w:rsidP="00E5141E">
      <w:pPr>
        <w:pBdr>
          <w:top w:val="nil"/>
          <w:left w:val="nil"/>
          <w:bottom w:val="nil"/>
          <w:right w:val="nil"/>
          <w:between w:val="nil"/>
        </w:pBdr>
        <w:rPr>
          <w:color w:val="000000"/>
        </w:rPr>
      </w:pPr>
      <w:r w:rsidRPr="00E13138">
        <w:rPr>
          <w:color w:val="000000"/>
        </w:rPr>
        <w:t>28.</w:t>
      </w:r>
      <w:r w:rsidRPr="00E13138">
        <w:rPr>
          <w:color w:val="000000"/>
        </w:rPr>
        <w:tab/>
      </w:r>
      <w:hyperlink r:id="rId181">
        <w:r w:rsidRPr="00E13138">
          <w:rPr>
            <w:color w:val="000000"/>
          </w:rPr>
          <w:t>McKechnie, J.</w:t>
        </w:r>
        <w:r w:rsidR="000E2FD5">
          <w:rPr>
            <w:color w:val="000000"/>
          </w:rPr>
          <w:t xml:space="preserve"> </w:t>
        </w:r>
        <w:r w:rsidRPr="00E13138">
          <w:rPr>
            <w:color w:val="000000"/>
          </w:rPr>
          <w:t xml:space="preserve">L. </w:t>
        </w:r>
      </w:hyperlink>
      <w:hyperlink r:id="rId182">
        <w:r w:rsidRPr="00E13138">
          <w:rPr>
            <w:i/>
            <w:color w:val="000000"/>
          </w:rPr>
          <w:t>et al.</w:t>
        </w:r>
      </w:hyperlink>
      <w:hyperlink r:id="rId183">
        <w:r w:rsidRPr="00E13138">
          <w:rPr>
            <w:color w:val="000000"/>
          </w:rPr>
          <w:t xml:space="preserve"> Mass </w:t>
        </w:r>
        <w:r w:rsidR="000E2FD5">
          <w:rPr>
            <w:color w:val="000000"/>
          </w:rPr>
          <w:t>c</w:t>
        </w:r>
        <w:r w:rsidRPr="00E13138">
          <w:rPr>
            <w:color w:val="000000"/>
          </w:rPr>
          <w:t xml:space="preserve">ytometry </w:t>
        </w:r>
        <w:r w:rsidR="000E2FD5">
          <w:rPr>
            <w:color w:val="000000"/>
          </w:rPr>
          <w:t>a</w:t>
        </w:r>
        <w:r w:rsidRPr="00E13138">
          <w:rPr>
            <w:color w:val="000000"/>
          </w:rPr>
          <w:t xml:space="preserve">nalysis of the NK </w:t>
        </w:r>
        <w:r w:rsidR="000E2FD5">
          <w:rPr>
            <w:color w:val="000000"/>
          </w:rPr>
          <w:t>c</w:t>
        </w:r>
        <w:r w:rsidRPr="00E13138">
          <w:rPr>
            <w:color w:val="000000"/>
          </w:rPr>
          <w:t xml:space="preserve">ell </w:t>
        </w:r>
        <w:r w:rsidR="000E2FD5">
          <w:rPr>
            <w:color w:val="000000"/>
          </w:rPr>
          <w:t>r</w:t>
        </w:r>
        <w:r w:rsidRPr="00E13138">
          <w:rPr>
            <w:color w:val="000000"/>
          </w:rPr>
          <w:t>eceptor–</w:t>
        </w:r>
        <w:r w:rsidR="000E2FD5">
          <w:rPr>
            <w:color w:val="000000"/>
          </w:rPr>
          <w:t>l</w:t>
        </w:r>
        <w:r w:rsidRPr="00E13138">
          <w:rPr>
            <w:color w:val="000000"/>
          </w:rPr>
          <w:t xml:space="preserve">igand </w:t>
        </w:r>
        <w:r w:rsidR="000E2FD5">
          <w:rPr>
            <w:color w:val="000000"/>
          </w:rPr>
          <w:t>r</w:t>
        </w:r>
        <w:r w:rsidRPr="00E13138">
          <w:rPr>
            <w:color w:val="000000"/>
          </w:rPr>
          <w:t xml:space="preserve">epertoire </w:t>
        </w:r>
        <w:r w:rsidR="000E2FD5">
          <w:rPr>
            <w:color w:val="000000"/>
          </w:rPr>
          <w:t>r</w:t>
        </w:r>
        <w:r w:rsidRPr="00E13138">
          <w:rPr>
            <w:color w:val="000000"/>
          </w:rPr>
          <w:t xml:space="preserve">eveals </w:t>
        </w:r>
        <w:r w:rsidR="000E2FD5">
          <w:rPr>
            <w:color w:val="000000"/>
          </w:rPr>
          <w:t>u</w:t>
        </w:r>
        <w:r w:rsidRPr="00E13138">
          <w:rPr>
            <w:color w:val="000000"/>
          </w:rPr>
          <w:t xml:space="preserve">nique </w:t>
        </w:r>
        <w:r w:rsidR="000E2FD5">
          <w:rPr>
            <w:color w:val="000000"/>
          </w:rPr>
          <w:t>d</w:t>
        </w:r>
        <w:r w:rsidRPr="00E13138">
          <w:rPr>
            <w:color w:val="000000"/>
          </w:rPr>
          <w:t xml:space="preserve">ifferences between </w:t>
        </w:r>
        <w:r w:rsidR="000E2FD5">
          <w:rPr>
            <w:color w:val="000000"/>
          </w:rPr>
          <w:t>d</w:t>
        </w:r>
        <w:r w:rsidRPr="00E13138">
          <w:rPr>
            <w:color w:val="000000"/>
          </w:rPr>
          <w:t>engue-</w:t>
        </w:r>
        <w:r w:rsidR="000E2FD5">
          <w:rPr>
            <w:color w:val="000000"/>
          </w:rPr>
          <w:t>i</w:t>
        </w:r>
        <w:r w:rsidRPr="00E13138">
          <w:rPr>
            <w:color w:val="000000"/>
          </w:rPr>
          <w:t xml:space="preserve">nfected </w:t>
        </w:r>
        <w:r w:rsidR="000E2FD5">
          <w:rPr>
            <w:color w:val="000000"/>
          </w:rPr>
          <w:t>c</w:t>
        </w:r>
        <w:r w:rsidRPr="00E13138">
          <w:rPr>
            <w:color w:val="000000"/>
          </w:rPr>
          <w:t xml:space="preserve">hildren and </w:t>
        </w:r>
        <w:r w:rsidR="000E2FD5">
          <w:rPr>
            <w:color w:val="000000"/>
          </w:rPr>
          <w:t>a</w:t>
        </w:r>
        <w:r w:rsidRPr="00E13138">
          <w:rPr>
            <w:color w:val="000000"/>
          </w:rPr>
          <w:t xml:space="preserve">dults. </w:t>
        </w:r>
      </w:hyperlink>
      <w:hyperlink r:id="rId184">
        <w:proofErr w:type="spellStart"/>
        <w:r w:rsidRPr="00E13138">
          <w:rPr>
            <w:i/>
            <w:color w:val="000000"/>
          </w:rPr>
          <w:t>ImmunoHorizons</w:t>
        </w:r>
        <w:proofErr w:type="spellEnd"/>
      </w:hyperlink>
      <w:hyperlink r:id="rId185">
        <w:r w:rsidRPr="00E13138">
          <w:rPr>
            <w:color w:val="000000"/>
          </w:rPr>
          <w:t xml:space="preserve">. </w:t>
        </w:r>
      </w:hyperlink>
      <w:hyperlink r:id="rId186">
        <w:r w:rsidRPr="00E13138">
          <w:rPr>
            <w:b/>
            <w:color w:val="000000"/>
          </w:rPr>
          <w:t>4</w:t>
        </w:r>
      </w:hyperlink>
      <w:hyperlink r:id="rId187">
        <w:r w:rsidRPr="00E13138">
          <w:rPr>
            <w:color w:val="000000"/>
          </w:rPr>
          <w:t xml:space="preserve"> (10), 634–647 (2020).</w:t>
        </w:r>
      </w:hyperlink>
    </w:p>
    <w:p w14:paraId="036FD1AF" w14:textId="77777777" w:rsidR="00D958F5" w:rsidRPr="00E13138" w:rsidRDefault="009A10D1" w:rsidP="00E5141E">
      <w:pPr>
        <w:pBdr>
          <w:top w:val="nil"/>
          <w:left w:val="nil"/>
          <w:bottom w:val="nil"/>
          <w:right w:val="nil"/>
          <w:between w:val="nil"/>
        </w:pBdr>
        <w:rPr>
          <w:color w:val="000000"/>
        </w:rPr>
      </w:pPr>
      <w:r w:rsidRPr="00E13138">
        <w:rPr>
          <w:color w:val="000000"/>
        </w:rPr>
        <w:t>29.</w:t>
      </w:r>
      <w:r w:rsidRPr="00E13138">
        <w:rPr>
          <w:color w:val="000000"/>
        </w:rPr>
        <w:tab/>
      </w:r>
      <w:hyperlink r:id="rId188">
        <w:proofErr w:type="spellStart"/>
        <w:r w:rsidRPr="00E13138">
          <w:rPr>
            <w:color w:val="000000"/>
          </w:rPr>
          <w:t>Ranganath</w:t>
        </w:r>
        <w:proofErr w:type="spellEnd"/>
        <w:r w:rsidRPr="00E13138">
          <w:rPr>
            <w:color w:val="000000"/>
          </w:rPr>
          <w:t xml:space="preserve">, T. </w:t>
        </w:r>
      </w:hyperlink>
      <w:hyperlink r:id="rId189">
        <w:r w:rsidRPr="000E2FD5">
          <w:rPr>
            <w:color w:val="000000"/>
          </w:rPr>
          <w:t>et al.</w:t>
        </w:r>
      </w:hyperlink>
      <w:hyperlink r:id="rId190">
        <w:r w:rsidRPr="000E2FD5">
          <w:rPr>
            <w:color w:val="000000"/>
          </w:rPr>
          <w:t xml:space="preserve"> Characterization of the impact of daclizumab beta on circulating natural killer cells by mass cytometry. </w:t>
        </w:r>
      </w:hyperlink>
      <w:hyperlink r:id="rId191">
        <w:r w:rsidRPr="00E13138">
          <w:rPr>
            <w:i/>
            <w:color w:val="000000"/>
          </w:rPr>
          <w:t>Frontiers in immunology</w:t>
        </w:r>
      </w:hyperlink>
      <w:hyperlink r:id="rId192">
        <w:r w:rsidRPr="00E13138">
          <w:rPr>
            <w:color w:val="000000"/>
          </w:rPr>
          <w:t xml:space="preserve">. </w:t>
        </w:r>
      </w:hyperlink>
      <w:hyperlink r:id="rId193">
        <w:r w:rsidRPr="00E13138">
          <w:rPr>
            <w:b/>
            <w:color w:val="000000"/>
          </w:rPr>
          <w:t>11</w:t>
        </w:r>
      </w:hyperlink>
      <w:hyperlink r:id="rId194">
        <w:r w:rsidRPr="00E13138">
          <w:rPr>
            <w:color w:val="000000"/>
          </w:rPr>
          <w:t>, 714 (2020).</w:t>
        </w:r>
      </w:hyperlink>
    </w:p>
    <w:p w14:paraId="73CBDDB8" w14:textId="2E8B5E0F" w:rsidR="00D958F5" w:rsidRPr="00E13138" w:rsidRDefault="009A10D1" w:rsidP="00E5141E">
      <w:pPr>
        <w:pBdr>
          <w:top w:val="nil"/>
          <w:left w:val="nil"/>
          <w:bottom w:val="nil"/>
          <w:right w:val="nil"/>
          <w:between w:val="nil"/>
        </w:pBdr>
        <w:rPr>
          <w:color w:val="000000"/>
        </w:rPr>
      </w:pPr>
      <w:r w:rsidRPr="00E13138">
        <w:rPr>
          <w:color w:val="000000"/>
        </w:rPr>
        <w:t>30.</w:t>
      </w:r>
      <w:r w:rsidRPr="000E2FD5">
        <w:rPr>
          <w:color w:val="000000"/>
        </w:rPr>
        <w:tab/>
      </w:r>
      <w:hyperlink r:id="rId195">
        <w:r w:rsidRPr="000E2FD5">
          <w:rPr>
            <w:color w:val="000000"/>
          </w:rPr>
          <w:t>Fernandez, I.</w:t>
        </w:r>
        <w:r w:rsidR="000E2FD5">
          <w:rPr>
            <w:color w:val="000000"/>
          </w:rPr>
          <w:t xml:space="preserve"> </w:t>
        </w:r>
        <w:r w:rsidRPr="000E2FD5">
          <w:rPr>
            <w:color w:val="000000"/>
          </w:rPr>
          <w:t xml:space="preserve">Z. </w:t>
        </w:r>
      </w:hyperlink>
      <w:hyperlink r:id="rId196">
        <w:r w:rsidRPr="000E2FD5">
          <w:rPr>
            <w:color w:val="000000"/>
          </w:rPr>
          <w:t>et al.</w:t>
        </w:r>
      </w:hyperlink>
      <w:hyperlink r:id="rId197">
        <w:r w:rsidRPr="000E2FD5">
          <w:rPr>
            <w:color w:val="000000"/>
          </w:rPr>
          <w:t xml:space="preserve"> A novel human IL2RB mutation results in T and NK cell--driven immune dysregulation. </w:t>
        </w:r>
      </w:hyperlink>
      <w:hyperlink r:id="rId198">
        <w:r w:rsidRPr="00E13138">
          <w:rPr>
            <w:i/>
            <w:color w:val="000000"/>
          </w:rPr>
          <w:t xml:space="preserve">The Journal of </w:t>
        </w:r>
        <w:r w:rsidR="000E2FD5">
          <w:rPr>
            <w:i/>
            <w:color w:val="000000"/>
          </w:rPr>
          <w:t>E</w:t>
        </w:r>
        <w:r w:rsidRPr="00E13138">
          <w:rPr>
            <w:i/>
            <w:color w:val="000000"/>
          </w:rPr>
          <w:t xml:space="preserve">xperimental </w:t>
        </w:r>
        <w:r w:rsidR="000E2FD5">
          <w:rPr>
            <w:i/>
            <w:color w:val="000000"/>
          </w:rPr>
          <w:t>M</w:t>
        </w:r>
        <w:r w:rsidRPr="00E13138">
          <w:rPr>
            <w:i/>
            <w:color w:val="000000"/>
          </w:rPr>
          <w:t>edicine</w:t>
        </w:r>
      </w:hyperlink>
      <w:hyperlink r:id="rId199">
        <w:r w:rsidRPr="00E13138">
          <w:rPr>
            <w:color w:val="000000"/>
          </w:rPr>
          <w:t xml:space="preserve">. </w:t>
        </w:r>
      </w:hyperlink>
      <w:hyperlink r:id="rId200">
        <w:r w:rsidRPr="00E13138">
          <w:rPr>
            <w:b/>
            <w:color w:val="000000"/>
          </w:rPr>
          <w:t>216</w:t>
        </w:r>
      </w:hyperlink>
      <w:hyperlink r:id="rId201">
        <w:r w:rsidRPr="00E13138">
          <w:rPr>
            <w:color w:val="000000"/>
          </w:rPr>
          <w:t xml:space="preserve"> (6), 1255–1267 (2019).</w:t>
        </w:r>
      </w:hyperlink>
    </w:p>
    <w:p w14:paraId="6F05D00E" w14:textId="1428C00B" w:rsidR="00D958F5" w:rsidRPr="00E13138" w:rsidRDefault="009A10D1" w:rsidP="00E5141E">
      <w:pPr>
        <w:pBdr>
          <w:top w:val="nil"/>
          <w:left w:val="nil"/>
          <w:bottom w:val="nil"/>
          <w:right w:val="nil"/>
          <w:between w:val="nil"/>
        </w:pBdr>
        <w:rPr>
          <w:color w:val="000000"/>
        </w:rPr>
      </w:pPr>
      <w:r w:rsidRPr="00E13138">
        <w:rPr>
          <w:color w:val="000000"/>
        </w:rPr>
        <w:t>31.</w:t>
      </w:r>
      <w:r w:rsidRPr="00E13138">
        <w:rPr>
          <w:color w:val="000000"/>
        </w:rPr>
        <w:tab/>
      </w:r>
      <w:hyperlink r:id="rId202">
        <w:proofErr w:type="spellStart"/>
        <w:r w:rsidRPr="00E13138">
          <w:rPr>
            <w:color w:val="000000"/>
          </w:rPr>
          <w:t>Herndler-Brandstetter</w:t>
        </w:r>
        <w:proofErr w:type="spellEnd"/>
        <w:r w:rsidRPr="00E13138">
          <w:rPr>
            <w:color w:val="000000"/>
          </w:rPr>
          <w:t xml:space="preserve">, D. </w:t>
        </w:r>
      </w:hyperlink>
      <w:hyperlink r:id="rId203">
        <w:r w:rsidRPr="000E2FD5">
          <w:rPr>
            <w:color w:val="000000"/>
          </w:rPr>
          <w:t>et al.</w:t>
        </w:r>
      </w:hyperlink>
      <w:hyperlink r:id="rId204">
        <w:r w:rsidRPr="00E13138">
          <w:rPr>
            <w:color w:val="000000"/>
          </w:rPr>
          <w:t xml:space="preserve"> Humanized mouse model supports development, function, and tissue residency of human natural killer cells. </w:t>
        </w:r>
      </w:hyperlink>
      <w:hyperlink r:id="rId205">
        <w:r w:rsidRPr="00E13138">
          <w:rPr>
            <w:i/>
            <w:color w:val="000000"/>
          </w:rPr>
          <w:t>Proceedings of the National Academy of Sciences</w:t>
        </w:r>
      </w:hyperlink>
      <w:hyperlink r:id="rId206">
        <w:r w:rsidRPr="00E13138">
          <w:rPr>
            <w:color w:val="000000"/>
          </w:rPr>
          <w:t xml:space="preserve">. </w:t>
        </w:r>
      </w:hyperlink>
      <w:hyperlink r:id="rId207">
        <w:r w:rsidRPr="00E13138">
          <w:rPr>
            <w:b/>
            <w:color w:val="000000"/>
          </w:rPr>
          <w:t>114</w:t>
        </w:r>
      </w:hyperlink>
      <w:hyperlink r:id="rId208">
        <w:r w:rsidRPr="00E13138">
          <w:rPr>
            <w:color w:val="000000"/>
          </w:rPr>
          <w:t xml:space="preserve"> (45), E9626–E9634 </w:t>
        </w:r>
      </w:hyperlink>
      <w:r w:rsidR="000E2FD5">
        <w:t xml:space="preserve"> </w:t>
      </w:r>
      <w:hyperlink r:id="rId209">
        <w:r w:rsidRPr="00E13138">
          <w:rPr>
            <w:color w:val="000000"/>
          </w:rPr>
          <w:t>(2017).</w:t>
        </w:r>
      </w:hyperlink>
    </w:p>
    <w:p w14:paraId="4D0B9ECC" w14:textId="375B364E" w:rsidR="00D958F5" w:rsidRPr="00E13138" w:rsidRDefault="009A10D1" w:rsidP="00E5141E">
      <w:pPr>
        <w:pBdr>
          <w:top w:val="nil"/>
          <w:left w:val="nil"/>
          <w:bottom w:val="nil"/>
          <w:right w:val="nil"/>
          <w:between w:val="nil"/>
        </w:pBdr>
        <w:rPr>
          <w:color w:val="000000"/>
        </w:rPr>
      </w:pPr>
      <w:r w:rsidRPr="00E13138">
        <w:rPr>
          <w:color w:val="000000"/>
        </w:rPr>
        <w:t>32.</w:t>
      </w:r>
      <w:r w:rsidRPr="00E13138">
        <w:rPr>
          <w:color w:val="000000"/>
        </w:rPr>
        <w:tab/>
      </w:r>
      <w:hyperlink r:id="rId210">
        <w:proofErr w:type="spellStart"/>
        <w:r w:rsidRPr="00E13138">
          <w:rPr>
            <w:color w:val="000000"/>
          </w:rPr>
          <w:t>Nikzad</w:t>
        </w:r>
        <w:proofErr w:type="spellEnd"/>
        <w:r w:rsidRPr="00E13138">
          <w:rPr>
            <w:color w:val="000000"/>
          </w:rPr>
          <w:t xml:space="preserve">, R. </w:t>
        </w:r>
      </w:hyperlink>
      <w:hyperlink r:id="rId211">
        <w:r w:rsidRPr="000E2FD5">
          <w:rPr>
            <w:color w:val="000000"/>
          </w:rPr>
          <w:t>et al.</w:t>
        </w:r>
      </w:hyperlink>
      <w:hyperlink r:id="rId212">
        <w:r w:rsidRPr="000E2FD5">
          <w:rPr>
            <w:color w:val="000000"/>
          </w:rPr>
          <w:t xml:space="preserve"> Human natural killer cells mediate adaptive immunity to viral antigens. </w:t>
        </w:r>
      </w:hyperlink>
      <w:hyperlink r:id="rId213">
        <w:r w:rsidRPr="00E13138">
          <w:rPr>
            <w:i/>
            <w:color w:val="000000"/>
          </w:rPr>
          <w:t xml:space="preserve">Science </w:t>
        </w:r>
        <w:r w:rsidR="000E2FD5">
          <w:rPr>
            <w:i/>
            <w:color w:val="000000"/>
          </w:rPr>
          <w:t>I</w:t>
        </w:r>
        <w:r w:rsidRPr="00E13138">
          <w:rPr>
            <w:i/>
            <w:color w:val="000000"/>
          </w:rPr>
          <w:t>mmunology</w:t>
        </w:r>
      </w:hyperlink>
      <w:hyperlink r:id="rId214">
        <w:r w:rsidRPr="00E13138">
          <w:rPr>
            <w:color w:val="000000"/>
          </w:rPr>
          <w:t xml:space="preserve">. </w:t>
        </w:r>
      </w:hyperlink>
      <w:hyperlink r:id="rId215">
        <w:r w:rsidRPr="00E13138">
          <w:rPr>
            <w:b/>
            <w:color w:val="000000"/>
          </w:rPr>
          <w:t>4</w:t>
        </w:r>
      </w:hyperlink>
      <w:r w:rsidRPr="00E5141E">
        <w:t xml:space="preserve"> (35), aat8116</w:t>
      </w:r>
      <w:hyperlink r:id="rId216">
        <w:r w:rsidRPr="00E13138">
          <w:rPr>
            <w:color w:val="000000"/>
          </w:rPr>
          <w:t xml:space="preserve"> (2019).</w:t>
        </w:r>
      </w:hyperlink>
    </w:p>
    <w:p w14:paraId="51D7DFBC" w14:textId="77777777" w:rsidR="00D958F5" w:rsidRPr="00E13138" w:rsidRDefault="00D958F5" w:rsidP="00E5141E">
      <w:pPr>
        <w:pBdr>
          <w:top w:val="nil"/>
          <w:left w:val="nil"/>
          <w:bottom w:val="nil"/>
          <w:right w:val="nil"/>
          <w:between w:val="nil"/>
        </w:pBdr>
        <w:rPr>
          <w:color w:val="7F7F7F"/>
        </w:rPr>
      </w:pPr>
    </w:p>
    <w:sectPr w:rsidR="00D958F5" w:rsidRPr="00E13138" w:rsidSect="00A12D40">
      <w:headerReference w:type="even" r:id="rId217"/>
      <w:headerReference w:type="default" r:id="rId218"/>
      <w:footerReference w:type="even" r:id="rId219"/>
      <w:footerReference w:type="default" r:id="rId220"/>
      <w:headerReference w:type="first" r:id="rId221"/>
      <w:footerReference w:type="first" r:id="rId222"/>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33685D" w14:textId="77777777" w:rsidR="006728EF" w:rsidRDefault="006728EF">
      <w:r>
        <w:separator/>
      </w:r>
    </w:p>
  </w:endnote>
  <w:endnote w:type="continuationSeparator" w:id="0">
    <w:p w14:paraId="19421FA7" w14:textId="77777777" w:rsidR="006728EF" w:rsidRDefault="00672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C4956" w14:textId="77777777" w:rsidR="00544DD7" w:rsidRDefault="00544DD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BFBA6" w14:textId="77777777" w:rsidR="00544DD7" w:rsidRDefault="00544DD7">
    <w:pPr>
      <w:pBdr>
        <w:top w:val="nil"/>
        <w:left w:val="nil"/>
        <w:bottom w:val="nil"/>
        <w:right w:val="nil"/>
        <w:between w:val="nil"/>
      </w:pBdr>
      <w:tabs>
        <w:tab w:val="center" w:pos="4680"/>
        <w:tab w:val="right" w:pos="9360"/>
      </w:tabs>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color w:val="000000"/>
      </w:rPr>
      <w:t xml:space="preserve"> of 14</w:t>
    </w:r>
    <w:r>
      <w:rPr>
        <w:color w:val="000000"/>
      </w:rPr>
      <w:tab/>
    </w:r>
    <w:r>
      <w:rPr>
        <w:color w:val="000000"/>
      </w:rPr>
      <w:tab/>
      <w:t>revised November 2019</w:t>
    </w:r>
  </w:p>
  <w:p w14:paraId="4E31D942" w14:textId="77777777" w:rsidR="00544DD7" w:rsidRDefault="00544DD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F2EAE" w14:textId="77777777" w:rsidR="00544DD7" w:rsidRDefault="00544DD7">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138E79" w14:textId="77777777" w:rsidR="006728EF" w:rsidRDefault="006728EF">
      <w:r>
        <w:separator/>
      </w:r>
    </w:p>
  </w:footnote>
  <w:footnote w:type="continuationSeparator" w:id="0">
    <w:p w14:paraId="1E895732" w14:textId="77777777" w:rsidR="006728EF" w:rsidRDefault="00672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417CF" w14:textId="77777777" w:rsidR="00544DD7" w:rsidRDefault="00544DD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DCF04" w14:textId="77777777" w:rsidR="00544DD7" w:rsidRDefault="00544DD7">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03B1A" w14:textId="7754B52D" w:rsidR="00544DD7" w:rsidRDefault="00544DD7">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1D152A"/>
    <w:multiLevelType w:val="multilevel"/>
    <w:tmpl w:val="BA1094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3955EE4"/>
    <w:multiLevelType w:val="multilevel"/>
    <w:tmpl w:val="14A696AC"/>
    <w:lvl w:ilvl="0">
      <w:start w:val="1"/>
      <w:numFmt w:val="decimal"/>
      <w:lvlText w:val="%1."/>
      <w:lvlJc w:val="left"/>
      <w:pPr>
        <w:ind w:left="720" w:hanging="180"/>
      </w:pPr>
      <w:rPr>
        <w:rFonts w:hint="default"/>
        <w:u w:val="none"/>
      </w:rPr>
    </w:lvl>
    <w:lvl w:ilvl="1">
      <w:start w:val="1"/>
      <w:numFmt w:val="decimal"/>
      <w:lvlText w:val="%1.%2."/>
      <w:lvlJc w:val="left"/>
      <w:pPr>
        <w:ind w:left="1440" w:hanging="180"/>
      </w:pPr>
      <w:rPr>
        <w:rFonts w:hint="default"/>
        <w:u w:val="none"/>
      </w:rPr>
    </w:lvl>
    <w:lvl w:ilvl="2">
      <w:start w:val="1"/>
      <w:numFmt w:val="decimal"/>
      <w:lvlText w:val="%1.%2.%3."/>
      <w:lvlJc w:val="left"/>
      <w:pPr>
        <w:ind w:left="2160" w:hanging="360"/>
      </w:pPr>
      <w:rPr>
        <w:rFonts w:hint="default"/>
        <w:u w:val="none"/>
      </w:rPr>
    </w:lvl>
    <w:lvl w:ilvl="3">
      <w:start w:val="1"/>
      <w:numFmt w:val="decimal"/>
      <w:suff w:val="space"/>
      <w:lvlText w:val="%1.%2.%3.%4."/>
      <w:lvlJc w:val="left"/>
      <w:pPr>
        <w:ind w:left="720" w:firstLine="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2" w15:restartNumberingAfterBreak="0">
    <w:nsid w:val="4CBC1953"/>
    <w:multiLevelType w:val="multilevel"/>
    <w:tmpl w:val="8210328E"/>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8F5"/>
    <w:rsid w:val="00081769"/>
    <w:rsid w:val="000E2FD5"/>
    <w:rsid w:val="00106345"/>
    <w:rsid w:val="00181029"/>
    <w:rsid w:val="001E75CE"/>
    <w:rsid w:val="001F557E"/>
    <w:rsid w:val="00206EE3"/>
    <w:rsid w:val="0032222C"/>
    <w:rsid w:val="00343564"/>
    <w:rsid w:val="00355713"/>
    <w:rsid w:val="00396BD0"/>
    <w:rsid w:val="003E0928"/>
    <w:rsid w:val="00483A42"/>
    <w:rsid w:val="00503995"/>
    <w:rsid w:val="0054296A"/>
    <w:rsid w:val="00544DD7"/>
    <w:rsid w:val="005A2632"/>
    <w:rsid w:val="00671193"/>
    <w:rsid w:val="006728EF"/>
    <w:rsid w:val="00676C22"/>
    <w:rsid w:val="006D3280"/>
    <w:rsid w:val="0072124A"/>
    <w:rsid w:val="00740430"/>
    <w:rsid w:val="00836B97"/>
    <w:rsid w:val="00842EDE"/>
    <w:rsid w:val="0086633D"/>
    <w:rsid w:val="0088457E"/>
    <w:rsid w:val="008A5F44"/>
    <w:rsid w:val="008D7901"/>
    <w:rsid w:val="00913366"/>
    <w:rsid w:val="00960D40"/>
    <w:rsid w:val="009A10D1"/>
    <w:rsid w:val="00A12D40"/>
    <w:rsid w:val="00A36023"/>
    <w:rsid w:val="00AB6E27"/>
    <w:rsid w:val="00B014CC"/>
    <w:rsid w:val="00B2003B"/>
    <w:rsid w:val="00BC3450"/>
    <w:rsid w:val="00C10503"/>
    <w:rsid w:val="00C550A9"/>
    <w:rsid w:val="00CA5653"/>
    <w:rsid w:val="00CE38CD"/>
    <w:rsid w:val="00D15C4A"/>
    <w:rsid w:val="00D958F5"/>
    <w:rsid w:val="00DA5AE4"/>
    <w:rsid w:val="00E13138"/>
    <w:rsid w:val="00E43B7A"/>
    <w:rsid w:val="00E5141E"/>
    <w:rsid w:val="00F86EF9"/>
    <w:rsid w:val="00FB6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DC6036"/>
  <w15:docId w15:val="{2F6458DC-7658-EB44-83A9-122D6FC51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LineNumber">
    <w:name w:val="line number"/>
    <w:basedOn w:val="DefaultParagraphFont"/>
    <w:uiPriority w:val="99"/>
    <w:semiHidden/>
    <w:unhideWhenUsed/>
    <w:rsid w:val="00A12D40"/>
  </w:style>
  <w:style w:type="paragraph" w:styleId="ListParagraph">
    <w:name w:val="List Paragraph"/>
    <w:basedOn w:val="Normal"/>
    <w:uiPriority w:val="34"/>
    <w:qFormat/>
    <w:rsid w:val="00343564"/>
    <w:pPr>
      <w:ind w:left="720"/>
      <w:contextualSpacing/>
    </w:pPr>
  </w:style>
  <w:style w:type="paragraph" w:styleId="BalloonText">
    <w:name w:val="Balloon Text"/>
    <w:basedOn w:val="Normal"/>
    <w:link w:val="BalloonTextChar"/>
    <w:uiPriority w:val="99"/>
    <w:semiHidden/>
    <w:unhideWhenUsed/>
    <w:rsid w:val="009133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366"/>
    <w:rPr>
      <w:rFonts w:ascii="Segoe UI" w:hAnsi="Segoe UI" w:cs="Segoe UI"/>
      <w:sz w:val="18"/>
      <w:szCs w:val="18"/>
    </w:rPr>
  </w:style>
  <w:style w:type="character" w:styleId="CommentReference">
    <w:name w:val="annotation reference"/>
    <w:basedOn w:val="DefaultParagraphFont"/>
    <w:uiPriority w:val="99"/>
    <w:semiHidden/>
    <w:unhideWhenUsed/>
    <w:rsid w:val="00913366"/>
    <w:rPr>
      <w:sz w:val="16"/>
      <w:szCs w:val="16"/>
    </w:rPr>
  </w:style>
  <w:style w:type="paragraph" w:styleId="CommentText">
    <w:name w:val="annotation text"/>
    <w:basedOn w:val="Normal"/>
    <w:link w:val="CommentTextChar"/>
    <w:uiPriority w:val="99"/>
    <w:semiHidden/>
    <w:unhideWhenUsed/>
    <w:rsid w:val="00913366"/>
    <w:rPr>
      <w:sz w:val="20"/>
      <w:szCs w:val="20"/>
    </w:rPr>
  </w:style>
  <w:style w:type="character" w:customStyle="1" w:styleId="CommentTextChar">
    <w:name w:val="Comment Text Char"/>
    <w:basedOn w:val="DefaultParagraphFont"/>
    <w:link w:val="CommentText"/>
    <w:uiPriority w:val="99"/>
    <w:semiHidden/>
    <w:rsid w:val="00913366"/>
    <w:rPr>
      <w:sz w:val="20"/>
      <w:szCs w:val="20"/>
    </w:rPr>
  </w:style>
  <w:style w:type="paragraph" w:styleId="CommentSubject">
    <w:name w:val="annotation subject"/>
    <w:basedOn w:val="CommentText"/>
    <w:next w:val="CommentText"/>
    <w:link w:val="CommentSubjectChar"/>
    <w:uiPriority w:val="99"/>
    <w:semiHidden/>
    <w:unhideWhenUsed/>
    <w:rsid w:val="00913366"/>
    <w:rPr>
      <w:b/>
      <w:bCs/>
    </w:rPr>
  </w:style>
  <w:style w:type="character" w:customStyle="1" w:styleId="CommentSubjectChar">
    <w:name w:val="Comment Subject Char"/>
    <w:basedOn w:val="CommentTextChar"/>
    <w:link w:val="CommentSubject"/>
    <w:uiPriority w:val="99"/>
    <w:semiHidden/>
    <w:rsid w:val="00913366"/>
    <w:rPr>
      <w:b/>
      <w:bCs/>
      <w:sz w:val="20"/>
      <w:szCs w:val="20"/>
    </w:rPr>
  </w:style>
  <w:style w:type="character" w:styleId="Hyperlink">
    <w:name w:val="Hyperlink"/>
    <w:basedOn w:val="DefaultParagraphFont"/>
    <w:uiPriority w:val="99"/>
    <w:unhideWhenUsed/>
    <w:rsid w:val="003E0928"/>
    <w:rPr>
      <w:color w:val="0000FF" w:themeColor="hyperlink"/>
      <w:u w:val="single"/>
    </w:rPr>
  </w:style>
  <w:style w:type="character" w:styleId="UnresolvedMention">
    <w:name w:val="Unresolved Mention"/>
    <w:basedOn w:val="DefaultParagraphFont"/>
    <w:uiPriority w:val="99"/>
    <w:semiHidden/>
    <w:unhideWhenUsed/>
    <w:rsid w:val="00A36023"/>
    <w:rPr>
      <w:color w:val="605E5C"/>
      <w:shd w:val="clear" w:color="auto" w:fill="E1DFDD"/>
    </w:rPr>
  </w:style>
  <w:style w:type="character" w:customStyle="1" w:styleId="highwire-cite-metadata-volume">
    <w:name w:val="highwire-cite-metadata-volume"/>
    <w:basedOn w:val="DefaultParagraphFont"/>
    <w:rsid w:val="000E2FD5"/>
  </w:style>
  <w:style w:type="character" w:customStyle="1" w:styleId="highwire-cite-metadata-issue">
    <w:name w:val="highwire-cite-metadata-issue"/>
    <w:basedOn w:val="DefaultParagraphFont"/>
    <w:rsid w:val="000E2FD5"/>
  </w:style>
  <w:style w:type="character" w:customStyle="1" w:styleId="highwire-cite-metadata-pages">
    <w:name w:val="highwire-cite-metadata-pages"/>
    <w:basedOn w:val="DefaultParagraphFont"/>
    <w:rsid w:val="000E2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hyperlink" Target="http://paperpile.com/b/hP4CUy/BgStU" TargetMode="External"/><Relationship Id="rId21" Type="http://schemas.openxmlformats.org/officeDocument/2006/relationships/hyperlink" Target="https://paperpile.com/c/hP4CUy/YffSJ+k05J9+QZ7YF+dbNap+DRNNv+X0EnV+WWnxI" TargetMode="External"/><Relationship Id="rId42" Type="http://schemas.openxmlformats.org/officeDocument/2006/relationships/hyperlink" Target="http://paperpile.com/b/hP4CUy/k05J9" TargetMode="External"/><Relationship Id="rId63" Type="http://schemas.openxmlformats.org/officeDocument/2006/relationships/hyperlink" Target="http://paperpile.com/b/hP4CUy/X0EnV" TargetMode="External"/><Relationship Id="rId84" Type="http://schemas.openxmlformats.org/officeDocument/2006/relationships/hyperlink" Target="http://paperpile.com/b/hP4CUy/XBDah" TargetMode="External"/><Relationship Id="rId138" Type="http://schemas.openxmlformats.org/officeDocument/2006/relationships/hyperlink" Target="http://paperpile.com/b/hP4CUy/iYqYr" TargetMode="External"/><Relationship Id="rId159" Type="http://schemas.openxmlformats.org/officeDocument/2006/relationships/hyperlink" Target="http://paperpile.com/b/hP4CUy/B2vG" TargetMode="External"/><Relationship Id="rId170" Type="http://schemas.openxmlformats.org/officeDocument/2006/relationships/hyperlink" Target="http://paperpile.com/b/hP4CUy/YJOh" TargetMode="External"/><Relationship Id="rId191" Type="http://schemas.openxmlformats.org/officeDocument/2006/relationships/hyperlink" Target="http://paperpile.com/b/hP4CUy/knhl" TargetMode="External"/><Relationship Id="rId205" Type="http://schemas.openxmlformats.org/officeDocument/2006/relationships/hyperlink" Target="http://paperpile.com/b/hP4CUy/wQQcL" TargetMode="External"/><Relationship Id="rId107" Type="http://schemas.openxmlformats.org/officeDocument/2006/relationships/hyperlink" Target="http://paperpile.com/b/hP4CUy/sTICq" TargetMode="External"/><Relationship Id="rId11" Type="http://schemas.openxmlformats.org/officeDocument/2006/relationships/hyperlink" Target="https://paperpile.com/c/hP4CUy/mJTv7+sTICq" TargetMode="External"/><Relationship Id="rId32" Type="http://schemas.openxmlformats.org/officeDocument/2006/relationships/hyperlink" Target="http://paperpile.com/b/hP4CUy/W5UmL" TargetMode="External"/><Relationship Id="rId53" Type="http://schemas.openxmlformats.org/officeDocument/2006/relationships/hyperlink" Target="http://paperpile.com/b/hP4CUy/dbNap" TargetMode="External"/><Relationship Id="rId74" Type="http://schemas.openxmlformats.org/officeDocument/2006/relationships/hyperlink" Target="http://paperpile.com/b/hP4CUy/jQHzk" TargetMode="External"/><Relationship Id="rId128" Type="http://schemas.openxmlformats.org/officeDocument/2006/relationships/hyperlink" Target="http://paperpile.com/b/hP4CUy/IJKNm" TargetMode="External"/><Relationship Id="rId149" Type="http://schemas.openxmlformats.org/officeDocument/2006/relationships/hyperlink" Target="http://paperpile.com/b/hP4CUy/WWnxI" TargetMode="External"/><Relationship Id="rId5" Type="http://schemas.openxmlformats.org/officeDocument/2006/relationships/footnotes" Target="footnotes.xml"/><Relationship Id="rId95" Type="http://schemas.openxmlformats.org/officeDocument/2006/relationships/hyperlink" Target="http://paperpile.com/b/hP4CUy/mJTv7" TargetMode="External"/><Relationship Id="rId160" Type="http://schemas.openxmlformats.org/officeDocument/2006/relationships/hyperlink" Target="http://paperpile.com/b/hP4CUy/2k9j" TargetMode="External"/><Relationship Id="rId181" Type="http://schemas.openxmlformats.org/officeDocument/2006/relationships/hyperlink" Target="http://paperpile.com/b/hP4CUy/KcRJ" TargetMode="External"/><Relationship Id="rId216" Type="http://schemas.openxmlformats.org/officeDocument/2006/relationships/hyperlink" Target="http://paperpile.com/b/hP4CUy/Wgn2k" TargetMode="External"/><Relationship Id="rId22" Type="http://schemas.openxmlformats.org/officeDocument/2006/relationships/hyperlink" Target="https://paperpile.com/c/hP4CUy/qj0Bm+jQHzk+XBDah+9t72y+mJTv7+sTICq" TargetMode="External"/><Relationship Id="rId43" Type="http://schemas.openxmlformats.org/officeDocument/2006/relationships/hyperlink" Target="http://paperpile.com/b/hP4CUy/k05J9" TargetMode="External"/><Relationship Id="rId64" Type="http://schemas.openxmlformats.org/officeDocument/2006/relationships/hyperlink" Target="http://paperpile.com/b/hP4CUy/X0EnV" TargetMode="External"/><Relationship Id="rId118" Type="http://schemas.openxmlformats.org/officeDocument/2006/relationships/hyperlink" Target="http://paperpile.com/b/hP4CUy/BgStU" TargetMode="External"/><Relationship Id="rId139" Type="http://schemas.openxmlformats.org/officeDocument/2006/relationships/hyperlink" Target="http://paperpile.com/b/hP4CUy/j6FET" TargetMode="External"/><Relationship Id="rId85" Type="http://schemas.openxmlformats.org/officeDocument/2006/relationships/hyperlink" Target="http://paperpile.com/b/hP4CUy/9t72y" TargetMode="External"/><Relationship Id="rId150" Type="http://schemas.openxmlformats.org/officeDocument/2006/relationships/hyperlink" Target="http://paperpile.com/b/hP4CUy/WWnxI" TargetMode="External"/><Relationship Id="rId171" Type="http://schemas.openxmlformats.org/officeDocument/2006/relationships/hyperlink" Target="http://paperpile.com/b/hP4CUy/YJOh" TargetMode="External"/><Relationship Id="rId192" Type="http://schemas.openxmlformats.org/officeDocument/2006/relationships/hyperlink" Target="http://paperpile.com/b/hP4CUy/knhl" TargetMode="External"/><Relationship Id="rId206" Type="http://schemas.openxmlformats.org/officeDocument/2006/relationships/hyperlink" Target="http://paperpile.com/b/hP4CUy/wQQcL" TargetMode="External"/><Relationship Id="rId12" Type="http://schemas.openxmlformats.org/officeDocument/2006/relationships/hyperlink" Target="https://paperpile.com/c/hP4CUy/9hoIP" TargetMode="External"/><Relationship Id="rId33" Type="http://schemas.openxmlformats.org/officeDocument/2006/relationships/hyperlink" Target="http://paperpile.com/b/hP4CUy/W5UmL" TargetMode="External"/><Relationship Id="rId108" Type="http://schemas.openxmlformats.org/officeDocument/2006/relationships/hyperlink" Target="http://paperpile.com/b/hP4CUy/9hoIP" TargetMode="External"/><Relationship Id="rId129" Type="http://schemas.openxmlformats.org/officeDocument/2006/relationships/hyperlink" Target="http://paperpile.com/b/hP4CUy/IJKNm" TargetMode="External"/><Relationship Id="rId54" Type="http://schemas.openxmlformats.org/officeDocument/2006/relationships/hyperlink" Target="http://paperpile.com/b/hP4CUy/dbNap" TargetMode="External"/><Relationship Id="rId75" Type="http://schemas.openxmlformats.org/officeDocument/2006/relationships/hyperlink" Target="http://paperpile.com/b/hP4CUy/jQHzk" TargetMode="External"/><Relationship Id="rId96" Type="http://schemas.openxmlformats.org/officeDocument/2006/relationships/hyperlink" Target="http://paperpile.com/b/hP4CUy/mJTv7" TargetMode="External"/><Relationship Id="rId140" Type="http://schemas.openxmlformats.org/officeDocument/2006/relationships/hyperlink" Target="http://paperpile.com/b/hP4CUy/j6FET" TargetMode="External"/><Relationship Id="rId161" Type="http://schemas.openxmlformats.org/officeDocument/2006/relationships/hyperlink" Target="http://paperpile.com/b/hP4CUy/2k9j" TargetMode="External"/><Relationship Id="rId182" Type="http://schemas.openxmlformats.org/officeDocument/2006/relationships/hyperlink" Target="http://paperpile.com/b/hP4CUy/KcRJ" TargetMode="External"/><Relationship Id="rId217" Type="http://schemas.openxmlformats.org/officeDocument/2006/relationships/header" Target="header1.xml"/><Relationship Id="rId6" Type="http://schemas.openxmlformats.org/officeDocument/2006/relationships/endnotes" Target="endnotes.xml"/><Relationship Id="rId23" Type="http://schemas.openxmlformats.org/officeDocument/2006/relationships/hyperlink" Target="https://paperpile.com/c/hP4CUy/B2vG+2k9j+YJOh+jxOf+KcRJ" TargetMode="External"/><Relationship Id="rId119" Type="http://schemas.openxmlformats.org/officeDocument/2006/relationships/hyperlink" Target="http://paperpile.com/b/hP4CUy/BgStU" TargetMode="External"/><Relationship Id="rId44" Type="http://schemas.openxmlformats.org/officeDocument/2006/relationships/hyperlink" Target="http://paperpile.com/b/hP4CUy/k05J9" TargetMode="External"/><Relationship Id="rId65" Type="http://schemas.openxmlformats.org/officeDocument/2006/relationships/hyperlink" Target="http://paperpile.com/b/hP4CUy/X0EnV" TargetMode="External"/><Relationship Id="rId86" Type="http://schemas.openxmlformats.org/officeDocument/2006/relationships/hyperlink" Target="http://paperpile.com/b/hP4CUy/9t72y" TargetMode="External"/><Relationship Id="rId130" Type="http://schemas.openxmlformats.org/officeDocument/2006/relationships/hyperlink" Target="http://paperpile.com/b/hP4CUy/IJKNm" TargetMode="External"/><Relationship Id="rId151" Type="http://schemas.openxmlformats.org/officeDocument/2006/relationships/hyperlink" Target="http://paperpile.com/b/hP4CUy/WWnxI" TargetMode="External"/><Relationship Id="rId172" Type="http://schemas.openxmlformats.org/officeDocument/2006/relationships/hyperlink" Target="http://paperpile.com/b/hP4CUy/YJOh" TargetMode="External"/><Relationship Id="rId193" Type="http://schemas.openxmlformats.org/officeDocument/2006/relationships/hyperlink" Target="http://paperpile.com/b/hP4CUy/knhl" TargetMode="External"/><Relationship Id="rId207" Type="http://schemas.openxmlformats.org/officeDocument/2006/relationships/hyperlink" Target="http://paperpile.com/b/hP4CUy/wQQcL" TargetMode="External"/><Relationship Id="rId13" Type="http://schemas.openxmlformats.org/officeDocument/2006/relationships/hyperlink" Target="https://paperpile.com/c/hP4CUy/k5C19" TargetMode="External"/><Relationship Id="rId109" Type="http://schemas.openxmlformats.org/officeDocument/2006/relationships/hyperlink" Target="http://paperpile.com/b/hP4CUy/9hoIP" TargetMode="External"/><Relationship Id="rId34" Type="http://schemas.openxmlformats.org/officeDocument/2006/relationships/hyperlink" Target="http://paperpile.com/b/hP4CUy/W5UmL" TargetMode="External"/><Relationship Id="rId55" Type="http://schemas.openxmlformats.org/officeDocument/2006/relationships/hyperlink" Target="http://paperpile.com/b/hP4CUy/dbNap" TargetMode="External"/><Relationship Id="rId76" Type="http://schemas.openxmlformats.org/officeDocument/2006/relationships/hyperlink" Target="http://paperpile.com/b/hP4CUy/jQHzk" TargetMode="External"/><Relationship Id="rId97" Type="http://schemas.openxmlformats.org/officeDocument/2006/relationships/hyperlink" Target="http://paperpile.com/b/hP4CUy/mJTv7" TargetMode="External"/><Relationship Id="rId120" Type="http://schemas.openxmlformats.org/officeDocument/2006/relationships/hyperlink" Target="http://paperpile.com/b/hP4CUy/BgStU" TargetMode="External"/><Relationship Id="rId141" Type="http://schemas.openxmlformats.org/officeDocument/2006/relationships/hyperlink" Target="http://paperpile.com/b/hP4CUy/j6FET" TargetMode="External"/><Relationship Id="rId7" Type="http://schemas.openxmlformats.org/officeDocument/2006/relationships/hyperlink" Target="https://paperpile.com/c/hP4CUy/uZPP" TargetMode="External"/><Relationship Id="rId162" Type="http://schemas.openxmlformats.org/officeDocument/2006/relationships/hyperlink" Target="http://paperpile.com/b/hP4CUy/2k9j" TargetMode="External"/><Relationship Id="rId183" Type="http://schemas.openxmlformats.org/officeDocument/2006/relationships/hyperlink" Target="http://paperpile.com/b/hP4CUy/KcRJ" TargetMode="External"/><Relationship Id="rId218" Type="http://schemas.openxmlformats.org/officeDocument/2006/relationships/header" Target="header2.xml"/><Relationship Id="rId24" Type="http://schemas.openxmlformats.org/officeDocument/2006/relationships/hyperlink" Target="https://paperpile.com/c/hP4CUy/2k9j+jxOf+knhl+VAtmK" TargetMode="External"/><Relationship Id="rId45" Type="http://schemas.openxmlformats.org/officeDocument/2006/relationships/hyperlink" Target="http://paperpile.com/b/hP4CUy/k05J9" TargetMode="External"/><Relationship Id="rId66" Type="http://schemas.openxmlformats.org/officeDocument/2006/relationships/hyperlink" Target="http://paperpile.com/b/hP4CUy/qj0Bm" TargetMode="External"/><Relationship Id="rId87" Type="http://schemas.openxmlformats.org/officeDocument/2006/relationships/hyperlink" Target="http://paperpile.com/b/hP4CUy/9t72y" TargetMode="External"/><Relationship Id="rId110" Type="http://schemas.openxmlformats.org/officeDocument/2006/relationships/hyperlink" Target="http://paperpile.com/b/hP4CUy/k5C19" TargetMode="External"/><Relationship Id="rId131" Type="http://schemas.openxmlformats.org/officeDocument/2006/relationships/hyperlink" Target="http://paperpile.com/b/hP4CUy/IJKNm" TargetMode="External"/><Relationship Id="rId152" Type="http://schemas.openxmlformats.org/officeDocument/2006/relationships/hyperlink" Target="http://paperpile.com/b/hP4CUy/WWnxI" TargetMode="External"/><Relationship Id="rId173" Type="http://schemas.openxmlformats.org/officeDocument/2006/relationships/hyperlink" Target="http://paperpile.com/b/hP4CUy/YJOh" TargetMode="External"/><Relationship Id="rId194" Type="http://schemas.openxmlformats.org/officeDocument/2006/relationships/hyperlink" Target="http://paperpile.com/b/hP4CUy/knhl" TargetMode="External"/><Relationship Id="rId208" Type="http://schemas.openxmlformats.org/officeDocument/2006/relationships/hyperlink" Target="http://paperpile.com/b/hP4CUy/wQQcL" TargetMode="External"/><Relationship Id="rId14" Type="http://schemas.openxmlformats.org/officeDocument/2006/relationships/hyperlink" Target="https://paperpile.com/c/hP4CUy/BgStU+Q6cCA" TargetMode="External"/><Relationship Id="rId35" Type="http://schemas.openxmlformats.org/officeDocument/2006/relationships/hyperlink" Target="http://paperpile.com/b/hP4CUy/W5UmL" TargetMode="External"/><Relationship Id="rId56" Type="http://schemas.openxmlformats.org/officeDocument/2006/relationships/hyperlink" Target="http://paperpile.com/b/hP4CUy/DRNNv" TargetMode="External"/><Relationship Id="rId77" Type="http://schemas.openxmlformats.org/officeDocument/2006/relationships/hyperlink" Target="http://paperpile.com/b/hP4CUy/jQHzk" TargetMode="External"/><Relationship Id="rId100" Type="http://schemas.openxmlformats.org/officeDocument/2006/relationships/hyperlink" Target="http://paperpile.com/b/hP4CUy/mJTv7" TargetMode="External"/><Relationship Id="rId8" Type="http://schemas.openxmlformats.org/officeDocument/2006/relationships/hyperlink" Target="https://paperpile.com/c/hP4CUy/W5UmL" TargetMode="External"/><Relationship Id="rId51" Type="http://schemas.openxmlformats.org/officeDocument/2006/relationships/hyperlink" Target="http://paperpile.com/b/hP4CUy/dbNap" TargetMode="External"/><Relationship Id="rId72" Type="http://schemas.openxmlformats.org/officeDocument/2006/relationships/hyperlink" Target="http://paperpile.com/b/hP4CUy/jQHzk" TargetMode="External"/><Relationship Id="rId93" Type="http://schemas.openxmlformats.org/officeDocument/2006/relationships/hyperlink" Target="http://paperpile.com/b/hP4CUy/mJTv7" TargetMode="External"/><Relationship Id="rId98" Type="http://schemas.openxmlformats.org/officeDocument/2006/relationships/hyperlink" Target="http://paperpile.com/b/hP4CUy/mJTv7" TargetMode="External"/><Relationship Id="rId121" Type="http://schemas.openxmlformats.org/officeDocument/2006/relationships/hyperlink" Target="http://paperpile.com/b/hP4CUy/BgStU" TargetMode="External"/><Relationship Id="rId142" Type="http://schemas.openxmlformats.org/officeDocument/2006/relationships/hyperlink" Target="http://paperpile.com/b/hP4CUy/j6FET" TargetMode="External"/><Relationship Id="rId163" Type="http://schemas.openxmlformats.org/officeDocument/2006/relationships/hyperlink" Target="http://paperpile.com/b/hP4CUy/2k9j" TargetMode="External"/><Relationship Id="rId184" Type="http://schemas.openxmlformats.org/officeDocument/2006/relationships/hyperlink" Target="http://paperpile.com/b/hP4CUy/KcRJ" TargetMode="External"/><Relationship Id="rId189" Type="http://schemas.openxmlformats.org/officeDocument/2006/relationships/hyperlink" Target="http://paperpile.com/b/hP4CUy/knhl" TargetMode="External"/><Relationship Id="rId219" Type="http://schemas.openxmlformats.org/officeDocument/2006/relationships/footer" Target="footer1.xml"/><Relationship Id="rId3" Type="http://schemas.openxmlformats.org/officeDocument/2006/relationships/settings" Target="settings.xml"/><Relationship Id="rId214" Type="http://schemas.openxmlformats.org/officeDocument/2006/relationships/hyperlink" Target="http://paperpile.com/b/hP4CUy/Wgn2k" TargetMode="External"/><Relationship Id="rId25" Type="http://schemas.openxmlformats.org/officeDocument/2006/relationships/hyperlink" Target="https://paperpile.com/c/hP4CUy/wQQcL+Wgn2k" TargetMode="External"/><Relationship Id="rId46" Type="http://schemas.openxmlformats.org/officeDocument/2006/relationships/hyperlink" Target="http://paperpile.com/b/hP4CUy/QZ7YF" TargetMode="External"/><Relationship Id="rId67" Type="http://schemas.openxmlformats.org/officeDocument/2006/relationships/hyperlink" Target="http://paperpile.com/b/hP4CUy/qj0Bm" TargetMode="External"/><Relationship Id="rId116" Type="http://schemas.openxmlformats.org/officeDocument/2006/relationships/hyperlink" Target="http://paperpile.com/b/hP4CUy/k5C19" TargetMode="External"/><Relationship Id="rId137" Type="http://schemas.openxmlformats.org/officeDocument/2006/relationships/hyperlink" Target="http://paperpile.com/b/hP4CUy/iYqYr" TargetMode="External"/><Relationship Id="rId158" Type="http://schemas.openxmlformats.org/officeDocument/2006/relationships/hyperlink" Target="http://paperpile.com/b/hP4CUy/B2vG" TargetMode="External"/><Relationship Id="rId20" Type="http://schemas.openxmlformats.org/officeDocument/2006/relationships/hyperlink" Target="https://paperpile.com/c/hP4CUy/nb9kB" TargetMode="External"/><Relationship Id="rId41" Type="http://schemas.openxmlformats.org/officeDocument/2006/relationships/hyperlink" Target="http://paperpile.com/b/hP4CUy/k05J9" TargetMode="External"/><Relationship Id="rId62" Type="http://schemas.openxmlformats.org/officeDocument/2006/relationships/hyperlink" Target="http://paperpile.com/b/hP4CUy/DRNNv" TargetMode="External"/><Relationship Id="rId83" Type="http://schemas.openxmlformats.org/officeDocument/2006/relationships/hyperlink" Target="http://paperpile.com/b/hP4CUy/XBDah" TargetMode="External"/><Relationship Id="rId88" Type="http://schemas.openxmlformats.org/officeDocument/2006/relationships/hyperlink" Target="http://paperpile.com/b/hP4CUy/9t72y" TargetMode="External"/><Relationship Id="rId111" Type="http://schemas.openxmlformats.org/officeDocument/2006/relationships/hyperlink" Target="http://paperpile.com/b/hP4CUy/k5C19" TargetMode="External"/><Relationship Id="rId132" Type="http://schemas.openxmlformats.org/officeDocument/2006/relationships/hyperlink" Target="http://paperpile.com/b/hP4CUy/IJKNm" TargetMode="External"/><Relationship Id="rId153" Type="http://schemas.openxmlformats.org/officeDocument/2006/relationships/hyperlink" Target="http://paperpile.com/b/hP4CUy/WWnxI" TargetMode="External"/><Relationship Id="rId174" Type="http://schemas.openxmlformats.org/officeDocument/2006/relationships/hyperlink" Target="http://paperpile.com/b/hP4CUy/jxOf" TargetMode="External"/><Relationship Id="rId179" Type="http://schemas.openxmlformats.org/officeDocument/2006/relationships/hyperlink" Target="http://paperpile.com/b/hP4CUy/jxOf" TargetMode="External"/><Relationship Id="rId195" Type="http://schemas.openxmlformats.org/officeDocument/2006/relationships/hyperlink" Target="http://paperpile.com/b/hP4CUy/VAtmK" TargetMode="External"/><Relationship Id="rId209" Type="http://schemas.openxmlformats.org/officeDocument/2006/relationships/hyperlink" Target="http://paperpile.com/b/hP4CUy/wQQcL" TargetMode="External"/><Relationship Id="rId190" Type="http://schemas.openxmlformats.org/officeDocument/2006/relationships/hyperlink" Target="http://paperpile.com/b/hP4CUy/knhl" TargetMode="External"/><Relationship Id="rId204" Type="http://schemas.openxmlformats.org/officeDocument/2006/relationships/hyperlink" Target="http://paperpile.com/b/hP4CUy/wQQcL" TargetMode="External"/><Relationship Id="rId220" Type="http://schemas.openxmlformats.org/officeDocument/2006/relationships/footer" Target="footer2.xml"/><Relationship Id="rId15" Type="http://schemas.openxmlformats.org/officeDocument/2006/relationships/hyperlink" Target="https://paperpile.com/c/hP4CUy/9hoIP" TargetMode="External"/><Relationship Id="rId36" Type="http://schemas.openxmlformats.org/officeDocument/2006/relationships/hyperlink" Target="http://paperpile.com/b/hP4CUy/YffSJ" TargetMode="External"/><Relationship Id="rId57" Type="http://schemas.openxmlformats.org/officeDocument/2006/relationships/hyperlink" Target="http://paperpile.com/b/hP4CUy/DRNNv" TargetMode="External"/><Relationship Id="rId106" Type="http://schemas.openxmlformats.org/officeDocument/2006/relationships/hyperlink" Target="http://paperpile.com/b/hP4CUy/sTICq" TargetMode="External"/><Relationship Id="rId127" Type="http://schemas.openxmlformats.org/officeDocument/2006/relationships/hyperlink" Target="http://paperpile.com/b/hP4CUy/IJKNm" TargetMode="External"/><Relationship Id="rId10" Type="http://schemas.openxmlformats.org/officeDocument/2006/relationships/hyperlink" Target="https://paperpile.com/c/hP4CUy/qj0Bm+jQHzk+XBDah+9t72y+mJTv7+sTICq" TargetMode="External"/><Relationship Id="rId31" Type="http://schemas.openxmlformats.org/officeDocument/2006/relationships/hyperlink" Target="http://paperpile.com/b/hP4CUy/W5UmL" TargetMode="External"/><Relationship Id="rId52" Type="http://schemas.openxmlformats.org/officeDocument/2006/relationships/hyperlink" Target="http://paperpile.com/b/hP4CUy/dbNap" TargetMode="External"/><Relationship Id="rId73" Type="http://schemas.openxmlformats.org/officeDocument/2006/relationships/hyperlink" Target="http://paperpile.com/b/hP4CUy/jQHzk" TargetMode="External"/><Relationship Id="rId78" Type="http://schemas.openxmlformats.org/officeDocument/2006/relationships/hyperlink" Target="http://paperpile.com/b/hP4CUy/XBDah" TargetMode="External"/><Relationship Id="rId94" Type="http://schemas.openxmlformats.org/officeDocument/2006/relationships/hyperlink" Target="http://paperpile.com/b/hP4CUy/mJTv7" TargetMode="External"/><Relationship Id="rId99" Type="http://schemas.openxmlformats.org/officeDocument/2006/relationships/hyperlink" Target="http://dx.doi.org/10.1128/JVI.01790-18" TargetMode="External"/><Relationship Id="rId101" Type="http://schemas.openxmlformats.org/officeDocument/2006/relationships/hyperlink" Target="http://paperpile.com/b/hP4CUy/sTICq" TargetMode="External"/><Relationship Id="rId122" Type="http://schemas.openxmlformats.org/officeDocument/2006/relationships/hyperlink" Target="http://paperpile.com/b/hP4CUy/Q6cCA" TargetMode="External"/><Relationship Id="rId143" Type="http://schemas.openxmlformats.org/officeDocument/2006/relationships/hyperlink" Target="http://paperpile.com/b/hP4CUy/j6FET" TargetMode="External"/><Relationship Id="rId148" Type="http://schemas.openxmlformats.org/officeDocument/2006/relationships/hyperlink" Target="http://paperpile.com/b/hP4CUy/nb9kB" TargetMode="External"/><Relationship Id="rId164" Type="http://schemas.openxmlformats.org/officeDocument/2006/relationships/hyperlink" Target="http://paperpile.com/b/hP4CUy/2k9j" TargetMode="External"/><Relationship Id="rId169" Type="http://schemas.openxmlformats.org/officeDocument/2006/relationships/hyperlink" Target="http://paperpile.com/b/hP4CUy/YJOh" TargetMode="External"/><Relationship Id="rId185" Type="http://schemas.openxmlformats.org/officeDocument/2006/relationships/hyperlink" Target="http://paperpile.com/b/hP4CUy/KcRJ" TargetMode="External"/><Relationship Id="rId4" Type="http://schemas.openxmlformats.org/officeDocument/2006/relationships/webSettings" Target="webSettings.xml"/><Relationship Id="rId9" Type="http://schemas.openxmlformats.org/officeDocument/2006/relationships/hyperlink" Target="https://paperpile.com/c/hP4CUy/YffSJ+k05J9+QZ7YF+dbNap+DRNNv+X0EnV" TargetMode="External"/><Relationship Id="rId180" Type="http://schemas.openxmlformats.org/officeDocument/2006/relationships/hyperlink" Target="http://paperpile.com/b/hP4CUy/jxOf" TargetMode="External"/><Relationship Id="rId210" Type="http://schemas.openxmlformats.org/officeDocument/2006/relationships/hyperlink" Target="http://paperpile.com/b/hP4CUy/Wgn2k" TargetMode="External"/><Relationship Id="rId215" Type="http://schemas.openxmlformats.org/officeDocument/2006/relationships/hyperlink" Target="http://paperpile.com/b/hP4CUy/Wgn2k" TargetMode="External"/><Relationship Id="rId26" Type="http://schemas.openxmlformats.org/officeDocument/2006/relationships/hyperlink" Target="http://paperpile.com/b/hP4CUy/uZPP" TargetMode="External"/><Relationship Id="rId47" Type="http://schemas.openxmlformats.org/officeDocument/2006/relationships/hyperlink" Target="http://paperpile.com/b/hP4CUy/QZ7YF" TargetMode="External"/><Relationship Id="rId68" Type="http://schemas.openxmlformats.org/officeDocument/2006/relationships/hyperlink" Target="http://paperpile.com/b/hP4CUy/qj0Bm" TargetMode="External"/><Relationship Id="rId89" Type="http://schemas.openxmlformats.org/officeDocument/2006/relationships/hyperlink" Target="http://paperpile.com/b/hP4CUy/9t72y" TargetMode="External"/><Relationship Id="rId112" Type="http://schemas.openxmlformats.org/officeDocument/2006/relationships/hyperlink" Target="http://paperpile.com/b/hP4CUy/k5C19" TargetMode="External"/><Relationship Id="rId133" Type="http://schemas.openxmlformats.org/officeDocument/2006/relationships/hyperlink" Target="http://paperpile.com/b/hP4CUy/IJKNm" TargetMode="External"/><Relationship Id="rId154" Type="http://schemas.openxmlformats.org/officeDocument/2006/relationships/hyperlink" Target="http://paperpile.com/b/hP4CUy/B2vG" TargetMode="External"/><Relationship Id="rId175" Type="http://schemas.openxmlformats.org/officeDocument/2006/relationships/hyperlink" Target="http://paperpile.com/b/hP4CUy/jxOf" TargetMode="External"/><Relationship Id="rId196" Type="http://schemas.openxmlformats.org/officeDocument/2006/relationships/hyperlink" Target="http://paperpile.com/b/hP4CUy/VAtmK" TargetMode="External"/><Relationship Id="rId200" Type="http://schemas.openxmlformats.org/officeDocument/2006/relationships/hyperlink" Target="http://paperpile.com/b/hP4CUy/VAtmK" TargetMode="External"/><Relationship Id="rId16" Type="http://schemas.openxmlformats.org/officeDocument/2006/relationships/hyperlink" Target="https://paperpile.com/c/hP4CUy/9hoIP" TargetMode="External"/><Relationship Id="rId221" Type="http://schemas.openxmlformats.org/officeDocument/2006/relationships/header" Target="header3.xml"/><Relationship Id="rId37" Type="http://schemas.openxmlformats.org/officeDocument/2006/relationships/hyperlink" Target="http://paperpile.com/b/hP4CUy/YffSJ" TargetMode="External"/><Relationship Id="rId58" Type="http://schemas.openxmlformats.org/officeDocument/2006/relationships/hyperlink" Target="http://paperpile.com/b/hP4CUy/DRNNv" TargetMode="External"/><Relationship Id="rId79" Type="http://schemas.openxmlformats.org/officeDocument/2006/relationships/hyperlink" Target="http://paperpile.com/b/hP4CUy/XBDah" TargetMode="External"/><Relationship Id="rId102" Type="http://schemas.openxmlformats.org/officeDocument/2006/relationships/hyperlink" Target="http://paperpile.com/b/hP4CUy/sTICq" TargetMode="External"/><Relationship Id="rId123" Type="http://schemas.openxmlformats.org/officeDocument/2006/relationships/hyperlink" Target="http://paperpile.com/b/hP4CUy/Q6cCA" TargetMode="External"/><Relationship Id="rId144" Type="http://schemas.openxmlformats.org/officeDocument/2006/relationships/hyperlink" Target="http://paperpile.com/b/hP4CUy/nb9kB" TargetMode="External"/><Relationship Id="rId90" Type="http://schemas.openxmlformats.org/officeDocument/2006/relationships/hyperlink" Target="http://paperpile.com/b/hP4CUy/9t72y" TargetMode="External"/><Relationship Id="rId165" Type="http://schemas.openxmlformats.org/officeDocument/2006/relationships/hyperlink" Target="http://paperpile.com/b/hP4CUy/2k9j" TargetMode="External"/><Relationship Id="rId186" Type="http://schemas.openxmlformats.org/officeDocument/2006/relationships/hyperlink" Target="http://paperpile.com/b/hP4CUy/KcRJ" TargetMode="External"/><Relationship Id="rId211" Type="http://schemas.openxmlformats.org/officeDocument/2006/relationships/hyperlink" Target="http://paperpile.com/b/hP4CUy/Wgn2k" TargetMode="External"/><Relationship Id="rId27" Type="http://schemas.openxmlformats.org/officeDocument/2006/relationships/hyperlink" Target="http://paperpile.com/b/hP4CUy/uZPP" TargetMode="External"/><Relationship Id="rId48" Type="http://schemas.openxmlformats.org/officeDocument/2006/relationships/hyperlink" Target="http://paperpile.com/b/hP4CUy/QZ7YF" TargetMode="External"/><Relationship Id="rId69" Type="http://schemas.openxmlformats.org/officeDocument/2006/relationships/hyperlink" Target="http://paperpile.com/b/hP4CUy/qj0Bm" TargetMode="External"/><Relationship Id="rId113" Type="http://schemas.openxmlformats.org/officeDocument/2006/relationships/hyperlink" Target="http://paperpile.com/b/hP4CUy/k5C19" TargetMode="External"/><Relationship Id="rId134" Type="http://schemas.openxmlformats.org/officeDocument/2006/relationships/hyperlink" Target="http://paperpile.com/b/hP4CUy/iYqYr" TargetMode="External"/><Relationship Id="rId80" Type="http://schemas.openxmlformats.org/officeDocument/2006/relationships/hyperlink" Target="http://paperpile.com/b/hP4CUy/XBDah" TargetMode="External"/><Relationship Id="rId155" Type="http://schemas.openxmlformats.org/officeDocument/2006/relationships/hyperlink" Target="http://paperpile.com/b/hP4CUy/B2vG" TargetMode="External"/><Relationship Id="rId176" Type="http://schemas.openxmlformats.org/officeDocument/2006/relationships/hyperlink" Target="http://paperpile.com/b/hP4CUy/jxOf" TargetMode="External"/><Relationship Id="rId197" Type="http://schemas.openxmlformats.org/officeDocument/2006/relationships/hyperlink" Target="http://paperpile.com/b/hP4CUy/VAtmK" TargetMode="External"/><Relationship Id="rId201" Type="http://schemas.openxmlformats.org/officeDocument/2006/relationships/hyperlink" Target="http://paperpile.com/b/hP4CUy/VAtmK" TargetMode="External"/><Relationship Id="rId222" Type="http://schemas.openxmlformats.org/officeDocument/2006/relationships/footer" Target="footer3.xml"/><Relationship Id="rId17" Type="http://schemas.openxmlformats.org/officeDocument/2006/relationships/hyperlink" Target="https://paperpile.com/c/hP4CUy/IJKNm" TargetMode="External"/><Relationship Id="rId38" Type="http://schemas.openxmlformats.org/officeDocument/2006/relationships/hyperlink" Target="http://paperpile.com/b/hP4CUy/YffSJ" TargetMode="External"/><Relationship Id="rId59" Type="http://schemas.openxmlformats.org/officeDocument/2006/relationships/hyperlink" Target="http://paperpile.com/b/hP4CUy/DRNNv" TargetMode="External"/><Relationship Id="rId103" Type="http://schemas.openxmlformats.org/officeDocument/2006/relationships/hyperlink" Target="http://paperpile.com/b/hP4CUy/sTICq" TargetMode="External"/><Relationship Id="rId124" Type="http://schemas.openxmlformats.org/officeDocument/2006/relationships/hyperlink" Target="http://paperpile.com/b/hP4CUy/Q6cCA" TargetMode="External"/><Relationship Id="rId70" Type="http://schemas.openxmlformats.org/officeDocument/2006/relationships/hyperlink" Target="http://paperpile.com/b/hP4CUy/qj0Bm" TargetMode="External"/><Relationship Id="rId91" Type="http://schemas.openxmlformats.org/officeDocument/2006/relationships/hyperlink" Target="http://paperpile.com/b/hP4CUy/9t72y" TargetMode="External"/><Relationship Id="rId145" Type="http://schemas.openxmlformats.org/officeDocument/2006/relationships/hyperlink" Target="http://paperpile.com/b/hP4CUy/nb9kB" TargetMode="External"/><Relationship Id="rId166" Type="http://schemas.openxmlformats.org/officeDocument/2006/relationships/hyperlink" Target="http://paperpile.com/b/hP4CUy/2k9j" TargetMode="External"/><Relationship Id="rId187" Type="http://schemas.openxmlformats.org/officeDocument/2006/relationships/hyperlink" Target="http://paperpile.com/b/hP4CUy/KcRJ" TargetMode="External"/><Relationship Id="rId1" Type="http://schemas.openxmlformats.org/officeDocument/2006/relationships/numbering" Target="numbering.xml"/><Relationship Id="rId212" Type="http://schemas.openxmlformats.org/officeDocument/2006/relationships/hyperlink" Target="http://paperpile.com/b/hP4CUy/Wgn2k" TargetMode="External"/><Relationship Id="rId28" Type="http://schemas.openxmlformats.org/officeDocument/2006/relationships/hyperlink" Target="http://paperpile.com/b/hP4CUy/uZPP" TargetMode="External"/><Relationship Id="rId49" Type="http://schemas.openxmlformats.org/officeDocument/2006/relationships/hyperlink" Target="http://paperpile.com/b/hP4CUy/QZ7YF" TargetMode="External"/><Relationship Id="rId114" Type="http://schemas.openxmlformats.org/officeDocument/2006/relationships/hyperlink" Target="http://paperpile.com/b/hP4CUy/k5C19" TargetMode="External"/><Relationship Id="rId60" Type="http://schemas.openxmlformats.org/officeDocument/2006/relationships/hyperlink" Target="http://paperpile.com/b/hP4CUy/DRNNv" TargetMode="External"/><Relationship Id="rId81" Type="http://schemas.openxmlformats.org/officeDocument/2006/relationships/hyperlink" Target="http://paperpile.com/b/hP4CUy/XBDah" TargetMode="External"/><Relationship Id="rId135" Type="http://schemas.openxmlformats.org/officeDocument/2006/relationships/hyperlink" Target="http://paperpile.com/b/hP4CUy/iYqYr" TargetMode="External"/><Relationship Id="rId156" Type="http://schemas.openxmlformats.org/officeDocument/2006/relationships/hyperlink" Target="http://paperpile.com/b/hP4CUy/B2vG" TargetMode="External"/><Relationship Id="rId177" Type="http://schemas.openxmlformats.org/officeDocument/2006/relationships/hyperlink" Target="http://paperpile.com/b/hP4CUy/jxOf" TargetMode="External"/><Relationship Id="rId198" Type="http://schemas.openxmlformats.org/officeDocument/2006/relationships/hyperlink" Target="http://paperpile.com/b/hP4CUy/VAtmK" TargetMode="External"/><Relationship Id="rId202" Type="http://schemas.openxmlformats.org/officeDocument/2006/relationships/hyperlink" Target="http://paperpile.com/b/hP4CUy/wQQcL" TargetMode="External"/><Relationship Id="rId223" Type="http://schemas.openxmlformats.org/officeDocument/2006/relationships/fontTable" Target="fontTable.xml"/><Relationship Id="rId18" Type="http://schemas.openxmlformats.org/officeDocument/2006/relationships/hyperlink" Target="https://paperpile.com/c/hP4CUy/iYqYr" TargetMode="External"/><Relationship Id="rId39" Type="http://schemas.openxmlformats.org/officeDocument/2006/relationships/hyperlink" Target="http://paperpile.com/b/hP4CUy/YffSJ" TargetMode="External"/><Relationship Id="rId50" Type="http://schemas.openxmlformats.org/officeDocument/2006/relationships/hyperlink" Target="http://paperpile.com/b/hP4CUy/QZ7YF" TargetMode="External"/><Relationship Id="rId104" Type="http://schemas.openxmlformats.org/officeDocument/2006/relationships/hyperlink" Target="http://paperpile.com/b/hP4CUy/sTICq" TargetMode="External"/><Relationship Id="rId125" Type="http://schemas.openxmlformats.org/officeDocument/2006/relationships/hyperlink" Target="http://paperpile.com/b/hP4CUy/Q6cCA" TargetMode="External"/><Relationship Id="rId146" Type="http://schemas.openxmlformats.org/officeDocument/2006/relationships/hyperlink" Target="http://paperpile.com/b/hP4CUy/nb9kB" TargetMode="External"/><Relationship Id="rId167" Type="http://schemas.openxmlformats.org/officeDocument/2006/relationships/hyperlink" Target="http://paperpile.com/b/hP4CUy/YJOh" TargetMode="External"/><Relationship Id="rId188" Type="http://schemas.openxmlformats.org/officeDocument/2006/relationships/hyperlink" Target="http://paperpile.com/b/hP4CUy/knhl" TargetMode="External"/><Relationship Id="rId71" Type="http://schemas.openxmlformats.org/officeDocument/2006/relationships/hyperlink" Target="http://paperpile.com/b/hP4CUy/jQHzk" TargetMode="External"/><Relationship Id="rId92" Type="http://schemas.openxmlformats.org/officeDocument/2006/relationships/hyperlink" Target="http://paperpile.com/b/hP4CUy/mJTv7" TargetMode="External"/><Relationship Id="rId213" Type="http://schemas.openxmlformats.org/officeDocument/2006/relationships/hyperlink" Target="http://paperpile.com/b/hP4CUy/Wgn2k" TargetMode="External"/><Relationship Id="rId2" Type="http://schemas.openxmlformats.org/officeDocument/2006/relationships/styles" Target="styles.xml"/><Relationship Id="rId29" Type="http://schemas.openxmlformats.org/officeDocument/2006/relationships/hyperlink" Target="http://paperpile.com/b/hP4CUy/uZPP" TargetMode="External"/><Relationship Id="rId40" Type="http://schemas.openxmlformats.org/officeDocument/2006/relationships/hyperlink" Target="http://paperpile.com/b/hP4CUy/YffSJ" TargetMode="External"/><Relationship Id="rId115" Type="http://schemas.openxmlformats.org/officeDocument/2006/relationships/hyperlink" Target="http://paperpile.com/b/hP4CUy/k5C19" TargetMode="External"/><Relationship Id="rId136" Type="http://schemas.openxmlformats.org/officeDocument/2006/relationships/hyperlink" Target="http://paperpile.com/b/hP4CUy/iYqYr" TargetMode="External"/><Relationship Id="rId157" Type="http://schemas.openxmlformats.org/officeDocument/2006/relationships/hyperlink" Target="http://paperpile.com/b/hP4CUy/B2vG" TargetMode="External"/><Relationship Id="rId178" Type="http://schemas.openxmlformats.org/officeDocument/2006/relationships/hyperlink" Target="http://paperpile.com/b/hP4CUy/jxOf" TargetMode="External"/><Relationship Id="rId61" Type="http://schemas.openxmlformats.org/officeDocument/2006/relationships/hyperlink" Target="http://paperpile.com/b/hP4CUy/DRNNv" TargetMode="External"/><Relationship Id="rId82" Type="http://schemas.openxmlformats.org/officeDocument/2006/relationships/hyperlink" Target="http://paperpile.com/b/hP4CUy/XBDah" TargetMode="External"/><Relationship Id="rId199" Type="http://schemas.openxmlformats.org/officeDocument/2006/relationships/hyperlink" Target="http://paperpile.com/b/hP4CUy/VAtmK" TargetMode="External"/><Relationship Id="rId203" Type="http://schemas.openxmlformats.org/officeDocument/2006/relationships/hyperlink" Target="http://paperpile.com/b/hP4CUy/wQQcL" TargetMode="External"/><Relationship Id="rId19" Type="http://schemas.openxmlformats.org/officeDocument/2006/relationships/hyperlink" Target="https://paperpile.com/c/hP4CUy/j6FET" TargetMode="External"/><Relationship Id="rId224" Type="http://schemas.openxmlformats.org/officeDocument/2006/relationships/theme" Target="theme/theme1.xml"/><Relationship Id="rId30" Type="http://schemas.openxmlformats.org/officeDocument/2006/relationships/hyperlink" Target="http://paperpile.com/b/hP4CUy/uZPP" TargetMode="External"/><Relationship Id="rId105" Type="http://schemas.openxmlformats.org/officeDocument/2006/relationships/hyperlink" Target="http://paperpile.com/b/hP4CUy/sTICq" TargetMode="External"/><Relationship Id="rId126" Type="http://schemas.openxmlformats.org/officeDocument/2006/relationships/hyperlink" Target="http://paperpile.com/b/hP4CUy/Q6cCA" TargetMode="External"/><Relationship Id="rId147" Type="http://schemas.openxmlformats.org/officeDocument/2006/relationships/hyperlink" Target="http://paperpile.com/b/hP4CUy/nb9kB" TargetMode="External"/><Relationship Id="rId168" Type="http://schemas.openxmlformats.org/officeDocument/2006/relationships/hyperlink" Target="http://paperpile.com/b/hP4CUy/YJO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9335</Words>
  <Characters>53214</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Vineeta Bajaj</dc:creator>
  <cp:lastModifiedBy>Vineeta Bajaj</cp:lastModifiedBy>
  <cp:revision>3</cp:revision>
  <dcterms:created xsi:type="dcterms:W3CDTF">2020-11-05T16:11:00Z</dcterms:created>
  <dcterms:modified xsi:type="dcterms:W3CDTF">2020-11-05T16:16:00Z</dcterms:modified>
</cp:coreProperties>
</file>