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06AF2" w14:textId="38041EA5" w:rsidR="0070631B" w:rsidRDefault="0070631B" w:rsidP="00D47367">
      <w:pPr>
        <w:spacing w:after="0" w:line="240" w:lineRule="auto"/>
        <w:jc w:val="both"/>
        <w:rPr>
          <w:rFonts w:eastAsia="Times New Roman"/>
          <w:b/>
          <w:sz w:val="24"/>
          <w:szCs w:val="24"/>
        </w:rPr>
      </w:pPr>
      <w:r>
        <w:rPr>
          <w:rFonts w:eastAsia="Times New Roman"/>
          <w:b/>
          <w:sz w:val="24"/>
          <w:szCs w:val="24"/>
        </w:rPr>
        <w:t>TITLE:</w:t>
      </w:r>
    </w:p>
    <w:p w14:paraId="1B0B7A0B" w14:textId="5DDC9235" w:rsidR="004B698A" w:rsidRPr="0070631B" w:rsidRDefault="00631427" w:rsidP="00D47367">
      <w:pPr>
        <w:spacing w:after="0" w:line="240" w:lineRule="auto"/>
        <w:jc w:val="both"/>
        <w:rPr>
          <w:rFonts w:eastAsia="Times New Roman"/>
          <w:bCs/>
          <w:sz w:val="24"/>
          <w:szCs w:val="24"/>
        </w:rPr>
      </w:pPr>
      <w:r w:rsidRPr="0070631B">
        <w:rPr>
          <w:rFonts w:eastAsia="Times New Roman"/>
          <w:bCs/>
          <w:sz w:val="24"/>
          <w:szCs w:val="24"/>
        </w:rPr>
        <w:t>Specimen Collection and Analysis of the Duodenal Microbiome</w:t>
      </w:r>
    </w:p>
    <w:p w14:paraId="481E84DC" w14:textId="77777777" w:rsidR="0070631B" w:rsidRDefault="0070631B" w:rsidP="00D47367">
      <w:pPr>
        <w:spacing w:after="0" w:line="240" w:lineRule="auto"/>
        <w:jc w:val="both"/>
        <w:rPr>
          <w:rFonts w:eastAsia="Times New Roman"/>
          <w:sz w:val="24"/>
          <w:szCs w:val="24"/>
        </w:rPr>
      </w:pPr>
    </w:p>
    <w:p w14:paraId="0FEC6059" w14:textId="6E838612" w:rsidR="0070631B" w:rsidRPr="0070631B" w:rsidRDefault="0070631B" w:rsidP="00D47367">
      <w:pPr>
        <w:spacing w:after="0" w:line="240" w:lineRule="auto"/>
        <w:jc w:val="both"/>
        <w:rPr>
          <w:rFonts w:eastAsia="Times New Roman"/>
          <w:b/>
          <w:bCs/>
          <w:sz w:val="24"/>
          <w:szCs w:val="24"/>
        </w:rPr>
      </w:pPr>
      <w:r>
        <w:rPr>
          <w:rFonts w:eastAsia="Times New Roman"/>
          <w:b/>
          <w:bCs/>
          <w:sz w:val="24"/>
          <w:szCs w:val="24"/>
        </w:rPr>
        <w:t>AUTHORS AND AFFILIATIONS:</w:t>
      </w:r>
    </w:p>
    <w:p w14:paraId="2255BAD6" w14:textId="63C7910C" w:rsidR="004B698A" w:rsidRPr="0070631B" w:rsidRDefault="00631427" w:rsidP="00D47367">
      <w:pPr>
        <w:spacing w:after="0" w:line="240" w:lineRule="auto"/>
        <w:jc w:val="both"/>
        <w:rPr>
          <w:rFonts w:eastAsia="Times New Roman"/>
          <w:sz w:val="24"/>
          <w:szCs w:val="24"/>
          <w:vertAlign w:val="superscript"/>
        </w:rPr>
      </w:pPr>
      <w:r w:rsidRPr="0070631B">
        <w:rPr>
          <w:rFonts w:eastAsia="Times New Roman"/>
          <w:sz w:val="24"/>
          <w:szCs w:val="24"/>
        </w:rPr>
        <w:t>Benjamin W. Dreskin</w:t>
      </w:r>
      <w:r w:rsidR="003D6FF6" w:rsidRPr="0070631B">
        <w:rPr>
          <w:rFonts w:eastAsia="Times New Roman"/>
          <w:sz w:val="24"/>
          <w:szCs w:val="24"/>
          <w:vertAlign w:val="superscript"/>
        </w:rPr>
        <w:t>1</w:t>
      </w:r>
      <w:r w:rsidRPr="0070631B">
        <w:rPr>
          <w:rFonts w:eastAsia="Times New Roman"/>
          <w:sz w:val="24"/>
          <w:szCs w:val="24"/>
        </w:rPr>
        <w:t>, Kayti Luu</w:t>
      </w:r>
      <w:r w:rsidR="003D6FF6" w:rsidRPr="0070631B">
        <w:rPr>
          <w:rFonts w:eastAsia="Times New Roman"/>
          <w:sz w:val="24"/>
          <w:szCs w:val="24"/>
          <w:vertAlign w:val="superscript"/>
        </w:rPr>
        <w:t>1</w:t>
      </w:r>
      <w:r w:rsidRPr="0070631B">
        <w:rPr>
          <w:rFonts w:eastAsia="Times New Roman"/>
          <w:sz w:val="24"/>
          <w:szCs w:val="24"/>
        </w:rPr>
        <w:t>, Tien S. Dong</w:t>
      </w:r>
      <w:r w:rsidR="003D6FF6" w:rsidRPr="0070631B">
        <w:rPr>
          <w:rFonts w:eastAsia="Times New Roman"/>
          <w:sz w:val="24"/>
          <w:szCs w:val="24"/>
          <w:vertAlign w:val="superscript"/>
        </w:rPr>
        <w:t>1,2,3</w:t>
      </w:r>
      <w:r w:rsidRPr="0070631B">
        <w:rPr>
          <w:rFonts w:eastAsia="Times New Roman"/>
          <w:sz w:val="24"/>
          <w:szCs w:val="24"/>
        </w:rPr>
        <w:t>, Jihane Benhammou</w:t>
      </w:r>
      <w:r w:rsidR="003D6FF6" w:rsidRPr="0070631B">
        <w:rPr>
          <w:rFonts w:eastAsia="Times New Roman"/>
          <w:sz w:val="24"/>
          <w:szCs w:val="24"/>
          <w:vertAlign w:val="superscript"/>
        </w:rPr>
        <w:t>1,2,4</w:t>
      </w:r>
      <w:r w:rsidRPr="0070631B">
        <w:rPr>
          <w:rFonts w:eastAsia="Times New Roman"/>
          <w:sz w:val="24"/>
          <w:szCs w:val="24"/>
        </w:rPr>
        <w:t>, Venu Langishetty</w:t>
      </w:r>
      <w:r w:rsidR="00FC3263" w:rsidRPr="0070631B">
        <w:rPr>
          <w:rFonts w:eastAsia="Times New Roman"/>
          <w:sz w:val="24"/>
          <w:szCs w:val="24"/>
          <w:vertAlign w:val="superscript"/>
        </w:rPr>
        <w:t>2,3</w:t>
      </w:r>
      <w:r w:rsidRPr="0070631B">
        <w:rPr>
          <w:rFonts w:eastAsia="Times New Roman"/>
          <w:sz w:val="24"/>
          <w:szCs w:val="24"/>
        </w:rPr>
        <w:t>, John Vu</w:t>
      </w:r>
      <w:r w:rsidR="00FC3263" w:rsidRPr="0070631B">
        <w:rPr>
          <w:rFonts w:eastAsia="Times New Roman"/>
          <w:sz w:val="24"/>
          <w:szCs w:val="24"/>
          <w:vertAlign w:val="superscript"/>
        </w:rPr>
        <w:t>1</w:t>
      </w:r>
      <w:r w:rsidRPr="0070631B">
        <w:rPr>
          <w:rFonts w:eastAsia="Times New Roman"/>
          <w:sz w:val="24"/>
          <w:szCs w:val="24"/>
        </w:rPr>
        <w:t>, Daniel Sanford</w:t>
      </w:r>
      <w:r w:rsidR="00FC3263" w:rsidRPr="0070631B">
        <w:rPr>
          <w:rFonts w:eastAsia="Times New Roman"/>
          <w:sz w:val="24"/>
          <w:szCs w:val="24"/>
          <w:vertAlign w:val="superscript"/>
        </w:rPr>
        <w:t>1</w:t>
      </w:r>
      <w:r w:rsidRPr="0070631B">
        <w:rPr>
          <w:rFonts w:eastAsia="Times New Roman"/>
          <w:sz w:val="24"/>
          <w:szCs w:val="24"/>
        </w:rPr>
        <w:t>, Francisco Durazo</w:t>
      </w:r>
      <w:r w:rsidR="00FC3263" w:rsidRPr="0070631B">
        <w:rPr>
          <w:rFonts w:eastAsia="Times New Roman"/>
          <w:sz w:val="24"/>
          <w:szCs w:val="24"/>
          <w:vertAlign w:val="superscript"/>
        </w:rPr>
        <w:t>2,4</w:t>
      </w:r>
      <w:r w:rsidRPr="0070631B">
        <w:rPr>
          <w:rFonts w:eastAsia="Times New Roman"/>
          <w:sz w:val="24"/>
          <w:szCs w:val="24"/>
        </w:rPr>
        <w:t xml:space="preserve">, Vatche </w:t>
      </w:r>
      <w:r w:rsidR="00FC3263" w:rsidRPr="0070631B">
        <w:rPr>
          <w:rFonts w:eastAsia="Times New Roman"/>
          <w:sz w:val="24"/>
          <w:szCs w:val="24"/>
        </w:rPr>
        <w:t xml:space="preserve">G. </w:t>
      </w:r>
      <w:r w:rsidRPr="0070631B">
        <w:rPr>
          <w:rFonts w:eastAsia="Times New Roman"/>
          <w:sz w:val="24"/>
          <w:szCs w:val="24"/>
        </w:rPr>
        <w:t>Agopian</w:t>
      </w:r>
      <w:r w:rsidR="00FC3263" w:rsidRPr="0070631B">
        <w:rPr>
          <w:rFonts w:eastAsia="Times New Roman"/>
          <w:sz w:val="24"/>
          <w:szCs w:val="24"/>
          <w:vertAlign w:val="superscript"/>
        </w:rPr>
        <w:t>4</w:t>
      </w:r>
      <w:r w:rsidRPr="0070631B">
        <w:rPr>
          <w:rFonts w:eastAsia="Times New Roman"/>
          <w:sz w:val="24"/>
          <w:szCs w:val="24"/>
        </w:rPr>
        <w:t xml:space="preserve">, Jonathan </w:t>
      </w:r>
      <w:r w:rsidR="00FC3263" w:rsidRPr="0070631B">
        <w:rPr>
          <w:rFonts w:eastAsia="Times New Roman"/>
          <w:sz w:val="24"/>
          <w:szCs w:val="24"/>
        </w:rPr>
        <w:t xml:space="preserve">P. </w:t>
      </w:r>
      <w:r w:rsidRPr="0070631B">
        <w:rPr>
          <w:rFonts w:eastAsia="Times New Roman"/>
          <w:sz w:val="24"/>
          <w:szCs w:val="24"/>
        </w:rPr>
        <w:t>Jacobs</w:t>
      </w:r>
      <w:r w:rsidR="00FC3263" w:rsidRPr="0070631B">
        <w:rPr>
          <w:rFonts w:eastAsia="Times New Roman"/>
          <w:sz w:val="24"/>
          <w:szCs w:val="24"/>
          <w:vertAlign w:val="superscript"/>
        </w:rPr>
        <w:t>1,2,3</w:t>
      </w:r>
      <w:r w:rsidRPr="0070631B">
        <w:rPr>
          <w:rFonts w:eastAsia="Times New Roman"/>
          <w:sz w:val="24"/>
          <w:szCs w:val="24"/>
        </w:rPr>
        <w:t>, Joseph R. Pisegna</w:t>
      </w:r>
      <w:r w:rsidR="00FC3263" w:rsidRPr="0070631B">
        <w:rPr>
          <w:rFonts w:eastAsia="Times New Roman"/>
          <w:sz w:val="24"/>
          <w:szCs w:val="24"/>
          <w:vertAlign w:val="superscript"/>
        </w:rPr>
        <w:t>1,5</w:t>
      </w:r>
      <w:r w:rsidRPr="0070631B">
        <w:rPr>
          <w:rFonts w:eastAsia="Times New Roman"/>
          <w:sz w:val="24"/>
          <w:szCs w:val="24"/>
        </w:rPr>
        <w:t>, Shehnaz K. Hussain</w:t>
      </w:r>
      <w:r w:rsidR="00FC3263" w:rsidRPr="0070631B">
        <w:rPr>
          <w:rFonts w:eastAsia="Times New Roman"/>
          <w:sz w:val="24"/>
          <w:szCs w:val="24"/>
          <w:vertAlign w:val="superscript"/>
        </w:rPr>
        <w:t>6</w:t>
      </w:r>
    </w:p>
    <w:p w14:paraId="48307113" w14:textId="77777777" w:rsidR="0070631B" w:rsidRDefault="0070631B" w:rsidP="00D47367">
      <w:pPr>
        <w:spacing w:after="0" w:line="240" w:lineRule="auto"/>
        <w:jc w:val="both"/>
        <w:rPr>
          <w:sz w:val="24"/>
          <w:szCs w:val="24"/>
          <w:vertAlign w:val="superscript"/>
        </w:rPr>
      </w:pPr>
    </w:p>
    <w:p w14:paraId="0B49D3B6" w14:textId="629642E5" w:rsidR="003D6FF6" w:rsidRPr="0070631B" w:rsidRDefault="003D6FF6" w:rsidP="00D47367">
      <w:pPr>
        <w:spacing w:after="0" w:line="240" w:lineRule="auto"/>
        <w:jc w:val="both"/>
        <w:rPr>
          <w:sz w:val="24"/>
          <w:szCs w:val="24"/>
        </w:rPr>
      </w:pPr>
      <w:r w:rsidRPr="0070631B">
        <w:rPr>
          <w:sz w:val="24"/>
          <w:szCs w:val="24"/>
          <w:vertAlign w:val="superscript"/>
        </w:rPr>
        <w:t>1</w:t>
      </w:r>
      <w:r w:rsidRPr="0070631B">
        <w:rPr>
          <w:sz w:val="24"/>
          <w:szCs w:val="24"/>
        </w:rPr>
        <w:t>Division of Gastroenterology, Hepatology and Parenteral Nutrition, Veterans Administration Greater Los Angeles Healthcare System, Los Angeles, CA, USA</w:t>
      </w:r>
    </w:p>
    <w:p w14:paraId="2A4B9714" w14:textId="39914181" w:rsidR="003D6FF6" w:rsidRPr="0070631B" w:rsidRDefault="003D6FF6" w:rsidP="00D47367">
      <w:pPr>
        <w:spacing w:after="0" w:line="240" w:lineRule="auto"/>
        <w:jc w:val="both"/>
        <w:rPr>
          <w:sz w:val="24"/>
          <w:szCs w:val="24"/>
        </w:rPr>
      </w:pPr>
      <w:r w:rsidRPr="0070631B">
        <w:rPr>
          <w:sz w:val="24"/>
          <w:szCs w:val="24"/>
          <w:vertAlign w:val="superscript"/>
        </w:rPr>
        <w:t>2</w:t>
      </w:r>
      <w:r w:rsidRPr="0070631B">
        <w:rPr>
          <w:sz w:val="24"/>
          <w:szCs w:val="24"/>
        </w:rPr>
        <w:t xml:space="preserve">The </w:t>
      </w:r>
      <w:proofErr w:type="spellStart"/>
      <w:r w:rsidRPr="0070631B">
        <w:rPr>
          <w:sz w:val="24"/>
          <w:szCs w:val="24"/>
        </w:rPr>
        <w:t>Vatche</w:t>
      </w:r>
      <w:proofErr w:type="spellEnd"/>
      <w:r w:rsidRPr="0070631B">
        <w:rPr>
          <w:sz w:val="24"/>
          <w:szCs w:val="24"/>
        </w:rPr>
        <w:t xml:space="preserve"> and Tamar </w:t>
      </w:r>
      <w:proofErr w:type="spellStart"/>
      <w:r w:rsidRPr="0070631B">
        <w:rPr>
          <w:sz w:val="24"/>
          <w:szCs w:val="24"/>
        </w:rPr>
        <w:t>Manoukian</w:t>
      </w:r>
      <w:proofErr w:type="spellEnd"/>
      <w:r w:rsidRPr="0070631B">
        <w:rPr>
          <w:sz w:val="24"/>
          <w:szCs w:val="24"/>
        </w:rPr>
        <w:t xml:space="preserve"> Division of Digestive Diseases, Department of Medicine, David Geffen School of Medicine at University of California, Los Angeles, CA, USA</w:t>
      </w:r>
    </w:p>
    <w:p w14:paraId="30EFA951" w14:textId="148AC470" w:rsidR="003D6FF6" w:rsidRPr="0070631B" w:rsidRDefault="003D6FF6" w:rsidP="00D47367">
      <w:pPr>
        <w:spacing w:after="0" w:line="240" w:lineRule="auto"/>
        <w:jc w:val="both"/>
        <w:rPr>
          <w:sz w:val="24"/>
          <w:szCs w:val="24"/>
        </w:rPr>
      </w:pPr>
      <w:r w:rsidRPr="0070631B">
        <w:rPr>
          <w:sz w:val="24"/>
          <w:szCs w:val="24"/>
          <w:vertAlign w:val="superscript"/>
        </w:rPr>
        <w:t>3</w:t>
      </w:r>
      <w:r w:rsidRPr="0070631B">
        <w:rPr>
          <w:sz w:val="24"/>
          <w:szCs w:val="24"/>
        </w:rPr>
        <w:t>UCLA Microbiome Center, David Geffen School of Medicine at University of California, Los Angeles, CA, USA</w:t>
      </w:r>
    </w:p>
    <w:p w14:paraId="753F541A" w14:textId="2A9EB69C" w:rsidR="003D6FF6" w:rsidRPr="0070631B" w:rsidRDefault="003D6FF6" w:rsidP="00D47367">
      <w:pPr>
        <w:spacing w:after="0" w:line="240" w:lineRule="auto"/>
        <w:jc w:val="both"/>
        <w:rPr>
          <w:sz w:val="24"/>
          <w:szCs w:val="24"/>
        </w:rPr>
      </w:pPr>
      <w:r w:rsidRPr="0070631B">
        <w:rPr>
          <w:sz w:val="24"/>
          <w:szCs w:val="24"/>
          <w:vertAlign w:val="superscript"/>
        </w:rPr>
        <w:t>4</w:t>
      </w:r>
      <w:r w:rsidRPr="0070631B">
        <w:rPr>
          <w:sz w:val="24"/>
          <w:szCs w:val="24"/>
        </w:rPr>
        <w:t>Department of Surgery, University of California, Los Angeles, CA, USA</w:t>
      </w:r>
    </w:p>
    <w:p w14:paraId="198A54D2" w14:textId="25D041CF" w:rsidR="003D6FF6" w:rsidRPr="0070631B" w:rsidRDefault="003D6FF6" w:rsidP="00D47367">
      <w:pPr>
        <w:spacing w:after="0" w:line="240" w:lineRule="auto"/>
        <w:jc w:val="both"/>
        <w:rPr>
          <w:sz w:val="24"/>
          <w:szCs w:val="24"/>
        </w:rPr>
      </w:pPr>
      <w:r w:rsidRPr="0070631B">
        <w:rPr>
          <w:sz w:val="24"/>
          <w:szCs w:val="24"/>
          <w:vertAlign w:val="superscript"/>
        </w:rPr>
        <w:t>5</w:t>
      </w:r>
      <w:r w:rsidRPr="0070631B">
        <w:rPr>
          <w:sz w:val="24"/>
          <w:szCs w:val="24"/>
        </w:rPr>
        <w:t>Department of Medicine and Human Genetics, David Geffen School of Medicine at University of California, Los Angeles, CA, USA</w:t>
      </w:r>
    </w:p>
    <w:p w14:paraId="6AE4BB00" w14:textId="41797273" w:rsidR="003D6FF6" w:rsidRPr="0070631B" w:rsidRDefault="003D6FF6" w:rsidP="00D47367">
      <w:pPr>
        <w:spacing w:after="0" w:line="240" w:lineRule="auto"/>
        <w:jc w:val="both"/>
        <w:rPr>
          <w:sz w:val="24"/>
          <w:szCs w:val="24"/>
        </w:rPr>
      </w:pPr>
      <w:r w:rsidRPr="0070631B">
        <w:rPr>
          <w:sz w:val="24"/>
          <w:szCs w:val="24"/>
          <w:vertAlign w:val="superscript"/>
        </w:rPr>
        <w:t>6</w:t>
      </w:r>
      <w:r w:rsidRPr="0070631B">
        <w:rPr>
          <w:sz w:val="24"/>
          <w:szCs w:val="24"/>
        </w:rPr>
        <w:t>Cedars-Sinai Cancer and Department of Medicine, Cedars-Sinai Medical Center, Los Angeles, CA, USA</w:t>
      </w:r>
    </w:p>
    <w:p w14:paraId="6303E42F" w14:textId="77777777" w:rsidR="0070631B" w:rsidRDefault="0070631B" w:rsidP="00D47367">
      <w:pPr>
        <w:spacing w:after="0" w:line="240" w:lineRule="auto"/>
        <w:jc w:val="both"/>
        <w:rPr>
          <w:sz w:val="24"/>
          <w:szCs w:val="24"/>
          <w:vertAlign w:val="superscript"/>
        </w:rPr>
      </w:pPr>
    </w:p>
    <w:p w14:paraId="258EBA71" w14:textId="4447D671" w:rsidR="00DA0029" w:rsidRDefault="00DB6373" w:rsidP="00D47367">
      <w:pPr>
        <w:spacing w:after="0" w:line="240" w:lineRule="auto"/>
        <w:jc w:val="both"/>
        <w:rPr>
          <w:sz w:val="24"/>
          <w:szCs w:val="24"/>
        </w:rPr>
      </w:pPr>
      <w:hyperlink r:id="rId8" w:history="1">
        <w:r w:rsidR="00DA0029" w:rsidRPr="00D537E9">
          <w:rPr>
            <w:rStyle w:val="Hyperlink"/>
            <w:sz w:val="24"/>
            <w:szCs w:val="24"/>
          </w:rPr>
          <w:t>benjamin.dreskin@va.gov</w:t>
        </w:r>
      </w:hyperlink>
    </w:p>
    <w:p w14:paraId="6F9336D9" w14:textId="72236EBB" w:rsidR="00DA0029" w:rsidRDefault="00DB6373" w:rsidP="00D47367">
      <w:pPr>
        <w:spacing w:after="0" w:line="240" w:lineRule="auto"/>
        <w:jc w:val="both"/>
        <w:rPr>
          <w:sz w:val="24"/>
          <w:szCs w:val="24"/>
        </w:rPr>
      </w:pPr>
      <w:hyperlink r:id="rId9" w:history="1">
        <w:r w:rsidR="00DA0029" w:rsidRPr="00D537E9">
          <w:rPr>
            <w:rStyle w:val="Hyperlink"/>
            <w:sz w:val="24"/>
            <w:szCs w:val="24"/>
          </w:rPr>
          <w:t>kayti.luu@va.gov</w:t>
        </w:r>
      </w:hyperlink>
    </w:p>
    <w:p w14:paraId="7DAC0CB4" w14:textId="221A9A40" w:rsidR="00DA0029" w:rsidRDefault="00DB6373" w:rsidP="00D47367">
      <w:pPr>
        <w:spacing w:after="0" w:line="240" w:lineRule="auto"/>
        <w:jc w:val="both"/>
        <w:rPr>
          <w:sz w:val="24"/>
          <w:szCs w:val="24"/>
        </w:rPr>
      </w:pPr>
      <w:hyperlink r:id="rId10" w:history="1">
        <w:r w:rsidR="00DA0029" w:rsidRPr="00D537E9">
          <w:rPr>
            <w:rStyle w:val="Hyperlink"/>
            <w:sz w:val="24"/>
            <w:szCs w:val="24"/>
          </w:rPr>
          <w:t>shehnaz.hussain@cshs.org</w:t>
        </w:r>
      </w:hyperlink>
    </w:p>
    <w:p w14:paraId="2780EE17" w14:textId="6D31ABAF" w:rsidR="00DA0029" w:rsidRDefault="00DB6373" w:rsidP="00D47367">
      <w:pPr>
        <w:spacing w:after="0" w:line="240" w:lineRule="auto"/>
        <w:jc w:val="both"/>
        <w:rPr>
          <w:sz w:val="24"/>
          <w:szCs w:val="24"/>
        </w:rPr>
      </w:pPr>
      <w:hyperlink r:id="rId11" w:history="1">
        <w:r w:rsidR="00DA0029" w:rsidRPr="00D537E9">
          <w:rPr>
            <w:rStyle w:val="Hyperlink"/>
            <w:sz w:val="24"/>
            <w:szCs w:val="24"/>
          </w:rPr>
          <w:t>tsdong@mednet.ucla.edu</w:t>
        </w:r>
      </w:hyperlink>
    </w:p>
    <w:p w14:paraId="183AB2FD" w14:textId="17FAFD07" w:rsidR="00DA0029" w:rsidRPr="0070631B" w:rsidRDefault="00DB6373" w:rsidP="00D47367">
      <w:pPr>
        <w:spacing w:after="0" w:line="240" w:lineRule="auto"/>
        <w:jc w:val="both"/>
        <w:rPr>
          <w:sz w:val="24"/>
          <w:szCs w:val="24"/>
        </w:rPr>
      </w:pPr>
      <w:hyperlink r:id="rId12" w:history="1">
        <w:r w:rsidR="00DA0029" w:rsidRPr="00D537E9">
          <w:rPr>
            <w:rStyle w:val="Hyperlink"/>
            <w:sz w:val="24"/>
            <w:szCs w:val="24"/>
          </w:rPr>
          <w:t>JBenhammou@mednet.ucla.edu</w:t>
        </w:r>
      </w:hyperlink>
    </w:p>
    <w:p w14:paraId="1EF14417" w14:textId="1D910D1B" w:rsidR="00DA0029" w:rsidRDefault="00DB6373" w:rsidP="00D47367">
      <w:pPr>
        <w:spacing w:after="0" w:line="240" w:lineRule="auto"/>
        <w:jc w:val="both"/>
        <w:rPr>
          <w:rFonts w:eastAsia="Times New Roman"/>
          <w:bCs/>
          <w:sz w:val="24"/>
          <w:szCs w:val="24"/>
        </w:rPr>
      </w:pPr>
      <w:hyperlink r:id="rId13" w:history="1">
        <w:r w:rsidR="00DA0029" w:rsidRPr="00D537E9">
          <w:rPr>
            <w:rStyle w:val="Hyperlink"/>
            <w:rFonts w:eastAsia="Times New Roman"/>
            <w:bCs/>
            <w:sz w:val="24"/>
            <w:szCs w:val="24"/>
          </w:rPr>
          <w:t>VLagishetty@mednet.ucla.edu</w:t>
        </w:r>
      </w:hyperlink>
      <w:r w:rsidR="00DA0029">
        <w:rPr>
          <w:rFonts w:eastAsia="Times New Roman"/>
          <w:bCs/>
          <w:sz w:val="24"/>
          <w:szCs w:val="24"/>
        </w:rPr>
        <w:t xml:space="preserve"> </w:t>
      </w:r>
    </w:p>
    <w:p w14:paraId="28CDF854" w14:textId="2C70378C" w:rsidR="00DA0029" w:rsidRDefault="00DB6373" w:rsidP="00D47367">
      <w:pPr>
        <w:spacing w:after="0" w:line="240" w:lineRule="auto"/>
        <w:jc w:val="both"/>
        <w:rPr>
          <w:rFonts w:eastAsia="Times New Roman"/>
          <w:bCs/>
          <w:sz w:val="24"/>
          <w:szCs w:val="24"/>
        </w:rPr>
      </w:pPr>
      <w:hyperlink r:id="rId14" w:history="1">
        <w:r w:rsidR="00DA0029" w:rsidRPr="00D537E9">
          <w:rPr>
            <w:rStyle w:val="Hyperlink"/>
            <w:rFonts w:eastAsia="Times New Roman"/>
            <w:bCs/>
            <w:sz w:val="24"/>
            <w:szCs w:val="24"/>
          </w:rPr>
          <w:t>john.vu@va.gov</w:t>
        </w:r>
      </w:hyperlink>
    </w:p>
    <w:p w14:paraId="00BC7D6B" w14:textId="3A0C228A" w:rsidR="00DA0029" w:rsidRDefault="00DB6373" w:rsidP="00D47367">
      <w:pPr>
        <w:spacing w:after="0" w:line="240" w:lineRule="auto"/>
        <w:jc w:val="both"/>
        <w:rPr>
          <w:rFonts w:eastAsia="Times New Roman"/>
          <w:bCs/>
          <w:sz w:val="24"/>
          <w:szCs w:val="24"/>
        </w:rPr>
      </w:pPr>
      <w:hyperlink r:id="rId15" w:history="1">
        <w:r w:rsidR="00DA0029" w:rsidRPr="00D537E9">
          <w:rPr>
            <w:rStyle w:val="Hyperlink"/>
            <w:rFonts w:eastAsia="Times New Roman"/>
            <w:bCs/>
            <w:sz w:val="24"/>
            <w:szCs w:val="24"/>
          </w:rPr>
          <w:t>daniel.sanford@va.gov</w:t>
        </w:r>
      </w:hyperlink>
    </w:p>
    <w:p w14:paraId="5A242F9C" w14:textId="18037EAC" w:rsidR="00DA0029" w:rsidRDefault="00DB6373" w:rsidP="00D47367">
      <w:pPr>
        <w:spacing w:after="0" w:line="240" w:lineRule="auto"/>
        <w:jc w:val="both"/>
        <w:rPr>
          <w:rFonts w:eastAsia="Times New Roman"/>
          <w:bCs/>
          <w:sz w:val="24"/>
          <w:szCs w:val="24"/>
        </w:rPr>
      </w:pPr>
      <w:hyperlink r:id="rId16" w:history="1">
        <w:r w:rsidR="00DA0029" w:rsidRPr="00D537E9">
          <w:rPr>
            <w:rStyle w:val="Hyperlink"/>
            <w:rFonts w:eastAsia="Times New Roman"/>
            <w:bCs/>
            <w:sz w:val="24"/>
            <w:szCs w:val="24"/>
          </w:rPr>
          <w:t>Fdurazo@mcw.edu</w:t>
        </w:r>
      </w:hyperlink>
    </w:p>
    <w:p w14:paraId="3943674A" w14:textId="00DD8DC0" w:rsidR="00DA0029" w:rsidRDefault="00DB6373" w:rsidP="00D47367">
      <w:pPr>
        <w:spacing w:after="0" w:line="240" w:lineRule="auto"/>
        <w:jc w:val="both"/>
        <w:rPr>
          <w:rFonts w:eastAsia="Times New Roman"/>
          <w:bCs/>
          <w:sz w:val="24"/>
          <w:szCs w:val="24"/>
        </w:rPr>
      </w:pPr>
      <w:hyperlink r:id="rId17" w:history="1">
        <w:r w:rsidR="00DA0029" w:rsidRPr="00D537E9">
          <w:rPr>
            <w:rStyle w:val="Hyperlink"/>
            <w:rFonts w:eastAsia="Times New Roman"/>
            <w:bCs/>
            <w:sz w:val="24"/>
            <w:szCs w:val="24"/>
          </w:rPr>
          <w:t>VAgopian@mednet.ucla.edu</w:t>
        </w:r>
      </w:hyperlink>
    </w:p>
    <w:p w14:paraId="69DE4B3C" w14:textId="3706EA47" w:rsidR="00DA0029" w:rsidRDefault="00DB6373" w:rsidP="00D47367">
      <w:pPr>
        <w:spacing w:after="0" w:line="240" w:lineRule="auto"/>
        <w:jc w:val="both"/>
        <w:rPr>
          <w:rFonts w:eastAsia="Times New Roman"/>
          <w:bCs/>
          <w:sz w:val="24"/>
          <w:szCs w:val="24"/>
        </w:rPr>
      </w:pPr>
      <w:hyperlink r:id="rId18" w:history="1">
        <w:r w:rsidR="00DA0029" w:rsidRPr="00D537E9">
          <w:rPr>
            <w:rStyle w:val="Hyperlink"/>
            <w:rFonts w:eastAsia="Times New Roman"/>
            <w:bCs/>
            <w:sz w:val="24"/>
            <w:szCs w:val="24"/>
          </w:rPr>
          <w:t>JJacobs@mednet.ucla.edu</w:t>
        </w:r>
      </w:hyperlink>
    </w:p>
    <w:p w14:paraId="0FF93655" w14:textId="4508D272" w:rsidR="00DA0029" w:rsidRDefault="00DB6373" w:rsidP="00D47367">
      <w:pPr>
        <w:spacing w:after="0" w:line="240" w:lineRule="auto"/>
        <w:jc w:val="both"/>
        <w:rPr>
          <w:rFonts w:eastAsia="Times New Roman"/>
          <w:bCs/>
          <w:sz w:val="24"/>
          <w:szCs w:val="24"/>
        </w:rPr>
      </w:pPr>
      <w:hyperlink r:id="rId19" w:history="1">
        <w:r w:rsidR="00DA0029" w:rsidRPr="00D537E9">
          <w:rPr>
            <w:rStyle w:val="Hyperlink"/>
            <w:rFonts w:eastAsia="Times New Roman"/>
            <w:bCs/>
            <w:sz w:val="24"/>
            <w:szCs w:val="24"/>
          </w:rPr>
          <w:t>joseph.pisegna@va.gov</w:t>
        </w:r>
      </w:hyperlink>
      <w:r w:rsidR="00DA0029">
        <w:rPr>
          <w:rFonts w:eastAsia="Times New Roman"/>
          <w:bCs/>
          <w:sz w:val="24"/>
          <w:szCs w:val="24"/>
        </w:rPr>
        <w:t xml:space="preserve"> </w:t>
      </w:r>
    </w:p>
    <w:p w14:paraId="16D570CE" w14:textId="77777777" w:rsidR="00DA0029" w:rsidRDefault="00DA0029" w:rsidP="00D47367">
      <w:pPr>
        <w:spacing w:after="0" w:line="240" w:lineRule="auto"/>
        <w:jc w:val="both"/>
        <w:rPr>
          <w:sz w:val="24"/>
          <w:szCs w:val="24"/>
        </w:rPr>
      </w:pPr>
    </w:p>
    <w:p w14:paraId="3825B6B1" w14:textId="7C424EC9" w:rsidR="0070631B" w:rsidRDefault="0070631B" w:rsidP="00D47367">
      <w:pPr>
        <w:spacing w:after="0" w:line="240" w:lineRule="auto"/>
        <w:jc w:val="both"/>
        <w:rPr>
          <w:sz w:val="24"/>
          <w:szCs w:val="24"/>
        </w:rPr>
      </w:pPr>
      <w:r>
        <w:rPr>
          <w:sz w:val="24"/>
          <w:szCs w:val="24"/>
        </w:rPr>
        <w:t>Corresponding authors:</w:t>
      </w:r>
    </w:p>
    <w:p w14:paraId="57735009" w14:textId="3D434D2D" w:rsidR="00DA0029" w:rsidRDefault="0070631B" w:rsidP="00D47367">
      <w:pPr>
        <w:spacing w:after="0" w:line="240" w:lineRule="auto"/>
        <w:jc w:val="both"/>
        <w:rPr>
          <w:sz w:val="24"/>
          <w:szCs w:val="24"/>
        </w:rPr>
      </w:pPr>
      <w:r>
        <w:rPr>
          <w:sz w:val="24"/>
          <w:szCs w:val="24"/>
        </w:rPr>
        <w:t>Benjamin W. Dreskin</w:t>
      </w:r>
    </w:p>
    <w:p w14:paraId="542EBC2A" w14:textId="485B7F26" w:rsidR="0070631B" w:rsidRDefault="0070631B" w:rsidP="00D47367">
      <w:pPr>
        <w:spacing w:after="0" w:line="240" w:lineRule="auto"/>
        <w:jc w:val="both"/>
        <w:rPr>
          <w:sz w:val="24"/>
          <w:szCs w:val="24"/>
        </w:rPr>
      </w:pPr>
      <w:r>
        <w:rPr>
          <w:sz w:val="24"/>
          <w:szCs w:val="24"/>
        </w:rPr>
        <w:t>Kayti Luu</w:t>
      </w:r>
      <w:r w:rsidR="00FC3263" w:rsidRPr="0070631B">
        <w:rPr>
          <w:sz w:val="24"/>
          <w:szCs w:val="24"/>
        </w:rPr>
        <w:t xml:space="preserve"> </w:t>
      </w:r>
    </w:p>
    <w:p w14:paraId="222D9FEE" w14:textId="3293EC67" w:rsidR="00FC3263" w:rsidRDefault="0070631B" w:rsidP="00D47367">
      <w:pPr>
        <w:spacing w:after="0" w:line="240" w:lineRule="auto"/>
        <w:jc w:val="both"/>
        <w:rPr>
          <w:sz w:val="24"/>
          <w:szCs w:val="24"/>
        </w:rPr>
      </w:pPr>
      <w:proofErr w:type="spellStart"/>
      <w:r>
        <w:rPr>
          <w:sz w:val="24"/>
          <w:szCs w:val="24"/>
        </w:rPr>
        <w:t>Shenaz</w:t>
      </w:r>
      <w:proofErr w:type="spellEnd"/>
      <w:r>
        <w:rPr>
          <w:sz w:val="24"/>
          <w:szCs w:val="24"/>
        </w:rPr>
        <w:t xml:space="preserve"> K. Hussain </w:t>
      </w:r>
    </w:p>
    <w:p w14:paraId="1E7F7D16" w14:textId="090B60B9" w:rsidR="0070631B" w:rsidRPr="00AD2D4E" w:rsidRDefault="00CC614A" w:rsidP="00D47367">
      <w:pPr>
        <w:spacing w:after="0" w:line="240" w:lineRule="auto"/>
        <w:jc w:val="both"/>
        <w:rPr>
          <w:rFonts w:eastAsia="Times New Roman"/>
          <w:bCs/>
          <w:sz w:val="24"/>
          <w:szCs w:val="24"/>
        </w:rPr>
      </w:pPr>
      <w:r>
        <w:rPr>
          <w:rFonts w:eastAsia="Times New Roman"/>
          <w:bCs/>
          <w:sz w:val="24"/>
          <w:szCs w:val="24"/>
        </w:rPr>
        <w:t xml:space="preserve">  </w:t>
      </w:r>
    </w:p>
    <w:p w14:paraId="4D80B7A0" w14:textId="77777777" w:rsidR="0070631B" w:rsidRDefault="0070631B" w:rsidP="00D47367">
      <w:pPr>
        <w:spacing w:after="0" w:line="240" w:lineRule="auto"/>
        <w:jc w:val="both"/>
        <w:rPr>
          <w:rFonts w:eastAsia="Times New Roman"/>
          <w:b/>
          <w:sz w:val="24"/>
          <w:szCs w:val="24"/>
        </w:rPr>
      </w:pPr>
      <w:r>
        <w:rPr>
          <w:rFonts w:eastAsia="Times New Roman"/>
          <w:b/>
          <w:sz w:val="24"/>
          <w:szCs w:val="24"/>
        </w:rPr>
        <w:t>KEYWORDS</w:t>
      </w:r>
      <w:r w:rsidR="00631427" w:rsidRPr="0070631B">
        <w:rPr>
          <w:rFonts w:eastAsia="Times New Roman"/>
          <w:b/>
          <w:sz w:val="24"/>
          <w:szCs w:val="24"/>
        </w:rPr>
        <w:t>:</w:t>
      </w:r>
    </w:p>
    <w:p w14:paraId="4DED581E" w14:textId="1E5D5DEE" w:rsidR="004B698A" w:rsidRPr="0070631B" w:rsidRDefault="00631427" w:rsidP="00D47367">
      <w:pPr>
        <w:spacing w:after="0" w:line="240" w:lineRule="auto"/>
        <w:jc w:val="both"/>
        <w:rPr>
          <w:rFonts w:eastAsia="Times New Roman"/>
          <w:sz w:val="24"/>
          <w:szCs w:val="24"/>
        </w:rPr>
      </w:pPr>
      <w:r w:rsidRPr="0070631B">
        <w:rPr>
          <w:rFonts w:eastAsia="Times New Roman"/>
          <w:sz w:val="24"/>
          <w:szCs w:val="24"/>
        </w:rPr>
        <w:t>Duodenal microbiome; Liver cirrhosis; Diet</w:t>
      </w:r>
      <w:r w:rsidR="00DB70EA" w:rsidRPr="0070631B">
        <w:rPr>
          <w:rFonts w:eastAsia="Times New Roman"/>
          <w:sz w:val="24"/>
          <w:szCs w:val="24"/>
        </w:rPr>
        <w:t xml:space="preserve">; upper endoscopy; </w:t>
      </w:r>
      <w:r w:rsidR="003C0634" w:rsidRPr="0070631B">
        <w:rPr>
          <w:rFonts w:eastAsia="Times New Roman"/>
          <w:sz w:val="24"/>
          <w:szCs w:val="24"/>
        </w:rPr>
        <w:t>16S rRNA sequencing</w:t>
      </w:r>
      <w:r w:rsidR="00DB70EA" w:rsidRPr="0070631B">
        <w:rPr>
          <w:rFonts w:eastAsia="Times New Roman"/>
          <w:sz w:val="24"/>
          <w:szCs w:val="24"/>
        </w:rPr>
        <w:t>; microbiome</w:t>
      </w:r>
    </w:p>
    <w:p w14:paraId="7710923F" w14:textId="77777777" w:rsidR="0070631B" w:rsidRDefault="0070631B" w:rsidP="00D47367">
      <w:pPr>
        <w:spacing w:after="0" w:line="240" w:lineRule="auto"/>
        <w:jc w:val="both"/>
        <w:rPr>
          <w:rFonts w:eastAsia="Times New Roman"/>
          <w:b/>
          <w:sz w:val="24"/>
          <w:szCs w:val="24"/>
        </w:rPr>
      </w:pPr>
    </w:p>
    <w:p w14:paraId="255A4F77" w14:textId="68E5C7A8" w:rsidR="004B698A" w:rsidRPr="0070631B" w:rsidRDefault="0070631B" w:rsidP="00D47367">
      <w:pPr>
        <w:spacing w:after="0" w:line="240" w:lineRule="auto"/>
        <w:jc w:val="both"/>
        <w:rPr>
          <w:rFonts w:eastAsia="Times New Roman"/>
          <w:b/>
          <w:sz w:val="24"/>
          <w:szCs w:val="24"/>
        </w:rPr>
      </w:pPr>
      <w:r>
        <w:rPr>
          <w:rFonts w:eastAsia="Times New Roman"/>
          <w:b/>
          <w:sz w:val="24"/>
          <w:szCs w:val="24"/>
        </w:rPr>
        <w:t>SUMMARY</w:t>
      </w:r>
      <w:r w:rsidR="00631427" w:rsidRPr="0070631B">
        <w:rPr>
          <w:rFonts w:eastAsia="Times New Roman"/>
          <w:b/>
          <w:sz w:val="24"/>
          <w:szCs w:val="24"/>
        </w:rPr>
        <w:t>:</w:t>
      </w:r>
    </w:p>
    <w:p w14:paraId="14A75689" w14:textId="77777777" w:rsidR="004B698A" w:rsidRPr="0070631B" w:rsidRDefault="00631427" w:rsidP="00D47367">
      <w:pPr>
        <w:spacing w:after="0" w:line="240" w:lineRule="auto"/>
        <w:jc w:val="both"/>
        <w:rPr>
          <w:rFonts w:eastAsia="Times New Roman"/>
          <w:sz w:val="24"/>
          <w:szCs w:val="24"/>
        </w:rPr>
      </w:pPr>
      <w:r w:rsidRPr="0070631B">
        <w:rPr>
          <w:rFonts w:eastAsia="Times New Roman"/>
          <w:sz w:val="24"/>
          <w:szCs w:val="24"/>
        </w:rPr>
        <w:lastRenderedPageBreak/>
        <w:t>In this manuscript, we discuss a novel method to sample and analyze the duodenal microbiome. This method provides an accurate depiction of microbial diversity and composition in the duodenum and could be useful for further investigation of the duodenal microbiome.</w:t>
      </w:r>
    </w:p>
    <w:p w14:paraId="68C97537" w14:textId="77777777" w:rsidR="0070631B" w:rsidRDefault="0070631B" w:rsidP="00D47367">
      <w:pPr>
        <w:spacing w:after="0" w:line="240" w:lineRule="auto"/>
        <w:jc w:val="both"/>
        <w:rPr>
          <w:rFonts w:eastAsia="Times New Roman"/>
          <w:b/>
          <w:sz w:val="24"/>
          <w:szCs w:val="24"/>
        </w:rPr>
      </w:pPr>
    </w:p>
    <w:p w14:paraId="72AF7220" w14:textId="03A1F0E2" w:rsidR="004B698A" w:rsidRPr="0070631B" w:rsidRDefault="0070631B" w:rsidP="00D47367">
      <w:pPr>
        <w:spacing w:after="0" w:line="240" w:lineRule="auto"/>
        <w:jc w:val="both"/>
        <w:rPr>
          <w:rFonts w:eastAsia="Times New Roman"/>
          <w:b/>
          <w:sz w:val="24"/>
          <w:szCs w:val="24"/>
        </w:rPr>
      </w:pPr>
      <w:r>
        <w:rPr>
          <w:rFonts w:eastAsia="Times New Roman"/>
          <w:b/>
          <w:sz w:val="24"/>
          <w:szCs w:val="24"/>
        </w:rPr>
        <w:t>ABSTRACT</w:t>
      </w:r>
      <w:r w:rsidR="00631427" w:rsidRPr="0070631B">
        <w:rPr>
          <w:rFonts w:eastAsia="Times New Roman"/>
          <w:b/>
          <w:sz w:val="24"/>
          <w:szCs w:val="24"/>
        </w:rPr>
        <w:t>:</w:t>
      </w:r>
    </w:p>
    <w:p w14:paraId="4FBA23D8" w14:textId="148A5DEB" w:rsidR="004B698A" w:rsidRPr="0070631B" w:rsidRDefault="00631427" w:rsidP="00D47367">
      <w:pPr>
        <w:spacing w:after="0" w:line="240" w:lineRule="auto"/>
        <w:jc w:val="both"/>
        <w:rPr>
          <w:rFonts w:eastAsia="Times New Roman"/>
          <w:sz w:val="24"/>
          <w:szCs w:val="24"/>
        </w:rPr>
      </w:pPr>
      <w:bookmarkStart w:id="0" w:name="_rz6mugjl3aju" w:colFirst="0" w:colLast="0"/>
      <w:bookmarkEnd w:id="0"/>
      <w:r w:rsidRPr="0070631B">
        <w:rPr>
          <w:rFonts w:eastAsia="Times New Roman"/>
          <w:sz w:val="24"/>
          <w:szCs w:val="24"/>
        </w:rPr>
        <w:t xml:space="preserve">Shifts in the microbiome have been correlated with the physiology and pathophysiology of many organ systems </w:t>
      </w:r>
      <w:r w:rsidR="00B80F59" w:rsidRPr="0070631B">
        <w:rPr>
          <w:rFonts w:eastAsia="Times New Roman"/>
          <w:sz w:val="24"/>
          <w:szCs w:val="24"/>
        </w:rPr>
        <w:t xml:space="preserve">both </w:t>
      </w:r>
      <w:r w:rsidRPr="0070631B">
        <w:rPr>
          <w:rFonts w:eastAsia="Times New Roman"/>
          <w:sz w:val="24"/>
          <w:szCs w:val="24"/>
        </w:rPr>
        <w:t>in human</w:t>
      </w:r>
      <w:r w:rsidR="00B80F59">
        <w:rPr>
          <w:rFonts w:eastAsia="Times New Roman"/>
          <w:sz w:val="24"/>
          <w:szCs w:val="24"/>
        </w:rPr>
        <w:t>s</w:t>
      </w:r>
      <w:r w:rsidRPr="0070631B">
        <w:rPr>
          <w:rFonts w:eastAsia="Times New Roman"/>
          <w:sz w:val="24"/>
          <w:szCs w:val="24"/>
        </w:rPr>
        <w:t xml:space="preserve"> and</w:t>
      </w:r>
      <w:r w:rsidR="00B80F59">
        <w:rPr>
          <w:rFonts w:eastAsia="Times New Roman"/>
          <w:sz w:val="24"/>
          <w:szCs w:val="24"/>
        </w:rPr>
        <w:t xml:space="preserve"> in</w:t>
      </w:r>
      <w:r w:rsidRPr="0070631B">
        <w:rPr>
          <w:rFonts w:eastAsia="Times New Roman"/>
          <w:sz w:val="24"/>
          <w:szCs w:val="24"/>
        </w:rPr>
        <w:t xml:space="preserve"> mouse models. The gut microbiome has been typically studied through fecal specimen collections. The ease of obtaining fecal samples has resulted in many studies</w:t>
      </w:r>
      <w:r w:rsidR="00B80F59">
        <w:rPr>
          <w:rFonts w:eastAsia="Times New Roman"/>
          <w:sz w:val="24"/>
          <w:szCs w:val="24"/>
        </w:rPr>
        <w:t xml:space="preserve"> that have</w:t>
      </w:r>
      <w:r w:rsidRPr="0070631B">
        <w:rPr>
          <w:rFonts w:eastAsia="Times New Roman"/>
          <w:sz w:val="24"/>
          <w:szCs w:val="24"/>
        </w:rPr>
        <w:t xml:space="preserve"> reveal</w:t>
      </w:r>
      <w:r w:rsidR="00B80F59">
        <w:rPr>
          <w:rFonts w:eastAsia="Times New Roman"/>
          <w:sz w:val="24"/>
          <w:szCs w:val="24"/>
        </w:rPr>
        <w:t xml:space="preserve">ed </w:t>
      </w:r>
      <w:r w:rsidRPr="0070631B">
        <w:rPr>
          <w:rFonts w:eastAsia="Times New Roman"/>
          <w:sz w:val="24"/>
          <w:szCs w:val="24"/>
        </w:rPr>
        <w:t>information concerning the distal luminal gastrointestinal tract</w:t>
      </w:r>
      <w:r w:rsidR="00B80F59">
        <w:rPr>
          <w:rFonts w:eastAsia="Times New Roman"/>
          <w:sz w:val="24"/>
          <w:szCs w:val="24"/>
        </w:rPr>
        <w:t>. H</w:t>
      </w:r>
      <w:r w:rsidRPr="0070631B">
        <w:rPr>
          <w:rFonts w:eastAsia="Times New Roman"/>
          <w:sz w:val="24"/>
          <w:szCs w:val="24"/>
        </w:rPr>
        <w:t>owever</w:t>
      </w:r>
      <w:r w:rsidR="00B80F59">
        <w:rPr>
          <w:rFonts w:eastAsia="Times New Roman"/>
          <w:sz w:val="24"/>
          <w:szCs w:val="24"/>
        </w:rPr>
        <w:t>,</w:t>
      </w:r>
      <w:r w:rsidRPr="0070631B">
        <w:rPr>
          <w:rFonts w:eastAsia="Times New Roman"/>
          <w:sz w:val="24"/>
          <w:szCs w:val="24"/>
        </w:rPr>
        <w:t xml:space="preserve"> few studies </w:t>
      </w:r>
      <w:r w:rsidR="00B80F59">
        <w:rPr>
          <w:rFonts w:eastAsia="Times New Roman"/>
          <w:sz w:val="24"/>
          <w:szCs w:val="24"/>
        </w:rPr>
        <w:t xml:space="preserve">have </w:t>
      </w:r>
      <w:r w:rsidRPr="0070631B">
        <w:rPr>
          <w:rFonts w:eastAsia="Times New Roman"/>
          <w:sz w:val="24"/>
          <w:szCs w:val="24"/>
        </w:rPr>
        <w:t>address</w:t>
      </w:r>
      <w:r w:rsidR="00B80F59">
        <w:rPr>
          <w:rFonts w:eastAsia="Times New Roman"/>
          <w:sz w:val="24"/>
          <w:szCs w:val="24"/>
        </w:rPr>
        <w:t>ed</w:t>
      </w:r>
      <w:r w:rsidRPr="0070631B">
        <w:rPr>
          <w:rFonts w:eastAsia="Times New Roman"/>
          <w:sz w:val="24"/>
          <w:szCs w:val="24"/>
        </w:rPr>
        <w:t xml:space="preserve"> the importance of the microbiome in the proximal gut. </w:t>
      </w:r>
      <w:r w:rsidR="00780F2B" w:rsidRPr="0070631B">
        <w:rPr>
          <w:rFonts w:eastAsia="Times New Roman"/>
          <w:sz w:val="24"/>
          <w:szCs w:val="24"/>
        </w:rPr>
        <w:t xml:space="preserve">Given that the duodenum is a major site for digestion and absorption, its microbiome is relevant to nutrition and liver disease and warrants further investigation. </w:t>
      </w:r>
      <w:r w:rsidRPr="0070631B">
        <w:rPr>
          <w:rFonts w:eastAsia="Times New Roman"/>
          <w:sz w:val="24"/>
          <w:szCs w:val="24"/>
        </w:rPr>
        <w:t xml:space="preserve">Here we detail a novel method </w:t>
      </w:r>
      <w:r w:rsidR="00B80F59">
        <w:rPr>
          <w:rFonts w:eastAsia="Times New Roman"/>
          <w:sz w:val="24"/>
          <w:szCs w:val="24"/>
        </w:rPr>
        <w:t>for</w:t>
      </w:r>
      <w:r w:rsidRPr="0070631B">
        <w:rPr>
          <w:rFonts w:eastAsia="Times New Roman"/>
          <w:sz w:val="24"/>
          <w:szCs w:val="24"/>
        </w:rPr>
        <w:t xml:space="preserve"> sampl</w:t>
      </w:r>
      <w:r w:rsidR="00B80F59">
        <w:rPr>
          <w:rFonts w:eastAsia="Times New Roman"/>
          <w:sz w:val="24"/>
          <w:szCs w:val="24"/>
        </w:rPr>
        <w:t>ing</w:t>
      </w:r>
      <w:r w:rsidRPr="0070631B">
        <w:rPr>
          <w:rFonts w:eastAsia="Times New Roman"/>
          <w:sz w:val="24"/>
          <w:szCs w:val="24"/>
        </w:rPr>
        <w:t xml:space="preserve"> the proximal luminal and mucosal gut microbiome in human subjects undergoing upper endoscopy by obtaining duodenal aspirate and biopsies. Specimen procurement is facile and unaffected by artifacts such as patient preparatory adherence, as might be the case in obtaining colonic samples during colonoscopy. </w:t>
      </w:r>
      <w:r w:rsidR="00CC614A">
        <w:rPr>
          <w:rFonts w:eastAsia="Times New Roman"/>
          <w:sz w:val="24"/>
          <w:szCs w:val="24"/>
        </w:rPr>
        <w:t>The</w:t>
      </w:r>
      <w:r w:rsidR="00CC614A" w:rsidRPr="0070631B">
        <w:rPr>
          <w:rFonts w:eastAsia="Times New Roman"/>
          <w:sz w:val="24"/>
          <w:szCs w:val="24"/>
        </w:rPr>
        <w:t xml:space="preserve"> </w:t>
      </w:r>
      <w:r w:rsidRPr="0070631B">
        <w:rPr>
          <w:rFonts w:eastAsia="Times New Roman"/>
          <w:sz w:val="24"/>
          <w:szCs w:val="24"/>
        </w:rPr>
        <w:t>preliminary results show that the luminal and mucosal microbiomes differ significantly</w:t>
      </w:r>
      <w:r w:rsidR="00BD1E7A" w:rsidRPr="0070631B">
        <w:rPr>
          <w:rFonts w:eastAsia="Times New Roman"/>
          <w:sz w:val="24"/>
          <w:szCs w:val="24"/>
        </w:rPr>
        <w:t xml:space="preserve">, which is likely related to environmental conditions and barrier functions. </w:t>
      </w:r>
      <w:r w:rsidRPr="0070631B">
        <w:rPr>
          <w:rFonts w:eastAsia="Times New Roman"/>
          <w:sz w:val="24"/>
          <w:szCs w:val="24"/>
        </w:rPr>
        <w:t xml:space="preserve">Therefore, a combination of duodenal aspirate and biopsies reveal a </w:t>
      </w:r>
      <w:r w:rsidR="00BD1E7A" w:rsidRPr="0070631B">
        <w:rPr>
          <w:rFonts w:eastAsia="Times New Roman"/>
          <w:sz w:val="24"/>
          <w:szCs w:val="24"/>
        </w:rPr>
        <w:t xml:space="preserve">more comprehensive </w:t>
      </w:r>
      <w:r w:rsidRPr="0070631B">
        <w:rPr>
          <w:rFonts w:eastAsia="Times New Roman"/>
          <w:sz w:val="24"/>
          <w:szCs w:val="24"/>
        </w:rPr>
        <w:t>picture of the microbiome in the duodenum. Biopsies are obtained from the descending and horizontal segments of the duodenum</w:t>
      </w:r>
      <w:r w:rsidR="00B80F59">
        <w:rPr>
          <w:rFonts w:eastAsia="Times New Roman"/>
          <w:sz w:val="24"/>
          <w:szCs w:val="24"/>
        </w:rPr>
        <w:t>, which</w:t>
      </w:r>
      <w:r w:rsidRPr="0070631B">
        <w:rPr>
          <w:rFonts w:eastAsia="Times New Roman"/>
          <w:sz w:val="24"/>
          <w:szCs w:val="24"/>
        </w:rPr>
        <w:t xml:space="preserve"> are anatomically close to </w:t>
      </w:r>
      <w:r w:rsidR="00780F2B" w:rsidRPr="0070631B">
        <w:rPr>
          <w:rFonts w:eastAsia="Times New Roman"/>
          <w:sz w:val="24"/>
          <w:szCs w:val="24"/>
        </w:rPr>
        <w:t xml:space="preserve">the </w:t>
      </w:r>
      <w:r w:rsidRPr="0070631B">
        <w:rPr>
          <w:rFonts w:eastAsia="Times New Roman"/>
          <w:sz w:val="24"/>
          <w:szCs w:val="24"/>
        </w:rPr>
        <w:t xml:space="preserve">liver and biliary </w:t>
      </w:r>
      <w:r w:rsidR="00780F2B" w:rsidRPr="0070631B">
        <w:rPr>
          <w:rFonts w:eastAsia="Times New Roman"/>
          <w:sz w:val="24"/>
          <w:szCs w:val="24"/>
        </w:rPr>
        <w:t>tree</w:t>
      </w:r>
      <w:r w:rsidRPr="0070631B">
        <w:rPr>
          <w:rFonts w:eastAsia="Times New Roman"/>
          <w:sz w:val="24"/>
          <w:szCs w:val="24"/>
        </w:rPr>
        <w:t xml:space="preserve">. This is important in studying the role of bile acid biology and the </w:t>
      </w:r>
      <w:r w:rsidR="00BD1E7A" w:rsidRPr="0070631B">
        <w:rPr>
          <w:rFonts w:eastAsia="Times New Roman"/>
          <w:sz w:val="24"/>
          <w:szCs w:val="24"/>
        </w:rPr>
        <w:t xml:space="preserve">gut-liver </w:t>
      </w:r>
      <w:r w:rsidRPr="0070631B">
        <w:rPr>
          <w:rFonts w:eastAsia="Times New Roman"/>
          <w:sz w:val="24"/>
          <w:szCs w:val="24"/>
        </w:rPr>
        <w:t xml:space="preserve">axis in liver disease. Biopsies </w:t>
      </w:r>
      <w:r w:rsidR="00BD1E7A" w:rsidRPr="0070631B">
        <w:rPr>
          <w:rFonts w:eastAsia="Times New Roman"/>
          <w:sz w:val="24"/>
          <w:szCs w:val="24"/>
        </w:rPr>
        <w:t xml:space="preserve">and aspirate </w:t>
      </w:r>
      <w:r w:rsidRPr="0070631B">
        <w:rPr>
          <w:rFonts w:eastAsia="Times New Roman"/>
          <w:sz w:val="24"/>
          <w:szCs w:val="24"/>
        </w:rPr>
        <w:t xml:space="preserve">can be used for 16S ribosomal RNA sequencing, metabolomics, and other similar applications. </w:t>
      </w:r>
    </w:p>
    <w:p w14:paraId="2737B6C6" w14:textId="77777777" w:rsidR="00B80F59" w:rsidRDefault="00B80F59" w:rsidP="00D47367">
      <w:pPr>
        <w:spacing w:after="0" w:line="240" w:lineRule="auto"/>
        <w:jc w:val="both"/>
        <w:rPr>
          <w:rFonts w:eastAsia="Times New Roman"/>
          <w:b/>
          <w:sz w:val="24"/>
          <w:szCs w:val="24"/>
        </w:rPr>
      </w:pPr>
    </w:p>
    <w:p w14:paraId="32FDF6CD" w14:textId="0DA6FBCB" w:rsidR="004B698A" w:rsidRPr="0070631B" w:rsidRDefault="00B80F59" w:rsidP="00D47367">
      <w:pPr>
        <w:spacing w:after="0" w:line="240" w:lineRule="auto"/>
        <w:jc w:val="both"/>
        <w:rPr>
          <w:rFonts w:eastAsia="Times New Roman"/>
          <w:sz w:val="24"/>
          <w:szCs w:val="24"/>
        </w:rPr>
      </w:pPr>
      <w:r>
        <w:rPr>
          <w:rFonts w:eastAsia="Times New Roman"/>
          <w:b/>
          <w:sz w:val="24"/>
          <w:szCs w:val="24"/>
        </w:rPr>
        <w:t>INTRODUCTION</w:t>
      </w:r>
      <w:r w:rsidR="00631427" w:rsidRPr="0070631B">
        <w:rPr>
          <w:rFonts w:eastAsia="Times New Roman"/>
          <w:b/>
          <w:sz w:val="24"/>
          <w:szCs w:val="24"/>
        </w:rPr>
        <w:t>:</w:t>
      </w:r>
    </w:p>
    <w:p w14:paraId="53F1EE70" w14:textId="1B41C981" w:rsidR="004B698A" w:rsidRPr="0070631B" w:rsidRDefault="00631427" w:rsidP="00D47367">
      <w:pPr>
        <w:spacing w:after="0" w:line="240" w:lineRule="auto"/>
        <w:jc w:val="both"/>
        <w:rPr>
          <w:rFonts w:eastAsia="Times New Roman"/>
          <w:sz w:val="24"/>
          <w:szCs w:val="24"/>
        </w:rPr>
      </w:pPr>
      <w:r w:rsidRPr="0070631B">
        <w:rPr>
          <w:rFonts w:eastAsia="Times New Roman"/>
          <w:sz w:val="24"/>
          <w:szCs w:val="24"/>
        </w:rPr>
        <w:t>The intestinal microbiome has become an area of increased interest in recent years. It is now understood that the diverse bacterial population in the gut can differ based on a variety of factors</w:t>
      </w:r>
      <w:r w:rsidR="00B80F59">
        <w:rPr>
          <w:rFonts w:eastAsia="Times New Roman"/>
          <w:sz w:val="24"/>
          <w:szCs w:val="24"/>
        </w:rPr>
        <w:t>,</w:t>
      </w:r>
      <w:r w:rsidRPr="0070631B">
        <w:rPr>
          <w:rFonts w:eastAsia="Times New Roman"/>
          <w:sz w:val="24"/>
          <w:szCs w:val="24"/>
        </w:rPr>
        <w:t xml:space="preserve"> including genetics, diet, medication, and environmental </w:t>
      </w:r>
      <w:r w:rsidR="00B80F59">
        <w:rPr>
          <w:rFonts w:eastAsia="Times New Roman"/>
          <w:sz w:val="24"/>
          <w:szCs w:val="24"/>
        </w:rPr>
        <w:t>influences</w:t>
      </w:r>
      <w:r w:rsidR="00CC614A" w:rsidRPr="00D47367">
        <w:rPr>
          <w:rFonts w:eastAsia="Times New Roman"/>
          <w:sz w:val="24"/>
          <w:szCs w:val="24"/>
          <w:vertAlign w:val="superscript"/>
        </w:rPr>
        <w:t>1</w:t>
      </w:r>
      <w:r w:rsidRPr="0070631B">
        <w:rPr>
          <w:rFonts w:eastAsia="Times New Roman"/>
          <w:sz w:val="24"/>
          <w:szCs w:val="24"/>
        </w:rPr>
        <w:t>. Studies have also identified unique microbial profiles linked to varying gastrointestinal diseases, such as obesity, inflammatory bowel disease, and liver disease</w:t>
      </w:r>
      <w:r w:rsidRPr="0070631B">
        <w:rPr>
          <w:rFonts w:eastAsia="Times New Roman"/>
          <w:sz w:val="24"/>
          <w:szCs w:val="24"/>
          <w:vertAlign w:val="superscript"/>
        </w:rPr>
        <w:t>2,3</w:t>
      </w:r>
      <w:r w:rsidRPr="0070631B">
        <w:rPr>
          <w:rFonts w:eastAsia="Times New Roman"/>
          <w:sz w:val="24"/>
          <w:szCs w:val="24"/>
        </w:rPr>
        <w:t xml:space="preserve">. The majority of studies focus on profiling the microbiome of the large intestine through </w:t>
      </w:r>
      <w:r w:rsidR="00B80F59">
        <w:rPr>
          <w:rFonts w:eastAsia="Times New Roman"/>
          <w:sz w:val="24"/>
          <w:szCs w:val="24"/>
        </w:rPr>
        <w:t xml:space="preserve">the </w:t>
      </w:r>
      <w:r w:rsidRPr="0070631B">
        <w:rPr>
          <w:rFonts w:eastAsia="Times New Roman"/>
          <w:sz w:val="24"/>
          <w:szCs w:val="24"/>
        </w:rPr>
        <w:t>analysis of fecal and distal mucosal samples</w:t>
      </w:r>
      <w:r w:rsidRPr="0070631B">
        <w:rPr>
          <w:rFonts w:eastAsia="Times New Roman"/>
          <w:sz w:val="24"/>
          <w:szCs w:val="24"/>
          <w:vertAlign w:val="superscript"/>
        </w:rPr>
        <w:t>4</w:t>
      </w:r>
      <w:r w:rsidRPr="0070631B">
        <w:rPr>
          <w:rFonts w:eastAsia="Times New Roman"/>
          <w:sz w:val="24"/>
          <w:szCs w:val="24"/>
        </w:rPr>
        <w:t>. Although the highest concentration of intestinal bacteria resides in the colon (10</w:t>
      </w:r>
      <w:r w:rsidRPr="0070631B">
        <w:rPr>
          <w:rFonts w:eastAsia="Times New Roman"/>
          <w:sz w:val="24"/>
          <w:szCs w:val="24"/>
          <w:vertAlign w:val="superscript"/>
        </w:rPr>
        <w:t>12</w:t>
      </w:r>
      <w:r w:rsidRPr="0070631B">
        <w:rPr>
          <w:rFonts w:eastAsia="Times New Roman"/>
          <w:sz w:val="24"/>
          <w:szCs w:val="24"/>
        </w:rPr>
        <w:t xml:space="preserve"> bacteria/gram), </w:t>
      </w:r>
      <w:r w:rsidR="00CC614A" w:rsidRPr="0070631B">
        <w:rPr>
          <w:rFonts w:eastAsia="Times New Roman"/>
          <w:sz w:val="24"/>
          <w:szCs w:val="24"/>
        </w:rPr>
        <w:t xml:space="preserve">there </w:t>
      </w:r>
      <w:r w:rsidRPr="0070631B">
        <w:rPr>
          <w:rFonts w:eastAsia="Times New Roman"/>
          <w:sz w:val="24"/>
          <w:szCs w:val="24"/>
        </w:rPr>
        <w:t xml:space="preserve">nevertheless is a complex community of microbes residing in the </w:t>
      </w:r>
      <w:r w:rsidR="00CD4E5D" w:rsidRPr="0070631B">
        <w:rPr>
          <w:rFonts w:eastAsia="Times New Roman"/>
          <w:sz w:val="24"/>
          <w:szCs w:val="24"/>
        </w:rPr>
        <w:t>duodenum</w:t>
      </w:r>
      <w:r w:rsidRPr="0070631B">
        <w:rPr>
          <w:rFonts w:eastAsia="Times New Roman"/>
          <w:sz w:val="24"/>
          <w:szCs w:val="24"/>
        </w:rPr>
        <w:t xml:space="preserve"> (10</w:t>
      </w:r>
      <w:r w:rsidRPr="0070631B">
        <w:rPr>
          <w:rFonts w:eastAsia="Times New Roman"/>
          <w:sz w:val="24"/>
          <w:szCs w:val="24"/>
          <w:vertAlign w:val="superscript"/>
        </w:rPr>
        <w:t>3</w:t>
      </w:r>
      <w:r w:rsidRPr="0070631B">
        <w:rPr>
          <w:rFonts w:eastAsia="Times New Roman"/>
          <w:sz w:val="24"/>
          <w:szCs w:val="24"/>
        </w:rPr>
        <w:t>/g), jejunum (10</w:t>
      </w:r>
      <w:r w:rsidRPr="0070631B">
        <w:rPr>
          <w:rFonts w:eastAsia="Times New Roman"/>
          <w:sz w:val="24"/>
          <w:szCs w:val="24"/>
          <w:vertAlign w:val="superscript"/>
        </w:rPr>
        <w:t>4</w:t>
      </w:r>
      <w:r w:rsidRPr="0070631B">
        <w:rPr>
          <w:rFonts w:eastAsia="Times New Roman"/>
          <w:sz w:val="24"/>
          <w:szCs w:val="24"/>
        </w:rPr>
        <w:t xml:space="preserve">/g), </w:t>
      </w:r>
      <w:r w:rsidR="00CD4E5D" w:rsidRPr="0070631B">
        <w:rPr>
          <w:rFonts w:eastAsia="Times New Roman"/>
          <w:sz w:val="24"/>
          <w:szCs w:val="24"/>
        </w:rPr>
        <w:t xml:space="preserve">and </w:t>
      </w:r>
      <w:r w:rsidRPr="0070631B">
        <w:rPr>
          <w:rFonts w:eastAsia="Times New Roman"/>
          <w:sz w:val="24"/>
          <w:szCs w:val="24"/>
        </w:rPr>
        <w:t>ileum (10</w:t>
      </w:r>
      <w:r w:rsidRPr="0070631B">
        <w:rPr>
          <w:rFonts w:eastAsia="Times New Roman"/>
          <w:sz w:val="24"/>
          <w:szCs w:val="24"/>
          <w:vertAlign w:val="superscript"/>
        </w:rPr>
        <w:t>7</w:t>
      </w:r>
      <w:r w:rsidRPr="0070631B">
        <w:rPr>
          <w:rFonts w:eastAsia="Times New Roman"/>
          <w:sz w:val="24"/>
          <w:szCs w:val="24"/>
        </w:rPr>
        <w:t>/g) that play</w:t>
      </w:r>
      <w:r w:rsidR="00B80F59">
        <w:rPr>
          <w:rFonts w:eastAsia="Times New Roman"/>
          <w:sz w:val="24"/>
          <w:szCs w:val="24"/>
        </w:rPr>
        <w:t>s a</w:t>
      </w:r>
      <w:r w:rsidRPr="0070631B">
        <w:rPr>
          <w:rFonts w:eastAsia="Times New Roman"/>
          <w:sz w:val="24"/>
          <w:szCs w:val="24"/>
        </w:rPr>
        <w:t xml:space="preserve"> key role in digestive metabolism and absorption</w:t>
      </w:r>
      <w:r w:rsidRPr="0070631B">
        <w:rPr>
          <w:rFonts w:eastAsia="Times New Roman"/>
          <w:sz w:val="24"/>
          <w:szCs w:val="24"/>
          <w:vertAlign w:val="superscript"/>
        </w:rPr>
        <w:t>5</w:t>
      </w:r>
      <w:r w:rsidRPr="0070631B">
        <w:rPr>
          <w:rFonts w:eastAsia="Times New Roman"/>
          <w:sz w:val="24"/>
          <w:szCs w:val="24"/>
        </w:rPr>
        <w:t>.</w:t>
      </w:r>
    </w:p>
    <w:p w14:paraId="035521F9" w14:textId="77777777" w:rsidR="004B698A" w:rsidRPr="0070631B" w:rsidRDefault="004B698A" w:rsidP="00D47367">
      <w:pPr>
        <w:spacing w:after="0" w:line="240" w:lineRule="auto"/>
        <w:jc w:val="both"/>
        <w:rPr>
          <w:rFonts w:eastAsia="Times New Roman"/>
          <w:sz w:val="24"/>
          <w:szCs w:val="24"/>
        </w:rPr>
      </w:pPr>
    </w:p>
    <w:p w14:paraId="7404F46B" w14:textId="645BAED9" w:rsidR="004B698A" w:rsidRPr="0070631B" w:rsidRDefault="00631427" w:rsidP="00D47367">
      <w:pPr>
        <w:spacing w:after="0" w:line="240" w:lineRule="auto"/>
        <w:jc w:val="both"/>
        <w:rPr>
          <w:rFonts w:eastAsia="Times New Roman"/>
          <w:sz w:val="24"/>
          <w:szCs w:val="24"/>
        </w:rPr>
      </w:pPr>
      <w:r w:rsidRPr="0070631B">
        <w:rPr>
          <w:rFonts w:eastAsia="Times New Roman"/>
          <w:sz w:val="24"/>
          <w:szCs w:val="24"/>
        </w:rPr>
        <w:t>The small intestine serves as the primary site of nutrient breakdown and absorption in the gastrointestinal tract. Commensal bacteria lining the small intestine play a fundamental role in aiding in</w:t>
      </w:r>
      <w:r w:rsidR="000041B4">
        <w:rPr>
          <w:rFonts w:eastAsia="Times New Roman"/>
          <w:sz w:val="24"/>
          <w:szCs w:val="24"/>
        </w:rPr>
        <w:t xml:space="preserve"> the</w:t>
      </w:r>
      <w:r w:rsidRPr="0070631B">
        <w:rPr>
          <w:rFonts w:eastAsia="Times New Roman"/>
          <w:sz w:val="24"/>
          <w:szCs w:val="24"/>
        </w:rPr>
        <w:t xml:space="preserve"> chemical breakdown of food substrates and in the release of bioactive compounds that aid in nutrient absorption</w:t>
      </w:r>
      <w:r w:rsidRPr="0070631B">
        <w:rPr>
          <w:rFonts w:eastAsia="Times New Roman"/>
          <w:sz w:val="24"/>
          <w:szCs w:val="24"/>
          <w:vertAlign w:val="superscript"/>
        </w:rPr>
        <w:t>6</w:t>
      </w:r>
      <w:r w:rsidRPr="0070631B">
        <w:rPr>
          <w:rFonts w:eastAsia="Times New Roman"/>
          <w:sz w:val="24"/>
          <w:szCs w:val="24"/>
        </w:rPr>
        <w:t>. These interactions contribute to a complex environment of microbe-microbe and host-microbe activity in the small intestine</w:t>
      </w:r>
      <w:r w:rsidRPr="0070631B">
        <w:rPr>
          <w:rFonts w:eastAsia="Times New Roman"/>
          <w:sz w:val="24"/>
          <w:szCs w:val="24"/>
          <w:vertAlign w:val="superscript"/>
        </w:rPr>
        <w:t>7</w:t>
      </w:r>
      <w:r w:rsidRPr="0070631B">
        <w:rPr>
          <w:rFonts w:eastAsia="Times New Roman"/>
          <w:sz w:val="24"/>
          <w:szCs w:val="24"/>
        </w:rPr>
        <w:t xml:space="preserve">. A study observing the small intestine microbiota in murine models found that germ-free mice fed a high fat diet had </w:t>
      </w:r>
      <w:r w:rsidR="00BD1E7A" w:rsidRPr="0070631B">
        <w:rPr>
          <w:rFonts w:eastAsia="Times New Roman"/>
          <w:sz w:val="24"/>
          <w:szCs w:val="24"/>
        </w:rPr>
        <w:t>impaired</w:t>
      </w:r>
      <w:r w:rsidRPr="0070631B">
        <w:rPr>
          <w:rFonts w:eastAsia="Times New Roman"/>
          <w:sz w:val="24"/>
          <w:szCs w:val="24"/>
        </w:rPr>
        <w:t xml:space="preserve"> lipid absorption but</w:t>
      </w:r>
      <w:r w:rsidR="000041B4">
        <w:rPr>
          <w:rFonts w:eastAsia="Times New Roman"/>
          <w:sz w:val="24"/>
          <w:szCs w:val="24"/>
        </w:rPr>
        <w:t>,</w:t>
      </w:r>
      <w:r w:rsidRPr="0070631B">
        <w:rPr>
          <w:rFonts w:eastAsia="Times New Roman"/>
          <w:sz w:val="24"/>
          <w:szCs w:val="24"/>
        </w:rPr>
        <w:t xml:space="preserve"> when colonized with jejunal microbiota</w:t>
      </w:r>
      <w:r w:rsidR="000041B4">
        <w:rPr>
          <w:rFonts w:eastAsia="Times New Roman"/>
          <w:sz w:val="24"/>
          <w:szCs w:val="24"/>
        </w:rPr>
        <w:t>,</w:t>
      </w:r>
      <w:r w:rsidRPr="0070631B">
        <w:rPr>
          <w:rFonts w:eastAsia="Times New Roman"/>
          <w:sz w:val="24"/>
          <w:szCs w:val="24"/>
        </w:rPr>
        <w:t xml:space="preserve"> had a direct increase in lipid absorption</w:t>
      </w:r>
      <w:r w:rsidRPr="0070631B">
        <w:rPr>
          <w:rFonts w:eastAsia="Times New Roman"/>
          <w:sz w:val="24"/>
          <w:szCs w:val="24"/>
          <w:vertAlign w:val="superscript"/>
        </w:rPr>
        <w:t>6</w:t>
      </w:r>
      <w:r w:rsidRPr="0070631B">
        <w:rPr>
          <w:rFonts w:eastAsia="Times New Roman"/>
          <w:sz w:val="24"/>
          <w:szCs w:val="24"/>
        </w:rPr>
        <w:t xml:space="preserve">. A human pilot study profiling the duodenal microbiota of obese and healthy </w:t>
      </w:r>
      <w:r w:rsidRPr="0070631B">
        <w:rPr>
          <w:rFonts w:eastAsia="Times New Roman"/>
          <w:sz w:val="24"/>
          <w:szCs w:val="24"/>
        </w:rPr>
        <w:lastRenderedPageBreak/>
        <w:t xml:space="preserve">individuals found that the duodenal microbiota of obese individuals </w:t>
      </w:r>
      <w:r w:rsidR="00780F2B" w:rsidRPr="0070631B">
        <w:rPr>
          <w:rFonts w:eastAsia="Times New Roman"/>
          <w:sz w:val="24"/>
          <w:szCs w:val="24"/>
        </w:rPr>
        <w:t xml:space="preserve">had </w:t>
      </w:r>
      <w:r w:rsidRPr="0070631B">
        <w:rPr>
          <w:rFonts w:eastAsia="Times New Roman"/>
          <w:sz w:val="24"/>
          <w:szCs w:val="24"/>
        </w:rPr>
        <w:t>alter</w:t>
      </w:r>
      <w:r w:rsidR="00780F2B" w:rsidRPr="0070631B">
        <w:rPr>
          <w:rFonts w:eastAsia="Times New Roman"/>
          <w:sz w:val="24"/>
          <w:szCs w:val="24"/>
        </w:rPr>
        <w:t>ations in</w:t>
      </w:r>
      <w:r w:rsidRPr="0070631B">
        <w:rPr>
          <w:rFonts w:eastAsia="Times New Roman"/>
          <w:sz w:val="24"/>
          <w:szCs w:val="24"/>
        </w:rPr>
        <w:t xml:space="preserve"> fatty acid and sucrose breakdown pathways, likely induced in a diet-dependent relationship</w:t>
      </w:r>
      <w:r w:rsidRPr="0070631B">
        <w:rPr>
          <w:rFonts w:eastAsia="Times New Roman"/>
          <w:sz w:val="24"/>
          <w:szCs w:val="24"/>
          <w:vertAlign w:val="superscript"/>
        </w:rPr>
        <w:t>8</w:t>
      </w:r>
      <w:r w:rsidRPr="0070631B">
        <w:rPr>
          <w:rFonts w:eastAsia="Times New Roman"/>
          <w:sz w:val="24"/>
          <w:szCs w:val="24"/>
        </w:rPr>
        <w:t xml:space="preserve">. Furthermore, dysbiosis in the small intestine microbiota has been identified in several diseases including small intestinal bacterial overgrowth, short-bowel syndrome, </w:t>
      </w:r>
      <w:proofErr w:type="spellStart"/>
      <w:r w:rsidRPr="0070631B">
        <w:rPr>
          <w:rFonts w:eastAsia="Times New Roman"/>
          <w:sz w:val="24"/>
          <w:szCs w:val="24"/>
        </w:rPr>
        <w:t>pouchitis</w:t>
      </w:r>
      <w:proofErr w:type="spellEnd"/>
      <w:r w:rsidRPr="0070631B">
        <w:rPr>
          <w:rFonts w:eastAsia="Times New Roman"/>
          <w:sz w:val="24"/>
          <w:szCs w:val="24"/>
        </w:rPr>
        <w:t>, environmental enteric dysfunction, and irritable bowel syndrome</w:t>
      </w:r>
      <w:r w:rsidRPr="0070631B">
        <w:rPr>
          <w:rFonts w:eastAsia="Times New Roman"/>
          <w:sz w:val="24"/>
          <w:szCs w:val="24"/>
          <w:vertAlign w:val="superscript"/>
        </w:rPr>
        <w:t>7</w:t>
      </w:r>
      <w:r w:rsidRPr="0070631B">
        <w:rPr>
          <w:rFonts w:eastAsia="Times New Roman"/>
          <w:sz w:val="24"/>
          <w:szCs w:val="24"/>
        </w:rPr>
        <w:t>.</w:t>
      </w:r>
    </w:p>
    <w:p w14:paraId="7D219818" w14:textId="77777777" w:rsidR="004B698A" w:rsidRPr="0070631B" w:rsidRDefault="004B698A" w:rsidP="00D47367">
      <w:pPr>
        <w:spacing w:after="0" w:line="240" w:lineRule="auto"/>
        <w:jc w:val="both"/>
        <w:rPr>
          <w:rFonts w:eastAsia="Times New Roman"/>
          <w:sz w:val="24"/>
          <w:szCs w:val="24"/>
        </w:rPr>
      </w:pPr>
    </w:p>
    <w:p w14:paraId="0CD4BECB" w14:textId="279681A8" w:rsidR="004B698A" w:rsidRPr="0070631B" w:rsidRDefault="00CC614A" w:rsidP="00D47367">
      <w:pPr>
        <w:spacing w:after="0" w:line="240" w:lineRule="auto"/>
        <w:jc w:val="both"/>
        <w:rPr>
          <w:rFonts w:eastAsia="Times New Roman"/>
          <w:sz w:val="24"/>
          <w:szCs w:val="24"/>
        </w:rPr>
      </w:pPr>
      <w:r>
        <w:rPr>
          <w:rFonts w:eastAsia="Times New Roman"/>
          <w:sz w:val="24"/>
          <w:szCs w:val="24"/>
        </w:rPr>
        <w:t>We are</w:t>
      </w:r>
      <w:r w:rsidR="00631427" w:rsidRPr="0070631B">
        <w:rPr>
          <w:rFonts w:eastAsia="Times New Roman"/>
          <w:sz w:val="24"/>
          <w:szCs w:val="24"/>
        </w:rPr>
        <w:t xml:space="preserve"> interested in the relationship between the microbiome and different stages of chronic liver disease. Specifically, the duodenum serves as the first site of chemical breakdown and nutritional absorption in the small intestine. Additionally, portal hepatic circulation brings nutrients and metabolites to the liver, where they are processed and regulated into the bloodstream. The anatomical proximity between the gut and</w:t>
      </w:r>
      <w:r w:rsidR="000041B4">
        <w:rPr>
          <w:rFonts w:eastAsia="Times New Roman"/>
          <w:sz w:val="24"/>
          <w:szCs w:val="24"/>
        </w:rPr>
        <w:t xml:space="preserve"> the</w:t>
      </w:r>
      <w:r w:rsidR="00631427" w:rsidRPr="0070631B">
        <w:rPr>
          <w:rFonts w:eastAsia="Times New Roman"/>
          <w:sz w:val="24"/>
          <w:szCs w:val="24"/>
        </w:rPr>
        <w:t xml:space="preserve"> liver creates an environment susceptible to pro-inflammatory responses that can </w:t>
      </w:r>
      <w:r w:rsidR="00780F2B" w:rsidRPr="0070631B">
        <w:rPr>
          <w:rFonts w:eastAsia="Times New Roman"/>
          <w:sz w:val="24"/>
          <w:szCs w:val="24"/>
        </w:rPr>
        <w:t>arise</w:t>
      </w:r>
      <w:r w:rsidR="00631427" w:rsidRPr="0070631B">
        <w:rPr>
          <w:rFonts w:eastAsia="Times New Roman"/>
          <w:sz w:val="24"/>
          <w:szCs w:val="24"/>
        </w:rPr>
        <w:t xml:space="preserve"> due to failure in the gut barrier or alterations in the gut microbiome</w:t>
      </w:r>
      <w:r w:rsidR="00631427" w:rsidRPr="0070631B">
        <w:rPr>
          <w:rFonts w:eastAsia="Times New Roman"/>
          <w:sz w:val="24"/>
          <w:szCs w:val="24"/>
          <w:vertAlign w:val="superscript"/>
        </w:rPr>
        <w:t>9</w:t>
      </w:r>
      <w:r w:rsidR="00631427" w:rsidRPr="0070631B">
        <w:rPr>
          <w:rFonts w:eastAsia="Times New Roman"/>
          <w:sz w:val="24"/>
          <w:szCs w:val="24"/>
        </w:rPr>
        <w:t xml:space="preserve">. Studies investigating the microbiome and liver </w:t>
      </w:r>
      <w:r w:rsidR="00AA3EE1" w:rsidRPr="0070631B">
        <w:rPr>
          <w:rFonts w:eastAsia="Times New Roman"/>
          <w:sz w:val="24"/>
          <w:szCs w:val="24"/>
        </w:rPr>
        <w:t xml:space="preserve">disease </w:t>
      </w:r>
      <w:r w:rsidR="00631427" w:rsidRPr="0070631B">
        <w:rPr>
          <w:rFonts w:eastAsia="Times New Roman"/>
          <w:sz w:val="24"/>
          <w:szCs w:val="24"/>
        </w:rPr>
        <w:t xml:space="preserve">progression have identified microbial dysbiosis </w:t>
      </w:r>
      <w:r w:rsidR="000041B4">
        <w:rPr>
          <w:rFonts w:eastAsia="Times New Roman"/>
          <w:sz w:val="24"/>
          <w:szCs w:val="24"/>
        </w:rPr>
        <w:t>in</w:t>
      </w:r>
      <w:r w:rsidR="00631427" w:rsidRPr="0070631B">
        <w:rPr>
          <w:rFonts w:eastAsia="Times New Roman"/>
          <w:sz w:val="24"/>
          <w:szCs w:val="24"/>
        </w:rPr>
        <w:t xml:space="preserve"> patients with non-alcoholic fatty liver disease (NAFLD), steatohepatitis (NASH), alcoholic liver disease, and cirrhosis</w:t>
      </w:r>
      <w:r w:rsidR="00631427" w:rsidRPr="0070631B">
        <w:rPr>
          <w:rFonts w:eastAsia="Times New Roman"/>
          <w:sz w:val="24"/>
          <w:szCs w:val="24"/>
          <w:vertAlign w:val="superscript"/>
        </w:rPr>
        <w:t>10,11</w:t>
      </w:r>
      <w:r w:rsidR="00631427" w:rsidRPr="0070631B">
        <w:rPr>
          <w:rFonts w:eastAsia="Times New Roman"/>
          <w:sz w:val="24"/>
          <w:szCs w:val="24"/>
        </w:rPr>
        <w:t xml:space="preserve">. </w:t>
      </w:r>
      <w:r w:rsidR="000041B4">
        <w:rPr>
          <w:rFonts w:eastAsia="Times New Roman"/>
          <w:sz w:val="24"/>
          <w:szCs w:val="24"/>
        </w:rPr>
        <w:t>While the</w:t>
      </w:r>
      <w:r w:rsidR="00631427" w:rsidRPr="0070631B">
        <w:rPr>
          <w:rFonts w:eastAsia="Times New Roman"/>
          <w:sz w:val="24"/>
          <w:szCs w:val="24"/>
        </w:rPr>
        <w:t xml:space="preserve"> majority of studies </w:t>
      </w:r>
      <w:r w:rsidR="00AA3EE1" w:rsidRPr="0070631B">
        <w:rPr>
          <w:rFonts w:eastAsia="Times New Roman"/>
          <w:sz w:val="24"/>
          <w:szCs w:val="24"/>
        </w:rPr>
        <w:t xml:space="preserve">characterize the microbiome of the colon, </w:t>
      </w:r>
      <w:r>
        <w:rPr>
          <w:rFonts w:eastAsia="Times New Roman"/>
          <w:sz w:val="24"/>
          <w:szCs w:val="24"/>
        </w:rPr>
        <w:t>we were</w:t>
      </w:r>
      <w:r w:rsidR="00631427" w:rsidRPr="0070631B">
        <w:rPr>
          <w:rFonts w:eastAsia="Times New Roman"/>
          <w:sz w:val="24"/>
          <w:szCs w:val="24"/>
        </w:rPr>
        <w:t xml:space="preserve"> interested in investigating the small intestine microbiome in relation to liver disease. By utilizing the novel method presented here, </w:t>
      </w:r>
      <w:r w:rsidR="000041B4">
        <w:rPr>
          <w:rFonts w:eastAsia="Times New Roman"/>
          <w:sz w:val="24"/>
          <w:szCs w:val="24"/>
        </w:rPr>
        <w:t>we have</w:t>
      </w:r>
      <w:r w:rsidR="00631427" w:rsidRPr="0070631B">
        <w:rPr>
          <w:rFonts w:eastAsia="Times New Roman"/>
          <w:sz w:val="24"/>
          <w:szCs w:val="24"/>
        </w:rPr>
        <w:t xml:space="preserve"> </w:t>
      </w:r>
      <w:r w:rsidR="00AA3EE1" w:rsidRPr="0070631B">
        <w:rPr>
          <w:rFonts w:eastAsia="Times New Roman"/>
          <w:sz w:val="24"/>
          <w:szCs w:val="24"/>
        </w:rPr>
        <w:t>identified</w:t>
      </w:r>
      <w:r w:rsidR="00631427" w:rsidRPr="0070631B">
        <w:rPr>
          <w:rFonts w:eastAsia="Times New Roman"/>
          <w:sz w:val="24"/>
          <w:szCs w:val="24"/>
        </w:rPr>
        <w:t xml:space="preserve"> unique duodenal microbial profiles in patients with liver cirrhosis in relation to diet</w:t>
      </w:r>
      <w:r w:rsidR="00DA2B86" w:rsidRPr="0070631B">
        <w:rPr>
          <w:rFonts w:eastAsia="Times New Roman"/>
          <w:sz w:val="24"/>
          <w:szCs w:val="24"/>
          <w:vertAlign w:val="superscript"/>
        </w:rPr>
        <w:t>12</w:t>
      </w:r>
      <w:r w:rsidR="00631427" w:rsidRPr="0070631B">
        <w:rPr>
          <w:rFonts w:eastAsia="Times New Roman"/>
          <w:sz w:val="24"/>
          <w:szCs w:val="24"/>
        </w:rPr>
        <w:t>.</w:t>
      </w:r>
    </w:p>
    <w:p w14:paraId="58A81EC7" w14:textId="77777777" w:rsidR="004B698A" w:rsidRPr="0070631B" w:rsidRDefault="004B698A" w:rsidP="00D47367">
      <w:pPr>
        <w:spacing w:after="0" w:line="240" w:lineRule="auto"/>
        <w:jc w:val="both"/>
        <w:rPr>
          <w:rFonts w:eastAsia="Times New Roman"/>
          <w:sz w:val="24"/>
          <w:szCs w:val="24"/>
        </w:rPr>
      </w:pPr>
    </w:p>
    <w:p w14:paraId="64A62E77" w14:textId="76B20F69" w:rsidR="00BB4EA1" w:rsidRPr="0070631B" w:rsidRDefault="00631427" w:rsidP="00D47367">
      <w:pPr>
        <w:spacing w:after="0" w:line="240" w:lineRule="auto"/>
        <w:jc w:val="both"/>
        <w:rPr>
          <w:rFonts w:eastAsia="Times New Roman"/>
          <w:sz w:val="24"/>
          <w:szCs w:val="24"/>
        </w:rPr>
      </w:pPr>
      <w:r w:rsidRPr="0070631B">
        <w:rPr>
          <w:rFonts w:eastAsia="Times New Roman"/>
          <w:sz w:val="24"/>
          <w:szCs w:val="24"/>
        </w:rPr>
        <w:t xml:space="preserve">As </w:t>
      </w:r>
      <w:r w:rsidR="00780F2B" w:rsidRPr="0070631B">
        <w:rPr>
          <w:rFonts w:eastAsia="Times New Roman"/>
          <w:sz w:val="24"/>
          <w:szCs w:val="24"/>
        </w:rPr>
        <w:t>characterization</w:t>
      </w:r>
      <w:r w:rsidRPr="0070631B">
        <w:rPr>
          <w:rFonts w:eastAsia="Times New Roman"/>
          <w:sz w:val="24"/>
          <w:szCs w:val="24"/>
        </w:rPr>
        <w:t xml:space="preserve"> of the small intestine microbiome continues to become an area of increased interest, it is necessary to develop uniform techniques for obtaining samples that accurately represent the small intestine microbiota. However, there are challenges associated with specimen procurement that have complicated the study of the small intestine microbiome environment. Current sampling methods require invasive procedures </w:t>
      </w:r>
      <w:r w:rsidR="000041B4">
        <w:rPr>
          <w:rFonts w:eastAsia="Times New Roman"/>
          <w:sz w:val="24"/>
          <w:szCs w:val="24"/>
        </w:rPr>
        <w:t>that</w:t>
      </w:r>
      <w:r w:rsidRPr="0070631B">
        <w:rPr>
          <w:rFonts w:eastAsia="Times New Roman"/>
          <w:sz w:val="24"/>
          <w:szCs w:val="24"/>
        </w:rPr>
        <w:t xml:space="preserve"> are often subject to contamination</w:t>
      </w:r>
      <w:r w:rsidR="000041B4">
        <w:rPr>
          <w:rFonts w:eastAsia="Times New Roman"/>
          <w:sz w:val="24"/>
          <w:szCs w:val="24"/>
        </w:rPr>
        <w:t>,</w:t>
      </w:r>
      <w:r w:rsidRPr="0070631B">
        <w:rPr>
          <w:rFonts w:eastAsia="Times New Roman"/>
          <w:sz w:val="24"/>
          <w:szCs w:val="24"/>
        </w:rPr>
        <w:t xml:space="preserve"> as outlined by Kastl et al</w:t>
      </w:r>
      <w:r w:rsidRPr="0070631B">
        <w:rPr>
          <w:rFonts w:eastAsia="Times New Roman"/>
          <w:sz w:val="24"/>
          <w:szCs w:val="24"/>
          <w:vertAlign w:val="superscript"/>
        </w:rPr>
        <w:t>7</w:t>
      </w:r>
      <w:r w:rsidRPr="0070631B">
        <w:rPr>
          <w:rFonts w:eastAsia="Times New Roman"/>
          <w:sz w:val="24"/>
          <w:szCs w:val="24"/>
        </w:rPr>
        <w:t xml:space="preserve">. Here we detail a novel method </w:t>
      </w:r>
      <w:r w:rsidR="000041B4">
        <w:rPr>
          <w:rFonts w:eastAsia="Times New Roman"/>
          <w:sz w:val="24"/>
          <w:szCs w:val="24"/>
        </w:rPr>
        <w:t>for</w:t>
      </w:r>
      <w:r w:rsidRPr="0070631B">
        <w:rPr>
          <w:rFonts w:eastAsia="Times New Roman"/>
          <w:sz w:val="24"/>
          <w:szCs w:val="24"/>
        </w:rPr>
        <w:t xml:space="preserve"> obtain</w:t>
      </w:r>
      <w:r w:rsidR="000041B4">
        <w:rPr>
          <w:rFonts w:eastAsia="Times New Roman"/>
          <w:sz w:val="24"/>
          <w:szCs w:val="24"/>
        </w:rPr>
        <w:t>ing</w:t>
      </w:r>
      <w:r w:rsidRPr="0070631B">
        <w:rPr>
          <w:rFonts w:eastAsia="Times New Roman"/>
          <w:sz w:val="24"/>
          <w:szCs w:val="24"/>
        </w:rPr>
        <w:t xml:space="preserve"> duodenal aspirate and biopsies for microbial analysis from patients with liver disease undergoing esophagogastroduodenoscopy.</w:t>
      </w:r>
    </w:p>
    <w:p w14:paraId="2CE28C47" w14:textId="61E5E024" w:rsidR="004B698A" w:rsidRPr="0070631B" w:rsidRDefault="004B698A" w:rsidP="00D47367">
      <w:pPr>
        <w:shd w:val="clear" w:color="auto" w:fill="FFFFFF"/>
        <w:spacing w:after="0" w:line="240" w:lineRule="auto"/>
        <w:jc w:val="both"/>
        <w:rPr>
          <w:rFonts w:eastAsia="Times New Roman"/>
          <w:sz w:val="24"/>
          <w:szCs w:val="24"/>
        </w:rPr>
      </w:pPr>
    </w:p>
    <w:p w14:paraId="0A2C47A7" w14:textId="70C96129" w:rsidR="004B698A" w:rsidRDefault="000041B4" w:rsidP="00D47367">
      <w:pPr>
        <w:spacing w:after="0" w:line="240" w:lineRule="auto"/>
        <w:jc w:val="both"/>
        <w:rPr>
          <w:rFonts w:eastAsia="Times New Roman"/>
          <w:b/>
          <w:sz w:val="24"/>
          <w:szCs w:val="24"/>
        </w:rPr>
      </w:pPr>
      <w:r>
        <w:rPr>
          <w:rFonts w:eastAsia="Times New Roman"/>
          <w:b/>
          <w:sz w:val="24"/>
          <w:szCs w:val="24"/>
        </w:rPr>
        <w:t>PROTOCOL</w:t>
      </w:r>
      <w:r w:rsidR="00631427" w:rsidRPr="0070631B">
        <w:rPr>
          <w:rFonts w:eastAsia="Times New Roman"/>
          <w:b/>
          <w:sz w:val="24"/>
          <w:szCs w:val="24"/>
        </w:rPr>
        <w:t>:</w:t>
      </w:r>
    </w:p>
    <w:p w14:paraId="78A14CE4" w14:textId="3366EA13" w:rsidR="000041B4" w:rsidRDefault="000041B4" w:rsidP="00D47367">
      <w:pPr>
        <w:spacing w:after="0" w:line="240" w:lineRule="auto"/>
        <w:jc w:val="both"/>
        <w:rPr>
          <w:rFonts w:eastAsia="Times New Roman"/>
          <w:b/>
          <w:sz w:val="24"/>
          <w:szCs w:val="24"/>
        </w:rPr>
      </w:pPr>
    </w:p>
    <w:p w14:paraId="0E2EB173" w14:textId="012CE02E" w:rsidR="000041B4" w:rsidRDefault="000041B4" w:rsidP="00D47367">
      <w:pPr>
        <w:spacing w:after="0" w:line="240" w:lineRule="auto"/>
        <w:jc w:val="both"/>
        <w:rPr>
          <w:rFonts w:eastAsia="Times New Roman"/>
          <w:sz w:val="24"/>
          <w:szCs w:val="24"/>
        </w:rPr>
      </w:pPr>
      <w:r w:rsidRPr="0070631B">
        <w:rPr>
          <w:rFonts w:eastAsia="Times New Roman"/>
          <w:sz w:val="24"/>
          <w:szCs w:val="24"/>
        </w:rPr>
        <w:t>Duodenal samples were obtained at the Veteran Affairs Greater Los Angeles Healthcare System, Cedars-Sinai Medical Center, and the Ronald Reagan UCLA Medical Center after the clinical protocol for the Microbiome, Microbial Markers and Liver Disease (M3LD) study was accepted by the institutional review board of the local ethics review committee. Written informed consent was obtained from all participating patients.</w:t>
      </w:r>
    </w:p>
    <w:p w14:paraId="31A0F531" w14:textId="77777777" w:rsidR="000041B4" w:rsidRPr="0070631B" w:rsidRDefault="000041B4" w:rsidP="00D47367">
      <w:pPr>
        <w:spacing w:after="0" w:line="240" w:lineRule="auto"/>
        <w:jc w:val="both"/>
        <w:rPr>
          <w:rFonts w:eastAsia="Times New Roman"/>
          <w:b/>
          <w:sz w:val="24"/>
          <w:szCs w:val="24"/>
        </w:rPr>
      </w:pPr>
    </w:p>
    <w:p w14:paraId="5FC58C8F" w14:textId="2268674A" w:rsidR="004B698A" w:rsidRPr="00E409CC" w:rsidRDefault="00631427" w:rsidP="00D47367">
      <w:pPr>
        <w:numPr>
          <w:ilvl w:val="0"/>
          <w:numId w:val="5"/>
        </w:numPr>
        <w:spacing w:after="0" w:line="240" w:lineRule="auto"/>
        <w:ind w:left="0" w:firstLine="0"/>
        <w:jc w:val="both"/>
        <w:rPr>
          <w:rFonts w:eastAsia="Times New Roman"/>
          <w:b/>
          <w:sz w:val="24"/>
          <w:szCs w:val="24"/>
        </w:rPr>
      </w:pPr>
      <w:r w:rsidRPr="00E409CC">
        <w:rPr>
          <w:rFonts w:eastAsia="Times New Roman"/>
          <w:b/>
          <w:sz w:val="24"/>
          <w:szCs w:val="24"/>
        </w:rPr>
        <w:t xml:space="preserve">Consent of </w:t>
      </w:r>
      <w:r w:rsidR="00687DE1">
        <w:rPr>
          <w:rFonts w:eastAsia="Times New Roman"/>
          <w:b/>
          <w:sz w:val="24"/>
          <w:szCs w:val="24"/>
        </w:rPr>
        <w:t>p</w:t>
      </w:r>
      <w:r w:rsidRPr="00E409CC">
        <w:rPr>
          <w:rFonts w:eastAsia="Times New Roman"/>
          <w:b/>
          <w:sz w:val="24"/>
          <w:szCs w:val="24"/>
        </w:rPr>
        <w:t>articipants</w:t>
      </w:r>
    </w:p>
    <w:p w14:paraId="053FE36D" w14:textId="77777777" w:rsidR="005366D9" w:rsidRDefault="005366D9" w:rsidP="00D47367">
      <w:pPr>
        <w:pStyle w:val="ListParagraph"/>
        <w:spacing w:after="0" w:line="240" w:lineRule="auto"/>
        <w:ind w:left="0"/>
        <w:jc w:val="both"/>
        <w:rPr>
          <w:rFonts w:eastAsia="Times New Roman"/>
          <w:sz w:val="24"/>
          <w:szCs w:val="24"/>
        </w:rPr>
      </w:pPr>
    </w:p>
    <w:p w14:paraId="18178FA3" w14:textId="08E77D60" w:rsidR="00E05CE4" w:rsidRDefault="00CD024E" w:rsidP="00D47367">
      <w:pPr>
        <w:pStyle w:val="ListParagraph"/>
        <w:numPr>
          <w:ilvl w:val="1"/>
          <w:numId w:val="5"/>
        </w:numPr>
        <w:spacing w:after="0" w:line="240" w:lineRule="auto"/>
        <w:ind w:left="0" w:firstLine="0"/>
        <w:jc w:val="both"/>
        <w:rPr>
          <w:rFonts w:eastAsia="Times New Roman"/>
          <w:sz w:val="24"/>
          <w:szCs w:val="24"/>
        </w:rPr>
      </w:pPr>
      <w:r w:rsidRPr="00DA0029">
        <w:rPr>
          <w:rFonts w:eastAsia="Times New Roman"/>
          <w:sz w:val="24"/>
          <w:szCs w:val="24"/>
        </w:rPr>
        <w:t xml:space="preserve">Approach subjects with a diagnosis of liver cirrhosis of any etiology with endoscopies scheduled for variceal screening or portal hypertension for recruitment. Exclude patients with </w:t>
      </w:r>
      <w:r w:rsidR="00EE1128" w:rsidRPr="00DA0029">
        <w:rPr>
          <w:rFonts w:eastAsia="Times New Roman"/>
          <w:sz w:val="24"/>
          <w:szCs w:val="24"/>
        </w:rPr>
        <w:t>hepatocellular carcinoma (</w:t>
      </w:r>
      <w:r w:rsidRPr="00DA0029">
        <w:rPr>
          <w:rFonts w:eastAsia="Times New Roman"/>
          <w:sz w:val="24"/>
          <w:szCs w:val="24"/>
        </w:rPr>
        <w:t>HCC</w:t>
      </w:r>
      <w:r w:rsidR="00EE1128" w:rsidRPr="00DA0029">
        <w:rPr>
          <w:rFonts w:eastAsia="Times New Roman"/>
          <w:sz w:val="24"/>
          <w:szCs w:val="24"/>
        </w:rPr>
        <w:t>)</w:t>
      </w:r>
      <w:r w:rsidRPr="00DA0029">
        <w:rPr>
          <w:rFonts w:eastAsia="Times New Roman"/>
          <w:sz w:val="24"/>
          <w:szCs w:val="24"/>
        </w:rPr>
        <w:t xml:space="preserve">. </w:t>
      </w:r>
    </w:p>
    <w:p w14:paraId="33C1795C" w14:textId="77777777" w:rsidR="005762F3" w:rsidRDefault="005762F3" w:rsidP="00D47367">
      <w:pPr>
        <w:pStyle w:val="ListParagraph"/>
        <w:spacing w:after="0" w:line="240" w:lineRule="auto"/>
        <w:ind w:left="0"/>
        <w:jc w:val="both"/>
        <w:rPr>
          <w:rFonts w:eastAsia="Times New Roman"/>
          <w:sz w:val="24"/>
          <w:szCs w:val="24"/>
        </w:rPr>
      </w:pPr>
    </w:p>
    <w:p w14:paraId="6B0F076C" w14:textId="77777777" w:rsidR="00E409CC" w:rsidRDefault="00CD024E" w:rsidP="00D47367">
      <w:pPr>
        <w:pStyle w:val="ListParagraph"/>
        <w:numPr>
          <w:ilvl w:val="1"/>
          <w:numId w:val="5"/>
        </w:numPr>
        <w:spacing w:after="0" w:line="240" w:lineRule="auto"/>
        <w:ind w:left="0" w:firstLine="0"/>
        <w:jc w:val="both"/>
        <w:rPr>
          <w:rFonts w:eastAsia="Times New Roman"/>
          <w:sz w:val="24"/>
          <w:szCs w:val="24"/>
        </w:rPr>
      </w:pPr>
      <w:r w:rsidRPr="00E05CE4">
        <w:rPr>
          <w:rFonts w:eastAsia="Times New Roman"/>
          <w:sz w:val="24"/>
          <w:szCs w:val="24"/>
        </w:rPr>
        <w:lastRenderedPageBreak/>
        <w:t xml:space="preserve">Introduce the study, </w:t>
      </w:r>
      <w:r w:rsidR="00EE1128" w:rsidRPr="00E05CE4">
        <w:rPr>
          <w:rFonts w:eastAsia="Times New Roman"/>
          <w:sz w:val="24"/>
          <w:szCs w:val="24"/>
        </w:rPr>
        <w:t xml:space="preserve">carefully </w:t>
      </w:r>
      <w:r w:rsidRPr="00E05CE4">
        <w:rPr>
          <w:rFonts w:eastAsia="Times New Roman"/>
          <w:sz w:val="24"/>
          <w:szCs w:val="24"/>
        </w:rPr>
        <w:t>ensure participant understanding, and ask the participant if they would like to volunteer in the study. Complete an informed consent form if they agree.</w:t>
      </w:r>
    </w:p>
    <w:p w14:paraId="000501E8" w14:textId="77777777" w:rsidR="00E409CC" w:rsidRDefault="00E409CC" w:rsidP="00D47367">
      <w:pPr>
        <w:pStyle w:val="ListParagraph"/>
        <w:spacing w:after="0" w:line="240" w:lineRule="auto"/>
        <w:ind w:left="0"/>
        <w:jc w:val="both"/>
        <w:rPr>
          <w:rFonts w:eastAsia="Times New Roman"/>
          <w:sz w:val="24"/>
          <w:szCs w:val="24"/>
        </w:rPr>
      </w:pPr>
    </w:p>
    <w:p w14:paraId="6E34C133" w14:textId="77777777" w:rsidR="00E409CC" w:rsidRDefault="00CD024E" w:rsidP="00D47367">
      <w:pPr>
        <w:pStyle w:val="ListParagraph"/>
        <w:numPr>
          <w:ilvl w:val="1"/>
          <w:numId w:val="5"/>
        </w:numPr>
        <w:spacing w:after="0" w:line="240" w:lineRule="auto"/>
        <w:ind w:left="0" w:firstLine="0"/>
        <w:jc w:val="both"/>
        <w:rPr>
          <w:rFonts w:eastAsia="Times New Roman"/>
          <w:sz w:val="24"/>
          <w:szCs w:val="24"/>
        </w:rPr>
      </w:pPr>
      <w:r w:rsidRPr="00E409CC">
        <w:rPr>
          <w:rFonts w:eastAsia="Times New Roman"/>
          <w:sz w:val="24"/>
          <w:szCs w:val="24"/>
        </w:rPr>
        <w:t>Ensure that a properly trained and credentialed medical professional performs the endoscopy.</w:t>
      </w:r>
    </w:p>
    <w:p w14:paraId="085B44EF" w14:textId="77777777" w:rsidR="00E409CC" w:rsidRPr="00E409CC" w:rsidRDefault="00E409CC" w:rsidP="00D47367">
      <w:pPr>
        <w:pStyle w:val="ListParagraph"/>
        <w:ind w:left="0"/>
        <w:jc w:val="both"/>
        <w:rPr>
          <w:rFonts w:eastAsia="Times New Roman"/>
          <w:b/>
          <w:sz w:val="24"/>
          <w:szCs w:val="24"/>
          <w:highlight w:val="yellow"/>
        </w:rPr>
      </w:pPr>
    </w:p>
    <w:p w14:paraId="087B2E70" w14:textId="7FBDB3CD" w:rsidR="004B698A" w:rsidRDefault="00631427" w:rsidP="00D47367">
      <w:pPr>
        <w:pStyle w:val="ListParagraph"/>
        <w:numPr>
          <w:ilvl w:val="0"/>
          <w:numId w:val="5"/>
        </w:numPr>
        <w:spacing w:after="0" w:line="240" w:lineRule="auto"/>
        <w:ind w:left="0" w:firstLine="0"/>
        <w:jc w:val="both"/>
        <w:rPr>
          <w:rFonts w:eastAsia="Times New Roman"/>
          <w:sz w:val="24"/>
          <w:szCs w:val="24"/>
        </w:rPr>
      </w:pPr>
      <w:bookmarkStart w:id="1" w:name="_Hlk54951192"/>
      <w:r w:rsidRPr="00E409CC">
        <w:rPr>
          <w:rFonts w:eastAsia="Times New Roman"/>
          <w:b/>
          <w:sz w:val="24"/>
          <w:szCs w:val="24"/>
          <w:highlight w:val="yellow"/>
        </w:rPr>
        <w:t xml:space="preserve">Specimen </w:t>
      </w:r>
      <w:r w:rsidR="00687DE1">
        <w:rPr>
          <w:rFonts w:eastAsia="Times New Roman"/>
          <w:b/>
          <w:sz w:val="24"/>
          <w:szCs w:val="24"/>
          <w:highlight w:val="yellow"/>
        </w:rPr>
        <w:t>c</w:t>
      </w:r>
      <w:r w:rsidRPr="00E409CC">
        <w:rPr>
          <w:rFonts w:eastAsia="Times New Roman"/>
          <w:b/>
          <w:sz w:val="24"/>
          <w:szCs w:val="24"/>
          <w:highlight w:val="yellow"/>
        </w:rPr>
        <w:t>ollection</w:t>
      </w:r>
      <w:r w:rsidRPr="00E409CC">
        <w:rPr>
          <w:rFonts w:eastAsia="Times New Roman"/>
          <w:sz w:val="24"/>
          <w:szCs w:val="24"/>
          <w:highlight w:val="yellow"/>
        </w:rPr>
        <w:t xml:space="preserve"> </w:t>
      </w:r>
    </w:p>
    <w:p w14:paraId="52E0001A" w14:textId="77777777" w:rsidR="00687DE1" w:rsidRPr="00E409CC" w:rsidRDefault="00687DE1" w:rsidP="00D47367">
      <w:pPr>
        <w:pStyle w:val="ListParagraph"/>
        <w:spacing w:after="0" w:line="240" w:lineRule="auto"/>
        <w:ind w:left="0"/>
        <w:jc w:val="both"/>
        <w:rPr>
          <w:rFonts w:eastAsia="Times New Roman"/>
          <w:sz w:val="24"/>
          <w:szCs w:val="24"/>
        </w:rPr>
      </w:pPr>
    </w:p>
    <w:p w14:paraId="3A977346" w14:textId="113D49CA" w:rsidR="00CD024E" w:rsidRPr="00D47367" w:rsidRDefault="00CD024E" w:rsidP="00D47367">
      <w:pPr>
        <w:pStyle w:val="ListParagraph"/>
        <w:numPr>
          <w:ilvl w:val="1"/>
          <w:numId w:val="5"/>
        </w:numPr>
        <w:spacing w:after="0" w:line="240" w:lineRule="auto"/>
        <w:ind w:left="0" w:firstLine="0"/>
        <w:jc w:val="both"/>
        <w:rPr>
          <w:rFonts w:eastAsia="Times New Roman"/>
          <w:sz w:val="24"/>
          <w:szCs w:val="24"/>
        </w:rPr>
      </w:pPr>
      <w:r w:rsidRPr="00D47367">
        <w:rPr>
          <w:rFonts w:eastAsia="Times New Roman"/>
          <w:sz w:val="24"/>
          <w:szCs w:val="24"/>
        </w:rPr>
        <w:t xml:space="preserve">Anesthetize the patient with 50 mg </w:t>
      </w:r>
      <w:r w:rsidR="00687DE1" w:rsidRPr="00D47367">
        <w:rPr>
          <w:rFonts w:eastAsia="Times New Roman"/>
          <w:sz w:val="24"/>
          <w:szCs w:val="24"/>
        </w:rPr>
        <w:t xml:space="preserve">of </w:t>
      </w:r>
      <w:r w:rsidRPr="00D47367">
        <w:rPr>
          <w:rFonts w:eastAsia="Times New Roman"/>
          <w:sz w:val="24"/>
          <w:szCs w:val="24"/>
        </w:rPr>
        <w:t xml:space="preserve">fentanyl and 2 mg </w:t>
      </w:r>
      <w:r w:rsidR="00687DE1" w:rsidRPr="00D47367">
        <w:rPr>
          <w:rFonts w:eastAsia="Times New Roman"/>
          <w:sz w:val="24"/>
          <w:szCs w:val="24"/>
        </w:rPr>
        <w:t xml:space="preserve">of </w:t>
      </w:r>
      <w:r w:rsidRPr="00D47367">
        <w:rPr>
          <w:rFonts w:eastAsia="Times New Roman"/>
          <w:sz w:val="24"/>
          <w:szCs w:val="24"/>
        </w:rPr>
        <w:t xml:space="preserve">midazolam. Increase </w:t>
      </w:r>
      <w:r w:rsidR="00687DE1" w:rsidRPr="00D47367">
        <w:rPr>
          <w:rFonts w:eastAsia="Times New Roman"/>
          <w:sz w:val="24"/>
          <w:szCs w:val="24"/>
        </w:rPr>
        <w:t xml:space="preserve">the </w:t>
      </w:r>
      <w:r w:rsidRPr="00D47367">
        <w:rPr>
          <w:rFonts w:eastAsia="Times New Roman"/>
          <w:sz w:val="24"/>
          <w:szCs w:val="24"/>
        </w:rPr>
        <w:t>dosage as needed until the patient is moderately anesthetized and can tolerate the endoscope.</w:t>
      </w:r>
    </w:p>
    <w:p w14:paraId="7744741D" w14:textId="77777777" w:rsidR="00687DE1" w:rsidRPr="00DA0029" w:rsidRDefault="00687DE1" w:rsidP="00D47367">
      <w:pPr>
        <w:pStyle w:val="ListParagraph"/>
        <w:spacing w:after="0" w:line="240" w:lineRule="auto"/>
        <w:ind w:left="0"/>
        <w:jc w:val="both"/>
        <w:rPr>
          <w:rFonts w:eastAsia="Times New Roman"/>
          <w:sz w:val="24"/>
          <w:szCs w:val="24"/>
          <w:highlight w:val="yellow"/>
        </w:rPr>
      </w:pPr>
    </w:p>
    <w:p w14:paraId="638822FC" w14:textId="47061C22" w:rsidR="00687DE1" w:rsidRPr="00687DE1" w:rsidRDefault="00CD024E" w:rsidP="00D47367">
      <w:pPr>
        <w:pStyle w:val="ListParagraph"/>
        <w:numPr>
          <w:ilvl w:val="1"/>
          <w:numId w:val="5"/>
        </w:numPr>
        <w:spacing w:before="240" w:after="0" w:line="240" w:lineRule="auto"/>
        <w:ind w:left="0" w:firstLine="0"/>
        <w:jc w:val="both"/>
        <w:rPr>
          <w:rFonts w:eastAsia="Times New Roman"/>
          <w:sz w:val="24"/>
          <w:szCs w:val="24"/>
          <w:highlight w:val="yellow"/>
        </w:rPr>
      </w:pPr>
      <w:r w:rsidRPr="00DA0029">
        <w:rPr>
          <w:rFonts w:eastAsia="Times New Roman"/>
          <w:sz w:val="24"/>
          <w:szCs w:val="24"/>
          <w:highlight w:val="yellow"/>
        </w:rPr>
        <w:t>Insert a</w:t>
      </w:r>
      <w:r w:rsidR="00CC614A">
        <w:rPr>
          <w:rFonts w:eastAsia="Times New Roman"/>
          <w:sz w:val="24"/>
          <w:szCs w:val="24"/>
          <w:highlight w:val="yellow"/>
        </w:rPr>
        <w:t>n</w:t>
      </w:r>
      <w:r w:rsidRPr="00DA0029">
        <w:rPr>
          <w:rFonts w:eastAsia="Times New Roman"/>
          <w:sz w:val="24"/>
          <w:szCs w:val="24"/>
          <w:highlight w:val="yellow"/>
        </w:rPr>
        <w:t xml:space="preserve"> endoscope </w:t>
      </w:r>
      <w:r w:rsidR="00CC614A">
        <w:rPr>
          <w:rFonts w:eastAsia="Times New Roman"/>
          <w:sz w:val="24"/>
          <w:szCs w:val="24"/>
          <w:highlight w:val="yellow"/>
        </w:rPr>
        <w:t xml:space="preserve">(e.g., </w:t>
      </w:r>
      <w:r w:rsidR="00CC614A" w:rsidRPr="00DA0029">
        <w:rPr>
          <w:rFonts w:eastAsia="Times New Roman"/>
          <w:sz w:val="24"/>
          <w:szCs w:val="24"/>
          <w:highlight w:val="yellow"/>
        </w:rPr>
        <w:t>Pentax EG29-i10</w:t>
      </w:r>
      <w:r w:rsidR="00CC614A">
        <w:rPr>
          <w:rFonts w:eastAsia="Times New Roman"/>
          <w:sz w:val="24"/>
          <w:szCs w:val="24"/>
          <w:highlight w:val="yellow"/>
        </w:rPr>
        <w:t>)</w:t>
      </w:r>
      <w:r w:rsidRPr="00DA0029">
        <w:rPr>
          <w:rFonts w:eastAsia="Times New Roman"/>
          <w:sz w:val="24"/>
          <w:szCs w:val="24"/>
          <w:highlight w:val="yellow"/>
        </w:rPr>
        <w:t xml:space="preserve"> into the patient’s esophagus and progress toward the pylorus. </w:t>
      </w:r>
    </w:p>
    <w:p w14:paraId="5F9634B6" w14:textId="77777777" w:rsidR="00687DE1" w:rsidRDefault="00687DE1" w:rsidP="00D47367">
      <w:pPr>
        <w:spacing w:after="0" w:line="240" w:lineRule="auto"/>
        <w:jc w:val="both"/>
        <w:rPr>
          <w:rFonts w:eastAsia="Times New Roman"/>
          <w:sz w:val="24"/>
          <w:szCs w:val="24"/>
        </w:rPr>
      </w:pPr>
    </w:p>
    <w:p w14:paraId="0720F0AF" w14:textId="707F6904" w:rsidR="00CD024E" w:rsidRPr="00687DE1" w:rsidRDefault="00687DE1" w:rsidP="00D47367">
      <w:pPr>
        <w:spacing w:after="0" w:line="240" w:lineRule="auto"/>
        <w:jc w:val="both"/>
        <w:rPr>
          <w:rFonts w:eastAsia="Times New Roman"/>
          <w:sz w:val="24"/>
          <w:szCs w:val="24"/>
        </w:rPr>
      </w:pPr>
      <w:r w:rsidRPr="00687DE1">
        <w:rPr>
          <w:rFonts w:eastAsia="Times New Roman"/>
          <w:sz w:val="24"/>
          <w:szCs w:val="24"/>
        </w:rPr>
        <w:t>NOTE</w:t>
      </w:r>
      <w:r w:rsidR="00CD024E" w:rsidRPr="00687DE1">
        <w:rPr>
          <w:rFonts w:eastAsia="Times New Roman"/>
          <w:sz w:val="24"/>
          <w:szCs w:val="24"/>
        </w:rPr>
        <w:t xml:space="preserve">: </w:t>
      </w:r>
      <w:r>
        <w:rPr>
          <w:rFonts w:eastAsia="Times New Roman"/>
          <w:sz w:val="24"/>
          <w:szCs w:val="24"/>
        </w:rPr>
        <w:t>The e</w:t>
      </w:r>
      <w:r w:rsidR="00CD024E" w:rsidRPr="00687DE1">
        <w:rPr>
          <w:rFonts w:eastAsia="Times New Roman"/>
          <w:sz w:val="24"/>
          <w:szCs w:val="24"/>
        </w:rPr>
        <w:t>ndoscope size will vary based on the patient's physiology. Do not use the endoscope for any aspiration prior to sample collection to avoid contaminating the endoscope channel with gastric or oropharyngeal secretions.</w:t>
      </w:r>
    </w:p>
    <w:p w14:paraId="25AAB477" w14:textId="77777777" w:rsidR="00687DE1" w:rsidRDefault="00687DE1" w:rsidP="00D47367">
      <w:pPr>
        <w:pStyle w:val="ListParagraph"/>
        <w:spacing w:after="0" w:line="240" w:lineRule="auto"/>
        <w:ind w:left="0"/>
        <w:jc w:val="both"/>
        <w:rPr>
          <w:rFonts w:eastAsia="Times New Roman"/>
          <w:sz w:val="24"/>
          <w:szCs w:val="24"/>
          <w:highlight w:val="yellow"/>
        </w:rPr>
      </w:pPr>
    </w:p>
    <w:p w14:paraId="15BE0DB1" w14:textId="2C2606A1" w:rsidR="00CD024E" w:rsidRPr="00DA0029"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Obtain a microscope slide and blunt 18</w:t>
      </w:r>
      <w:r w:rsidR="00687DE1">
        <w:rPr>
          <w:rFonts w:eastAsia="Times New Roman"/>
          <w:sz w:val="24"/>
          <w:szCs w:val="24"/>
          <w:highlight w:val="yellow"/>
        </w:rPr>
        <w:t xml:space="preserve"> G</w:t>
      </w:r>
      <w:r w:rsidRPr="00DA0029">
        <w:rPr>
          <w:rFonts w:eastAsia="Times New Roman"/>
          <w:sz w:val="24"/>
          <w:szCs w:val="24"/>
          <w:highlight w:val="yellow"/>
        </w:rPr>
        <w:t>auge syringe needle to prepare for specimen procurement. Prepare a sterile pad which will be used to transfer biopsies from the microscope slide to cryovials.</w:t>
      </w:r>
    </w:p>
    <w:p w14:paraId="1D8900B5" w14:textId="77777777" w:rsidR="00687DE1" w:rsidRDefault="00687DE1" w:rsidP="00D47367">
      <w:pPr>
        <w:pStyle w:val="ListParagraph"/>
        <w:spacing w:after="0" w:line="240" w:lineRule="auto"/>
        <w:ind w:left="0"/>
        <w:jc w:val="both"/>
        <w:rPr>
          <w:rFonts w:eastAsia="Times New Roman"/>
          <w:sz w:val="24"/>
          <w:szCs w:val="24"/>
          <w:highlight w:val="yellow"/>
        </w:rPr>
      </w:pPr>
    </w:p>
    <w:p w14:paraId="372007E8" w14:textId="50722336" w:rsidR="00CD024E"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When the scope arrives at the second portion of the duodenum distal to the ampulla of </w:t>
      </w:r>
      <w:proofErr w:type="spellStart"/>
      <w:r w:rsidRPr="00DA0029">
        <w:rPr>
          <w:rFonts w:eastAsia="Times New Roman"/>
          <w:sz w:val="24"/>
          <w:szCs w:val="24"/>
          <w:highlight w:val="yellow"/>
        </w:rPr>
        <w:t>Vater</w:t>
      </w:r>
      <w:proofErr w:type="spellEnd"/>
      <w:r w:rsidRPr="00DA0029">
        <w:rPr>
          <w:rFonts w:eastAsia="Times New Roman"/>
          <w:sz w:val="24"/>
          <w:szCs w:val="24"/>
          <w:highlight w:val="yellow"/>
        </w:rPr>
        <w:t xml:space="preserve">, aspirate any fluid present through a sterile disposable aspiration catheter passed through the working channel of the upper endoscope and collect it into a 40 </w:t>
      </w:r>
      <w:r w:rsidR="00CC614A">
        <w:rPr>
          <w:rFonts w:eastAsia="Times New Roman"/>
          <w:sz w:val="24"/>
          <w:szCs w:val="24"/>
          <w:highlight w:val="yellow"/>
        </w:rPr>
        <w:t>mL</w:t>
      </w:r>
      <w:r w:rsidR="00CC614A" w:rsidRPr="00DA0029">
        <w:rPr>
          <w:rFonts w:eastAsia="Times New Roman"/>
          <w:sz w:val="24"/>
          <w:szCs w:val="24"/>
          <w:highlight w:val="yellow"/>
        </w:rPr>
        <w:t xml:space="preserve"> </w:t>
      </w:r>
      <w:r w:rsidRPr="00DA0029">
        <w:rPr>
          <w:rFonts w:eastAsia="Times New Roman"/>
          <w:sz w:val="24"/>
          <w:szCs w:val="24"/>
          <w:highlight w:val="yellow"/>
        </w:rPr>
        <w:t>disposable specimen container</w:t>
      </w:r>
      <w:r w:rsidRPr="00D47367">
        <w:rPr>
          <w:rFonts w:eastAsia="Times New Roman"/>
          <w:bCs/>
          <w:sz w:val="24"/>
          <w:szCs w:val="24"/>
          <w:highlight w:val="yellow"/>
        </w:rPr>
        <w:t>.</w:t>
      </w:r>
      <w:r w:rsidRPr="00DA0029">
        <w:rPr>
          <w:rFonts w:eastAsia="Times New Roman"/>
          <w:b/>
          <w:sz w:val="24"/>
          <w:szCs w:val="24"/>
          <w:highlight w:val="yellow"/>
        </w:rPr>
        <w:t xml:space="preserve"> </w:t>
      </w:r>
      <w:r w:rsidRPr="00DA0029">
        <w:rPr>
          <w:rFonts w:eastAsia="Times New Roman"/>
          <w:sz w:val="24"/>
          <w:szCs w:val="24"/>
          <w:highlight w:val="yellow"/>
        </w:rPr>
        <w:t xml:space="preserve">Flush up to 30 mL of additional sterile water by syringe into the duodenum and aspirate </w:t>
      </w:r>
      <w:r w:rsidR="00687DE1">
        <w:rPr>
          <w:rFonts w:eastAsia="Times New Roman"/>
          <w:sz w:val="24"/>
          <w:szCs w:val="24"/>
          <w:highlight w:val="yellow"/>
        </w:rPr>
        <w:t xml:space="preserve">the fluid </w:t>
      </w:r>
      <w:r w:rsidRPr="00DA0029">
        <w:rPr>
          <w:rFonts w:eastAsia="Times New Roman"/>
          <w:sz w:val="24"/>
          <w:szCs w:val="24"/>
          <w:highlight w:val="yellow"/>
        </w:rPr>
        <w:t>into a fluid specimen trap to collect a total of 15 mL.</w:t>
      </w:r>
    </w:p>
    <w:p w14:paraId="3772CC0F" w14:textId="77777777" w:rsidR="00687DE1" w:rsidRPr="00687DE1" w:rsidRDefault="00687DE1" w:rsidP="00D47367">
      <w:pPr>
        <w:spacing w:after="0" w:line="240" w:lineRule="auto"/>
        <w:jc w:val="both"/>
        <w:rPr>
          <w:rFonts w:eastAsia="Times New Roman"/>
          <w:sz w:val="24"/>
          <w:szCs w:val="24"/>
          <w:highlight w:val="yellow"/>
        </w:rPr>
      </w:pPr>
    </w:p>
    <w:p w14:paraId="62DC297E" w14:textId="59FBE477" w:rsidR="00CD024E" w:rsidRPr="00DA0029"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Immediately remove and cap the aspirate container attached to the suction component of the catheter</w:t>
      </w:r>
      <w:r w:rsidR="00687DE1">
        <w:rPr>
          <w:rFonts w:eastAsia="Times New Roman"/>
          <w:sz w:val="24"/>
          <w:szCs w:val="24"/>
          <w:highlight w:val="yellow"/>
        </w:rPr>
        <w:t>. P</w:t>
      </w:r>
      <w:r w:rsidRPr="00DA0029">
        <w:rPr>
          <w:rFonts w:eastAsia="Times New Roman"/>
          <w:sz w:val="24"/>
          <w:szCs w:val="24"/>
          <w:highlight w:val="yellow"/>
        </w:rPr>
        <w:t xml:space="preserve">lace </w:t>
      </w:r>
      <w:r w:rsidR="00687DE1">
        <w:rPr>
          <w:rFonts w:eastAsia="Times New Roman"/>
          <w:sz w:val="24"/>
          <w:szCs w:val="24"/>
          <w:highlight w:val="yellow"/>
        </w:rPr>
        <w:t>the container</w:t>
      </w:r>
      <w:r w:rsidRPr="00DA0029">
        <w:rPr>
          <w:rFonts w:eastAsia="Times New Roman"/>
          <w:sz w:val="24"/>
          <w:szCs w:val="24"/>
          <w:highlight w:val="yellow"/>
        </w:rPr>
        <w:t xml:space="preserve"> into a thermos over ice and into a specimen transport bag for transfer to the processing lab.</w:t>
      </w:r>
    </w:p>
    <w:p w14:paraId="5EBF6450" w14:textId="77777777" w:rsidR="00687DE1" w:rsidRDefault="00687DE1" w:rsidP="00D47367">
      <w:pPr>
        <w:pStyle w:val="ListParagraph"/>
        <w:spacing w:after="0" w:line="240" w:lineRule="auto"/>
        <w:ind w:left="0"/>
        <w:jc w:val="both"/>
        <w:rPr>
          <w:rFonts w:eastAsia="Times New Roman"/>
          <w:sz w:val="24"/>
          <w:szCs w:val="24"/>
          <w:highlight w:val="yellow"/>
        </w:rPr>
      </w:pPr>
    </w:p>
    <w:p w14:paraId="3330BB4A" w14:textId="6DEAAB6D" w:rsidR="00CD024E" w:rsidRPr="00DA0029"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Insert a 2.8 mm single-use biopsy forceps into the port on the side of the endoscope to remove tissue specimens for research. Perform 2 random passes of the forceps within the second portion of the duodenum, collecting two bites of tissue in each pass.</w:t>
      </w:r>
    </w:p>
    <w:p w14:paraId="348EA279" w14:textId="77777777" w:rsidR="00687DE1" w:rsidRDefault="00687DE1" w:rsidP="00D47367">
      <w:pPr>
        <w:pStyle w:val="ListParagraph"/>
        <w:spacing w:after="0" w:line="240" w:lineRule="auto"/>
        <w:ind w:left="0"/>
        <w:jc w:val="both"/>
        <w:rPr>
          <w:rFonts w:eastAsia="Times New Roman"/>
          <w:sz w:val="24"/>
          <w:szCs w:val="24"/>
          <w:highlight w:val="yellow"/>
        </w:rPr>
      </w:pPr>
    </w:p>
    <w:p w14:paraId="6F8DCAAA" w14:textId="5911B3E1" w:rsidR="00CD024E" w:rsidRPr="00DA0029"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Use a blunt 18</w:t>
      </w:r>
      <w:r w:rsidR="00687DE1">
        <w:rPr>
          <w:rFonts w:eastAsia="Times New Roman"/>
          <w:sz w:val="24"/>
          <w:szCs w:val="24"/>
          <w:highlight w:val="yellow"/>
        </w:rPr>
        <w:t xml:space="preserve"> G</w:t>
      </w:r>
      <w:r w:rsidRPr="00DA0029">
        <w:rPr>
          <w:rFonts w:eastAsia="Times New Roman"/>
          <w:sz w:val="24"/>
          <w:szCs w:val="24"/>
          <w:highlight w:val="yellow"/>
        </w:rPr>
        <w:t>auge syringe needle to extract tissue samples from the forceps and onto the microscope slide before transferring the</w:t>
      </w:r>
      <w:r w:rsidR="00687DE1">
        <w:rPr>
          <w:rFonts w:eastAsia="Times New Roman"/>
          <w:sz w:val="24"/>
          <w:szCs w:val="24"/>
          <w:highlight w:val="yellow"/>
        </w:rPr>
        <w:t xml:space="preserve"> samples</w:t>
      </w:r>
      <w:r w:rsidRPr="00DA0029">
        <w:rPr>
          <w:rFonts w:eastAsia="Times New Roman"/>
          <w:sz w:val="24"/>
          <w:szCs w:val="24"/>
          <w:highlight w:val="yellow"/>
        </w:rPr>
        <w:t xml:space="preserve"> to four separate empty 2 mL cryovials</w:t>
      </w:r>
      <w:r w:rsidR="00687DE1">
        <w:rPr>
          <w:rFonts w:eastAsia="Times New Roman"/>
          <w:sz w:val="24"/>
          <w:szCs w:val="24"/>
          <w:highlight w:val="yellow"/>
        </w:rPr>
        <w:t>. T</w:t>
      </w:r>
      <w:r w:rsidRPr="00DA0029">
        <w:rPr>
          <w:rFonts w:eastAsia="Times New Roman"/>
          <w:sz w:val="24"/>
          <w:szCs w:val="24"/>
          <w:highlight w:val="yellow"/>
        </w:rPr>
        <w:t>ightly screw on the cap</w:t>
      </w:r>
      <w:r w:rsidR="005A6895" w:rsidRPr="00DA0029">
        <w:rPr>
          <w:rFonts w:eastAsia="Times New Roman"/>
          <w:sz w:val="24"/>
          <w:szCs w:val="24"/>
          <w:highlight w:val="yellow"/>
        </w:rPr>
        <w:t>s.</w:t>
      </w:r>
    </w:p>
    <w:p w14:paraId="35EC644B" w14:textId="77777777" w:rsidR="00687DE1" w:rsidRDefault="00687DE1" w:rsidP="00D47367">
      <w:pPr>
        <w:pStyle w:val="ListParagraph"/>
        <w:spacing w:after="0" w:line="240" w:lineRule="auto"/>
        <w:ind w:left="0"/>
        <w:jc w:val="both"/>
        <w:rPr>
          <w:rFonts w:eastAsia="Times New Roman"/>
          <w:sz w:val="24"/>
          <w:szCs w:val="24"/>
          <w:highlight w:val="yellow"/>
        </w:rPr>
      </w:pPr>
    </w:p>
    <w:p w14:paraId="6CF705CD" w14:textId="77777777" w:rsidR="00687DE1"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Insert all 4 tightly</w:t>
      </w:r>
      <w:r w:rsidR="00687DE1">
        <w:rPr>
          <w:rFonts w:eastAsia="Times New Roman"/>
          <w:sz w:val="24"/>
          <w:szCs w:val="24"/>
          <w:highlight w:val="yellow"/>
        </w:rPr>
        <w:t xml:space="preserve"> </w:t>
      </w:r>
      <w:r w:rsidRPr="00DA0029">
        <w:rPr>
          <w:rFonts w:eastAsia="Times New Roman"/>
          <w:sz w:val="24"/>
          <w:szCs w:val="24"/>
          <w:highlight w:val="yellow"/>
        </w:rPr>
        <w:t>capped cryovials into an empty container, such as a urine cup, and create a bath, consisting of 20 mL of ethanol and dry ice</w:t>
      </w:r>
      <w:r w:rsidR="00687DE1">
        <w:rPr>
          <w:rFonts w:eastAsia="Times New Roman"/>
          <w:sz w:val="24"/>
          <w:szCs w:val="24"/>
          <w:highlight w:val="yellow"/>
        </w:rPr>
        <w:t xml:space="preserve">, </w:t>
      </w:r>
      <w:r w:rsidR="00687DE1" w:rsidRPr="00DA0029">
        <w:rPr>
          <w:rFonts w:eastAsia="Times New Roman"/>
          <w:sz w:val="24"/>
          <w:szCs w:val="24"/>
          <w:highlight w:val="yellow"/>
        </w:rPr>
        <w:t>to flash freeze the biopsies</w:t>
      </w:r>
      <w:r w:rsidR="00687DE1">
        <w:rPr>
          <w:rFonts w:eastAsia="Times New Roman"/>
          <w:sz w:val="24"/>
          <w:szCs w:val="24"/>
          <w:highlight w:val="yellow"/>
        </w:rPr>
        <w:t>.</w:t>
      </w:r>
    </w:p>
    <w:p w14:paraId="5F08B03A" w14:textId="77777777" w:rsidR="00687DE1" w:rsidRPr="00687DE1" w:rsidRDefault="00687DE1" w:rsidP="00D47367">
      <w:pPr>
        <w:pStyle w:val="ListParagraph"/>
        <w:ind w:left="0"/>
        <w:jc w:val="both"/>
        <w:rPr>
          <w:rFonts w:eastAsia="Times New Roman"/>
          <w:sz w:val="24"/>
          <w:szCs w:val="24"/>
          <w:highlight w:val="yellow"/>
        </w:rPr>
      </w:pPr>
    </w:p>
    <w:p w14:paraId="359A19BC" w14:textId="17B52506" w:rsidR="00687DE1"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687DE1">
        <w:rPr>
          <w:rFonts w:eastAsia="Times New Roman"/>
          <w:sz w:val="24"/>
          <w:szCs w:val="24"/>
          <w:highlight w:val="yellow"/>
        </w:rPr>
        <w:lastRenderedPageBreak/>
        <w:t xml:space="preserve">Place the biopsy cryovials in an insulated </w:t>
      </w:r>
      <w:r w:rsidR="00CC614A" w:rsidRPr="00687DE1">
        <w:rPr>
          <w:rFonts w:eastAsia="Times New Roman"/>
          <w:sz w:val="24"/>
          <w:szCs w:val="24"/>
          <w:highlight w:val="yellow"/>
        </w:rPr>
        <w:t>Styrofoam</w:t>
      </w:r>
      <w:r w:rsidRPr="00687DE1">
        <w:rPr>
          <w:rFonts w:eastAsia="Times New Roman"/>
          <w:sz w:val="24"/>
          <w:szCs w:val="24"/>
          <w:highlight w:val="yellow"/>
        </w:rPr>
        <w:t xml:space="preserve"> container on a bed of dry ice</w:t>
      </w:r>
      <w:r w:rsidR="00687DE1">
        <w:rPr>
          <w:rFonts w:eastAsia="Times New Roman"/>
          <w:sz w:val="24"/>
          <w:szCs w:val="24"/>
          <w:highlight w:val="yellow"/>
        </w:rPr>
        <w:t xml:space="preserve"> and t</w:t>
      </w:r>
      <w:r w:rsidRPr="00687DE1">
        <w:rPr>
          <w:rFonts w:eastAsia="Times New Roman"/>
          <w:sz w:val="24"/>
          <w:szCs w:val="24"/>
          <w:highlight w:val="yellow"/>
        </w:rPr>
        <w:t>ransfer</w:t>
      </w:r>
      <w:r w:rsidR="00687DE1">
        <w:rPr>
          <w:rFonts w:eastAsia="Times New Roman"/>
          <w:sz w:val="24"/>
          <w:szCs w:val="24"/>
          <w:highlight w:val="yellow"/>
        </w:rPr>
        <w:t xml:space="preserve"> the</w:t>
      </w:r>
      <w:r w:rsidRPr="00687DE1">
        <w:rPr>
          <w:rFonts w:eastAsia="Times New Roman"/>
          <w:sz w:val="24"/>
          <w:szCs w:val="24"/>
          <w:highlight w:val="yellow"/>
        </w:rPr>
        <w:t xml:space="preserve"> specimens to a -80</w:t>
      </w:r>
      <w:r w:rsidR="00CC614A">
        <w:rPr>
          <w:rFonts w:eastAsia="Times New Roman"/>
          <w:sz w:val="24"/>
          <w:szCs w:val="24"/>
          <w:highlight w:val="yellow"/>
        </w:rPr>
        <w:t xml:space="preserve"> °C</w:t>
      </w:r>
      <w:r w:rsidRPr="00687DE1">
        <w:rPr>
          <w:rFonts w:eastAsia="Times New Roman"/>
          <w:sz w:val="24"/>
          <w:szCs w:val="24"/>
          <w:highlight w:val="yellow"/>
        </w:rPr>
        <w:t xml:space="preserve"> freezer for long term storage to preserve the specimens.</w:t>
      </w:r>
      <w:r w:rsidRPr="00687DE1" w:rsidDel="00CD024E">
        <w:rPr>
          <w:rFonts w:eastAsia="Times New Roman"/>
          <w:sz w:val="24"/>
          <w:szCs w:val="24"/>
          <w:highlight w:val="yellow"/>
        </w:rPr>
        <w:t xml:space="preserve"> </w:t>
      </w:r>
    </w:p>
    <w:p w14:paraId="55A271B7" w14:textId="77777777" w:rsidR="00687DE1" w:rsidRPr="00687DE1" w:rsidRDefault="00687DE1" w:rsidP="00D47367">
      <w:pPr>
        <w:pStyle w:val="ListParagraph"/>
        <w:ind w:left="0"/>
        <w:jc w:val="both"/>
        <w:rPr>
          <w:rFonts w:eastAsia="Times New Roman"/>
          <w:b/>
          <w:bCs/>
          <w:sz w:val="24"/>
          <w:szCs w:val="24"/>
          <w:highlight w:val="yellow"/>
        </w:rPr>
      </w:pPr>
    </w:p>
    <w:p w14:paraId="4BDC719F" w14:textId="7E7FE5ED" w:rsidR="004B698A" w:rsidRPr="00687DE1" w:rsidRDefault="00527139" w:rsidP="00D47367">
      <w:pPr>
        <w:pStyle w:val="ListParagraph"/>
        <w:numPr>
          <w:ilvl w:val="0"/>
          <w:numId w:val="5"/>
        </w:numPr>
        <w:spacing w:after="0" w:line="240" w:lineRule="auto"/>
        <w:ind w:left="0" w:firstLine="0"/>
        <w:jc w:val="both"/>
        <w:rPr>
          <w:rFonts w:eastAsia="Times New Roman"/>
          <w:sz w:val="24"/>
          <w:szCs w:val="24"/>
          <w:highlight w:val="yellow"/>
        </w:rPr>
      </w:pPr>
      <w:r w:rsidRPr="00687DE1">
        <w:rPr>
          <w:rFonts w:eastAsia="Times New Roman"/>
          <w:b/>
          <w:bCs/>
          <w:sz w:val="24"/>
          <w:szCs w:val="24"/>
          <w:highlight w:val="yellow"/>
        </w:rPr>
        <w:t>Aspirate</w:t>
      </w:r>
      <w:r w:rsidR="00631427" w:rsidRPr="00687DE1">
        <w:rPr>
          <w:rFonts w:eastAsia="Times New Roman"/>
          <w:b/>
          <w:sz w:val="24"/>
          <w:szCs w:val="24"/>
          <w:highlight w:val="yellow"/>
        </w:rPr>
        <w:t xml:space="preserve"> </w:t>
      </w:r>
      <w:r w:rsidR="00687DE1">
        <w:rPr>
          <w:rFonts w:eastAsia="Times New Roman"/>
          <w:b/>
          <w:sz w:val="24"/>
          <w:szCs w:val="24"/>
          <w:highlight w:val="yellow"/>
        </w:rPr>
        <w:t>p</w:t>
      </w:r>
      <w:r w:rsidR="00631427" w:rsidRPr="00687DE1">
        <w:rPr>
          <w:rFonts w:eastAsia="Times New Roman"/>
          <w:b/>
          <w:sz w:val="24"/>
          <w:szCs w:val="24"/>
          <w:highlight w:val="yellow"/>
        </w:rPr>
        <w:t>rocessing</w:t>
      </w:r>
    </w:p>
    <w:p w14:paraId="4DFE0A4B" w14:textId="77777777" w:rsidR="00687DE1" w:rsidRDefault="00687DE1" w:rsidP="00D47367">
      <w:pPr>
        <w:pStyle w:val="ListParagraph"/>
        <w:spacing w:after="0" w:line="240" w:lineRule="auto"/>
        <w:ind w:left="0"/>
        <w:jc w:val="both"/>
        <w:rPr>
          <w:rFonts w:eastAsia="Times New Roman"/>
          <w:sz w:val="24"/>
          <w:szCs w:val="24"/>
          <w:highlight w:val="yellow"/>
        </w:rPr>
      </w:pPr>
    </w:p>
    <w:p w14:paraId="62FFCA1C" w14:textId="20575CE7" w:rsidR="004B698A" w:rsidRDefault="00631427"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Following biospecimen collection, immediately transfer </w:t>
      </w:r>
      <w:r w:rsidR="00A06C9F">
        <w:rPr>
          <w:rFonts w:eastAsia="Times New Roman"/>
          <w:sz w:val="24"/>
          <w:szCs w:val="24"/>
          <w:highlight w:val="yellow"/>
        </w:rPr>
        <w:t xml:space="preserve">the </w:t>
      </w:r>
      <w:r w:rsidRPr="00DA0029">
        <w:rPr>
          <w:rFonts w:eastAsia="Times New Roman"/>
          <w:sz w:val="24"/>
          <w:szCs w:val="24"/>
          <w:highlight w:val="yellow"/>
        </w:rPr>
        <w:t>biospecimens to a BSL2 or higher laboratory for processing.</w:t>
      </w:r>
    </w:p>
    <w:p w14:paraId="5293C569" w14:textId="77777777" w:rsidR="00A06C9F" w:rsidRPr="00DA0029" w:rsidRDefault="00A06C9F" w:rsidP="00D47367">
      <w:pPr>
        <w:pStyle w:val="ListParagraph"/>
        <w:spacing w:after="0" w:line="240" w:lineRule="auto"/>
        <w:ind w:left="0"/>
        <w:jc w:val="both"/>
        <w:rPr>
          <w:rFonts w:eastAsia="Times New Roman"/>
          <w:sz w:val="24"/>
          <w:szCs w:val="24"/>
          <w:highlight w:val="yellow"/>
        </w:rPr>
      </w:pPr>
    </w:p>
    <w:p w14:paraId="5F9650CF" w14:textId="5F225761" w:rsidR="00A06C9F" w:rsidRDefault="00527139"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Gently invert the container of aspirate fluid four times, </w:t>
      </w:r>
      <w:r w:rsidR="00CC614A">
        <w:rPr>
          <w:rFonts w:eastAsia="Times New Roman"/>
          <w:sz w:val="24"/>
          <w:szCs w:val="24"/>
          <w:highlight w:val="yellow"/>
        </w:rPr>
        <w:t xml:space="preserve">and </w:t>
      </w:r>
      <w:r w:rsidRPr="00DA0029">
        <w:rPr>
          <w:rFonts w:eastAsia="Times New Roman"/>
          <w:sz w:val="24"/>
          <w:szCs w:val="24"/>
          <w:highlight w:val="yellow"/>
        </w:rPr>
        <w:t xml:space="preserve">then </w:t>
      </w:r>
      <w:r w:rsidR="00A06C9F" w:rsidRPr="00DA0029">
        <w:rPr>
          <w:rFonts w:eastAsia="Times New Roman"/>
          <w:sz w:val="24"/>
          <w:szCs w:val="24"/>
          <w:highlight w:val="yellow"/>
        </w:rPr>
        <w:t>aliquot</w:t>
      </w:r>
      <w:r w:rsidR="00A06C9F">
        <w:rPr>
          <w:rFonts w:eastAsia="Times New Roman"/>
          <w:sz w:val="24"/>
          <w:szCs w:val="24"/>
          <w:highlight w:val="yellow"/>
        </w:rPr>
        <w:t xml:space="preserve"> </w:t>
      </w:r>
      <w:r w:rsidR="00A06C9F" w:rsidRPr="00DA0029">
        <w:rPr>
          <w:rFonts w:eastAsia="Times New Roman"/>
          <w:sz w:val="24"/>
          <w:szCs w:val="24"/>
          <w:highlight w:val="yellow"/>
        </w:rPr>
        <w:t xml:space="preserve">approximately 1.5 mL </w:t>
      </w:r>
      <w:r w:rsidR="00A06C9F">
        <w:rPr>
          <w:rFonts w:eastAsia="Times New Roman"/>
          <w:sz w:val="24"/>
          <w:szCs w:val="24"/>
          <w:highlight w:val="yellow"/>
        </w:rPr>
        <w:t>of the fluid</w:t>
      </w:r>
      <w:r w:rsidRPr="00DA0029">
        <w:rPr>
          <w:rFonts w:eastAsia="Times New Roman"/>
          <w:sz w:val="24"/>
          <w:szCs w:val="24"/>
          <w:highlight w:val="yellow"/>
        </w:rPr>
        <w:t xml:space="preserve"> into 2 mL cryovials</w:t>
      </w:r>
      <w:r w:rsidR="00631427" w:rsidRPr="00DA0029">
        <w:rPr>
          <w:rFonts w:eastAsia="Times New Roman"/>
          <w:sz w:val="24"/>
          <w:szCs w:val="24"/>
          <w:highlight w:val="yellow"/>
        </w:rPr>
        <w:t>.</w:t>
      </w:r>
    </w:p>
    <w:p w14:paraId="09F97CDA" w14:textId="0C4F7709" w:rsidR="004B698A" w:rsidRPr="00A06C9F" w:rsidRDefault="00A06C9F" w:rsidP="00D47367">
      <w:pPr>
        <w:spacing w:after="0" w:line="240" w:lineRule="auto"/>
        <w:jc w:val="both"/>
        <w:rPr>
          <w:rFonts w:eastAsia="Times New Roman"/>
          <w:sz w:val="24"/>
          <w:szCs w:val="24"/>
          <w:highlight w:val="yellow"/>
        </w:rPr>
      </w:pPr>
      <w:r w:rsidRPr="00A06C9F">
        <w:rPr>
          <w:rFonts w:eastAsia="Times New Roman"/>
          <w:sz w:val="24"/>
          <w:szCs w:val="24"/>
          <w:highlight w:val="yellow"/>
        </w:rPr>
        <w:t xml:space="preserve"> </w:t>
      </w:r>
    </w:p>
    <w:p w14:paraId="652B0C2B" w14:textId="41380846" w:rsidR="00A06C9F" w:rsidRPr="00A06C9F" w:rsidRDefault="00631427"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Store </w:t>
      </w:r>
      <w:r w:rsidR="00527139" w:rsidRPr="00DA0029">
        <w:rPr>
          <w:rFonts w:eastAsia="Times New Roman"/>
          <w:sz w:val="24"/>
          <w:szCs w:val="24"/>
          <w:highlight w:val="yellow"/>
        </w:rPr>
        <w:t>specimens</w:t>
      </w:r>
      <w:r w:rsidRPr="00DA0029">
        <w:rPr>
          <w:rFonts w:eastAsia="Times New Roman"/>
          <w:sz w:val="24"/>
          <w:szCs w:val="24"/>
          <w:highlight w:val="yellow"/>
        </w:rPr>
        <w:t xml:space="preserve"> at -80</w:t>
      </w:r>
      <w:r w:rsidR="00CC614A">
        <w:rPr>
          <w:rFonts w:eastAsia="Times New Roman"/>
          <w:sz w:val="24"/>
          <w:szCs w:val="24"/>
          <w:highlight w:val="yellow"/>
        </w:rPr>
        <w:t xml:space="preserve"> °C</w:t>
      </w:r>
      <w:r w:rsidR="00CC614A">
        <w:rPr>
          <w:rFonts w:ascii="Cambria Math" w:eastAsia="Times New Roman" w:hAnsi="Cambria Math" w:cs="Cambria Math"/>
          <w:sz w:val="24"/>
          <w:szCs w:val="24"/>
          <w:highlight w:val="yellow"/>
        </w:rPr>
        <w:t xml:space="preserve"> </w:t>
      </w:r>
      <w:r w:rsidRPr="00DA0029">
        <w:rPr>
          <w:rFonts w:eastAsia="Times New Roman"/>
          <w:sz w:val="24"/>
          <w:szCs w:val="24"/>
          <w:highlight w:val="yellow"/>
        </w:rPr>
        <w:t>until batch analysis can be performed.</w:t>
      </w:r>
    </w:p>
    <w:p w14:paraId="777C733D" w14:textId="77777777" w:rsidR="00A06C9F" w:rsidRPr="00A06C9F" w:rsidRDefault="00A06C9F" w:rsidP="00D47367">
      <w:pPr>
        <w:pStyle w:val="ListParagraph"/>
        <w:ind w:left="0"/>
        <w:jc w:val="both"/>
        <w:rPr>
          <w:rFonts w:eastAsia="Times New Roman"/>
          <w:b/>
          <w:bCs/>
          <w:sz w:val="24"/>
          <w:szCs w:val="24"/>
        </w:rPr>
      </w:pPr>
    </w:p>
    <w:p w14:paraId="76A10BB5" w14:textId="623354B8" w:rsidR="008F0E06" w:rsidRPr="00A06C9F" w:rsidRDefault="008F0E06" w:rsidP="00D47367">
      <w:pPr>
        <w:pStyle w:val="ListParagraph"/>
        <w:numPr>
          <w:ilvl w:val="0"/>
          <w:numId w:val="5"/>
        </w:numPr>
        <w:spacing w:after="0" w:line="240" w:lineRule="auto"/>
        <w:ind w:left="0" w:firstLine="0"/>
        <w:jc w:val="both"/>
        <w:rPr>
          <w:rFonts w:eastAsia="Times New Roman"/>
          <w:sz w:val="24"/>
          <w:szCs w:val="24"/>
        </w:rPr>
      </w:pPr>
      <w:r w:rsidRPr="00A06C9F">
        <w:rPr>
          <w:rFonts w:eastAsia="Times New Roman"/>
          <w:b/>
          <w:bCs/>
          <w:sz w:val="24"/>
          <w:szCs w:val="24"/>
        </w:rPr>
        <w:t xml:space="preserve">Questionnaire </w:t>
      </w:r>
      <w:r w:rsidR="00A06C9F">
        <w:rPr>
          <w:rFonts w:eastAsia="Times New Roman"/>
          <w:b/>
          <w:bCs/>
          <w:sz w:val="24"/>
          <w:szCs w:val="24"/>
        </w:rPr>
        <w:t>a</w:t>
      </w:r>
      <w:r w:rsidRPr="00A06C9F">
        <w:rPr>
          <w:rFonts w:eastAsia="Times New Roman"/>
          <w:b/>
          <w:bCs/>
          <w:sz w:val="24"/>
          <w:szCs w:val="24"/>
        </w:rPr>
        <w:t xml:space="preserve">dministration and </w:t>
      </w:r>
      <w:r w:rsidR="00A06C9F">
        <w:rPr>
          <w:rFonts w:eastAsia="Times New Roman"/>
          <w:b/>
          <w:bCs/>
          <w:sz w:val="24"/>
          <w:szCs w:val="24"/>
        </w:rPr>
        <w:t>c</w:t>
      </w:r>
      <w:r w:rsidRPr="00A06C9F">
        <w:rPr>
          <w:rFonts w:eastAsia="Times New Roman"/>
          <w:b/>
          <w:bCs/>
          <w:sz w:val="24"/>
          <w:szCs w:val="24"/>
        </w:rPr>
        <w:t xml:space="preserve">ollection of </w:t>
      </w:r>
      <w:r w:rsidR="00A06C9F">
        <w:rPr>
          <w:rFonts w:eastAsia="Times New Roman"/>
          <w:b/>
          <w:bCs/>
          <w:sz w:val="24"/>
          <w:szCs w:val="24"/>
        </w:rPr>
        <w:t>c</w:t>
      </w:r>
      <w:r w:rsidRPr="00A06C9F">
        <w:rPr>
          <w:rFonts w:eastAsia="Times New Roman"/>
          <w:b/>
          <w:bCs/>
          <w:sz w:val="24"/>
          <w:szCs w:val="24"/>
        </w:rPr>
        <w:t xml:space="preserve">linical </w:t>
      </w:r>
      <w:r w:rsidR="00A06C9F">
        <w:rPr>
          <w:rFonts w:eastAsia="Times New Roman"/>
          <w:b/>
          <w:bCs/>
          <w:sz w:val="24"/>
          <w:szCs w:val="24"/>
        </w:rPr>
        <w:t>d</w:t>
      </w:r>
      <w:r w:rsidRPr="00A06C9F">
        <w:rPr>
          <w:rFonts w:eastAsia="Times New Roman"/>
          <w:b/>
          <w:bCs/>
          <w:sz w:val="24"/>
          <w:szCs w:val="24"/>
        </w:rPr>
        <w:t>ata</w:t>
      </w:r>
    </w:p>
    <w:p w14:paraId="66460A88" w14:textId="77777777" w:rsidR="00A06C9F" w:rsidRPr="00A06C9F" w:rsidRDefault="00A06C9F" w:rsidP="00D47367">
      <w:pPr>
        <w:pStyle w:val="ListParagraph"/>
        <w:spacing w:after="0" w:line="240" w:lineRule="auto"/>
        <w:ind w:left="0"/>
        <w:jc w:val="both"/>
        <w:rPr>
          <w:rFonts w:eastAsia="Times New Roman"/>
          <w:sz w:val="24"/>
          <w:szCs w:val="24"/>
        </w:rPr>
      </w:pPr>
    </w:p>
    <w:p w14:paraId="1B66D30C" w14:textId="38E45938" w:rsidR="008F0E06" w:rsidRDefault="003008F1" w:rsidP="00D47367">
      <w:pPr>
        <w:pStyle w:val="ListParagraph"/>
        <w:numPr>
          <w:ilvl w:val="1"/>
          <w:numId w:val="5"/>
        </w:numPr>
        <w:spacing w:after="0" w:line="240" w:lineRule="auto"/>
        <w:ind w:left="0" w:firstLine="0"/>
        <w:jc w:val="both"/>
        <w:rPr>
          <w:rFonts w:eastAsia="Times New Roman"/>
          <w:sz w:val="24"/>
          <w:szCs w:val="24"/>
        </w:rPr>
      </w:pPr>
      <w:r w:rsidRPr="00DA0029">
        <w:rPr>
          <w:rFonts w:eastAsia="Times New Roman"/>
          <w:sz w:val="24"/>
          <w:szCs w:val="24"/>
        </w:rPr>
        <w:t>Ask p</w:t>
      </w:r>
      <w:r w:rsidR="008F0E06" w:rsidRPr="00DA0029">
        <w:rPr>
          <w:rFonts w:eastAsia="Times New Roman"/>
          <w:sz w:val="24"/>
          <w:szCs w:val="24"/>
        </w:rPr>
        <w:t>articipants to complete questionnaires to elicit information on diet, demographics, smoking /alcohol habits, medical conditions/medications, and quality of life</w:t>
      </w:r>
      <w:r w:rsidR="00032DAD" w:rsidRPr="00DA0029">
        <w:rPr>
          <w:rFonts w:eastAsia="Times New Roman"/>
          <w:sz w:val="24"/>
          <w:szCs w:val="24"/>
          <w:vertAlign w:val="superscript"/>
        </w:rPr>
        <w:t>13</w:t>
      </w:r>
      <w:r w:rsidR="00380FC8" w:rsidRPr="00DA0029">
        <w:rPr>
          <w:rFonts w:eastAsia="Times New Roman"/>
          <w:sz w:val="24"/>
          <w:szCs w:val="24"/>
        </w:rPr>
        <w:t>.</w:t>
      </w:r>
    </w:p>
    <w:p w14:paraId="2B3F907D" w14:textId="77777777" w:rsidR="00A06C9F" w:rsidRPr="00DA0029" w:rsidRDefault="00A06C9F" w:rsidP="00D47367">
      <w:pPr>
        <w:pStyle w:val="ListParagraph"/>
        <w:spacing w:after="0" w:line="240" w:lineRule="auto"/>
        <w:ind w:left="0"/>
        <w:jc w:val="both"/>
        <w:rPr>
          <w:rFonts w:eastAsia="Times New Roman"/>
          <w:sz w:val="24"/>
          <w:szCs w:val="24"/>
        </w:rPr>
      </w:pPr>
    </w:p>
    <w:p w14:paraId="4E7AD4D0" w14:textId="0EB57109" w:rsidR="008F0E06" w:rsidRPr="00DA0029" w:rsidRDefault="003008F1" w:rsidP="00D47367">
      <w:pPr>
        <w:pStyle w:val="ListParagraph"/>
        <w:numPr>
          <w:ilvl w:val="1"/>
          <w:numId w:val="5"/>
        </w:numPr>
        <w:spacing w:after="0" w:line="240" w:lineRule="auto"/>
        <w:ind w:left="0" w:firstLine="0"/>
        <w:jc w:val="both"/>
        <w:rPr>
          <w:rFonts w:eastAsia="Times New Roman"/>
          <w:sz w:val="24"/>
          <w:szCs w:val="24"/>
        </w:rPr>
      </w:pPr>
      <w:r w:rsidRPr="00DA0029">
        <w:rPr>
          <w:rFonts w:eastAsia="Times New Roman"/>
          <w:sz w:val="24"/>
          <w:szCs w:val="24"/>
        </w:rPr>
        <w:t>Review m</w:t>
      </w:r>
      <w:r w:rsidR="008F0E06" w:rsidRPr="00DA0029">
        <w:rPr>
          <w:rFonts w:eastAsia="Times New Roman"/>
          <w:sz w:val="24"/>
          <w:szCs w:val="24"/>
        </w:rPr>
        <w:t xml:space="preserve">edical charts to capture clinical data including clinical labs, imaging data, </w:t>
      </w:r>
      <w:r w:rsidR="00B874B2" w:rsidRPr="00DA0029">
        <w:rPr>
          <w:rFonts w:eastAsia="Times New Roman"/>
          <w:sz w:val="24"/>
          <w:szCs w:val="24"/>
        </w:rPr>
        <w:t>medications, and medical complications.</w:t>
      </w:r>
    </w:p>
    <w:p w14:paraId="7119665E" w14:textId="77777777" w:rsidR="00A06C9F" w:rsidRDefault="00A06C9F" w:rsidP="00D47367">
      <w:pPr>
        <w:spacing w:after="0" w:line="240" w:lineRule="auto"/>
        <w:jc w:val="both"/>
        <w:rPr>
          <w:rFonts w:eastAsia="Times New Roman"/>
          <w:b/>
          <w:sz w:val="24"/>
          <w:szCs w:val="24"/>
          <w:highlight w:val="yellow"/>
        </w:rPr>
      </w:pPr>
    </w:p>
    <w:p w14:paraId="2EF8DF6E" w14:textId="7C64AF17" w:rsidR="004B698A" w:rsidRDefault="00631427" w:rsidP="00D47367">
      <w:pPr>
        <w:numPr>
          <w:ilvl w:val="0"/>
          <w:numId w:val="5"/>
        </w:numPr>
        <w:spacing w:after="0" w:line="240" w:lineRule="auto"/>
        <w:ind w:left="0" w:firstLine="0"/>
        <w:jc w:val="both"/>
        <w:rPr>
          <w:rFonts w:eastAsia="Times New Roman"/>
          <w:b/>
          <w:sz w:val="24"/>
          <w:szCs w:val="24"/>
          <w:highlight w:val="yellow"/>
        </w:rPr>
      </w:pPr>
      <w:r w:rsidRPr="0070631B">
        <w:rPr>
          <w:rFonts w:eastAsia="Times New Roman"/>
          <w:b/>
          <w:sz w:val="24"/>
          <w:szCs w:val="24"/>
          <w:highlight w:val="yellow"/>
        </w:rPr>
        <w:t xml:space="preserve">DNA </w:t>
      </w:r>
      <w:r w:rsidR="00A06C9F">
        <w:rPr>
          <w:rFonts w:eastAsia="Times New Roman"/>
          <w:b/>
          <w:sz w:val="24"/>
          <w:szCs w:val="24"/>
          <w:highlight w:val="yellow"/>
        </w:rPr>
        <w:t>e</w:t>
      </w:r>
      <w:r w:rsidRPr="0070631B">
        <w:rPr>
          <w:rFonts w:eastAsia="Times New Roman"/>
          <w:b/>
          <w:sz w:val="24"/>
          <w:szCs w:val="24"/>
          <w:highlight w:val="yellow"/>
        </w:rPr>
        <w:t>xtraction</w:t>
      </w:r>
    </w:p>
    <w:p w14:paraId="3D9E0110" w14:textId="77777777" w:rsidR="00A06C9F" w:rsidRPr="0070631B" w:rsidRDefault="00A06C9F" w:rsidP="00D47367">
      <w:pPr>
        <w:spacing w:after="0" w:line="240" w:lineRule="auto"/>
        <w:jc w:val="both"/>
        <w:rPr>
          <w:rFonts w:eastAsia="Times New Roman"/>
          <w:b/>
          <w:sz w:val="24"/>
          <w:szCs w:val="24"/>
          <w:highlight w:val="yellow"/>
        </w:rPr>
      </w:pPr>
    </w:p>
    <w:p w14:paraId="34A52548" w14:textId="17FF13B8"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Perform DNA extraction immediately upon removing </w:t>
      </w:r>
      <w:r w:rsidR="00413D30">
        <w:rPr>
          <w:rFonts w:eastAsia="Times New Roman"/>
          <w:sz w:val="24"/>
          <w:szCs w:val="24"/>
          <w:highlight w:val="yellow"/>
        </w:rPr>
        <w:t xml:space="preserve">the </w:t>
      </w:r>
      <w:r w:rsidRPr="0070631B">
        <w:rPr>
          <w:rFonts w:eastAsia="Times New Roman"/>
          <w:sz w:val="24"/>
          <w:szCs w:val="24"/>
          <w:highlight w:val="yellow"/>
        </w:rPr>
        <w:t>duodenal biopsies and aspirate from storage at -8</w:t>
      </w:r>
      <w:r w:rsidR="001B384E">
        <w:rPr>
          <w:rFonts w:eastAsia="Times New Roman"/>
          <w:sz w:val="24"/>
          <w:szCs w:val="24"/>
          <w:highlight w:val="yellow"/>
        </w:rPr>
        <w:t>0 °C</w:t>
      </w:r>
      <w:r w:rsidRPr="0070631B">
        <w:rPr>
          <w:rFonts w:eastAsia="Times New Roman"/>
          <w:sz w:val="24"/>
          <w:szCs w:val="24"/>
          <w:highlight w:val="yellow"/>
        </w:rPr>
        <w:t>. No preparatory steps are required to extract DNA from duodenal biopsy specimens.</w:t>
      </w:r>
    </w:p>
    <w:p w14:paraId="2BF0DB4F"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3E9410A6" w14:textId="7425AE74"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Conduct DNA extraction and sequencing for </w:t>
      </w:r>
      <w:proofErr w:type="gramStart"/>
      <w:r w:rsidRPr="0070631B">
        <w:rPr>
          <w:rFonts w:eastAsia="Times New Roman"/>
          <w:sz w:val="24"/>
          <w:szCs w:val="24"/>
          <w:highlight w:val="yellow"/>
        </w:rPr>
        <w:t xml:space="preserve">all </w:t>
      </w:r>
      <w:r w:rsidR="00413D30">
        <w:rPr>
          <w:rFonts w:eastAsia="Times New Roman"/>
          <w:sz w:val="24"/>
          <w:szCs w:val="24"/>
          <w:highlight w:val="yellow"/>
        </w:rPr>
        <w:t>of</w:t>
      </w:r>
      <w:proofErr w:type="gramEnd"/>
      <w:r w:rsidR="00413D30">
        <w:rPr>
          <w:rFonts w:eastAsia="Times New Roman"/>
          <w:sz w:val="24"/>
          <w:szCs w:val="24"/>
          <w:highlight w:val="yellow"/>
        </w:rPr>
        <w:t xml:space="preserve"> the </w:t>
      </w:r>
      <w:r w:rsidRPr="0070631B">
        <w:rPr>
          <w:rFonts w:eastAsia="Times New Roman"/>
          <w:sz w:val="24"/>
          <w:szCs w:val="24"/>
          <w:highlight w:val="yellow"/>
        </w:rPr>
        <w:t xml:space="preserve">samples on the same day to decrease the risk of a batch effect in analysis. </w:t>
      </w:r>
      <w:r w:rsidR="00CC614A">
        <w:rPr>
          <w:rFonts w:eastAsia="Times New Roman"/>
          <w:sz w:val="24"/>
          <w:szCs w:val="24"/>
          <w:highlight w:val="yellow"/>
        </w:rPr>
        <w:t>Set up a</w:t>
      </w:r>
      <w:r w:rsidR="00CC614A" w:rsidRPr="0070631B">
        <w:rPr>
          <w:rFonts w:eastAsia="Times New Roman"/>
          <w:sz w:val="24"/>
          <w:szCs w:val="24"/>
          <w:highlight w:val="yellow"/>
        </w:rPr>
        <w:t xml:space="preserve"> </w:t>
      </w:r>
      <w:r w:rsidRPr="0070631B">
        <w:rPr>
          <w:rFonts w:eastAsia="Times New Roman"/>
          <w:sz w:val="24"/>
          <w:szCs w:val="24"/>
          <w:highlight w:val="yellow"/>
        </w:rPr>
        <w:t xml:space="preserve">library specific to the collected specimens before </w:t>
      </w:r>
      <w:r w:rsidR="00413D30">
        <w:rPr>
          <w:rFonts w:eastAsia="Times New Roman"/>
          <w:sz w:val="24"/>
          <w:szCs w:val="24"/>
          <w:highlight w:val="yellow"/>
        </w:rPr>
        <w:t xml:space="preserve">the </w:t>
      </w:r>
      <w:r w:rsidRPr="0070631B">
        <w:rPr>
          <w:rFonts w:eastAsia="Times New Roman"/>
          <w:sz w:val="24"/>
          <w:szCs w:val="24"/>
          <w:highlight w:val="yellow"/>
        </w:rPr>
        <w:t>samples can be sequenced.</w:t>
      </w:r>
    </w:p>
    <w:p w14:paraId="53D664DF"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514F93CF" w14:textId="68D77C0B"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Use a DNA </w:t>
      </w:r>
      <w:proofErr w:type="spellStart"/>
      <w:r w:rsidRPr="0070631B">
        <w:rPr>
          <w:rFonts w:eastAsia="Times New Roman"/>
          <w:sz w:val="24"/>
          <w:szCs w:val="24"/>
          <w:highlight w:val="yellow"/>
        </w:rPr>
        <w:t>microprep</w:t>
      </w:r>
      <w:proofErr w:type="spellEnd"/>
      <w:r w:rsidRPr="0070631B">
        <w:rPr>
          <w:rFonts w:eastAsia="Times New Roman"/>
          <w:sz w:val="24"/>
          <w:szCs w:val="24"/>
          <w:highlight w:val="yellow"/>
        </w:rPr>
        <w:t xml:space="preserve"> kit to extract DNA from duodenal biopsy specimens, per the manufacturer’s protocol</w:t>
      </w:r>
      <w:r w:rsidR="00263B8C">
        <w:rPr>
          <w:rFonts w:eastAsia="Times New Roman"/>
          <w:sz w:val="24"/>
          <w:szCs w:val="24"/>
          <w:highlight w:val="yellow"/>
          <w:vertAlign w:val="superscript"/>
        </w:rPr>
        <w:t>14</w:t>
      </w:r>
      <w:r w:rsidRPr="0070631B">
        <w:rPr>
          <w:rFonts w:eastAsia="Times New Roman"/>
          <w:sz w:val="24"/>
          <w:szCs w:val="24"/>
          <w:highlight w:val="yellow"/>
        </w:rPr>
        <w:t xml:space="preserve">. </w:t>
      </w:r>
    </w:p>
    <w:p w14:paraId="144D460E"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74E64E6D" w14:textId="0558E5DC"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Add </w:t>
      </w:r>
      <w:r w:rsidR="00413D30">
        <w:rPr>
          <w:rFonts w:eastAsia="Times New Roman"/>
          <w:sz w:val="24"/>
          <w:szCs w:val="24"/>
          <w:highlight w:val="yellow"/>
        </w:rPr>
        <w:t xml:space="preserve">the </w:t>
      </w:r>
      <w:r w:rsidRPr="0070631B">
        <w:rPr>
          <w:rFonts w:eastAsia="Times New Roman"/>
          <w:sz w:val="24"/>
          <w:szCs w:val="24"/>
          <w:highlight w:val="yellow"/>
        </w:rPr>
        <w:t xml:space="preserve">maximum amount of sample per protocol guidelines to a lysis tube </w:t>
      </w:r>
      <w:r w:rsidR="00413D30">
        <w:rPr>
          <w:rFonts w:eastAsia="Times New Roman"/>
          <w:sz w:val="24"/>
          <w:szCs w:val="24"/>
          <w:highlight w:val="yellow"/>
        </w:rPr>
        <w:t>containing</w:t>
      </w:r>
      <w:r w:rsidRPr="0070631B">
        <w:rPr>
          <w:rFonts w:eastAsia="Times New Roman"/>
          <w:sz w:val="24"/>
          <w:szCs w:val="24"/>
          <w:highlight w:val="yellow"/>
        </w:rPr>
        <w:t xml:space="preserve"> 750 µL </w:t>
      </w:r>
      <w:r w:rsidR="00CC614A">
        <w:rPr>
          <w:rFonts w:eastAsia="Times New Roman"/>
          <w:sz w:val="24"/>
          <w:szCs w:val="24"/>
          <w:highlight w:val="yellow"/>
        </w:rPr>
        <w:t xml:space="preserve">of </w:t>
      </w:r>
      <w:r w:rsidRPr="0070631B">
        <w:rPr>
          <w:rFonts w:eastAsia="Times New Roman"/>
          <w:sz w:val="24"/>
          <w:szCs w:val="24"/>
          <w:highlight w:val="yellow"/>
        </w:rPr>
        <w:t xml:space="preserve">lysis solution and </w:t>
      </w:r>
      <w:r w:rsidR="00413D30">
        <w:rPr>
          <w:rFonts w:eastAsia="Times New Roman"/>
          <w:sz w:val="24"/>
          <w:szCs w:val="24"/>
          <w:highlight w:val="yellow"/>
        </w:rPr>
        <w:t xml:space="preserve">a </w:t>
      </w:r>
      <w:r w:rsidRPr="0070631B">
        <w:rPr>
          <w:rFonts w:eastAsia="Times New Roman"/>
          <w:sz w:val="24"/>
          <w:szCs w:val="24"/>
          <w:highlight w:val="yellow"/>
        </w:rPr>
        <w:t>0.7 mL dry volume of 2 mm glass beads.</w:t>
      </w:r>
    </w:p>
    <w:p w14:paraId="59B9F142"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425BB0D2" w14:textId="3527136A" w:rsidR="00CD024E"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Secure the lysis tubes in a bead beater with a tube holder and run </w:t>
      </w:r>
      <w:r w:rsidR="00413D30">
        <w:rPr>
          <w:rFonts w:eastAsia="Times New Roman"/>
          <w:sz w:val="24"/>
          <w:szCs w:val="24"/>
          <w:highlight w:val="yellow"/>
        </w:rPr>
        <w:t xml:space="preserve">the beater </w:t>
      </w:r>
      <w:r w:rsidRPr="0070631B">
        <w:rPr>
          <w:rFonts w:eastAsia="Times New Roman"/>
          <w:sz w:val="24"/>
          <w:szCs w:val="24"/>
          <w:highlight w:val="yellow"/>
        </w:rPr>
        <w:t>at maximum speed for at least five minutes. The time will vary based on the bead beater and the sample being analyzed.</w:t>
      </w:r>
    </w:p>
    <w:p w14:paraId="516C84FF" w14:textId="77777777" w:rsidR="00413D30" w:rsidRPr="00413D30" w:rsidRDefault="00413D30" w:rsidP="00D47367">
      <w:pPr>
        <w:pStyle w:val="ListParagraph"/>
        <w:ind w:left="0"/>
        <w:jc w:val="both"/>
        <w:rPr>
          <w:rFonts w:eastAsia="Times New Roman"/>
          <w:sz w:val="24"/>
          <w:szCs w:val="24"/>
          <w:highlight w:val="yellow"/>
        </w:rPr>
      </w:pPr>
    </w:p>
    <w:p w14:paraId="529B40A1" w14:textId="64A27B58" w:rsidR="00CD024E" w:rsidRPr="00413D30"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413D30">
        <w:rPr>
          <w:rFonts w:eastAsia="Times New Roman"/>
          <w:sz w:val="24"/>
          <w:szCs w:val="24"/>
          <w:highlight w:val="yellow"/>
        </w:rPr>
        <w:t xml:space="preserve">Centrifuge the lysis tubes in a microcentrifuge at 10,000 x g for </w:t>
      </w:r>
      <w:r w:rsidR="00CC614A">
        <w:rPr>
          <w:rFonts w:eastAsia="Times New Roman"/>
          <w:sz w:val="24"/>
          <w:szCs w:val="24"/>
          <w:highlight w:val="yellow"/>
        </w:rPr>
        <w:t>1 min.</w:t>
      </w:r>
    </w:p>
    <w:p w14:paraId="5DBDEAB2"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290B4040" w14:textId="4862CBB1" w:rsidR="00CD024E" w:rsidRPr="0070631B" w:rsidRDefault="00413D30" w:rsidP="00D47367">
      <w:pPr>
        <w:pStyle w:val="ListParagraph"/>
        <w:numPr>
          <w:ilvl w:val="1"/>
          <w:numId w:val="5"/>
        </w:numPr>
        <w:spacing w:after="0" w:line="240" w:lineRule="auto"/>
        <w:ind w:left="0" w:firstLine="0"/>
        <w:jc w:val="both"/>
        <w:rPr>
          <w:rFonts w:eastAsia="Times New Roman"/>
          <w:sz w:val="24"/>
          <w:szCs w:val="24"/>
          <w:highlight w:val="yellow"/>
        </w:rPr>
      </w:pPr>
      <w:r>
        <w:rPr>
          <w:rFonts w:eastAsia="Times New Roman"/>
          <w:sz w:val="24"/>
          <w:szCs w:val="24"/>
          <w:highlight w:val="yellow"/>
        </w:rPr>
        <w:lastRenderedPageBreak/>
        <w:t>T</w:t>
      </w:r>
      <w:r w:rsidR="00CD024E" w:rsidRPr="0070631B">
        <w:rPr>
          <w:rFonts w:eastAsia="Times New Roman"/>
          <w:sz w:val="24"/>
          <w:szCs w:val="24"/>
          <w:highlight w:val="yellow"/>
        </w:rPr>
        <w:t xml:space="preserve">ransfer up to 400 µL </w:t>
      </w:r>
      <w:r>
        <w:rPr>
          <w:rFonts w:eastAsia="Times New Roman"/>
          <w:sz w:val="24"/>
          <w:szCs w:val="24"/>
          <w:highlight w:val="yellow"/>
        </w:rPr>
        <w:t xml:space="preserve">of </w:t>
      </w:r>
      <w:r w:rsidR="00CD024E" w:rsidRPr="0070631B">
        <w:rPr>
          <w:rFonts w:eastAsia="Times New Roman"/>
          <w:sz w:val="24"/>
          <w:szCs w:val="24"/>
          <w:highlight w:val="yellow"/>
        </w:rPr>
        <w:t xml:space="preserve">supernatant through a filtered collection tube and centrifuge again at 8000 x g for </w:t>
      </w:r>
      <w:r w:rsidR="00CC614A">
        <w:rPr>
          <w:rFonts w:eastAsia="Times New Roman"/>
          <w:sz w:val="24"/>
          <w:szCs w:val="24"/>
          <w:highlight w:val="yellow"/>
        </w:rPr>
        <w:t>1 min</w:t>
      </w:r>
      <w:r w:rsidR="00CD024E" w:rsidRPr="0070631B">
        <w:rPr>
          <w:rFonts w:eastAsia="Times New Roman"/>
          <w:sz w:val="24"/>
          <w:szCs w:val="24"/>
          <w:highlight w:val="yellow"/>
        </w:rPr>
        <w:t>.</w:t>
      </w:r>
    </w:p>
    <w:p w14:paraId="3FF323DC"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2FAC8FF9" w14:textId="6146385C"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Add 1200 µL </w:t>
      </w:r>
      <w:r w:rsidR="00413D30">
        <w:rPr>
          <w:rFonts w:eastAsia="Times New Roman"/>
          <w:sz w:val="24"/>
          <w:szCs w:val="24"/>
          <w:highlight w:val="yellow"/>
        </w:rPr>
        <w:t xml:space="preserve">of </w:t>
      </w:r>
      <w:r w:rsidRPr="0070631B">
        <w:rPr>
          <w:rFonts w:eastAsia="Times New Roman"/>
          <w:sz w:val="24"/>
          <w:szCs w:val="24"/>
          <w:highlight w:val="yellow"/>
        </w:rPr>
        <w:t>binding buffer to the filtrate in a microcentrifuge tube and mix thoroughly until homogenous.</w:t>
      </w:r>
    </w:p>
    <w:p w14:paraId="18EC1109"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0A1C0A31" w14:textId="112D0E49"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Transfer 800 µL of the mixture to a spin column and tube assembly. Centrifuge at 10,000 x g for </w:t>
      </w:r>
      <w:r w:rsidR="00CC614A">
        <w:rPr>
          <w:rFonts w:eastAsia="Times New Roman"/>
          <w:sz w:val="24"/>
          <w:szCs w:val="24"/>
          <w:highlight w:val="yellow"/>
        </w:rPr>
        <w:t>1 min</w:t>
      </w:r>
      <w:r w:rsidRPr="0070631B">
        <w:rPr>
          <w:rFonts w:eastAsia="Times New Roman"/>
          <w:sz w:val="24"/>
          <w:szCs w:val="24"/>
          <w:highlight w:val="yellow"/>
        </w:rPr>
        <w:t>. Discard the flow-through.</w:t>
      </w:r>
    </w:p>
    <w:p w14:paraId="6A13829C"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70BFBF42" w14:textId="0889B6DA"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Place the spin column on a new centrifuge tube with 400 µL </w:t>
      </w:r>
      <w:r w:rsidR="00413D30">
        <w:rPr>
          <w:rFonts w:eastAsia="Times New Roman"/>
          <w:sz w:val="24"/>
          <w:szCs w:val="24"/>
          <w:highlight w:val="yellow"/>
        </w:rPr>
        <w:t xml:space="preserve">of </w:t>
      </w:r>
      <w:r w:rsidRPr="0070631B">
        <w:rPr>
          <w:rFonts w:eastAsia="Times New Roman"/>
          <w:sz w:val="24"/>
          <w:szCs w:val="24"/>
          <w:highlight w:val="yellow"/>
        </w:rPr>
        <w:t xml:space="preserve">DNA wash buffer and mix thoroughly until homogenous. Centrifuge at 10,000 x g for </w:t>
      </w:r>
      <w:r w:rsidR="00CC614A">
        <w:rPr>
          <w:rFonts w:eastAsia="Times New Roman"/>
          <w:sz w:val="24"/>
          <w:szCs w:val="24"/>
          <w:highlight w:val="yellow"/>
        </w:rPr>
        <w:t>1 min</w:t>
      </w:r>
      <w:r w:rsidRPr="0070631B">
        <w:rPr>
          <w:rFonts w:eastAsia="Times New Roman"/>
          <w:sz w:val="24"/>
          <w:szCs w:val="24"/>
          <w:highlight w:val="yellow"/>
        </w:rPr>
        <w:t>. Discard the flow-through.</w:t>
      </w:r>
    </w:p>
    <w:p w14:paraId="06C6108A"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07192F6E" w14:textId="60FC79AE"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Repeat step </w:t>
      </w:r>
      <w:r w:rsidR="008E387F">
        <w:rPr>
          <w:rFonts w:eastAsia="Times New Roman"/>
          <w:sz w:val="24"/>
          <w:szCs w:val="24"/>
          <w:highlight w:val="yellow"/>
        </w:rPr>
        <w:t>5.10</w:t>
      </w:r>
      <w:r w:rsidR="00CC614A">
        <w:rPr>
          <w:rFonts w:eastAsia="Times New Roman"/>
          <w:sz w:val="24"/>
          <w:szCs w:val="24"/>
          <w:highlight w:val="yellow"/>
        </w:rPr>
        <w:t xml:space="preserve"> </w:t>
      </w:r>
      <w:r w:rsidRPr="0070631B">
        <w:rPr>
          <w:rFonts w:eastAsia="Times New Roman"/>
          <w:sz w:val="24"/>
          <w:szCs w:val="24"/>
          <w:highlight w:val="yellow"/>
        </w:rPr>
        <w:t>two times, with 700 µL and then 200 µL DNA wash buffer</w:t>
      </w:r>
      <w:r w:rsidR="008E387F">
        <w:rPr>
          <w:rFonts w:eastAsia="Times New Roman"/>
          <w:sz w:val="24"/>
          <w:szCs w:val="24"/>
          <w:highlight w:val="yellow"/>
        </w:rPr>
        <w:t xml:space="preserve"> per wash.</w:t>
      </w:r>
    </w:p>
    <w:p w14:paraId="684D24B3"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6C3D4A87" w14:textId="50D4ED10" w:rsidR="00CD024E" w:rsidRPr="0070631B"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70631B">
        <w:rPr>
          <w:rFonts w:eastAsia="Times New Roman"/>
          <w:sz w:val="24"/>
          <w:szCs w:val="24"/>
          <w:highlight w:val="yellow"/>
        </w:rPr>
        <w:t xml:space="preserve">Add 20 µL of elution buffer to the spin column in a new centrifuge tube. Incubate for one minute, then centrifuge at 10,000 x g for </w:t>
      </w:r>
      <w:r w:rsidR="00CC614A">
        <w:rPr>
          <w:rFonts w:eastAsia="Times New Roman"/>
          <w:sz w:val="24"/>
          <w:szCs w:val="24"/>
          <w:highlight w:val="yellow"/>
        </w:rPr>
        <w:t>1 min</w:t>
      </w:r>
      <w:r w:rsidRPr="0070631B">
        <w:rPr>
          <w:rFonts w:eastAsia="Times New Roman"/>
          <w:sz w:val="24"/>
          <w:szCs w:val="24"/>
          <w:highlight w:val="yellow"/>
        </w:rPr>
        <w:t xml:space="preserve"> to elute the DNA. Discard the column.</w:t>
      </w:r>
    </w:p>
    <w:p w14:paraId="15359D6B" w14:textId="77777777" w:rsidR="00B9241D" w:rsidRPr="0070631B" w:rsidRDefault="00B9241D" w:rsidP="00D47367">
      <w:pPr>
        <w:pStyle w:val="ListParagraph"/>
        <w:spacing w:after="0" w:line="240" w:lineRule="auto"/>
        <w:ind w:left="0"/>
        <w:jc w:val="both"/>
        <w:rPr>
          <w:rFonts w:eastAsia="Times New Roman"/>
          <w:sz w:val="24"/>
          <w:szCs w:val="24"/>
          <w:highlight w:val="yellow"/>
        </w:rPr>
      </w:pPr>
    </w:p>
    <w:p w14:paraId="6A8CBFC0" w14:textId="09709BD8" w:rsidR="00CD024E" w:rsidRPr="0070631B" w:rsidRDefault="00CD024E" w:rsidP="00D47367">
      <w:pPr>
        <w:pStyle w:val="ListParagraph"/>
        <w:numPr>
          <w:ilvl w:val="1"/>
          <w:numId w:val="5"/>
        </w:numPr>
        <w:spacing w:after="0" w:line="240" w:lineRule="auto"/>
        <w:ind w:left="0" w:firstLine="0"/>
        <w:jc w:val="both"/>
        <w:rPr>
          <w:rFonts w:eastAsia="Times New Roman"/>
          <w:b/>
          <w:sz w:val="24"/>
          <w:szCs w:val="24"/>
          <w:highlight w:val="yellow"/>
        </w:rPr>
      </w:pPr>
      <w:r w:rsidRPr="0070631B">
        <w:rPr>
          <w:rFonts w:eastAsia="Times New Roman"/>
          <w:sz w:val="24"/>
          <w:szCs w:val="24"/>
          <w:highlight w:val="yellow"/>
        </w:rPr>
        <w:t xml:space="preserve">Filter the DNA </w:t>
      </w:r>
      <w:r w:rsidR="008E387F">
        <w:rPr>
          <w:rFonts w:eastAsia="Times New Roman"/>
          <w:sz w:val="24"/>
          <w:szCs w:val="24"/>
          <w:highlight w:val="yellow"/>
        </w:rPr>
        <w:t>again</w:t>
      </w:r>
      <w:r w:rsidRPr="0070631B">
        <w:rPr>
          <w:rFonts w:eastAsia="Times New Roman"/>
          <w:sz w:val="24"/>
          <w:szCs w:val="24"/>
          <w:highlight w:val="yellow"/>
        </w:rPr>
        <w:t>. The DNA is now ready for PCR amplification.</w:t>
      </w:r>
    </w:p>
    <w:p w14:paraId="35ACC193" w14:textId="77777777" w:rsidR="008E387F" w:rsidRDefault="008E387F" w:rsidP="00D47367">
      <w:pPr>
        <w:spacing w:after="0" w:line="240" w:lineRule="auto"/>
        <w:jc w:val="both"/>
        <w:rPr>
          <w:rFonts w:eastAsia="Times New Roman"/>
          <w:b/>
          <w:sz w:val="24"/>
          <w:szCs w:val="24"/>
          <w:highlight w:val="yellow"/>
        </w:rPr>
      </w:pPr>
    </w:p>
    <w:p w14:paraId="622C8BB2" w14:textId="77777777" w:rsidR="008E387F" w:rsidRDefault="00CD024E" w:rsidP="00D47367">
      <w:pPr>
        <w:numPr>
          <w:ilvl w:val="0"/>
          <w:numId w:val="5"/>
        </w:numPr>
        <w:spacing w:after="0" w:line="240" w:lineRule="auto"/>
        <w:ind w:left="0" w:firstLine="0"/>
        <w:jc w:val="both"/>
        <w:rPr>
          <w:rFonts w:eastAsia="Times New Roman"/>
          <w:b/>
          <w:sz w:val="24"/>
          <w:szCs w:val="24"/>
          <w:highlight w:val="yellow"/>
        </w:rPr>
      </w:pPr>
      <w:r w:rsidRPr="0070631B">
        <w:rPr>
          <w:rFonts w:eastAsia="Times New Roman"/>
          <w:b/>
          <w:sz w:val="24"/>
          <w:szCs w:val="24"/>
          <w:highlight w:val="yellow"/>
        </w:rPr>
        <w:t xml:space="preserve">DNA amplification </w:t>
      </w:r>
    </w:p>
    <w:p w14:paraId="2EA819AA" w14:textId="77777777" w:rsidR="008E387F" w:rsidRDefault="008E387F" w:rsidP="00D47367">
      <w:pPr>
        <w:spacing w:after="0" w:line="240" w:lineRule="auto"/>
        <w:jc w:val="both"/>
        <w:rPr>
          <w:rFonts w:eastAsia="Times New Roman"/>
          <w:b/>
          <w:sz w:val="24"/>
          <w:szCs w:val="24"/>
          <w:highlight w:val="yellow"/>
        </w:rPr>
      </w:pPr>
    </w:p>
    <w:p w14:paraId="64D6F891" w14:textId="3B79A038" w:rsidR="00C17011" w:rsidRPr="008E387F" w:rsidRDefault="00CD024E" w:rsidP="00D47367">
      <w:pPr>
        <w:numPr>
          <w:ilvl w:val="1"/>
          <w:numId w:val="5"/>
        </w:numPr>
        <w:spacing w:after="0" w:line="240" w:lineRule="auto"/>
        <w:ind w:left="0" w:firstLine="0"/>
        <w:jc w:val="both"/>
        <w:rPr>
          <w:rFonts w:eastAsia="Times New Roman"/>
          <w:b/>
          <w:sz w:val="24"/>
          <w:szCs w:val="24"/>
          <w:highlight w:val="yellow"/>
        </w:rPr>
      </w:pPr>
      <w:r w:rsidRPr="008E387F">
        <w:rPr>
          <w:rFonts w:eastAsia="Times New Roman"/>
          <w:sz w:val="24"/>
          <w:szCs w:val="24"/>
          <w:highlight w:val="yellow"/>
        </w:rPr>
        <w:t xml:space="preserve">Perform PCR amplification of the V4 region of the 16S ribosomal RNA gene by 250 × 2 paired-end sequencing on </w:t>
      </w:r>
      <w:proofErr w:type="spellStart"/>
      <w:r w:rsidRPr="008E387F">
        <w:rPr>
          <w:rFonts w:eastAsia="Times New Roman"/>
          <w:sz w:val="24"/>
          <w:szCs w:val="24"/>
          <w:highlight w:val="yellow"/>
        </w:rPr>
        <w:t>aMiSeq</w:t>
      </w:r>
      <w:proofErr w:type="spellEnd"/>
      <w:r w:rsidRPr="008E387F">
        <w:rPr>
          <w:rFonts w:eastAsia="Times New Roman"/>
          <w:sz w:val="24"/>
          <w:szCs w:val="24"/>
          <w:highlight w:val="yellow"/>
        </w:rPr>
        <w:t xml:space="preserve">, </w:t>
      </w:r>
      <w:proofErr w:type="spellStart"/>
      <w:r w:rsidRPr="008E387F">
        <w:rPr>
          <w:rFonts w:eastAsia="Times New Roman"/>
          <w:sz w:val="24"/>
          <w:szCs w:val="24"/>
          <w:highlight w:val="yellow"/>
        </w:rPr>
        <w:t>HiSeq</w:t>
      </w:r>
      <w:proofErr w:type="spellEnd"/>
      <w:r w:rsidRPr="008E387F">
        <w:rPr>
          <w:rFonts w:eastAsia="Times New Roman"/>
          <w:sz w:val="24"/>
          <w:szCs w:val="24"/>
          <w:highlight w:val="yellow"/>
        </w:rPr>
        <w:t xml:space="preserve"> or </w:t>
      </w:r>
      <w:proofErr w:type="spellStart"/>
      <w:r w:rsidRPr="008E387F">
        <w:rPr>
          <w:rFonts w:eastAsia="Times New Roman"/>
          <w:sz w:val="24"/>
          <w:szCs w:val="24"/>
          <w:highlight w:val="yellow"/>
        </w:rPr>
        <w:t>NovaSeq</w:t>
      </w:r>
      <w:proofErr w:type="spellEnd"/>
      <w:r w:rsidRPr="008E387F">
        <w:rPr>
          <w:rFonts w:eastAsia="Times New Roman"/>
          <w:sz w:val="24"/>
          <w:szCs w:val="24"/>
          <w:highlight w:val="yellow"/>
        </w:rPr>
        <w:t xml:space="preserve"> sequencer</w:t>
      </w:r>
      <w:r w:rsidR="00263B8C">
        <w:rPr>
          <w:rFonts w:eastAsia="Times New Roman"/>
          <w:sz w:val="24"/>
          <w:szCs w:val="24"/>
          <w:highlight w:val="yellow"/>
          <w:vertAlign w:val="superscript"/>
        </w:rPr>
        <w:t>15</w:t>
      </w:r>
      <w:r w:rsidR="00263B8C">
        <w:rPr>
          <w:rFonts w:eastAsia="Times New Roman"/>
          <w:sz w:val="24"/>
          <w:szCs w:val="24"/>
          <w:highlight w:val="yellow"/>
        </w:rPr>
        <w:t>.</w:t>
      </w:r>
    </w:p>
    <w:p w14:paraId="0C6456D5" w14:textId="77777777" w:rsidR="008E387F" w:rsidRPr="008E387F" w:rsidRDefault="008E387F" w:rsidP="00D47367">
      <w:pPr>
        <w:spacing w:after="0" w:line="240" w:lineRule="auto"/>
        <w:jc w:val="both"/>
        <w:rPr>
          <w:rFonts w:eastAsia="Times New Roman"/>
          <w:b/>
          <w:sz w:val="24"/>
          <w:szCs w:val="24"/>
          <w:highlight w:val="yellow"/>
        </w:rPr>
      </w:pPr>
    </w:p>
    <w:p w14:paraId="4BADFFE8" w14:textId="46083668" w:rsidR="00CD024E" w:rsidRPr="00DA0029"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Create a 96-well plate primer plate. Create a master mix of 165 </w:t>
      </w:r>
      <w:r w:rsidR="008E387F">
        <w:rPr>
          <w:rFonts w:eastAsia="Times New Roman"/>
          <w:sz w:val="24"/>
          <w:szCs w:val="24"/>
          <w:highlight w:val="yellow"/>
        </w:rPr>
        <w:sym w:font="Symbol" w:char="F06D"/>
      </w:r>
      <w:r w:rsidRPr="00DA0029">
        <w:rPr>
          <w:rFonts w:eastAsia="Times New Roman"/>
          <w:sz w:val="24"/>
          <w:szCs w:val="24"/>
          <w:highlight w:val="yellow"/>
        </w:rPr>
        <w:t xml:space="preserve">L </w:t>
      </w:r>
      <w:r w:rsidR="008E387F">
        <w:rPr>
          <w:rFonts w:eastAsia="Times New Roman"/>
          <w:sz w:val="24"/>
          <w:szCs w:val="24"/>
          <w:highlight w:val="yellow"/>
        </w:rPr>
        <w:t xml:space="preserve">of </w:t>
      </w:r>
      <w:r w:rsidRPr="00DA0029">
        <w:rPr>
          <w:rFonts w:eastAsia="Times New Roman"/>
          <w:sz w:val="24"/>
          <w:szCs w:val="24"/>
          <w:highlight w:val="yellow"/>
        </w:rPr>
        <w:t xml:space="preserve">ILHS_515f conserved forward primer (100 </w:t>
      </w:r>
      <w:r w:rsidR="008E387F">
        <w:rPr>
          <w:rFonts w:eastAsia="Times New Roman"/>
          <w:sz w:val="24"/>
          <w:szCs w:val="24"/>
          <w:highlight w:val="yellow"/>
        </w:rPr>
        <w:sym w:font="Symbol" w:char="F06D"/>
      </w:r>
      <w:r w:rsidRPr="00DA0029">
        <w:rPr>
          <w:rFonts w:eastAsia="Times New Roman"/>
          <w:sz w:val="24"/>
          <w:szCs w:val="24"/>
          <w:highlight w:val="yellow"/>
        </w:rPr>
        <w:t xml:space="preserve">M stock) and 2970 </w:t>
      </w:r>
      <w:r w:rsidR="008E387F">
        <w:rPr>
          <w:rFonts w:eastAsia="Times New Roman"/>
          <w:sz w:val="24"/>
          <w:szCs w:val="24"/>
          <w:highlight w:val="yellow"/>
        </w:rPr>
        <w:sym w:font="Symbol" w:char="F06D"/>
      </w:r>
      <w:r w:rsidRPr="00DA0029">
        <w:rPr>
          <w:rFonts w:eastAsia="Times New Roman"/>
          <w:sz w:val="24"/>
          <w:szCs w:val="24"/>
          <w:highlight w:val="yellow"/>
        </w:rPr>
        <w:t xml:space="preserve">L </w:t>
      </w:r>
      <w:r w:rsidR="008E387F">
        <w:rPr>
          <w:rFonts w:eastAsia="Times New Roman"/>
          <w:sz w:val="24"/>
          <w:szCs w:val="24"/>
          <w:highlight w:val="yellow"/>
        </w:rPr>
        <w:t xml:space="preserve">of </w:t>
      </w:r>
      <w:r w:rsidRPr="00DA0029">
        <w:rPr>
          <w:rFonts w:eastAsia="Times New Roman"/>
          <w:sz w:val="24"/>
          <w:szCs w:val="24"/>
          <w:highlight w:val="yellow"/>
        </w:rPr>
        <w:t xml:space="preserve">molecular biology grade water. Add 28.5 </w:t>
      </w:r>
      <w:r w:rsidR="008E387F">
        <w:rPr>
          <w:rFonts w:eastAsia="Times New Roman"/>
          <w:sz w:val="24"/>
          <w:szCs w:val="24"/>
          <w:highlight w:val="yellow"/>
        </w:rPr>
        <w:sym w:font="Symbol" w:char="F06D"/>
      </w:r>
      <w:r w:rsidRPr="00DA0029">
        <w:rPr>
          <w:rFonts w:eastAsia="Times New Roman"/>
          <w:sz w:val="24"/>
          <w:szCs w:val="24"/>
          <w:highlight w:val="yellow"/>
        </w:rPr>
        <w:t>L of this mix to each well.</w:t>
      </w:r>
    </w:p>
    <w:p w14:paraId="4D1B6F35" w14:textId="77777777" w:rsidR="008E387F" w:rsidRDefault="008E387F" w:rsidP="00D47367">
      <w:pPr>
        <w:pStyle w:val="ListParagraph"/>
        <w:spacing w:after="0" w:line="240" w:lineRule="auto"/>
        <w:ind w:left="0"/>
        <w:jc w:val="both"/>
        <w:rPr>
          <w:rFonts w:eastAsia="Times New Roman"/>
          <w:sz w:val="24"/>
          <w:szCs w:val="24"/>
          <w:highlight w:val="yellow"/>
        </w:rPr>
      </w:pPr>
    </w:p>
    <w:p w14:paraId="6D3F4EC1" w14:textId="257889D7" w:rsidR="00CD024E" w:rsidRPr="00DA0029"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Add 1.5 </w:t>
      </w:r>
      <w:r w:rsidR="008E387F">
        <w:rPr>
          <w:rFonts w:eastAsia="Times New Roman"/>
          <w:sz w:val="24"/>
          <w:szCs w:val="24"/>
          <w:highlight w:val="yellow"/>
        </w:rPr>
        <w:sym w:font="Symbol" w:char="F06D"/>
      </w:r>
      <w:r w:rsidRPr="00DA0029">
        <w:rPr>
          <w:rFonts w:eastAsia="Times New Roman"/>
          <w:sz w:val="24"/>
          <w:szCs w:val="24"/>
          <w:highlight w:val="yellow"/>
        </w:rPr>
        <w:t xml:space="preserve">L </w:t>
      </w:r>
      <w:r w:rsidR="008E387F">
        <w:rPr>
          <w:rFonts w:eastAsia="Times New Roman"/>
          <w:sz w:val="24"/>
          <w:szCs w:val="24"/>
          <w:highlight w:val="yellow"/>
        </w:rPr>
        <w:t xml:space="preserve">of </w:t>
      </w:r>
      <w:r w:rsidRPr="00DA0029">
        <w:rPr>
          <w:rFonts w:eastAsia="Times New Roman"/>
          <w:sz w:val="24"/>
          <w:szCs w:val="24"/>
          <w:highlight w:val="yellow"/>
        </w:rPr>
        <w:t xml:space="preserve">corresponding reverse primer from the 96 well plate of barcoded IL_806r unique primers (100 </w:t>
      </w:r>
      <w:r w:rsidR="008E387F">
        <w:rPr>
          <w:rFonts w:eastAsia="Times New Roman"/>
          <w:sz w:val="24"/>
          <w:szCs w:val="24"/>
          <w:highlight w:val="yellow"/>
        </w:rPr>
        <w:sym w:font="Symbol" w:char="F06D"/>
      </w:r>
      <w:r w:rsidRPr="00DA0029">
        <w:rPr>
          <w:rFonts w:eastAsia="Times New Roman"/>
          <w:sz w:val="24"/>
          <w:szCs w:val="24"/>
          <w:highlight w:val="yellow"/>
        </w:rPr>
        <w:t>M stock). These barcodes will identify unique patient samples.</w:t>
      </w:r>
    </w:p>
    <w:p w14:paraId="22DEA4DE" w14:textId="77777777" w:rsidR="008E387F" w:rsidRDefault="008E387F" w:rsidP="00D47367">
      <w:pPr>
        <w:pStyle w:val="ListParagraph"/>
        <w:spacing w:after="0" w:line="240" w:lineRule="auto"/>
        <w:ind w:left="0"/>
        <w:jc w:val="both"/>
        <w:rPr>
          <w:rFonts w:eastAsia="Times New Roman"/>
          <w:sz w:val="24"/>
          <w:szCs w:val="24"/>
          <w:highlight w:val="yellow"/>
        </w:rPr>
      </w:pPr>
    </w:p>
    <w:p w14:paraId="071F8F6A" w14:textId="77777777" w:rsidR="008E387F" w:rsidRPr="008E387F"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Create a master mix of water (23.1 </w:t>
      </w:r>
      <w:r w:rsidR="008E387F">
        <w:rPr>
          <w:rFonts w:eastAsia="Times New Roman"/>
          <w:sz w:val="24"/>
          <w:szCs w:val="24"/>
          <w:highlight w:val="yellow"/>
        </w:rPr>
        <w:sym w:font="Symbol" w:char="F06D"/>
      </w:r>
      <w:r w:rsidRPr="00DA0029">
        <w:rPr>
          <w:rFonts w:eastAsia="Times New Roman"/>
          <w:sz w:val="24"/>
          <w:szCs w:val="24"/>
          <w:highlight w:val="yellow"/>
        </w:rPr>
        <w:t xml:space="preserve">L x 3.3 x number of samples), PCR buffer (3 </w:t>
      </w:r>
      <w:r w:rsidR="008E387F">
        <w:rPr>
          <w:rFonts w:eastAsia="Times New Roman"/>
          <w:sz w:val="24"/>
          <w:szCs w:val="24"/>
          <w:highlight w:val="yellow"/>
        </w:rPr>
        <w:sym w:font="Symbol" w:char="F06D"/>
      </w:r>
      <w:r w:rsidRPr="00DA0029">
        <w:rPr>
          <w:rFonts w:eastAsia="Times New Roman"/>
          <w:sz w:val="24"/>
          <w:szCs w:val="24"/>
          <w:highlight w:val="yellow"/>
        </w:rPr>
        <w:t xml:space="preserve">L x 3.3 x number of samples), dNTPs (0.6 </w:t>
      </w:r>
      <w:r w:rsidR="008E387F">
        <w:rPr>
          <w:rFonts w:eastAsia="Times New Roman"/>
          <w:sz w:val="24"/>
          <w:szCs w:val="24"/>
          <w:highlight w:val="yellow"/>
        </w:rPr>
        <w:sym w:font="Symbol" w:char="F06D"/>
      </w:r>
      <w:r w:rsidRPr="00DA0029">
        <w:rPr>
          <w:rFonts w:eastAsia="Times New Roman"/>
          <w:sz w:val="24"/>
          <w:szCs w:val="24"/>
          <w:highlight w:val="yellow"/>
        </w:rPr>
        <w:t xml:space="preserve">L x 3.3 x number of samples), and JumpStart Taq DNA polymerase (0.3 </w:t>
      </w:r>
      <w:r w:rsidR="008E387F">
        <w:rPr>
          <w:rFonts w:eastAsia="Times New Roman"/>
          <w:sz w:val="24"/>
          <w:szCs w:val="24"/>
          <w:highlight w:val="yellow"/>
        </w:rPr>
        <w:sym w:font="Symbol" w:char="F06D"/>
      </w:r>
      <w:r w:rsidRPr="00DA0029">
        <w:rPr>
          <w:rFonts w:eastAsia="Times New Roman"/>
          <w:sz w:val="24"/>
          <w:szCs w:val="24"/>
          <w:highlight w:val="yellow"/>
        </w:rPr>
        <w:t xml:space="preserve">L x 3.3 x number of samples). </w:t>
      </w:r>
    </w:p>
    <w:p w14:paraId="287F6C8C" w14:textId="77777777" w:rsidR="008E387F" w:rsidRDefault="008E387F" w:rsidP="00D47367">
      <w:pPr>
        <w:spacing w:after="0" w:line="240" w:lineRule="auto"/>
        <w:jc w:val="both"/>
        <w:rPr>
          <w:rFonts w:eastAsia="Times New Roman"/>
          <w:sz w:val="24"/>
          <w:szCs w:val="24"/>
        </w:rPr>
      </w:pPr>
    </w:p>
    <w:p w14:paraId="30BD3C66" w14:textId="22977C11" w:rsidR="00CD024E" w:rsidRPr="008E387F" w:rsidRDefault="00CD024E" w:rsidP="00D47367">
      <w:pPr>
        <w:spacing w:after="0" w:line="240" w:lineRule="auto"/>
        <w:jc w:val="both"/>
        <w:rPr>
          <w:rFonts w:eastAsia="Times New Roman"/>
          <w:sz w:val="24"/>
          <w:szCs w:val="24"/>
          <w:highlight w:val="yellow"/>
        </w:rPr>
      </w:pPr>
      <w:r w:rsidRPr="008E387F">
        <w:rPr>
          <w:rFonts w:eastAsia="Times New Roman"/>
          <w:sz w:val="24"/>
          <w:szCs w:val="24"/>
        </w:rPr>
        <w:t>NOTE: 16S DNA amplification should be performed in triplicate.</w:t>
      </w:r>
    </w:p>
    <w:p w14:paraId="783A17C1" w14:textId="77777777" w:rsidR="008E387F" w:rsidRDefault="008E387F" w:rsidP="00D47367">
      <w:pPr>
        <w:pStyle w:val="ListParagraph"/>
        <w:spacing w:after="0" w:line="240" w:lineRule="auto"/>
        <w:ind w:left="0"/>
        <w:jc w:val="both"/>
        <w:rPr>
          <w:rFonts w:eastAsia="Times New Roman"/>
          <w:sz w:val="24"/>
          <w:szCs w:val="24"/>
          <w:highlight w:val="yellow"/>
        </w:rPr>
      </w:pPr>
    </w:p>
    <w:p w14:paraId="66C2D950" w14:textId="06827DBE" w:rsidR="00CD024E" w:rsidRPr="00DA0029" w:rsidRDefault="00CD024E" w:rsidP="00D47367">
      <w:pPr>
        <w:pStyle w:val="ListParagraph"/>
        <w:numPr>
          <w:ilvl w:val="1"/>
          <w:numId w:val="5"/>
        </w:numPr>
        <w:spacing w:after="0" w:line="240" w:lineRule="auto"/>
        <w:ind w:left="0" w:firstLine="0"/>
        <w:jc w:val="both"/>
        <w:rPr>
          <w:rFonts w:eastAsia="Times New Roman"/>
          <w:sz w:val="24"/>
          <w:szCs w:val="24"/>
          <w:highlight w:val="yellow"/>
        </w:rPr>
      </w:pPr>
      <w:r w:rsidRPr="00DA0029">
        <w:rPr>
          <w:rFonts w:eastAsia="Times New Roman"/>
          <w:sz w:val="24"/>
          <w:szCs w:val="24"/>
          <w:highlight w:val="yellow"/>
        </w:rPr>
        <w:t xml:space="preserve">Add 81 </w:t>
      </w:r>
      <w:r w:rsidR="008E387F">
        <w:rPr>
          <w:rFonts w:eastAsia="Times New Roman"/>
          <w:sz w:val="24"/>
          <w:szCs w:val="24"/>
          <w:highlight w:val="yellow"/>
        </w:rPr>
        <w:sym w:font="Symbol" w:char="F06D"/>
      </w:r>
      <w:r w:rsidRPr="00DA0029">
        <w:rPr>
          <w:rFonts w:eastAsia="Times New Roman"/>
          <w:sz w:val="24"/>
          <w:szCs w:val="24"/>
          <w:highlight w:val="yellow"/>
        </w:rPr>
        <w:t xml:space="preserve">L </w:t>
      </w:r>
      <w:r w:rsidR="00CC614A">
        <w:rPr>
          <w:rFonts w:eastAsia="Times New Roman"/>
          <w:sz w:val="24"/>
          <w:szCs w:val="24"/>
          <w:highlight w:val="yellow"/>
        </w:rPr>
        <w:t xml:space="preserve">of </w:t>
      </w:r>
      <w:r w:rsidRPr="00DA0029">
        <w:rPr>
          <w:rFonts w:eastAsia="Times New Roman"/>
          <w:sz w:val="24"/>
          <w:szCs w:val="24"/>
          <w:highlight w:val="yellow"/>
        </w:rPr>
        <w:t xml:space="preserve">master mix to each well in the first 96 well plate. Add 6 </w:t>
      </w:r>
      <w:r w:rsidR="008E387F">
        <w:rPr>
          <w:rFonts w:eastAsia="Times New Roman"/>
          <w:sz w:val="24"/>
          <w:szCs w:val="24"/>
          <w:highlight w:val="yellow"/>
        </w:rPr>
        <w:sym w:font="Symbol" w:char="F06D"/>
      </w:r>
      <w:r w:rsidRPr="00DA0029">
        <w:rPr>
          <w:rFonts w:eastAsia="Times New Roman"/>
          <w:sz w:val="24"/>
          <w:szCs w:val="24"/>
          <w:highlight w:val="yellow"/>
        </w:rPr>
        <w:t xml:space="preserve">L </w:t>
      </w:r>
      <w:r w:rsidR="008E387F">
        <w:rPr>
          <w:rFonts w:eastAsia="Times New Roman"/>
          <w:sz w:val="24"/>
          <w:szCs w:val="24"/>
          <w:highlight w:val="yellow"/>
        </w:rPr>
        <w:t xml:space="preserve">of </w:t>
      </w:r>
      <w:r w:rsidRPr="00DA0029">
        <w:rPr>
          <w:rFonts w:eastAsia="Times New Roman"/>
          <w:sz w:val="24"/>
          <w:szCs w:val="24"/>
          <w:highlight w:val="yellow"/>
        </w:rPr>
        <w:t xml:space="preserve">DNA and 3 </w:t>
      </w:r>
      <w:r w:rsidR="008E387F">
        <w:rPr>
          <w:rFonts w:eastAsia="Times New Roman"/>
          <w:sz w:val="24"/>
          <w:szCs w:val="24"/>
          <w:highlight w:val="yellow"/>
        </w:rPr>
        <w:sym w:font="Symbol" w:char="F06D"/>
      </w:r>
      <w:r w:rsidRPr="00DA0029">
        <w:rPr>
          <w:rFonts w:eastAsia="Times New Roman"/>
          <w:sz w:val="24"/>
          <w:szCs w:val="24"/>
          <w:highlight w:val="yellow"/>
        </w:rPr>
        <w:t xml:space="preserve">L </w:t>
      </w:r>
      <w:r w:rsidR="008E387F">
        <w:rPr>
          <w:rFonts w:eastAsia="Times New Roman"/>
          <w:sz w:val="24"/>
          <w:szCs w:val="24"/>
          <w:highlight w:val="yellow"/>
        </w:rPr>
        <w:t xml:space="preserve">of </w:t>
      </w:r>
      <w:r w:rsidRPr="00DA0029">
        <w:rPr>
          <w:rFonts w:eastAsia="Times New Roman"/>
          <w:sz w:val="24"/>
          <w:szCs w:val="24"/>
          <w:highlight w:val="yellow"/>
        </w:rPr>
        <w:t xml:space="preserve">primer mix to each well. Use a P200 multichannel pipette to mix the wells, then pipette 30 </w:t>
      </w:r>
      <w:r w:rsidR="008E387F">
        <w:rPr>
          <w:rFonts w:eastAsia="Times New Roman"/>
          <w:sz w:val="24"/>
          <w:szCs w:val="24"/>
          <w:highlight w:val="yellow"/>
        </w:rPr>
        <w:sym w:font="Symbol" w:char="F06D"/>
      </w:r>
      <w:r w:rsidRPr="00DA0029">
        <w:rPr>
          <w:rFonts w:eastAsia="Times New Roman"/>
          <w:sz w:val="24"/>
          <w:szCs w:val="24"/>
          <w:highlight w:val="yellow"/>
        </w:rPr>
        <w:t>L into the corresponding well of each of the other two PCR plates. Seal the plate.</w:t>
      </w:r>
    </w:p>
    <w:p w14:paraId="11FE8B31" w14:textId="77777777" w:rsidR="008E387F" w:rsidRPr="008E387F" w:rsidRDefault="008E387F" w:rsidP="00D47367">
      <w:pPr>
        <w:pStyle w:val="ListParagraph"/>
        <w:spacing w:after="0" w:line="240" w:lineRule="auto"/>
        <w:ind w:left="0"/>
        <w:jc w:val="both"/>
        <w:rPr>
          <w:rFonts w:eastAsia="Times New Roman"/>
          <w:sz w:val="24"/>
          <w:szCs w:val="24"/>
        </w:rPr>
      </w:pPr>
    </w:p>
    <w:p w14:paraId="0BFE9A9A" w14:textId="0C78DBAA" w:rsidR="008E387F" w:rsidRPr="008E387F" w:rsidRDefault="00CD024E" w:rsidP="00D47367">
      <w:pPr>
        <w:pStyle w:val="ListParagraph"/>
        <w:numPr>
          <w:ilvl w:val="1"/>
          <w:numId w:val="5"/>
        </w:numPr>
        <w:spacing w:after="0" w:line="240" w:lineRule="auto"/>
        <w:ind w:left="0" w:firstLine="0"/>
        <w:jc w:val="both"/>
        <w:rPr>
          <w:rFonts w:eastAsia="Times New Roman"/>
          <w:sz w:val="24"/>
          <w:szCs w:val="24"/>
        </w:rPr>
      </w:pPr>
      <w:r w:rsidRPr="00DA0029">
        <w:rPr>
          <w:rFonts w:eastAsia="Times New Roman"/>
          <w:sz w:val="24"/>
          <w:szCs w:val="24"/>
          <w:highlight w:val="yellow"/>
        </w:rPr>
        <w:t xml:space="preserve">Use the following thermal cycler settings: </w:t>
      </w:r>
      <w:r w:rsidRPr="008E387F">
        <w:rPr>
          <w:rFonts w:eastAsia="Times New Roman"/>
          <w:sz w:val="24"/>
          <w:szCs w:val="24"/>
          <w:highlight w:val="yellow"/>
        </w:rPr>
        <w:t>9</w:t>
      </w:r>
      <w:r w:rsidR="008E387F">
        <w:rPr>
          <w:rFonts w:eastAsia="Times New Roman"/>
          <w:sz w:val="24"/>
          <w:szCs w:val="24"/>
          <w:highlight w:val="yellow"/>
        </w:rPr>
        <w:t>4 °C</w:t>
      </w:r>
      <w:r w:rsidRPr="008E387F">
        <w:rPr>
          <w:rFonts w:eastAsia="Times New Roman"/>
          <w:sz w:val="24"/>
          <w:szCs w:val="24"/>
          <w:highlight w:val="yellow"/>
        </w:rPr>
        <w:t xml:space="preserve"> x</w:t>
      </w:r>
      <w:r w:rsidR="008E387F">
        <w:rPr>
          <w:rFonts w:eastAsia="Times New Roman"/>
          <w:sz w:val="24"/>
          <w:szCs w:val="24"/>
          <w:highlight w:val="yellow"/>
        </w:rPr>
        <w:t xml:space="preserve"> </w:t>
      </w:r>
      <w:r w:rsidRPr="008E387F">
        <w:rPr>
          <w:rFonts w:eastAsia="Times New Roman"/>
          <w:sz w:val="24"/>
          <w:szCs w:val="24"/>
          <w:highlight w:val="yellow"/>
        </w:rPr>
        <w:t>3 min</w:t>
      </w:r>
      <w:r w:rsidR="00CC614A">
        <w:rPr>
          <w:rFonts w:eastAsia="Times New Roman"/>
          <w:sz w:val="24"/>
          <w:szCs w:val="24"/>
          <w:highlight w:val="yellow"/>
        </w:rPr>
        <w:t>;</w:t>
      </w:r>
      <w:r w:rsidR="00CC614A" w:rsidRPr="008E387F">
        <w:rPr>
          <w:rFonts w:eastAsia="Times New Roman"/>
          <w:sz w:val="24"/>
          <w:szCs w:val="24"/>
          <w:highlight w:val="yellow"/>
        </w:rPr>
        <w:t xml:space="preserve"> </w:t>
      </w:r>
      <w:r w:rsidRPr="008E387F">
        <w:rPr>
          <w:rFonts w:eastAsia="Times New Roman"/>
          <w:sz w:val="24"/>
          <w:szCs w:val="24"/>
          <w:highlight w:val="yellow"/>
        </w:rPr>
        <w:t>35 cycles: 94</w:t>
      </w:r>
      <w:r w:rsidR="008E387F">
        <w:rPr>
          <w:rFonts w:ascii="Cambria Math" w:eastAsia="Times New Roman" w:hAnsi="Cambria Math" w:cs="Cambria Math"/>
          <w:sz w:val="24"/>
          <w:szCs w:val="24"/>
          <w:highlight w:val="yellow"/>
        </w:rPr>
        <w:t xml:space="preserve"> °</w:t>
      </w:r>
      <w:r w:rsidR="008E387F">
        <w:rPr>
          <w:rFonts w:eastAsia="Times New Roman"/>
          <w:sz w:val="24"/>
          <w:szCs w:val="24"/>
          <w:highlight w:val="yellow"/>
        </w:rPr>
        <w:t xml:space="preserve">C x </w:t>
      </w:r>
      <w:r w:rsidRPr="008E387F">
        <w:rPr>
          <w:rFonts w:eastAsia="Times New Roman"/>
          <w:sz w:val="24"/>
          <w:szCs w:val="24"/>
          <w:highlight w:val="yellow"/>
        </w:rPr>
        <w:t xml:space="preserve">45 </w:t>
      </w:r>
      <w:r w:rsidR="00CC614A">
        <w:rPr>
          <w:rFonts w:eastAsia="Times New Roman"/>
          <w:sz w:val="24"/>
          <w:szCs w:val="24"/>
          <w:highlight w:val="yellow"/>
        </w:rPr>
        <w:t>s</w:t>
      </w:r>
      <w:r w:rsidRPr="008E387F">
        <w:rPr>
          <w:rFonts w:eastAsia="Times New Roman"/>
          <w:sz w:val="24"/>
          <w:szCs w:val="24"/>
          <w:highlight w:val="yellow"/>
        </w:rPr>
        <w:t>, 50</w:t>
      </w:r>
      <w:r w:rsidR="008E387F">
        <w:rPr>
          <w:rFonts w:eastAsia="Times New Roman"/>
          <w:sz w:val="24"/>
          <w:szCs w:val="24"/>
          <w:highlight w:val="yellow"/>
        </w:rPr>
        <w:t xml:space="preserve"> °C x </w:t>
      </w:r>
      <w:r w:rsidRPr="008E387F">
        <w:rPr>
          <w:rFonts w:eastAsia="Times New Roman"/>
          <w:sz w:val="24"/>
          <w:szCs w:val="24"/>
          <w:highlight w:val="yellow"/>
        </w:rPr>
        <w:t>1</w:t>
      </w:r>
      <w:r w:rsidR="008E387F">
        <w:rPr>
          <w:rFonts w:eastAsia="Times New Roman"/>
          <w:sz w:val="24"/>
          <w:szCs w:val="24"/>
          <w:highlight w:val="yellow"/>
        </w:rPr>
        <w:t xml:space="preserve"> </w:t>
      </w:r>
      <w:r w:rsidRPr="008E387F">
        <w:rPr>
          <w:rFonts w:eastAsia="Times New Roman"/>
          <w:sz w:val="24"/>
          <w:szCs w:val="24"/>
          <w:highlight w:val="yellow"/>
        </w:rPr>
        <w:t xml:space="preserve">min, </w:t>
      </w:r>
      <w:r w:rsidR="008E387F">
        <w:rPr>
          <w:rFonts w:eastAsia="Times New Roman"/>
          <w:sz w:val="24"/>
          <w:szCs w:val="24"/>
          <w:highlight w:val="yellow"/>
        </w:rPr>
        <w:t xml:space="preserve">72 °C </w:t>
      </w:r>
      <w:r w:rsidRPr="008E387F">
        <w:rPr>
          <w:rFonts w:eastAsia="Times New Roman"/>
          <w:sz w:val="24"/>
          <w:szCs w:val="24"/>
          <w:highlight w:val="yellow"/>
        </w:rPr>
        <w:t>x</w:t>
      </w:r>
      <w:r w:rsidR="008E387F">
        <w:rPr>
          <w:rFonts w:eastAsia="Times New Roman"/>
          <w:sz w:val="24"/>
          <w:szCs w:val="24"/>
          <w:highlight w:val="yellow"/>
        </w:rPr>
        <w:t xml:space="preserve"> </w:t>
      </w:r>
      <w:r w:rsidRPr="008E387F">
        <w:rPr>
          <w:rFonts w:eastAsia="Times New Roman"/>
          <w:sz w:val="24"/>
          <w:szCs w:val="24"/>
          <w:highlight w:val="yellow"/>
        </w:rPr>
        <w:t>1.5</w:t>
      </w:r>
      <w:r w:rsidR="008E387F">
        <w:rPr>
          <w:rFonts w:eastAsia="Times New Roman"/>
          <w:sz w:val="24"/>
          <w:szCs w:val="24"/>
          <w:highlight w:val="yellow"/>
        </w:rPr>
        <w:t xml:space="preserve"> </w:t>
      </w:r>
      <w:r w:rsidRPr="008E387F">
        <w:rPr>
          <w:rFonts w:eastAsia="Times New Roman"/>
          <w:sz w:val="24"/>
          <w:szCs w:val="24"/>
          <w:highlight w:val="yellow"/>
        </w:rPr>
        <w:t xml:space="preserve">min. After 35 cycles: </w:t>
      </w:r>
      <w:r w:rsidR="008E387F" w:rsidRPr="008E387F">
        <w:rPr>
          <w:rFonts w:eastAsia="Times New Roman"/>
          <w:sz w:val="24"/>
          <w:szCs w:val="24"/>
          <w:highlight w:val="yellow"/>
        </w:rPr>
        <w:t>72 °C x 10 min, 94 °C x 5 min, 4 °C indefinitely.</w:t>
      </w:r>
    </w:p>
    <w:p w14:paraId="139E1ECB" w14:textId="77777777" w:rsidR="008E387F" w:rsidRPr="008E387F" w:rsidRDefault="008E387F" w:rsidP="00D47367">
      <w:pPr>
        <w:pStyle w:val="ListParagraph"/>
        <w:ind w:left="0"/>
        <w:jc w:val="both"/>
        <w:rPr>
          <w:rFonts w:eastAsia="Times New Roman"/>
          <w:b/>
          <w:sz w:val="24"/>
          <w:szCs w:val="24"/>
          <w:highlight w:val="yellow"/>
        </w:rPr>
      </w:pPr>
    </w:p>
    <w:p w14:paraId="11E3B0AC" w14:textId="42532D53" w:rsidR="00CD024E" w:rsidRPr="00263B8C" w:rsidRDefault="00CD024E" w:rsidP="00D47367">
      <w:pPr>
        <w:pStyle w:val="ListParagraph"/>
        <w:numPr>
          <w:ilvl w:val="0"/>
          <w:numId w:val="5"/>
        </w:numPr>
        <w:spacing w:after="0" w:line="240" w:lineRule="auto"/>
        <w:ind w:left="0" w:firstLine="0"/>
        <w:jc w:val="both"/>
        <w:rPr>
          <w:rFonts w:eastAsia="Times New Roman"/>
          <w:sz w:val="24"/>
          <w:szCs w:val="24"/>
        </w:rPr>
      </w:pPr>
      <w:r w:rsidRPr="00902765">
        <w:rPr>
          <w:rFonts w:eastAsia="Times New Roman"/>
          <w:b/>
          <w:sz w:val="24"/>
          <w:szCs w:val="24"/>
        </w:rPr>
        <w:t>Cleanup and library setup</w:t>
      </w:r>
    </w:p>
    <w:p w14:paraId="226ADC8D" w14:textId="77777777" w:rsidR="008E387F" w:rsidRPr="00902765" w:rsidRDefault="008E387F" w:rsidP="00D47367">
      <w:pPr>
        <w:pStyle w:val="ListParagraph"/>
        <w:spacing w:after="0" w:line="240" w:lineRule="auto"/>
        <w:ind w:left="0"/>
        <w:jc w:val="both"/>
        <w:rPr>
          <w:rFonts w:eastAsia="Times New Roman"/>
          <w:sz w:val="24"/>
          <w:szCs w:val="24"/>
        </w:rPr>
      </w:pPr>
    </w:p>
    <w:p w14:paraId="695EEE95" w14:textId="018DD8F2"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Employ a PCR or DNA cleanup kit to purify</w:t>
      </w:r>
      <w:r w:rsidR="00120D11" w:rsidRPr="00902765">
        <w:rPr>
          <w:rFonts w:eastAsia="Times New Roman"/>
          <w:sz w:val="24"/>
          <w:szCs w:val="24"/>
        </w:rPr>
        <w:t xml:space="preserve"> the</w:t>
      </w:r>
      <w:r w:rsidRPr="00902765">
        <w:rPr>
          <w:rFonts w:eastAsia="Times New Roman"/>
          <w:sz w:val="24"/>
          <w:szCs w:val="24"/>
        </w:rPr>
        <w:t xml:space="preserve"> PCR products. Elute</w:t>
      </w:r>
      <w:r w:rsidR="00120D11" w:rsidRPr="00902765">
        <w:rPr>
          <w:rFonts w:eastAsia="Times New Roman"/>
          <w:sz w:val="24"/>
          <w:szCs w:val="24"/>
        </w:rPr>
        <w:t xml:space="preserve"> the</w:t>
      </w:r>
      <w:r w:rsidRPr="00902765">
        <w:rPr>
          <w:rFonts w:eastAsia="Times New Roman"/>
          <w:sz w:val="24"/>
          <w:szCs w:val="24"/>
        </w:rPr>
        <w:t xml:space="preserve"> DNA with 30 </w:t>
      </w:r>
      <w:r w:rsidR="00120D11" w:rsidRPr="00902765">
        <w:rPr>
          <w:rFonts w:eastAsia="Times New Roman"/>
          <w:sz w:val="24"/>
          <w:szCs w:val="24"/>
        </w:rPr>
        <w:sym w:font="Symbol" w:char="F06D"/>
      </w:r>
      <w:r w:rsidR="00120D11" w:rsidRPr="00902765">
        <w:rPr>
          <w:rFonts w:eastAsia="Times New Roman"/>
          <w:sz w:val="24"/>
          <w:szCs w:val="24"/>
        </w:rPr>
        <w:t xml:space="preserve">L of </w:t>
      </w:r>
      <w:r w:rsidRPr="00902765">
        <w:rPr>
          <w:rFonts w:eastAsia="Times New Roman"/>
          <w:sz w:val="24"/>
          <w:szCs w:val="24"/>
        </w:rPr>
        <w:t>PCR grade (DEPC-treated) water.</w:t>
      </w:r>
    </w:p>
    <w:p w14:paraId="1BA108E6" w14:textId="77777777" w:rsidR="00B9241D" w:rsidRPr="00902765" w:rsidRDefault="00B9241D" w:rsidP="00D47367">
      <w:pPr>
        <w:pStyle w:val="ListParagraph"/>
        <w:spacing w:after="0" w:line="240" w:lineRule="auto"/>
        <w:ind w:left="0"/>
        <w:jc w:val="both"/>
        <w:rPr>
          <w:rFonts w:eastAsia="Times New Roman"/>
          <w:sz w:val="24"/>
          <w:szCs w:val="24"/>
        </w:rPr>
      </w:pPr>
    </w:p>
    <w:p w14:paraId="79F3B666" w14:textId="63FD0A37"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Use a UV-visible spectrum spectrophotometer that has the capability to quantify PCR samples. </w:t>
      </w:r>
    </w:p>
    <w:p w14:paraId="081229C5" w14:textId="77777777" w:rsidR="00B9241D" w:rsidRPr="00902765" w:rsidRDefault="00B9241D" w:rsidP="00D47367">
      <w:pPr>
        <w:pStyle w:val="ListParagraph"/>
        <w:spacing w:after="0" w:line="240" w:lineRule="auto"/>
        <w:ind w:left="0"/>
        <w:jc w:val="both"/>
        <w:rPr>
          <w:rFonts w:eastAsia="Times New Roman"/>
          <w:sz w:val="24"/>
          <w:szCs w:val="24"/>
        </w:rPr>
      </w:pPr>
    </w:p>
    <w:p w14:paraId="15A952F4" w14:textId="7BAD1CBD"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Open </w:t>
      </w:r>
      <w:r w:rsidR="00120D11" w:rsidRPr="00902765">
        <w:rPr>
          <w:rFonts w:eastAsia="Times New Roman"/>
          <w:sz w:val="24"/>
          <w:szCs w:val="24"/>
        </w:rPr>
        <w:t xml:space="preserve">the </w:t>
      </w:r>
      <w:r w:rsidRPr="00902765">
        <w:rPr>
          <w:rFonts w:eastAsia="Times New Roman"/>
          <w:sz w:val="24"/>
          <w:szCs w:val="24"/>
        </w:rPr>
        <w:t xml:space="preserve">spectrophotometer software on computer desktop. Click on </w:t>
      </w:r>
      <w:r w:rsidR="00CC614A" w:rsidRPr="00902765">
        <w:rPr>
          <w:rFonts w:eastAsia="Times New Roman"/>
          <w:b/>
          <w:bCs/>
          <w:sz w:val="24"/>
          <w:szCs w:val="24"/>
        </w:rPr>
        <w:t>Nucleic Acid</w:t>
      </w:r>
      <w:r w:rsidRPr="00902765">
        <w:rPr>
          <w:rFonts w:eastAsia="Times New Roman"/>
          <w:sz w:val="24"/>
          <w:szCs w:val="24"/>
        </w:rPr>
        <w:t>.</w:t>
      </w:r>
    </w:p>
    <w:p w14:paraId="10F7A9FD" w14:textId="77777777" w:rsidR="00B9241D" w:rsidRPr="00902765" w:rsidRDefault="00B9241D" w:rsidP="00D47367">
      <w:pPr>
        <w:pStyle w:val="ListParagraph"/>
        <w:spacing w:after="0" w:line="240" w:lineRule="auto"/>
        <w:ind w:left="0"/>
        <w:jc w:val="both"/>
        <w:rPr>
          <w:rFonts w:eastAsia="Times New Roman"/>
          <w:sz w:val="24"/>
          <w:szCs w:val="24"/>
        </w:rPr>
      </w:pPr>
    </w:p>
    <w:p w14:paraId="42B48E3D" w14:textId="138FC18E" w:rsidR="00B9241D"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Wipe the port with distilled water. Add 1 </w:t>
      </w:r>
      <w:r w:rsidR="00120D11" w:rsidRPr="00902765">
        <w:rPr>
          <w:rFonts w:eastAsia="Times New Roman"/>
          <w:sz w:val="24"/>
          <w:szCs w:val="24"/>
        </w:rPr>
        <w:sym w:font="Symbol" w:char="F06D"/>
      </w:r>
      <w:r w:rsidRPr="00902765">
        <w:rPr>
          <w:rFonts w:eastAsia="Times New Roman"/>
          <w:sz w:val="24"/>
          <w:szCs w:val="24"/>
        </w:rPr>
        <w:t xml:space="preserve">L </w:t>
      </w:r>
      <w:r w:rsidR="00CC614A" w:rsidRPr="00902765">
        <w:rPr>
          <w:rFonts w:eastAsia="Times New Roman"/>
          <w:sz w:val="24"/>
          <w:szCs w:val="24"/>
        </w:rPr>
        <w:t xml:space="preserve">of 1x </w:t>
      </w:r>
      <w:r w:rsidRPr="00902765">
        <w:rPr>
          <w:rFonts w:eastAsia="Times New Roman"/>
          <w:sz w:val="24"/>
          <w:szCs w:val="24"/>
        </w:rPr>
        <w:t xml:space="preserve">PCR buffer/water to port and calibrate. </w:t>
      </w:r>
    </w:p>
    <w:p w14:paraId="6F8AAEE9" w14:textId="77777777" w:rsidR="00120D11" w:rsidRPr="00902765" w:rsidRDefault="00120D11" w:rsidP="00D47367">
      <w:pPr>
        <w:pStyle w:val="ListParagraph"/>
        <w:spacing w:after="0" w:line="240" w:lineRule="auto"/>
        <w:ind w:left="0"/>
        <w:jc w:val="both"/>
        <w:rPr>
          <w:rFonts w:eastAsia="Times New Roman"/>
          <w:sz w:val="24"/>
          <w:szCs w:val="24"/>
        </w:rPr>
      </w:pPr>
    </w:p>
    <w:p w14:paraId="539F9DF3" w14:textId="24506299" w:rsidR="00B9241D"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Enter </w:t>
      </w:r>
      <w:r w:rsidR="00120D11" w:rsidRPr="00902765">
        <w:rPr>
          <w:rFonts w:eastAsia="Times New Roman"/>
          <w:sz w:val="24"/>
          <w:szCs w:val="24"/>
        </w:rPr>
        <w:t xml:space="preserve">the </w:t>
      </w:r>
      <w:r w:rsidRPr="00902765">
        <w:rPr>
          <w:rFonts w:eastAsia="Times New Roman"/>
          <w:sz w:val="24"/>
          <w:szCs w:val="24"/>
        </w:rPr>
        <w:t>sample ID</w:t>
      </w:r>
      <w:r w:rsidR="00120D11" w:rsidRPr="00902765">
        <w:rPr>
          <w:rFonts w:eastAsia="Times New Roman"/>
          <w:sz w:val="24"/>
          <w:szCs w:val="24"/>
        </w:rPr>
        <w:t xml:space="preserve"> and </w:t>
      </w:r>
      <w:r w:rsidRPr="00902765">
        <w:rPr>
          <w:rFonts w:eastAsia="Times New Roman"/>
          <w:sz w:val="24"/>
          <w:szCs w:val="24"/>
        </w:rPr>
        <w:t xml:space="preserve">pipette 1 </w:t>
      </w:r>
      <w:r w:rsidR="00120D11" w:rsidRPr="00902765">
        <w:rPr>
          <w:rFonts w:eastAsia="Times New Roman"/>
          <w:sz w:val="24"/>
          <w:szCs w:val="24"/>
        </w:rPr>
        <w:sym w:font="Symbol" w:char="F06D"/>
      </w:r>
      <w:r w:rsidRPr="00902765">
        <w:rPr>
          <w:rFonts w:eastAsia="Times New Roman"/>
          <w:sz w:val="24"/>
          <w:szCs w:val="24"/>
        </w:rPr>
        <w:t>L of sample onto the port.</w:t>
      </w:r>
    </w:p>
    <w:p w14:paraId="1BE023B3" w14:textId="7B170E35" w:rsidR="00CD024E" w:rsidRPr="00902765" w:rsidRDefault="00CD024E" w:rsidP="00D47367">
      <w:pPr>
        <w:pStyle w:val="ListParagraph"/>
        <w:spacing w:after="0" w:line="240" w:lineRule="auto"/>
        <w:ind w:left="0"/>
        <w:jc w:val="both"/>
        <w:rPr>
          <w:rFonts w:eastAsia="Times New Roman"/>
          <w:sz w:val="24"/>
          <w:szCs w:val="24"/>
        </w:rPr>
      </w:pPr>
    </w:p>
    <w:p w14:paraId="104E11E7" w14:textId="62A9072B" w:rsidR="00120D11"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Close the port and hit </w:t>
      </w:r>
      <w:r w:rsidR="00CC614A" w:rsidRPr="00902765">
        <w:rPr>
          <w:rFonts w:eastAsia="Times New Roman"/>
          <w:b/>
          <w:bCs/>
          <w:sz w:val="24"/>
          <w:szCs w:val="24"/>
        </w:rPr>
        <w:t>M</w:t>
      </w:r>
      <w:r w:rsidRPr="00902765">
        <w:rPr>
          <w:rFonts w:eastAsia="Times New Roman"/>
          <w:b/>
          <w:bCs/>
          <w:sz w:val="24"/>
          <w:szCs w:val="24"/>
        </w:rPr>
        <w:t>easure</w:t>
      </w:r>
      <w:r w:rsidRPr="00902765">
        <w:rPr>
          <w:rFonts w:eastAsia="Times New Roman"/>
          <w:sz w:val="24"/>
          <w:szCs w:val="24"/>
        </w:rPr>
        <w:t xml:space="preserve">. </w:t>
      </w:r>
    </w:p>
    <w:p w14:paraId="2EACF190" w14:textId="77777777" w:rsidR="00120D11" w:rsidRPr="00263B8C" w:rsidRDefault="00120D11" w:rsidP="00D47367">
      <w:pPr>
        <w:spacing w:after="0" w:line="240" w:lineRule="auto"/>
        <w:jc w:val="both"/>
        <w:rPr>
          <w:rFonts w:eastAsia="Times New Roman"/>
          <w:sz w:val="24"/>
          <w:szCs w:val="24"/>
        </w:rPr>
      </w:pPr>
    </w:p>
    <w:p w14:paraId="00C64154" w14:textId="5129A776" w:rsidR="00CD024E" w:rsidRPr="00263B8C" w:rsidRDefault="00CD024E" w:rsidP="00D47367">
      <w:pPr>
        <w:spacing w:after="0" w:line="240" w:lineRule="auto"/>
        <w:jc w:val="both"/>
        <w:rPr>
          <w:rFonts w:eastAsia="Times New Roman"/>
          <w:sz w:val="24"/>
          <w:szCs w:val="24"/>
        </w:rPr>
      </w:pPr>
      <w:r w:rsidRPr="00263B8C">
        <w:rPr>
          <w:rFonts w:eastAsia="Times New Roman"/>
          <w:sz w:val="24"/>
          <w:szCs w:val="24"/>
        </w:rPr>
        <w:t xml:space="preserve">NOTE: </w:t>
      </w:r>
      <w:r w:rsidR="00120D11" w:rsidRPr="00263B8C">
        <w:rPr>
          <w:rFonts w:eastAsia="Times New Roman"/>
          <w:sz w:val="24"/>
          <w:szCs w:val="24"/>
        </w:rPr>
        <w:t>A</w:t>
      </w:r>
      <w:r w:rsidRPr="00263B8C">
        <w:rPr>
          <w:rFonts w:eastAsia="Times New Roman"/>
          <w:sz w:val="24"/>
          <w:szCs w:val="24"/>
        </w:rPr>
        <w:t>void air bubbles when adding samples onto the port.</w:t>
      </w:r>
    </w:p>
    <w:p w14:paraId="6D81129F" w14:textId="77777777" w:rsidR="00B9241D" w:rsidRPr="00902765" w:rsidRDefault="00B9241D" w:rsidP="00D47367">
      <w:pPr>
        <w:pStyle w:val="ListParagraph"/>
        <w:spacing w:after="0" w:line="240" w:lineRule="auto"/>
        <w:ind w:left="0"/>
        <w:jc w:val="both"/>
        <w:rPr>
          <w:rFonts w:eastAsia="Times New Roman"/>
          <w:sz w:val="24"/>
          <w:szCs w:val="24"/>
        </w:rPr>
      </w:pPr>
    </w:p>
    <w:p w14:paraId="50C4E8F0" w14:textId="416FB925"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Wipe off the sample with </w:t>
      </w:r>
      <w:r w:rsidR="00120D11" w:rsidRPr="00902765">
        <w:rPr>
          <w:rFonts w:eastAsia="Times New Roman"/>
          <w:sz w:val="24"/>
          <w:szCs w:val="24"/>
        </w:rPr>
        <w:t>lab</w:t>
      </w:r>
      <w:r w:rsidRPr="00902765">
        <w:rPr>
          <w:rFonts w:eastAsia="Times New Roman"/>
          <w:sz w:val="24"/>
          <w:szCs w:val="24"/>
        </w:rPr>
        <w:t xml:space="preserve"> wipes and distilled water, </w:t>
      </w:r>
      <w:r w:rsidR="00CC614A" w:rsidRPr="00902765">
        <w:rPr>
          <w:rFonts w:eastAsia="Times New Roman"/>
          <w:sz w:val="24"/>
          <w:szCs w:val="24"/>
        </w:rPr>
        <w:t xml:space="preserve">and </w:t>
      </w:r>
      <w:r w:rsidRPr="00902765">
        <w:rPr>
          <w:rFonts w:eastAsia="Times New Roman"/>
          <w:sz w:val="24"/>
          <w:szCs w:val="24"/>
        </w:rPr>
        <w:t>then prepare the next sample. Record values with each sample. The computer should also auto-save.</w:t>
      </w:r>
    </w:p>
    <w:p w14:paraId="1EB13F12" w14:textId="77777777" w:rsidR="00B9241D" w:rsidRPr="00902765" w:rsidRDefault="00B9241D" w:rsidP="00D47367">
      <w:pPr>
        <w:pStyle w:val="ListParagraph"/>
        <w:spacing w:after="0" w:line="240" w:lineRule="auto"/>
        <w:ind w:left="0"/>
        <w:jc w:val="both"/>
        <w:rPr>
          <w:rFonts w:eastAsia="Times New Roman"/>
          <w:sz w:val="24"/>
          <w:szCs w:val="24"/>
        </w:rPr>
      </w:pPr>
    </w:p>
    <w:p w14:paraId="2D292C96" w14:textId="65EB79B4"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Combine 250 ng of each amplified PCR product in 1 tube. This is the DNA library.</w:t>
      </w:r>
    </w:p>
    <w:p w14:paraId="2FD88038" w14:textId="77777777" w:rsidR="00B9241D" w:rsidRPr="00902765" w:rsidRDefault="00B9241D" w:rsidP="00D47367">
      <w:pPr>
        <w:pStyle w:val="ListParagraph"/>
        <w:spacing w:after="0" w:line="240" w:lineRule="auto"/>
        <w:ind w:left="0"/>
        <w:jc w:val="both"/>
        <w:rPr>
          <w:rFonts w:eastAsia="Times New Roman"/>
          <w:sz w:val="24"/>
          <w:szCs w:val="24"/>
        </w:rPr>
      </w:pPr>
    </w:p>
    <w:p w14:paraId="6566A5BA" w14:textId="77777777" w:rsidR="00120D11"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Deliver the library</w:t>
      </w:r>
      <w:r w:rsidR="00120D11" w:rsidRPr="00902765">
        <w:rPr>
          <w:rFonts w:eastAsia="Times New Roman"/>
          <w:sz w:val="24"/>
          <w:szCs w:val="24"/>
        </w:rPr>
        <w:t>,</w:t>
      </w:r>
      <w:r w:rsidRPr="00902765">
        <w:rPr>
          <w:rFonts w:eastAsia="Times New Roman"/>
          <w:sz w:val="24"/>
          <w:szCs w:val="24"/>
        </w:rPr>
        <w:t xml:space="preserve"> along with read</w:t>
      </w:r>
      <w:r w:rsidR="00120D11" w:rsidRPr="00902765">
        <w:rPr>
          <w:rFonts w:eastAsia="Times New Roman"/>
          <w:sz w:val="24"/>
          <w:szCs w:val="24"/>
        </w:rPr>
        <w:t>s</w:t>
      </w:r>
      <w:r w:rsidRPr="00902765">
        <w:rPr>
          <w:rFonts w:eastAsia="Times New Roman"/>
          <w:sz w:val="24"/>
          <w:szCs w:val="24"/>
        </w:rPr>
        <w:t xml:space="preserve"> 1</w:t>
      </w:r>
      <w:r w:rsidR="00120D11" w:rsidRPr="00902765">
        <w:rPr>
          <w:rFonts w:eastAsia="Times New Roman"/>
          <w:sz w:val="24"/>
          <w:szCs w:val="24"/>
        </w:rPr>
        <w:t xml:space="preserve"> and</w:t>
      </w:r>
      <w:r w:rsidRPr="00902765">
        <w:rPr>
          <w:rFonts w:eastAsia="Times New Roman"/>
          <w:sz w:val="24"/>
          <w:szCs w:val="24"/>
        </w:rPr>
        <w:t xml:space="preserve"> 2 and</w:t>
      </w:r>
      <w:r w:rsidR="00120D11" w:rsidRPr="00902765">
        <w:rPr>
          <w:rFonts w:eastAsia="Times New Roman"/>
          <w:sz w:val="24"/>
          <w:szCs w:val="24"/>
        </w:rPr>
        <w:t xml:space="preserve"> the</w:t>
      </w:r>
      <w:r w:rsidRPr="00902765">
        <w:rPr>
          <w:rFonts w:eastAsia="Times New Roman"/>
          <w:sz w:val="24"/>
          <w:szCs w:val="24"/>
        </w:rPr>
        <w:t xml:space="preserve"> index sequencing primers to a sequencing lab for sequencing. </w:t>
      </w:r>
    </w:p>
    <w:p w14:paraId="099A6B42" w14:textId="77777777" w:rsidR="00120D11" w:rsidRDefault="00120D11" w:rsidP="00D47367">
      <w:pPr>
        <w:spacing w:after="0" w:line="240" w:lineRule="auto"/>
        <w:jc w:val="both"/>
        <w:rPr>
          <w:rFonts w:eastAsia="Times New Roman"/>
          <w:sz w:val="24"/>
          <w:szCs w:val="24"/>
        </w:rPr>
      </w:pPr>
    </w:p>
    <w:p w14:paraId="243F2977" w14:textId="060F075F" w:rsidR="00CD024E" w:rsidRPr="00120D11" w:rsidRDefault="00CD024E" w:rsidP="00D47367">
      <w:pPr>
        <w:spacing w:after="0" w:line="240" w:lineRule="auto"/>
        <w:jc w:val="both"/>
        <w:rPr>
          <w:rFonts w:eastAsia="Times New Roman"/>
          <w:sz w:val="24"/>
          <w:szCs w:val="24"/>
          <w:highlight w:val="yellow"/>
        </w:rPr>
      </w:pPr>
      <w:r w:rsidRPr="00120D11">
        <w:rPr>
          <w:rFonts w:eastAsia="Times New Roman"/>
          <w:sz w:val="24"/>
          <w:szCs w:val="24"/>
        </w:rPr>
        <w:t>NOTE: If a local laboratory is not available, a commercial sequencing lab can be utilized for this step.</w:t>
      </w:r>
    </w:p>
    <w:p w14:paraId="1EAD99B7" w14:textId="77777777" w:rsidR="00120D11" w:rsidRDefault="00120D11" w:rsidP="00D47367">
      <w:pPr>
        <w:spacing w:after="0" w:line="240" w:lineRule="auto"/>
        <w:jc w:val="both"/>
        <w:rPr>
          <w:rFonts w:eastAsia="Times New Roman"/>
          <w:b/>
          <w:sz w:val="24"/>
          <w:szCs w:val="24"/>
          <w:highlight w:val="yellow"/>
        </w:rPr>
      </w:pPr>
    </w:p>
    <w:p w14:paraId="31F711FA" w14:textId="7B39B903" w:rsidR="00CD024E" w:rsidRPr="00902765" w:rsidRDefault="00CD024E" w:rsidP="00D47367">
      <w:pPr>
        <w:numPr>
          <w:ilvl w:val="0"/>
          <w:numId w:val="5"/>
        </w:numPr>
        <w:spacing w:after="0" w:line="240" w:lineRule="auto"/>
        <w:ind w:left="0" w:firstLine="0"/>
        <w:jc w:val="both"/>
        <w:rPr>
          <w:rFonts w:eastAsia="Times New Roman"/>
          <w:b/>
          <w:sz w:val="24"/>
          <w:szCs w:val="24"/>
        </w:rPr>
      </w:pPr>
      <w:r w:rsidRPr="00902765">
        <w:rPr>
          <w:rFonts w:eastAsia="Times New Roman"/>
          <w:b/>
          <w:sz w:val="24"/>
          <w:szCs w:val="24"/>
        </w:rPr>
        <w:t xml:space="preserve">Data </w:t>
      </w:r>
      <w:r w:rsidR="00120D11" w:rsidRPr="00902765">
        <w:rPr>
          <w:rFonts w:eastAsia="Times New Roman"/>
          <w:b/>
          <w:sz w:val="24"/>
          <w:szCs w:val="24"/>
        </w:rPr>
        <w:t>f</w:t>
      </w:r>
      <w:r w:rsidRPr="00902765">
        <w:rPr>
          <w:rFonts w:eastAsia="Times New Roman"/>
          <w:b/>
          <w:sz w:val="24"/>
          <w:szCs w:val="24"/>
        </w:rPr>
        <w:t>ormatting</w:t>
      </w:r>
    </w:p>
    <w:p w14:paraId="707BB4E1" w14:textId="77777777" w:rsidR="00120D11" w:rsidRPr="00902765" w:rsidRDefault="00120D11" w:rsidP="00D47367">
      <w:pPr>
        <w:spacing w:after="0" w:line="240" w:lineRule="auto"/>
        <w:jc w:val="both"/>
        <w:rPr>
          <w:rFonts w:eastAsia="Times New Roman"/>
          <w:b/>
          <w:sz w:val="24"/>
          <w:szCs w:val="24"/>
        </w:rPr>
      </w:pPr>
    </w:p>
    <w:p w14:paraId="65823161" w14:textId="1F2CED5F"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Sequencing data provides results in forward and </w:t>
      </w:r>
      <w:proofErr w:type="gramStart"/>
      <w:r w:rsidRPr="00902765">
        <w:rPr>
          <w:rFonts w:eastAsia="Times New Roman"/>
          <w:sz w:val="24"/>
          <w:szCs w:val="24"/>
        </w:rPr>
        <w:t>reverse .</w:t>
      </w:r>
      <w:proofErr w:type="spellStart"/>
      <w:r w:rsidRPr="00902765">
        <w:rPr>
          <w:rFonts w:eastAsia="Times New Roman"/>
          <w:sz w:val="24"/>
          <w:szCs w:val="24"/>
        </w:rPr>
        <w:t>fastq</w:t>
      </w:r>
      <w:proofErr w:type="spellEnd"/>
      <w:proofErr w:type="gramEnd"/>
      <w:r w:rsidRPr="00902765">
        <w:rPr>
          <w:rFonts w:eastAsia="Times New Roman"/>
          <w:sz w:val="24"/>
          <w:szCs w:val="24"/>
        </w:rPr>
        <w:t xml:space="preserve"> files. </w:t>
      </w:r>
      <w:r w:rsidR="00F72617" w:rsidRPr="00902765">
        <w:rPr>
          <w:rFonts w:eastAsia="Times New Roman"/>
          <w:sz w:val="24"/>
          <w:szCs w:val="24"/>
        </w:rPr>
        <w:t xml:space="preserve">Convert this </w:t>
      </w:r>
      <w:r w:rsidRPr="00902765">
        <w:rPr>
          <w:rFonts w:eastAsia="Times New Roman"/>
          <w:sz w:val="24"/>
          <w:szCs w:val="24"/>
        </w:rPr>
        <w:t>data into a data sheet and clean so that the information can be analyzed for downstream applications.</w:t>
      </w:r>
    </w:p>
    <w:p w14:paraId="1AE1A35A" w14:textId="77777777" w:rsidR="00B9241D" w:rsidRPr="00902765" w:rsidRDefault="00B9241D" w:rsidP="00D47367">
      <w:pPr>
        <w:pStyle w:val="ListParagraph"/>
        <w:spacing w:after="0" w:line="240" w:lineRule="auto"/>
        <w:ind w:left="0"/>
        <w:jc w:val="both"/>
        <w:rPr>
          <w:rFonts w:eastAsia="Times New Roman"/>
          <w:sz w:val="24"/>
          <w:szCs w:val="24"/>
        </w:rPr>
      </w:pPr>
    </w:p>
    <w:p w14:paraId="4EAD4714" w14:textId="50C4752B" w:rsidR="00CD024E" w:rsidRPr="00902765" w:rsidRDefault="00120D11"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O</w:t>
      </w:r>
      <w:r w:rsidR="00CD024E" w:rsidRPr="00902765">
        <w:rPr>
          <w:rFonts w:eastAsia="Times New Roman"/>
          <w:sz w:val="24"/>
          <w:szCs w:val="24"/>
        </w:rPr>
        <w:t>pen the R programming software. Follow the instructions and code listed in the supplemental coding file to proceed through the DADA2 pipeline and clean the DNA sequencing data</w:t>
      </w:r>
      <w:sdt>
        <w:sdtPr>
          <w:rPr>
            <w:sz w:val="24"/>
            <w:szCs w:val="24"/>
          </w:rPr>
          <w:tag w:val="goog_rdk_1"/>
          <w:id w:val="-1112893861"/>
        </w:sdtPr>
        <w:sdtEndPr/>
        <w:sdtContent/>
      </w:sdt>
      <w:r w:rsidR="00CD024E" w:rsidRPr="00902765">
        <w:rPr>
          <w:rFonts w:eastAsia="Times New Roman"/>
          <w:sz w:val="24"/>
          <w:szCs w:val="24"/>
          <w:vertAlign w:val="superscript"/>
        </w:rPr>
        <w:t>1</w:t>
      </w:r>
      <w:r w:rsidR="00263B8C">
        <w:rPr>
          <w:rFonts w:eastAsia="Times New Roman"/>
          <w:sz w:val="24"/>
          <w:szCs w:val="24"/>
          <w:vertAlign w:val="superscript"/>
        </w:rPr>
        <w:t>6</w:t>
      </w:r>
      <w:r w:rsidR="00CD024E" w:rsidRPr="00902765">
        <w:rPr>
          <w:rFonts w:eastAsia="Times New Roman"/>
          <w:sz w:val="24"/>
          <w:szCs w:val="24"/>
        </w:rPr>
        <w:t>. Download the SILVA reference database for</w:t>
      </w:r>
      <w:r w:rsidRPr="00902765">
        <w:rPr>
          <w:rFonts w:eastAsia="Times New Roman"/>
          <w:sz w:val="24"/>
          <w:szCs w:val="24"/>
        </w:rPr>
        <w:t xml:space="preserve"> the</w:t>
      </w:r>
      <w:r w:rsidR="00CD024E" w:rsidRPr="00902765">
        <w:rPr>
          <w:rFonts w:eastAsia="Times New Roman"/>
          <w:sz w:val="24"/>
          <w:szCs w:val="24"/>
        </w:rPr>
        <w:t xml:space="preserve"> taxonomy assignment after the sequences have been passed through the pipeline</w:t>
      </w:r>
      <w:r w:rsidR="00C150A7" w:rsidRPr="00902765">
        <w:rPr>
          <w:rFonts w:eastAsia="Times New Roman"/>
          <w:sz w:val="24"/>
          <w:szCs w:val="24"/>
          <w:vertAlign w:val="superscript"/>
        </w:rPr>
        <w:t>1</w:t>
      </w:r>
      <w:r w:rsidR="00263B8C">
        <w:rPr>
          <w:rFonts w:eastAsia="Times New Roman"/>
          <w:sz w:val="24"/>
          <w:szCs w:val="24"/>
          <w:vertAlign w:val="superscript"/>
        </w:rPr>
        <w:t>7</w:t>
      </w:r>
      <w:r w:rsidR="00CD024E" w:rsidRPr="00902765">
        <w:rPr>
          <w:rFonts w:eastAsia="Times New Roman"/>
          <w:sz w:val="24"/>
          <w:szCs w:val="24"/>
        </w:rPr>
        <w:t>.</w:t>
      </w:r>
    </w:p>
    <w:p w14:paraId="2764500F" w14:textId="77777777" w:rsidR="00B9241D" w:rsidRPr="00902765" w:rsidRDefault="00B9241D" w:rsidP="00D47367">
      <w:pPr>
        <w:pStyle w:val="ListParagraph"/>
        <w:spacing w:after="0" w:line="240" w:lineRule="auto"/>
        <w:ind w:left="0"/>
        <w:jc w:val="both"/>
        <w:rPr>
          <w:rFonts w:eastAsia="Times New Roman"/>
          <w:sz w:val="24"/>
          <w:szCs w:val="24"/>
        </w:rPr>
      </w:pPr>
    </w:p>
    <w:p w14:paraId="688CB93B" w14:textId="7AED4BCF"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Briefly, load the DADA2 package in R. Define a path in which all </w:t>
      </w:r>
      <w:r w:rsidR="00120D11" w:rsidRPr="00902765">
        <w:rPr>
          <w:rFonts w:eastAsia="Times New Roman"/>
          <w:sz w:val="24"/>
          <w:szCs w:val="24"/>
        </w:rPr>
        <w:t xml:space="preserve">of </w:t>
      </w:r>
      <w:proofErr w:type="gramStart"/>
      <w:r w:rsidR="00120D11" w:rsidRPr="00902765">
        <w:rPr>
          <w:rFonts w:eastAsia="Times New Roman"/>
          <w:sz w:val="24"/>
          <w:szCs w:val="24"/>
        </w:rPr>
        <w:t xml:space="preserve">the </w:t>
      </w:r>
      <w:r w:rsidRPr="00902765">
        <w:rPr>
          <w:rFonts w:eastAsia="Times New Roman"/>
          <w:sz w:val="24"/>
          <w:szCs w:val="24"/>
        </w:rPr>
        <w:t>.</w:t>
      </w:r>
      <w:proofErr w:type="spellStart"/>
      <w:r w:rsidRPr="00902765">
        <w:rPr>
          <w:rFonts w:eastAsia="Times New Roman"/>
          <w:sz w:val="24"/>
          <w:szCs w:val="24"/>
        </w:rPr>
        <w:t>fastq</w:t>
      </w:r>
      <w:proofErr w:type="spellEnd"/>
      <w:proofErr w:type="gramEnd"/>
      <w:r w:rsidRPr="00902765">
        <w:rPr>
          <w:rFonts w:eastAsia="Times New Roman"/>
          <w:sz w:val="24"/>
          <w:szCs w:val="24"/>
        </w:rPr>
        <w:t xml:space="preserve"> files are saved in the same directory and extract </w:t>
      </w:r>
      <w:r w:rsidR="00120D11" w:rsidRPr="00902765">
        <w:rPr>
          <w:rFonts w:eastAsia="Times New Roman"/>
          <w:sz w:val="24"/>
          <w:szCs w:val="24"/>
        </w:rPr>
        <w:t>the</w:t>
      </w:r>
      <w:r w:rsidRPr="00902765">
        <w:rPr>
          <w:rFonts w:eastAsia="Times New Roman"/>
          <w:sz w:val="24"/>
          <w:szCs w:val="24"/>
        </w:rPr>
        <w:t xml:space="preserve"> files into R.</w:t>
      </w:r>
    </w:p>
    <w:p w14:paraId="4667BF43" w14:textId="77777777" w:rsidR="00B9241D" w:rsidRPr="00902765" w:rsidRDefault="00B9241D" w:rsidP="00D47367">
      <w:pPr>
        <w:pStyle w:val="ListParagraph"/>
        <w:spacing w:after="0" w:line="240" w:lineRule="auto"/>
        <w:ind w:left="0"/>
        <w:jc w:val="both"/>
        <w:rPr>
          <w:rFonts w:eastAsia="Times New Roman"/>
          <w:sz w:val="24"/>
          <w:szCs w:val="24"/>
        </w:rPr>
      </w:pPr>
    </w:p>
    <w:p w14:paraId="79AB0D02" w14:textId="059556B1"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Read the names of the </w:t>
      </w:r>
      <w:proofErr w:type="spellStart"/>
      <w:r w:rsidRPr="00902765">
        <w:rPr>
          <w:rFonts w:eastAsia="Times New Roman"/>
          <w:sz w:val="24"/>
          <w:szCs w:val="24"/>
        </w:rPr>
        <w:t>fastq</w:t>
      </w:r>
      <w:proofErr w:type="spellEnd"/>
      <w:r w:rsidRPr="00902765">
        <w:rPr>
          <w:rFonts w:eastAsia="Times New Roman"/>
          <w:sz w:val="24"/>
          <w:szCs w:val="24"/>
        </w:rPr>
        <w:t xml:space="preserve"> files and match </w:t>
      </w:r>
      <w:r w:rsidR="00CD4570" w:rsidRPr="00902765">
        <w:rPr>
          <w:rFonts w:eastAsia="Times New Roman"/>
          <w:sz w:val="24"/>
          <w:szCs w:val="24"/>
        </w:rPr>
        <w:t xml:space="preserve">the </w:t>
      </w:r>
      <w:r w:rsidRPr="00902765">
        <w:rPr>
          <w:rFonts w:eastAsia="Times New Roman"/>
          <w:sz w:val="24"/>
          <w:szCs w:val="24"/>
        </w:rPr>
        <w:t xml:space="preserve">lists of forward and reverse </w:t>
      </w:r>
      <w:proofErr w:type="spellStart"/>
      <w:r w:rsidRPr="00902765">
        <w:rPr>
          <w:rFonts w:eastAsia="Times New Roman"/>
          <w:sz w:val="24"/>
          <w:szCs w:val="24"/>
        </w:rPr>
        <w:t>fastq</w:t>
      </w:r>
      <w:proofErr w:type="spellEnd"/>
      <w:r w:rsidRPr="00902765">
        <w:rPr>
          <w:rFonts w:eastAsia="Times New Roman"/>
          <w:sz w:val="24"/>
          <w:szCs w:val="24"/>
        </w:rPr>
        <w:t xml:space="preserve"> files.</w:t>
      </w:r>
    </w:p>
    <w:p w14:paraId="38B76141" w14:textId="77777777" w:rsidR="00B9241D" w:rsidRPr="00902765" w:rsidRDefault="00B9241D" w:rsidP="00D47367">
      <w:pPr>
        <w:pStyle w:val="ListParagraph"/>
        <w:spacing w:after="0" w:line="240" w:lineRule="auto"/>
        <w:ind w:left="0"/>
        <w:jc w:val="both"/>
        <w:rPr>
          <w:rFonts w:eastAsia="Times New Roman"/>
          <w:sz w:val="24"/>
          <w:szCs w:val="24"/>
        </w:rPr>
      </w:pPr>
    </w:p>
    <w:p w14:paraId="636B3543" w14:textId="77777777" w:rsidR="00CD4570"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Inspect the quality of </w:t>
      </w:r>
      <w:r w:rsidR="00CD4570" w:rsidRPr="00902765">
        <w:rPr>
          <w:rFonts w:eastAsia="Times New Roman"/>
          <w:sz w:val="24"/>
          <w:szCs w:val="24"/>
        </w:rPr>
        <w:t xml:space="preserve">the </w:t>
      </w:r>
      <w:r w:rsidRPr="00902765">
        <w:rPr>
          <w:rFonts w:eastAsia="Times New Roman"/>
          <w:sz w:val="24"/>
          <w:szCs w:val="24"/>
        </w:rPr>
        <w:t xml:space="preserve">forward reads and reverse reads. </w:t>
      </w:r>
    </w:p>
    <w:p w14:paraId="29395F8C" w14:textId="77777777" w:rsidR="00CD4570" w:rsidRPr="00902765" w:rsidRDefault="00CD4570" w:rsidP="00D47367">
      <w:pPr>
        <w:spacing w:after="0" w:line="240" w:lineRule="auto"/>
        <w:jc w:val="both"/>
        <w:rPr>
          <w:rFonts w:eastAsia="Times New Roman"/>
          <w:sz w:val="24"/>
          <w:szCs w:val="24"/>
        </w:rPr>
      </w:pPr>
    </w:p>
    <w:p w14:paraId="321EFA3E" w14:textId="09DCEE08" w:rsidR="00CD024E" w:rsidRPr="00902765" w:rsidRDefault="00CD024E" w:rsidP="00D47367">
      <w:pPr>
        <w:spacing w:after="0" w:line="240" w:lineRule="auto"/>
        <w:jc w:val="both"/>
        <w:rPr>
          <w:rFonts w:eastAsia="Times New Roman"/>
          <w:sz w:val="24"/>
          <w:szCs w:val="24"/>
        </w:rPr>
      </w:pPr>
      <w:r w:rsidRPr="00902765">
        <w:rPr>
          <w:rFonts w:eastAsia="Times New Roman"/>
          <w:sz w:val="24"/>
          <w:szCs w:val="24"/>
        </w:rPr>
        <w:t xml:space="preserve">NOTE: </w:t>
      </w:r>
      <w:r w:rsidR="00CD4570" w:rsidRPr="00902765">
        <w:rPr>
          <w:rFonts w:eastAsia="Times New Roman"/>
          <w:sz w:val="24"/>
          <w:szCs w:val="24"/>
        </w:rPr>
        <w:t>N</w:t>
      </w:r>
      <w:r w:rsidRPr="00902765">
        <w:rPr>
          <w:rFonts w:eastAsia="Times New Roman"/>
          <w:sz w:val="24"/>
          <w:szCs w:val="24"/>
        </w:rPr>
        <w:t>ucleotide sequences can be truncated to maintain high quality sequences.</w:t>
      </w:r>
    </w:p>
    <w:p w14:paraId="15A5DFB4" w14:textId="77777777" w:rsidR="00B9241D" w:rsidRPr="00902765" w:rsidRDefault="00B9241D" w:rsidP="00D47367">
      <w:pPr>
        <w:pStyle w:val="ListParagraph"/>
        <w:spacing w:after="0" w:line="240" w:lineRule="auto"/>
        <w:ind w:left="0"/>
        <w:jc w:val="both"/>
        <w:rPr>
          <w:rFonts w:eastAsia="Times New Roman"/>
          <w:sz w:val="24"/>
          <w:szCs w:val="24"/>
        </w:rPr>
      </w:pPr>
    </w:p>
    <w:p w14:paraId="56320931" w14:textId="6F68A2A7" w:rsidR="00CD024E" w:rsidRPr="00902765" w:rsidRDefault="00CD024E"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Filter and trim the </w:t>
      </w:r>
      <w:proofErr w:type="spellStart"/>
      <w:r w:rsidRPr="00902765">
        <w:rPr>
          <w:rFonts w:eastAsia="Times New Roman"/>
          <w:sz w:val="24"/>
          <w:szCs w:val="24"/>
        </w:rPr>
        <w:t>fastq</w:t>
      </w:r>
      <w:proofErr w:type="spellEnd"/>
      <w:r w:rsidRPr="00902765">
        <w:rPr>
          <w:rFonts w:eastAsia="Times New Roman"/>
          <w:sz w:val="24"/>
          <w:szCs w:val="24"/>
        </w:rPr>
        <w:t xml:space="preserve"> files. Use the </w:t>
      </w:r>
      <w:proofErr w:type="spellStart"/>
      <w:r w:rsidRPr="00902765">
        <w:rPr>
          <w:rFonts w:eastAsia="Times New Roman"/>
          <w:sz w:val="24"/>
          <w:szCs w:val="24"/>
        </w:rPr>
        <w:t>learnErrors</w:t>
      </w:r>
      <w:proofErr w:type="spellEnd"/>
      <w:r w:rsidRPr="00902765">
        <w:rPr>
          <w:rFonts w:eastAsia="Times New Roman"/>
          <w:sz w:val="24"/>
          <w:szCs w:val="24"/>
        </w:rPr>
        <w:t xml:space="preserve"> method to learn </w:t>
      </w:r>
      <w:bookmarkStart w:id="2" w:name="_Hlk53393348"/>
      <w:r w:rsidRPr="00902765">
        <w:rPr>
          <w:rFonts w:eastAsia="Times New Roman"/>
          <w:sz w:val="24"/>
          <w:szCs w:val="24"/>
        </w:rPr>
        <w:t xml:space="preserve">the parametric error model </w:t>
      </w:r>
      <w:r w:rsidR="00C150A7" w:rsidRPr="00902765">
        <w:rPr>
          <w:rFonts w:eastAsia="Times New Roman"/>
          <w:sz w:val="24"/>
          <w:szCs w:val="24"/>
        </w:rPr>
        <w:t xml:space="preserve">that DADA2 uses. This will show the observed and expected error rates for each possible nucleotide substitution (A </w:t>
      </w:r>
      <w:r w:rsidR="00C150A7" w:rsidRPr="00902765">
        <w:rPr>
          <w:rFonts w:eastAsia="Times New Roman"/>
          <w:sz w:val="24"/>
          <w:szCs w:val="24"/>
        </w:rPr>
        <w:sym w:font="Wingdings" w:char="F0E0"/>
      </w:r>
      <w:r w:rsidR="00C150A7" w:rsidRPr="00902765">
        <w:rPr>
          <w:rFonts w:eastAsia="Times New Roman"/>
          <w:sz w:val="24"/>
          <w:szCs w:val="24"/>
        </w:rPr>
        <w:t xml:space="preserve"> C, A </w:t>
      </w:r>
      <w:r w:rsidR="00C150A7" w:rsidRPr="00902765">
        <w:rPr>
          <w:rFonts w:eastAsia="Times New Roman"/>
          <w:sz w:val="24"/>
          <w:szCs w:val="24"/>
        </w:rPr>
        <w:sym w:font="Wingdings" w:char="F0E0"/>
      </w:r>
      <w:r w:rsidR="00C150A7" w:rsidRPr="00902765">
        <w:rPr>
          <w:rFonts w:eastAsia="Times New Roman"/>
          <w:sz w:val="24"/>
          <w:szCs w:val="24"/>
        </w:rPr>
        <w:t>T, A</w:t>
      </w:r>
      <w:r w:rsidR="00C150A7" w:rsidRPr="00902765">
        <w:rPr>
          <w:rFonts w:eastAsia="Times New Roman"/>
          <w:sz w:val="24"/>
          <w:szCs w:val="24"/>
        </w:rPr>
        <w:sym w:font="Wingdings" w:char="F0E0"/>
      </w:r>
      <w:r w:rsidR="00C150A7" w:rsidRPr="00902765">
        <w:rPr>
          <w:rFonts w:eastAsia="Times New Roman"/>
          <w:sz w:val="24"/>
          <w:szCs w:val="24"/>
        </w:rPr>
        <w:t>G, etc.).</w:t>
      </w:r>
      <w:bookmarkEnd w:id="2"/>
    </w:p>
    <w:p w14:paraId="5402B6E2" w14:textId="77777777" w:rsidR="00CD4570" w:rsidRPr="00902765" w:rsidRDefault="00CD4570" w:rsidP="00D47367">
      <w:pPr>
        <w:pStyle w:val="ListParagraph"/>
        <w:spacing w:after="0" w:line="240" w:lineRule="auto"/>
        <w:ind w:left="0"/>
        <w:jc w:val="both"/>
        <w:rPr>
          <w:rFonts w:eastAsia="Times New Roman"/>
          <w:sz w:val="24"/>
          <w:szCs w:val="24"/>
        </w:rPr>
      </w:pPr>
    </w:p>
    <w:p w14:paraId="2812FC8D" w14:textId="422EE667" w:rsidR="00C150A7" w:rsidRPr="00902765" w:rsidRDefault="00C150A7"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Apply the sample inference algorithm to determine the number of unique sequences in each sample and further inspect the dada-class object to arrive at the number of true unique variants per sample.</w:t>
      </w:r>
    </w:p>
    <w:p w14:paraId="12ADB3EA" w14:textId="77777777" w:rsidR="00CD4570" w:rsidRPr="00902765" w:rsidRDefault="00CD4570" w:rsidP="00D47367">
      <w:pPr>
        <w:pStyle w:val="ListParagraph"/>
        <w:spacing w:after="0" w:line="240" w:lineRule="auto"/>
        <w:ind w:left="0"/>
        <w:jc w:val="both"/>
        <w:rPr>
          <w:rFonts w:eastAsia="Times New Roman"/>
          <w:sz w:val="24"/>
          <w:szCs w:val="24"/>
        </w:rPr>
      </w:pPr>
    </w:p>
    <w:p w14:paraId="7B6F69D6" w14:textId="19739D79" w:rsidR="00C150A7" w:rsidRPr="00902765" w:rsidRDefault="00C150A7"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 xml:space="preserve">Merge </w:t>
      </w:r>
      <w:r w:rsidR="00CD4570" w:rsidRPr="00902765">
        <w:rPr>
          <w:rFonts w:eastAsia="Times New Roman"/>
          <w:sz w:val="24"/>
          <w:szCs w:val="24"/>
        </w:rPr>
        <w:t xml:space="preserve">the </w:t>
      </w:r>
      <w:r w:rsidRPr="00902765">
        <w:rPr>
          <w:rFonts w:eastAsia="Times New Roman"/>
          <w:sz w:val="24"/>
          <w:szCs w:val="24"/>
        </w:rPr>
        <w:t>forward and reverse reads to obtain complete and denoised sequences.</w:t>
      </w:r>
    </w:p>
    <w:p w14:paraId="6318F3F3" w14:textId="77777777" w:rsidR="00CD4570" w:rsidRPr="00902765" w:rsidRDefault="00CD4570" w:rsidP="00D47367">
      <w:pPr>
        <w:pStyle w:val="ListParagraph"/>
        <w:spacing w:after="0" w:line="240" w:lineRule="auto"/>
        <w:ind w:left="0"/>
        <w:jc w:val="both"/>
        <w:rPr>
          <w:rFonts w:eastAsia="Times New Roman"/>
          <w:sz w:val="24"/>
          <w:szCs w:val="24"/>
        </w:rPr>
      </w:pPr>
    </w:p>
    <w:p w14:paraId="7C3C34EB" w14:textId="125507CD" w:rsidR="00C150A7" w:rsidRPr="00902765" w:rsidRDefault="00C150A7"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Construct an amplicon sequence variant (ASV) table.</w:t>
      </w:r>
    </w:p>
    <w:p w14:paraId="2C4A01B4" w14:textId="77777777" w:rsidR="00CD4570" w:rsidRPr="00902765" w:rsidRDefault="00CD4570" w:rsidP="00D47367">
      <w:pPr>
        <w:pStyle w:val="ListParagraph"/>
        <w:spacing w:after="0" w:line="240" w:lineRule="auto"/>
        <w:ind w:left="0"/>
        <w:jc w:val="both"/>
        <w:rPr>
          <w:rFonts w:eastAsia="Times New Roman"/>
          <w:sz w:val="24"/>
          <w:szCs w:val="24"/>
        </w:rPr>
      </w:pPr>
    </w:p>
    <w:p w14:paraId="2CC71714" w14:textId="7860953B" w:rsidR="00C150A7" w:rsidRPr="00902765" w:rsidRDefault="00C150A7"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Remove chimeras from the ASV table. Chimeric sequences are a single sequence resulting from two more abundant parent sequences.</w:t>
      </w:r>
    </w:p>
    <w:p w14:paraId="276A3427" w14:textId="77777777" w:rsidR="00CD4570" w:rsidRPr="00902765" w:rsidRDefault="00CD4570" w:rsidP="00D47367">
      <w:pPr>
        <w:pStyle w:val="ListParagraph"/>
        <w:spacing w:after="0" w:line="240" w:lineRule="auto"/>
        <w:ind w:left="0"/>
        <w:jc w:val="both"/>
        <w:rPr>
          <w:rFonts w:eastAsia="Times New Roman"/>
          <w:sz w:val="24"/>
          <w:szCs w:val="24"/>
        </w:rPr>
      </w:pPr>
    </w:p>
    <w:p w14:paraId="3819D1CE" w14:textId="6D66B00D" w:rsidR="00CD4570" w:rsidRPr="00902765" w:rsidRDefault="00C150A7" w:rsidP="00D47367">
      <w:pPr>
        <w:pStyle w:val="ListParagraph"/>
        <w:numPr>
          <w:ilvl w:val="1"/>
          <w:numId w:val="5"/>
        </w:numPr>
        <w:spacing w:after="0" w:line="240" w:lineRule="auto"/>
        <w:ind w:left="0" w:firstLine="0"/>
        <w:jc w:val="both"/>
        <w:rPr>
          <w:rFonts w:eastAsia="Times New Roman"/>
          <w:sz w:val="24"/>
          <w:szCs w:val="24"/>
        </w:rPr>
      </w:pPr>
      <w:r w:rsidRPr="00902765">
        <w:rPr>
          <w:rFonts w:eastAsia="Times New Roman"/>
          <w:sz w:val="24"/>
          <w:szCs w:val="24"/>
        </w:rPr>
        <w:t>Track the total number of reads that have passed through the pipeline.</w:t>
      </w:r>
      <w:r w:rsidR="00F72617" w:rsidRPr="00902765">
        <w:rPr>
          <w:rFonts w:eastAsia="Times New Roman"/>
          <w:sz w:val="24"/>
          <w:szCs w:val="24"/>
        </w:rPr>
        <w:t xml:space="preserve"> </w:t>
      </w:r>
      <w:r w:rsidRPr="00902765">
        <w:rPr>
          <w:rFonts w:eastAsia="Times New Roman"/>
          <w:sz w:val="24"/>
          <w:szCs w:val="24"/>
        </w:rPr>
        <w:t xml:space="preserve">DADA2 will use SILVA to assign taxonomy to each unique sequence. </w:t>
      </w:r>
      <w:r w:rsidR="00CD4570" w:rsidRPr="00902765">
        <w:rPr>
          <w:rFonts w:eastAsia="Times New Roman"/>
          <w:sz w:val="24"/>
          <w:szCs w:val="24"/>
        </w:rPr>
        <w:t>The a</w:t>
      </w:r>
      <w:r w:rsidRPr="00902765">
        <w:rPr>
          <w:rFonts w:eastAsia="Times New Roman"/>
          <w:sz w:val="24"/>
          <w:szCs w:val="24"/>
        </w:rPr>
        <w:t>ccuracy can be analyzed by including a community of known bacteria sequences in the DADA2 pipeline and comparing DADA2 sequence variants to the expected composition of the community.</w:t>
      </w:r>
    </w:p>
    <w:p w14:paraId="23C9D246" w14:textId="77777777" w:rsidR="00CD4570" w:rsidRPr="00902765" w:rsidRDefault="00CD4570" w:rsidP="00D47367">
      <w:pPr>
        <w:pStyle w:val="ListParagraph"/>
        <w:ind w:left="0"/>
        <w:jc w:val="both"/>
        <w:rPr>
          <w:rFonts w:eastAsia="Times New Roman"/>
          <w:sz w:val="24"/>
          <w:szCs w:val="24"/>
        </w:rPr>
      </w:pPr>
    </w:p>
    <w:p w14:paraId="75715F7C" w14:textId="23114657" w:rsidR="00C150A7" w:rsidRPr="00902765" w:rsidRDefault="00F72617" w:rsidP="00D47367">
      <w:pPr>
        <w:pStyle w:val="ListParagraph"/>
        <w:spacing w:after="0" w:line="240" w:lineRule="auto"/>
        <w:ind w:left="0"/>
        <w:jc w:val="both"/>
        <w:rPr>
          <w:rFonts w:eastAsia="Times New Roman"/>
          <w:sz w:val="24"/>
          <w:szCs w:val="24"/>
        </w:rPr>
      </w:pPr>
      <w:r w:rsidRPr="00902765">
        <w:rPr>
          <w:rFonts w:eastAsia="Times New Roman"/>
          <w:sz w:val="24"/>
          <w:szCs w:val="24"/>
        </w:rPr>
        <w:t xml:space="preserve">NOTE: </w:t>
      </w:r>
      <w:r w:rsidR="00C150A7" w:rsidRPr="00902765">
        <w:rPr>
          <w:rFonts w:eastAsia="Times New Roman"/>
          <w:sz w:val="24"/>
          <w:szCs w:val="24"/>
        </w:rPr>
        <w:t>The DNA sequencing data is now cleaned and ready for analysis based on the specific scope and goals of the research project.</w:t>
      </w:r>
    </w:p>
    <w:bookmarkEnd w:id="1"/>
    <w:p w14:paraId="76585BE8" w14:textId="77777777" w:rsidR="00CD024E" w:rsidRPr="0070631B" w:rsidRDefault="00CD024E" w:rsidP="00D47367">
      <w:pPr>
        <w:spacing w:after="0" w:line="240" w:lineRule="auto"/>
        <w:ind w:left="720"/>
        <w:jc w:val="both"/>
        <w:rPr>
          <w:rFonts w:eastAsia="Times New Roman"/>
          <w:b/>
          <w:sz w:val="24"/>
          <w:szCs w:val="24"/>
          <w:highlight w:val="yellow"/>
        </w:rPr>
      </w:pPr>
    </w:p>
    <w:p w14:paraId="400F7D6B" w14:textId="77777777" w:rsidR="00DA0029" w:rsidRDefault="00DA0029" w:rsidP="00D47367">
      <w:pPr>
        <w:spacing w:after="0" w:line="240" w:lineRule="auto"/>
        <w:jc w:val="both"/>
        <w:rPr>
          <w:rFonts w:eastAsia="Times New Roman"/>
          <w:b/>
          <w:sz w:val="24"/>
          <w:szCs w:val="24"/>
        </w:rPr>
      </w:pPr>
      <w:r>
        <w:rPr>
          <w:rFonts w:eastAsia="Times New Roman"/>
          <w:b/>
          <w:sz w:val="24"/>
          <w:szCs w:val="24"/>
        </w:rPr>
        <w:t>REPRESENTATIVE RESULTS</w:t>
      </w:r>
      <w:r w:rsidR="00631427" w:rsidRPr="0070631B">
        <w:rPr>
          <w:rFonts w:eastAsia="Times New Roman"/>
          <w:b/>
          <w:sz w:val="24"/>
          <w:szCs w:val="24"/>
        </w:rPr>
        <w:t xml:space="preserve"> </w:t>
      </w:r>
    </w:p>
    <w:p w14:paraId="427C4EFD" w14:textId="1D059D7B" w:rsidR="004B698A" w:rsidRPr="0070631B" w:rsidRDefault="00631427" w:rsidP="00D47367">
      <w:pPr>
        <w:spacing w:after="0" w:line="240" w:lineRule="auto"/>
        <w:jc w:val="both"/>
        <w:rPr>
          <w:rFonts w:eastAsia="Times New Roman"/>
          <w:sz w:val="24"/>
          <w:szCs w:val="24"/>
        </w:rPr>
      </w:pPr>
      <w:r w:rsidRPr="0070631B">
        <w:rPr>
          <w:rFonts w:eastAsia="Times New Roman"/>
          <w:b/>
          <w:sz w:val="24"/>
          <w:szCs w:val="24"/>
        </w:rPr>
        <w:t>Population differences between mucosal and luminal microbiome of proximal gut</w:t>
      </w:r>
    </w:p>
    <w:p w14:paraId="4CBC2419" w14:textId="13382CAE" w:rsidR="004B698A" w:rsidRPr="0070631B" w:rsidRDefault="00631427" w:rsidP="00D47367">
      <w:pPr>
        <w:spacing w:after="0" w:line="240" w:lineRule="auto"/>
        <w:jc w:val="both"/>
        <w:rPr>
          <w:rFonts w:eastAsia="Times New Roman"/>
          <w:sz w:val="24"/>
          <w:szCs w:val="24"/>
        </w:rPr>
      </w:pPr>
      <w:r w:rsidRPr="0070631B">
        <w:rPr>
          <w:rFonts w:eastAsia="Times New Roman"/>
          <w:sz w:val="24"/>
          <w:szCs w:val="24"/>
        </w:rPr>
        <w:t>Previous studies have found differences in the microbial populations of luminal and mucosal colon specimens</w:t>
      </w:r>
      <w:r w:rsidRPr="0070631B">
        <w:rPr>
          <w:rFonts w:eastAsia="Times New Roman"/>
          <w:sz w:val="24"/>
          <w:szCs w:val="24"/>
          <w:vertAlign w:val="superscript"/>
        </w:rPr>
        <w:t>4-5, 1</w:t>
      </w:r>
      <w:r w:rsidR="00263B8C">
        <w:rPr>
          <w:rFonts w:eastAsia="Times New Roman"/>
          <w:sz w:val="24"/>
          <w:szCs w:val="24"/>
          <w:vertAlign w:val="superscript"/>
        </w:rPr>
        <w:t>8</w:t>
      </w:r>
      <w:r w:rsidRPr="0070631B">
        <w:rPr>
          <w:rFonts w:eastAsia="Times New Roman"/>
          <w:sz w:val="24"/>
          <w:szCs w:val="24"/>
        </w:rPr>
        <w:t xml:space="preserve">. </w:t>
      </w:r>
      <w:r w:rsidR="00F72617">
        <w:rPr>
          <w:rFonts w:eastAsia="Times New Roman"/>
          <w:sz w:val="24"/>
          <w:szCs w:val="24"/>
        </w:rPr>
        <w:t>The</w:t>
      </w:r>
      <w:r w:rsidR="00F72617" w:rsidRPr="0070631B">
        <w:rPr>
          <w:rFonts w:eastAsia="Times New Roman"/>
          <w:sz w:val="24"/>
          <w:szCs w:val="24"/>
        </w:rPr>
        <w:t xml:space="preserve"> </w:t>
      </w:r>
      <w:r w:rsidRPr="0070631B">
        <w:rPr>
          <w:rFonts w:eastAsia="Times New Roman"/>
          <w:sz w:val="24"/>
          <w:szCs w:val="24"/>
        </w:rPr>
        <w:t xml:space="preserve">preliminary results show that duodenal aspirate and biopsy </w:t>
      </w:r>
      <w:r w:rsidR="00C861D2" w:rsidRPr="0070631B">
        <w:rPr>
          <w:rFonts w:eastAsia="Times New Roman"/>
          <w:sz w:val="24"/>
          <w:szCs w:val="24"/>
        </w:rPr>
        <w:t xml:space="preserve">specimens </w:t>
      </w:r>
      <w:r w:rsidRPr="0070631B">
        <w:rPr>
          <w:rFonts w:eastAsia="Times New Roman"/>
          <w:sz w:val="24"/>
          <w:szCs w:val="24"/>
        </w:rPr>
        <w:t xml:space="preserve">can measure </w:t>
      </w:r>
      <w:r w:rsidR="00CD4570">
        <w:rPr>
          <w:rFonts w:eastAsia="Times New Roman"/>
          <w:sz w:val="24"/>
          <w:szCs w:val="24"/>
        </w:rPr>
        <w:t xml:space="preserve">for </w:t>
      </w:r>
      <w:r w:rsidRPr="0070631B">
        <w:rPr>
          <w:rFonts w:eastAsia="Times New Roman"/>
          <w:sz w:val="24"/>
          <w:szCs w:val="24"/>
        </w:rPr>
        <w:t>both luminal and mucosal microbiota in the proximal gut. Furthermore, we have found that these microbiome populations are distinct from one another</w:t>
      </w:r>
      <w:r w:rsidR="00C861D2" w:rsidRPr="0070631B">
        <w:rPr>
          <w:rFonts w:eastAsia="Times New Roman"/>
          <w:sz w:val="24"/>
          <w:szCs w:val="24"/>
        </w:rPr>
        <w:t xml:space="preserve"> (</w:t>
      </w:r>
      <w:r w:rsidR="00C861D2" w:rsidRPr="00DA0029">
        <w:rPr>
          <w:rFonts w:eastAsia="Times New Roman"/>
          <w:b/>
          <w:bCs/>
          <w:sz w:val="24"/>
          <w:szCs w:val="24"/>
        </w:rPr>
        <w:t>Figure 1</w:t>
      </w:r>
      <w:r w:rsidR="00C861D2" w:rsidRPr="0070631B">
        <w:rPr>
          <w:rFonts w:eastAsia="Times New Roman"/>
          <w:sz w:val="24"/>
          <w:szCs w:val="24"/>
        </w:rPr>
        <w:t>)</w:t>
      </w:r>
      <w:r w:rsidRPr="0070631B">
        <w:rPr>
          <w:rFonts w:eastAsia="Times New Roman"/>
          <w:sz w:val="24"/>
          <w:szCs w:val="24"/>
        </w:rPr>
        <w:t>.</w:t>
      </w:r>
      <w:r w:rsidR="00C861D2" w:rsidRPr="0070631B">
        <w:rPr>
          <w:rFonts w:eastAsia="Times New Roman"/>
          <w:sz w:val="24"/>
          <w:szCs w:val="24"/>
        </w:rPr>
        <w:t xml:space="preserve"> Additionally, bile acids in the aspirate correlate strongly with microbiome composition of the aspirate (</w:t>
      </w:r>
      <w:r w:rsidR="00C861D2" w:rsidRPr="00DA0029">
        <w:rPr>
          <w:rFonts w:eastAsia="Times New Roman"/>
          <w:b/>
          <w:bCs/>
          <w:sz w:val="24"/>
          <w:szCs w:val="24"/>
        </w:rPr>
        <w:t>Figure 2</w:t>
      </w:r>
      <w:r w:rsidR="00C861D2" w:rsidRPr="0070631B">
        <w:rPr>
          <w:rFonts w:eastAsia="Times New Roman"/>
          <w:sz w:val="24"/>
          <w:szCs w:val="24"/>
        </w:rPr>
        <w:t>).</w:t>
      </w:r>
    </w:p>
    <w:p w14:paraId="46F0B18E" w14:textId="77777777" w:rsidR="00DA0029" w:rsidRDefault="00DA0029" w:rsidP="00D47367">
      <w:pPr>
        <w:spacing w:after="0" w:line="240" w:lineRule="auto"/>
        <w:jc w:val="both"/>
        <w:rPr>
          <w:rFonts w:eastAsia="Times New Roman"/>
          <w:b/>
          <w:sz w:val="24"/>
          <w:szCs w:val="24"/>
        </w:rPr>
      </w:pPr>
    </w:p>
    <w:p w14:paraId="5503A737" w14:textId="588D61D1" w:rsidR="004B698A" w:rsidRPr="0070631B" w:rsidRDefault="00DA0029" w:rsidP="00D47367">
      <w:pPr>
        <w:spacing w:after="0" w:line="240" w:lineRule="auto"/>
        <w:jc w:val="both"/>
        <w:rPr>
          <w:rFonts w:eastAsia="Times New Roman"/>
          <w:b/>
          <w:sz w:val="24"/>
          <w:szCs w:val="24"/>
        </w:rPr>
      </w:pPr>
      <w:r>
        <w:rPr>
          <w:rFonts w:eastAsia="Times New Roman"/>
          <w:b/>
          <w:sz w:val="24"/>
          <w:szCs w:val="24"/>
        </w:rPr>
        <w:t>FIGURE LEGENDS</w:t>
      </w:r>
    </w:p>
    <w:p w14:paraId="0FCC0960" w14:textId="77777777" w:rsidR="00DA0029" w:rsidRDefault="00DA0029" w:rsidP="00D47367">
      <w:pPr>
        <w:spacing w:after="0" w:line="240" w:lineRule="auto"/>
        <w:jc w:val="both"/>
        <w:rPr>
          <w:rFonts w:eastAsia="Times New Roman"/>
          <w:b/>
          <w:bCs/>
          <w:sz w:val="24"/>
          <w:szCs w:val="24"/>
        </w:rPr>
      </w:pPr>
    </w:p>
    <w:p w14:paraId="2C22E495" w14:textId="79E16F02" w:rsidR="00780F2B" w:rsidRPr="00DA0029" w:rsidRDefault="00631427" w:rsidP="00D47367">
      <w:pPr>
        <w:spacing w:after="0" w:line="240" w:lineRule="auto"/>
        <w:jc w:val="both"/>
        <w:rPr>
          <w:rFonts w:eastAsia="Times New Roman"/>
          <w:b/>
          <w:bCs/>
          <w:sz w:val="24"/>
          <w:szCs w:val="24"/>
        </w:rPr>
      </w:pPr>
      <w:r w:rsidRPr="0070631B">
        <w:rPr>
          <w:rFonts w:eastAsia="Times New Roman"/>
          <w:b/>
          <w:bCs/>
          <w:sz w:val="24"/>
          <w:szCs w:val="24"/>
        </w:rPr>
        <w:t>Figure 1</w:t>
      </w:r>
      <w:r w:rsidR="00DA0029">
        <w:rPr>
          <w:rFonts w:eastAsia="Times New Roman"/>
          <w:b/>
          <w:bCs/>
          <w:sz w:val="24"/>
          <w:szCs w:val="24"/>
        </w:rPr>
        <w:t>:</w:t>
      </w:r>
      <w:r w:rsidRPr="0070631B">
        <w:rPr>
          <w:rFonts w:eastAsia="Times New Roman"/>
          <w:b/>
          <w:bCs/>
          <w:sz w:val="24"/>
          <w:szCs w:val="24"/>
        </w:rPr>
        <w:t xml:space="preserve"> </w:t>
      </w:r>
      <w:r w:rsidRPr="00DA0029">
        <w:rPr>
          <w:rFonts w:eastAsia="Times New Roman"/>
          <w:b/>
          <w:bCs/>
          <w:sz w:val="24"/>
          <w:szCs w:val="24"/>
        </w:rPr>
        <w:t>Microbial differences were identified based on sampling type and location in the proximal gut.</w:t>
      </w:r>
      <w:r w:rsidRPr="0070631B">
        <w:rPr>
          <w:rFonts w:eastAsia="Times New Roman"/>
          <w:sz w:val="24"/>
          <w:szCs w:val="24"/>
        </w:rPr>
        <w:t xml:space="preserve"> </w:t>
      </w:r>
      <w:r w:rsidRPr="0070631B">
        <w:rPr>
          <w:rFonts w:eastAsia="Times New Roman"/>
          <w:b/>
          <w:sz w:val="24"/>
          <w:szCs w:val="24"/>
        </w:rPr>
        <w:t>(</w:t>
      </w:r>
      <w:r w:rsidR="00CD4570">
        <w:rPr>
          <w:rFonts w:eastAsia="Times New Roman"/>
          <w:b/>
          <w:sz w:val="24"/>
          <w:szCs w:val="24"/>
        </w:rPr>
        <w:t>A</w:t>
      </w:r>
      <w:r w:rsidRPr="0070631B">
        <w:rPr>
          <w:rFonts w:eastAsia="Times New Roman"/>
          <w:b/>
          <w:sz w:val="24"/>
          <w:szCs w:val="24"/>
        </w:rPr>
        <w:t>)</w:t>
      </w:r>
      <w:r w:rsidR="00CC614A">
        <w:rPr>
          <w:rFonts w:eastAsia="Times New Roman"/>
          <w:sz w:val="24"/>
          <w:szCs w:val="24"/>
        </w:rPr>
        <w:t xml:space="preserve"> </w:t>
      </w:r>
      <w:r w:rsidRPr="0070631B">
        <w:rPr>
          <w:rFonts w:eastAsia="Times New Roman"/>
          <w:sz w:val="24"/>
          <w:szCs w:val="24"/>
        </w:rPr>
        <w:t xml:space="preserve">Principal coordinates (PC) analysis plot of microbial composition from aspirate samples representative of the luminal microbiome (red) compared to duodenal biopsy samples representative of the mucosal microbiome (blue). </w:t>
      </w:r>
      <w:r w:rsidRPr="0070631B">
        <w:rPr>
          <w:rFonts w:eastAsia="Times New Roman"/>
          <w:b/>
          <w:sz w:val="24"/>
          <w:szCs w:val="24"/>
        </w:rPr>
        <w:t>(</w:t>
      </w:r>
      <w:r w:rsidR="00CD4570">
        <w:rPr>
          <w:rFonts w:eastAsia="Times New Roman"/>
          <w:b/>
          <w:sz w:val="24"/>
          <w:szCs w:val="24"/>
        </w:rPr>
        <w:t>B</w:t>
      </w:r>
      <w:r w:rsidRPr="0070631B">
        <w:rPr>
          <w:rFonts w:eastAsia="Times New Roman"/>
          <w:b/>
          <w:sz w:val="24"/>
          <w:szCs w:val="24"/>
        </w:rPr>
        <w:t>)</w:t>
      </w:r>
      <w:r w:rsidRPr="0070631B">
        <w:rPr>
          <w:rFonts w:eastAsia="Times New Roman"/>
          <w:sz w:val="24"/>
          <w:szCs w:val="24"/>
        </w:rPr>
        <w:t xml:space="preserve"> Phylum summary for luminal versus mucosal populations. </w:t>
      </w:r>
      <w:r w:rsidRPr="0070631B">
        <w:rPr>
          <w:rFonts w:eastAsia="Times New Roman"/>
          <w:b/>
          <w:sz w:val="24"/>
          <w:szCs w:val="24"/>
        </w:rPr>
        <w:t>(</w:t>
      </w:r>
      <w:r w:rsidR="00CD4570">
        <w:rPr>
          <w:rFonts w:eastAsia="Times New Roman"/>
          <w:b/>
          <w:sz w:val="24"/>
          <w:szCs w:val="24"/>
        </w:rPr>
        <w:t>C</w:t>
      </w:r>
      <w:r w:rsidRPr="0070631B">
        <w:rPr>
          <w:rFonts w:eastAsia="Times New Roman"/>
          <w:b/>
          <w:sz w:val="24"/>
          <w:szCs w:val="24"/>
        </w:rPr>
        <w:t>)</w:t>
      </w:r>
      <w:r w:rsidRPr="0070631B">
        <w:rPr>
          <w:rFonts w:eastAsia="Times New Roman"/>
          <w:sz w:val="24"/>
          <w:szCs w:val="24"/>
        </w:rPr>
        <w:t xml:space="preserve"> Log2 fold changes (FC) show differential abundance by genus between </w:t>
      </w:r>
      <w:r w:rsidRPr="0070631B">
        <w:rPr>
          <w:rFonts w:eastAsia="Times New Roman"/>
          <w:sz w:val="24"/>
          <w:szCs w:val="24"/>
        </w:rPr>
        <w:lastRenderedPageBreak/>
        <w:t xml:space="preserve">duodenal aspirate </w:t>
      </w:r>
      <w:r w:rsidR="00465437" w:rsidRPr="0070631B">
        <w:rPr>
          <w:rFonts w:eastAsia="Times New Roman"/>
          <w:sz w:val="24"/>
          <w:szCs w:val="24"/>
        </w:rPr>
        <w:t xml:space="preserve">(red) </w:t>
      </w:r>
      <w:r w:rsidRPr="0070631B">
        <w:rPr>
          <w:rFonts w:eastAsia="Times New Roman"/>
          <w:sz w:val="24"/>
          <w:szCs w:val="24"/>
        </w:rPr>
        <w:t>and biopsy</w:t>
      </w:r>
      <w:r w:rsidR="00465437" w:rsidRPr="0070631B">
        <w:rPr>
          <w:rFonts w:eastAsia="Times New Roman"/>
          <w:sz w:val="24"/>
          <w:szCs w:val="24"/>
        </w:rPr>
        <w:t xml:space="preserve"> (blue)</w:t>
      </w:r>
      <w:r w:rsidRPr="0070631B">
        <w:rPr>
          <w:rFonts w:eastAsia="Times New Roman"/>
          <w:sz w:val="24"/>
          <w:szCs w:val="24"/>
        </w:rPr>
        <w:t xml:space="preserve"> specimens at q</w:t>
      </w:r>
      <w:r w:rsidR="00CD4570">
        <w:rPr>
          <w:rFonts w:eastAsia="Times New Roman"/>
          <w:sz w:val="24"/>
          <w:szCs w:val="24"/>
        </w:rPr>
        <w:t xml:space="preserve"> </w:t>
      </w:r>
      <w:r w:rsidRPr="0070631B">
        <w:rPr>
          <w:rFonts w:eastAsia="Times New Roman"/>
          <w:sz w:val="24"/>
          <w:szCs w:val="24"/>
        </w:rPr>
        <w:t>&lt;</w:t>
      </w:r>
      <w:r w:rsidR="00CD4570">
        <w:rPr>
          <w:rFonts w:eastAsia="Times New Roman"/>
          <w:sz w:val="24"/>
          <w:szCs w:val="24"/>
        </w:rPr>
        <w:t xml:space="preserve"> </w:t>
      </w:r>
      <w:r w:rsidRPr="0070631B">
        <w:rPr>
          <w:rFonts w:eastAsia="Times New Roman"/>
          <w:sz w:val="24"/>
          <w:szCs w:val="24"/>
        </w:rPr>
        <w:t xml:space="preserve">0.05. Dot size corresponds to genus abundance and color corresponds to phylum. </w:t>
      </w:r>
      <w:r w:rsidRPr="0070631B">
        <w:rPr>
          <w:rFonts w:eastAsia="Times New Roman"/>
          <w:b/>
          <w:sz w:val="24"/>
          <w:szCs w:val="24"/>
        </w:rPr>
        <w:t>(</w:t>
      </w:r>
      <w:r w:rsidR="00CD4570">
        <w:rPr>
          <w:rFonts w:eastAsia="Times New Roman"/>
          <w:b/>
          <w:sz w:val="24"/>
          <w:szCs w:val="24"/>
        </w:rPr>
        <w:t>D</w:t>
      </w:r>
      <w:r w:rsidRPr="0070631B">
        <w:rPr>
          <w:rFonts w:eastAsia="Times New Roman"/>
          <w:b/>
          <w:sz w:val="24"/>
          <w:szCs w:val="24"/>
        </w:rPr>
        <w:t>)</w:t>
      </w:r>
      <w:r w:rsidRPr="0070631B">
        <w:rPr>
          <w:rFonts w:eastAsia="Times New Roman"/>
          <w:sz w:val="24"/>
          <w:szCs w:val="24"/>
        </w:rPr>
        <w:t xml:space="preserve"> Genus level taxonomic summary by sampling type.</w:t>
      </w:r>
    </w:p>
    <w:p w14:paraId="72395556" w14:textId="77777777" w:rsidR="00DA0029" w:rsidRDefault="00DA0029" w:rsidP="00D47367">
      <w:pPr>
        <w:spacing w:after="0" w:line="240" w:lineRule="auto"/>
        <w:jc w:val="both"/>
        <w:rPr>
          <w:rFonts w:eastAsia="Times New Roman"/>
          <w:b/>
          <w:sz w:val="24"/>
          <w:szCs w:val="24"/>
        </w:rPr>
      </w:pPr>
    </w:p>
    <w:p w14:paraId="59BE2A1E" w14:textId="1BFE6197" w:rsidR="004B698A" w:rsidRDefault="00631427" w:rsidP="00D47367">
      <w:pPr>
        <w:spacing w:after="0" w:line="240" w:lineRule="auto"/>
        <w:contextualSpacing/>
        <w:jc w:val="both"/>
        <w:rPr>
          <w:rFonts w:eastAsia="Times New Roman"/>
          <w:sz w:val="24"/>
          <w:szCs w:val="24"/>
        </w:rPr>
      </w:pPr>
      <w:r w:rsidRPr="0070631B">
        <w:rPr>
          <w:rFonts w:eastAsia="Times New Roman"/>
          <w:b/>
          <w:sz w:val="24"/>
          <w:szCs w:val="24"/>
        </w:rPr>
        <w:t>Figure 2</w:t>
      </w:r>
      <w:r w:rsidR="00DA0029">
        <w:rPr>
          <w:rFonts w:eastAsia="Times New Roman"/>
          <w:b/>
          <w:sz w:val="24"/>
          <w:szCs w:val="24"/>
        </w:rPr>
        <w:t xml:space="preserve">: </w:t>
      </w:r>
      <w:r w:rsidRPr="00DA0029">
        <w:rPr>
          <w:rFonts w:eastAsia="Times New Roman"/>
          <w:b/>
          <w:bCs/>
          <w:sz w:val="24"/>
          <w:szCs w:val="24"/>
        </w:rPr>
        <w:t xml:space="preserve">Correlation </w:t>
      </w:r>
      <w:r w:rsidR="00CD4570">
        <w:rPr>
          <w:rFonts w:eastAsia="Times New Roman"/>
          <w:b/>
          <w:bCs/>
          <w:sz w:val="24"/>
          <w:szCs w:val="24"/>
        </w:rPr>
        <w:t>M</w:t>
      </w:r>
      <w:r w:rsidRPr="00DA0029">
        <w:rPr>
          <w:rFonts w:eastAsia="Times New Roman"/>
          <w:b/>
          <w:bCs/>
          <w:sz w:val="24"/>
          <w:szCs w:val="24"/>
        </w:rPr>
        <w:t xml:space="preserve">atrix of </w:t>
      </w:r>
      <w:r w:rsidR="00CD4570">
        <w:rPr>
          <w:rFonts w:eastAsia="Times New Roman"/>
          <w:b/>
          <w:bCs/>
          <w:sz w:val="24"/>
          <w:szCs w:val="24"/>
        </w:rPr>
        <w:t>b</w:t>
      </w:r>
      <w:r w:rsidRPr="00DA0029">
        <w:rPr>
          <w:rFonts w:eastAsia="Times New Roman"/>
          <w:b/>
          <w:bCs/>
          <w:sz w:val="24"/>
          <w:szCs w:val="24"/>
        </w:rPr>
        <w:t xml:space="preserve">ile acids and </w:t>
      </w:r>
      <w:r w:rsidR="00CD4570">
        <w:rPr>
          <w:rFonts w:eastAsia="Times New Roman"/>
          <w:b/>
          <w:bCs/>
          <w:sz w:val="24"/>
          <w:szCs w:val="24"/>
        </w:rPr>
        <w:t>m</w:t>
      </w:r>
      <w:r w:rsidRPr="00DA0029">
        <w:rPr>
          <w:rFonts w:eastAsia="Times New Roman"/>
          <w:b/>
          <w:bCs/>
          <w:sz w:val="24"/>
          <w:szCs w:val="24"/>
        </w:rPr>
        <w:t xml:space="preserve">icrobiota from </w:t>
      </w:r>
      <w:r w:rsidR="00CD4570">
        <w:rPr>
          <w:rFonts w:eastAsia="Times New Roman"/>
          <w:b/>
          <w:bCs/>
          <w:sz w:val="24"/>
          <w:szCs w:val="24"/>
        </w:rPr>
        <w:t>d</w:t>
      </w:r>
      <w:r w:rsidRPr="00DA0029">
        <w:rPr>
          <w:rFonts w:eastAsia="Times New Roman"/>
          <w:b/>
          <w:bCs/>
          <w:sz w:val="24"/>
          <w:szCs w:val="24"/>
        </w:rPr>
        <w:t xml:space="preserve">uodenal </w:t>
      </w:r>
      <w:r w:rsidR="00CD4570">
        <w:rPr>
          <w:rFonts w:eastAsia="Times New Roman"/>
          <w:b/>
          <w:bCs/>
          <w:sz w:val="24"/>
          <w:szCs w:val="24"/>
        </w:rPr>
        <w:t>a</w:t>
      </w:r>
      <w:r w:rsidRPr="00DA0029">
        <w:rPr>
          <w:rFonts w:eastAsia="Times New Roman"/>
          <w:b/>
          <w:bCs/>
          <w:sz w:val="24"/>
          <w:szCs w:val="24"/>
        </w:rPr>
        <w:t xml:space="preserve">spirate </w:t>
      </w:r>
      <w:r w:rsidR="00CD4570">
        <w:rPr>
          <w:rFonts w:eastAsia="Times New Roman"/>
          <w:b/>
          <w:bCs/>
          <w:sz w:val="24"/>
          <w:szCs w:val="24"/>
        </w:rPr>
        <w:t>s</w:t>
      </w:r>
      <w:r w:rsidRPr="00DA0029">
        <w:rPr>
          <w:rFonts w:eastAsia="Times New Roman"/>
          <w:b/>
          <w:bCs/>
          <w:sz w:val="24"/>
          <w:szCs w:val="24"/>
        </w:rPr>
        <w:t xml:space="preserve">amples </w:t>
      </w:r>
      <w:r w:rsidR="00CD4570">
        <w:rPr>
          <w:rFonts w:eastAsia="Times New Roman"/>
          <w:b/>
          <w:bCs/>
          <w:sz w:val="24"/>
          <w:szCs w:val="24"/>
        </w:rPr>
        <w:t>in which</w:t>
      </w:r>
      <w:r w:rsidRPr="00DA0029">
        <w:rPr>
          <w:rFonts w:eastAsia="Times New Roman"/>
          <w:b/>
          <w:bCs/>
          <w:sz w:val="24"/>
          <w:szCs w:val="24"/>
        </w:rPr>
        <w:t xml:space="preserve"> color represents correlation.</w:t>
      </w:r>
      <w:r w:rsidRPr="0070631B">
        <w:rPr>
          <w:rFonts w:eastAsia="Times New Roman"/>
          <w:sz w:val="24"/>
          <w:szCs w:val="24"/>
        </w:rPr>
        <w:t xml:space="preserve"> The matrix was created with the </w:t>
      </w:r>
      <w:proofErr w:type="spellStart"/>
      <w:r w:rsidRPr="0070631B">
        <w:rPr>
          <w:rFonts w:eastAsia="Times New Roman"/>
          <w:sz w:val="24"/>
          <w:szCs w:val="24"/>
        </w:rPr>
        <w:t>corrplot</w:t>
      </w:r>
      <w:proofErr w:type="spellEnd"/>
      <w:r w:rsidRPr="0070631B">
        <w:rPr>
          <w:rFonts w:eastAsia="Times New Roman"/>
          <w:sz w:val="24"/>
          <w:szCs w:val="24"/>
        </w:rPr>
        <w:t xml:space="preserve"> and </w:t>
      </w:r>
      <w:proofErr w:type="spellStart"/>
      <w:r w:rsidRPr="0070631B">
        <w:rPr>
          <w:rFonts w:eastAsia="Times New Roman"/>
          <w:sz w:val="24"/>
          <w:szCs w:val="24"/>
        </w:rPr>
        <w:t>Hmisc</w:t>
      </w:r>
      <w:proofErr w:type="spellEnd"/>
      <w:r w:rsidRPr="0070631B">
        <w:rPr>
          <w:rFonts w:eastAsia="Times New Roman"/>
          <w:sz w:val="24"/>
          <w:szCs w:val="24"/>
        </w:rPr>
        <w:t xml:space="preserve"> packages in R which use Spearman correlation and adjust for false discovery rate.</w:t>
      </w:r>
    </w:p>
    <w:p w14:paraId="08F29A1A" w14:textId="3FF448EC" w:rsidR="00F72617" w:rsidRDefault="00F72617" w:rsidP="00D47367">
      <w:pPr>
        <w:spacing w:after="0" w:line="240" w:lineRule="auto"/>
        <w:contextualSpacing/>
        <w:jc w:val="both"/>
        <w:rPr>
          <w:rFonts w:eastAsia="Times New Roman"/>
          <w:sz w:val="24"/>
          <w:szCs w:val="24"/>
        </w:rPr>
      </w:pPr>
    </w:p>
    <w:p w14:paraId="199E5FF3" w14:textId="103EEE10" w:rsidR="00F72617" w:rsidRPr="00D47367" w:rsidRDefault="00F72617" w:rsidP="00D47367">
      <w:pPr>
        <w:spacing w:after="0" w:line="240" w:lineRule="auto"/>
        <w:contextualSpacing/>
        <w:rPr>
          <w:b/>
          <w:bCs/>
        </w:rPr>
      </w:pPr>
      <w:r w:rsidRPr="00D47367">
        <w:rPr>
          <w:rFonts w:eastAsia="Times New Roman"/>
          <w:b/>
          <w:bCs/>
          <w:sz w:val="24"/>
          <w:szCs w:val="24"/>
        </w:rPr>
        <w:t xml:space="preserve">Supplemental File: </w:t>
      </w:r>
      <w:r w:rsidRPr="00D47367">
        <w:rPr>
          <w:b/>
          <w:bCs/>
        </w:rPr>
        <w:t>DADA2 code</w:t>
      </w:r>
    </w:p>
    <w:p w14:paraId="6F62B303" w14:textId="77777777" w:rsidR="004B698A" w:rsidRPr="0070631B" w:rsidRDefault="004B698A" w:rsidP="00D47367">
      <w:pPr>
        <w:spacing w:after="0" w:line="240" w:lineRule="auto"/>
        <w:contextualSpacing/>
        <w:jc w:val="both"/>
        <w:rPr>
          <w:rFonts w:eastAsia="Times New Roman"/>
          <w:sz w:val="24"/>
          <w:szCs w:val="24"/>
        </w:rPr>
      </w:pPr>
    </w:p>
    <w:p w14:paraId="387A6C6E" w14:textId="2D8CD0B3" w:rsidR="004B698A" w:rsidRPr="0070631B" w:rsidRDefault="00DA0029" w:rsidP="00D47367">
      <w:pPr>
        <w:spacing w:after="0" w:line="240" w:lineRule="auto"/>
        <w:contextualSpacing/>
        <w:jc w:val="both"/>
        <w:rPr>
          <w:rFonts w:eastAsia="Times New Roman"/>
          <w:b/>
          <w:sz w:val="24"/>
          <w:szCs w:val="24"/>
        </w:rPr>
      </w:pPr>
      <w:r>
        <w:rPr>
          <w:rFonts w:eastAsia="Times New Roman"/>
          <w:b/>
          <w:sz w:val="24"/>
          <w:szCs w:val="24"/>
        </w:rPr>
        <w:t>DISCUSSION</w:t>
      </w:r>
      <w:r w:rsidR="00631427" w:rsidRPr="0070631B">
        <w:rPr>
          <w:rFonts w:eastAsia="Times New Roman"/>
          <w:b/>
          <w:sz w:val="24"/>
          <w:szCs w:val="24"/>
        </w:rPr>
        <w:t xml:space="preserve"> </w:t>
      </w:r>
    </w:p>
    <w:p w14:paraId="4B9E98FE" w14:textId="3188D4A7" w:rsidR="004B698A" w:rsidRPr="0070631B" w:rsidRDefault="00631427" w:rsidP="00D47367">
      <w:pPr>
        <w:spacing w:after="0" w:line="240" w:lineRule="auto"/>
        <w:contextualSpacing/>
        <w:jc w:val="both"/>
        <w:rPr>
          <w:rFonts w:eastAsia="Times New Roman"/>
          <w:sz w:val="24"/>
          <w:szCs w:val="24"/>
        </w:rPr>
      </w:pPr>
      <w:r w:rsidRPr="0070631B">
        <w:rPr>
          <w:rFonts w:eastAsia="Times New Roman"/>
          <w:sz w:val="24"/>
          <w:szCs w:val="24"/>
        </w:rPr>
        <w:t>Studies of the microbiome are incredibly important</w:t>
      </w:r>
      <w:r w:rsidR="00CD4570">
        <w:rPr>
          <w:rFonts w:eastAsia="Times New Roman"/>
          <w:sz w:val="24"/>
          <w:szCs w:val="24"/>
        </w:rPr>
        <w:t>,</w:t>
      </w:r>
      <w:r w:rsidRPr="0070631B">
        <w:rPr>
          <w:rFonts w:eastAsia="Times New Roman"/>
          <w:sz w:val="24"/>
          <w:szCs w:val="24"/>
        </w:rPr>
        <w:t xml:space="preserve"> as this complex ecosystem has a critical role in energy homeostasis, immunologic response</w:t>
      </w:r>
      <w:r w:rsidR="00CD4570">
        <w:rPr>
          <w:rFonts w:eastAsia="Times New Roman"/>
          <w:sz w:val="24"/>
          <w:szCs w:val="24"/>
        </w:rPr>
        <w:t>s,</w:t>
      </w:r>
      <w:r w:rsidRPr="0070631B">
        <w:rPr>
          <w:rFonts w:eastAsia="Times New Roman"/>
          <w:sz w:val="24"/>
          <w:szCs w:val="24"/>
        </w:rPr>
        <w:t xml:space="preserve"> and metabolism</w:t>
      </w:r>
      <w:r w:rsidRPr="0070631B">
        <w:rPr>
          <w:rFonts w:eastAsia="Times New Roman"/>
          <w:sz w:val="24"/>
          <w:szCs w:val="24"/>
          <w:vertAlign w:val="superscript"/>
        </w:rPr>
        <w:t>1</w:t>
      </w:r>
      <w:r w:rsidR="00263B8C">
        <w:rPr>
          <w:rFonts w:eastAsia="Times New Roman"/>
          <w:sz w:val="24"/>
          <w:szCs w:val="24"/>
          <w:vertAlign w:val="superscript"/>
        </w:rPr>
        <w:t>9</w:t>
      </w:r>
      <w:r w:rsidRPr="0070631B">
        <w:rPr>
          <w:rFonts w:eastAsia="Times New Roman"/>
          <w:sz w:val="24"/>
          <w:szCs w:val="24"/>
        </w:rPr>
        <w:t>.</w:t>
      </w:r>
      <w:r w:rsidR="00CC614A">
        <w:rPr>
          <w:rFonts w:eastAsia="Times New Roman"/>
          <w:sz w:val="24"/>
          <w:szCs w:val="24"/>
        </w:rPr>
        <w:t xml:space="preserve"> </w:t>
      </w:r>
      <w:r w:rsidRPr="0070631B">
        <w:rPr>
          <w:rFonts w:eastAsia="Times New Roman"/>
          <w:sz w:val="24"/>
          <w:szCs w:val="24"/>
        </w:rPr>
        <w:t xml:space="preserve">Regional microbiome differences exist </w:t>
      </w:r>
      <w:r w:rsidR="00C861D2" w:rsidRPr="0070631B">
        <w:rPr>
          <w:rFonts w:eastAsia="Times New Roman"/>
          <w:sz w:val="24"/>
          <w:szCs w:val="24"/>
        </w:rPr>
        <w:t xml:space="preserve">that may reflect </w:t>
      </w:r>
      <w:r w:rsidR="00780F2B" w:rsidRPr="0070631B">
        <w:rPr>
          <w:rFonts w:eastAsia="Times New Roman"/>
          <w:sz w:val="24"/>
          <w:szCs w:val="24"/>
        </w:rPr>
        <w:t>the distinct physiological functions of various regions of the gastrointestinal tract,</w:t>
      </w:r>
      <w:r w:rsidR="00C861D2" w:rsidRPr="0070631B">
        <w:rPr>
          <w:rFonts w:eastAsia="Times New Roman"/>
          <w:sz w:val="24"/>
          <w:szCs w:val="24"/>
        </w:rPr>
        <w:t xml:space="preserve"> </w:t>
      </w:r>
      <w:r w:rsidR="00CD4570">
        <w:rPr>
          <w:rFonts w:eastAsia="Times New Roman"/>
          <w:sz w:val="24"/>
          <w:szCs w:val="24"/>
        </w:rPr>
        <w:t>which</w:t>
      </w:r>
      <w:r w:rsidRPr="0070631B">
        <w:rPr>
          <w:rFonts w:eastAsia="Times New Roman"/>
          <w:sz w:val="24"/>
          <w:szCs w:val="24"/>
        </w:rPr>
        <w:t xml:space="preserve"> may affect different disease states</w:t>
      </w:r>
      <w:r w:rsidR="00263B8C">
        <w:rPr>
          <w:rFonts w:eastAsia="Times New Roman"/>
          <w:sz w:val="24"/>
          <w:szCs w:val="24"/>
          <w:vertAlign w:val="superscript"/>
        </w:rPr>
        <w:t>20</w:t>
      </w:r>
      <w:r w:rsidRPr="0070631B">
        <w:rPr>
          <w:rFonts w:eastAsia="Times New Roman"/>
          <w:sz w:val="24"/>
          <w:szCs w:val="24"/>
        </w:rPr>
        <w:t>. The fecal microbiome is most commonly studied but more recently the small intestine microbiome has come under investigation</w:t>
      </w:r>
      <w:r w:rsidRPr="0070631B">
        <w:rPr>
          <w:rFonts w:eastAsia="Times New Roman"/>
          <w:sz w:val="24"/>
          <w:szCs w:val="24"/>
          <w:vertAlign w:val="superscript"/>
        </w:rPr>
        <w:t>6,</w:t>
      </w:r>
      <w:r w:rsidR="00DA2B86" w:rsidRPr="0070631B">
        <w:rPr>
          <w:rFonts w:eastAsia="Times New Roman"/>
          <w:sz w:val="24"/>
          <w:szCs w:val="24"/>
          <w:vertAlign w:val="superscript"/>
        </w:rPr>
        <w:t>2</w:t>
      </w:r>
      <w:r w:rsidR="00263B8C">
        <w:rPr>
          <w:rFonts w:eastAsia="Times New Roman"/>
          <w:sz w:val="24"/>
          <w:szCs w:val="24"/>
          <w:vertAlign w:val="superscript"/>
        </w:rPr>
        <w:t>1</w:t>
      </w:r>
      <w:r w:rsidRPr="0070631B">
        <w:rPr>
          <w:rFonts w:eastAsia="Times New Roman"/>
          <w:sz w:val="24"/>
          <w:szCs w:val="24"/>
        </w:rPr>
        <w:t>. There is a need to develop a uniform protocol for further study of the proximal gut microbiome and its effects on gastrointestinal health and disease states.</w:t>
      </w:r>
    </w:p>
    <w:p w14:paraId="1E602ABB" w14:textId="77777777" w:rsidR="004B698A" w:rsidRPr="0070631B" w:rsidRDefault="004B698A" w:rsidP="00D47367">
      <w:pPr>
        <w:spacing w:after="0" w:line="240" w:lineRule="auto"/>
        <w:jc w:val="both"/>
        <w:rPr>
          <w:rFonts w:eastAsia="Times New Roman"/>
          <w:sz w:val="24"/>
          <w:szCs w:val="24"/>
        </w:rPr>
      </w:pPr>
    </w:p>
    <w:p w14:paraId="6A541555" w14:textId="6952CF86" w:rsidR="004B698A" w:rsidRPr="0070631B" w:rsidRDefault="00D871F5" w:rsidP="00D47367">
      <w:pPr>
        <w:spacing w:after="0" w:line="240" w:lineRule="auto"/>
        <w:jc w:val="both"/>
        <w:rPr>
          <w:rFonts w:eastAsia="Times New Roman"/>
          <w:sz w:val="24"/>
          <w:szCs w:val="24"/>
        </w:rPr>
      </w:pPr>
      <w:r>
        <w:rPr>
          <w:rFonts w:eastAsia="Times New Roman"/>
          <w:sz w:val="24"/>
          <w:szCs w:val="24"/>
        </w:rPr>
        <w:t>This</w:t>
      </w:r>
      <w:r w:rsidR="00631427" w:rsidRPr="0070631B">
        <w:rPr>
          <w:rFonts w:eastAsia="Times New Roman"/>
          <w:sz w:val="24"/>
          <w:szCs w:val="24"/>
        </w:rPr>
        <w:t xml:space="preserve"> method allows </w:t>
      </w:r>
      <w:r>
        <w:rPr>
          <w:rFonts w:eastAsia="Times New Roman"/>
          <w:sz w:val="24"/>
          <w:szCs w:val="24"/>
        </w:rPr>
        <w:t>the</w:t>
      </w:r>
      <w:r w:rsidR="00631427" w:rsidRPr="0070631B">
        <w:rPr>
          <w:rFonts w:eastAsia="Times New Roman"/>
          <w:sz w:val="24"/>
          <w:szCs w:val="24"/>
        </w:rPr>
        <w:t xml:space="preserve"> investigation of both the luminal and mucosal components of the microbiome of the proximal gut. This has advantages over a nasogastric tube method </w:t>
      </w:r>
      <w:r>
        <w:rPr>
          <w:rFonts w:eastAsia="Times New Roman"/>
          <w:sz w:val="24"/>
          <w:szCs w:val="24"/>
        </w:rPr>
        <w:t>that</w:t>
      </w:r>
      <w:r w:rsidR="00631427" w:rsidRPr="0070631B">
        <w:rPr>
          <w:rFonts w:eastAsia="Times New Roman"/>
          <w:sz w:val="24"/>
          <w:szCs w:val="24"/>
        </w:rPr>
        <w:t xml:space="preserve"> cannot consistently procure post-pyloric samples and risks contamination by the oropharyngeal tract. Similarly, collecting biopsies via ileostomy risks exposure to the skin and external environment</w:t>
      </w:r>
      <w:r w:rsidR="00631427" w:rsidRPr="0070631B">
        <w:rPr>
          <w:rFonts w:eastAsia="Times New Roman"/>
          <w:sz w:val="24"/>
          <w:szCs w:val="24"/>
          <w:vertAlign w:val="superscript"/>
        </w:rPr>
        <w:t>7</w:t>
      </w:r>
      <w:r w:rsidR="00631427" w:rsidRPr="0070631B">
        <w:rPr>
          <w:rFonts w:eastAsia="Times New Roman"/>
          <w:sz w:val="24"/>
          <w:szCs w:val="24"/>
        </w:rPr>
        <w:t>. There are populations requiring routine endoscopies for screening and surveillance, such as cirrhotic patients or patients with gastric or esophageal cancer</w:t>
      </w:r>
      <w:r w:rsidR="00631427" w:rsidRPr="0070631B">
        <w:rPr>
          <w:rFonts w:eastAsia="Times New Roman"/>
          <w:sz w:val="24"/>
          <w:szCs w:val="24"/>
          <w:vertAlign w:val="superscript"/>
        </w:rPr>
        <w:t>2</w:t>
      </w:r>
      <w:r w:rsidR="00263B8C">
        <w:rPr>
          <w:rFonts w:eastAsia="Times New Roman"/>
          <w:sz w:val="24"/>
          <w:szCs w:val="24"/>
          <w:vertAlign w:val="superscript"/>
        </w:rPr>
        <w:t>2</w:t>
      </w:r>
      <w:r w:rsidR="00631427" w:rsidRPr="0070631B">
        <w:rPr>
          <w:rFonts w:eastAsia="Times New Roman"/>
          <w:sz w:val="24"/>
          <w:szCs w:val="24"/>
        </w:rPr>
        <w:t>. Obtaining samples from patients who are already undergoing screening removes the challenge of consenting patients to voluntarily tolerate an invasive sampling procurement, as described by Angelakis et al</w:t>
      </w:r>
      <w:r w:rsidR="00F72617">
        <w:rPr>
          <w:rFonts w:eastAsia="Times New Roman"/>
          <w:sz w:val="24"/>
          <w:szCs w:val="24"/>
        </w:rPr>
        <w:t>.</w:t>
      </w:r>
      <w:r w:rsidR="00631427" w:rsidRPr="0070631B">
        <w:rPr>
          <w:rFonts w:eastAsia="Times New Roman"/>
          <w:sz w:val="24"/>
          <w:szCs w:val="24"/>
          <w:vertAlign w:val="superscript"/>
        </w:rPr>
        <w:t>8</w:t>
      </w:r>
      <w:r w:rsidR="00631427" w:rsidRPr="0070631B">
        <w:rPr>
          <w:rFonts w:eastAsia="Times New Roman"/>
          <w:sz w:val="24"/>
          <w:szCs w:val="24"/>
        </w:rPr>
        <w:t xml:space="preserve">. </w:t>
      </w:r>
      <w:bookmarkStart w:id="3" w:name="_Hlk53395277"/>
      <w:r w:rsidR="00B9241D" w:rsidRPr="0070631B">
        <w:rPr>
          <w:rFonts w:eastAsia="Times New Roman"/>
          <w:sz w:val="24"/>
          <w:szCs w:val="24"/>
        </w:rPr>
        <w:t>However, this may create a potential limitation for studies aiming to investigate gastrointestinal physiology that does not require regular screening</w:t>
      </w:r>
      <w:bookmarkEnd w:id="3"/>
      <w:r w:rsidR="00B9241D" w:rsidRPr="0070631B">
        <w:rPr>
          <w:rFonts w:eastAsia="Times New Roman"/>
          <w:sz w:val="24"/>
          <w:szCs w:val="24"/>
        </w:rPr>
        <w:t xml:space="preserve">. </w:t>
      </w:r>
      <w:r w:rsidR="00631427" w:rsidRPr="0070631B">
        <w:rPr>
          <w:rFonts w:eastAsia="Times New Roman"/>
          <w:sz w:val="24"/>
          <w:szCs w:val="24"/>
        </w:rPr>
        <w:t>Collecting samples by esophagogastroduodenoscopy allows the investigator to precisely analyze microbiome composition from the second and third portions of the duodenum, depending on the area of interest. Forceps are fed through the endoscope port and therefore avoid contamination by the oral cavity microbiome. Additionally, biopsies are associated with very minimal risk and aspiration is routinely used during endoscopy to clear and better visualize the mucosa. This method is valuable in that it is easy to simultaneously collect duodenal aspirates and biopsies for luminal and mucosal proximal gut microbiome analysis.</w:t>
      </w:r>
    </w:p>
    <w:p w14:paraId="36C35012" w14:textId="6CA92FDF" w:rsidR="004B698A" w:rsidRPr="0070631B" w:rsidRDefault="004B698A" w:rsidP="00D47367">
      <w:pPr>
        <w:spacing w:after="0" w:line="240" w:lineRule="auto"/>
        <w:jc w:val="both"/>
        <w:rPr>
          <w:rFonts w:eastAsia="Times New Roman"/>
          <w:sz w:val="24"/>
          <w:szCs w:val="24"/>
        </w:rPr>
      </w:pPr>
    </w:p>
    <w:p w14:paraId="4EF28F3F" w14:textId="3859C4BE" w:rsidR="004E1FDD" w:rsidRPr="0070631B" w:rsidRDefault="004E1FDD" w:rsidP="00D47367">
      <w:pPr>
        <w:spacing w:after="0" w:line="240" w:lineRule="auto"/>
        <w:jc w:val="both"/>
        <w:rPr>
          <w:rFonts w:eastAsia="Times New Roman"/>
          <w:sz w:val="24"/>
          <w:szCs w:val="24"/>
        </w:rPr>
      </w:pPr>
      <w:r w:rsidRPr="0070631B">
        <w:rPr>
          <w:rFonts w:eastAsia="Times New Roman"/>
          <w:sz w:val="24"/>
          <w:szCs w:val="24"/>
        </w:rPr>
        <w:t>Modifications can be made to the specimen procurement protocol based on reagent availability and ease of use. In this protocol, a blunt 18</w:t>
      </w:r>
      <w:r w:rsidR="00D871F5">
        <w:rPr>
          <w:rFonts w:eastAsia="Times New Roman"/>
          <w:sz w:val="24"/>
          <w:szCs w:val="24"/>
        </w:rPr>
        <w:t xml:space="preserve"> G</w:t>
      </w:r>
      <w:r w:rsidRPr="0070631B">
        <w:rPr>
          <w:rFonts w:eastAsia="Times New Roman"/>
          <w:sz w:val="24"/>
          <w:szCs w:val="24"/>
        </w:rPr>
        <w:t xml:space="preserve">auge syringe needle was used to remove biopsies from the </w:t>
      </w:r>
      <w:proofErr w:type="gramStart"/>
      <w:r w:rsidRPr="0070631B">
        <w:rPr>
          <w:rFonts w:eastAsia="Times New Roman"/>
          <w:sz w:val="24"/>
          <w:szCs w:val="24"/>
        </w:rPr>
        <w:t>forceps</w:t>
      </w:r>
      <w:proofErr w:type="gramEnd"/>
      <w:r w:rsidR="00D871F5">
        <w:rPr>
          <w:rFonts w:eastAsia="Times New Roman"/>
          <w:sz w:val="24"/>
          <w:szCs w:val="24"/>
        </w:rPr>
        <w:t xml:space="preserve"> </w:t>
      </w:r>
      <w:r w:rsidRPr="0070631B">
        <w:rPr>
          <w:rFonts w:eastAsia="Times New Roman"/>
          <w:sz w:val="24"/>
          <w:szCs w:val="24"/>
        </w:rPr>
        <w:t xml:space="preserve">but this could easily be substituted with a smaller or larger blunt syringe needle or dressing forceps. Using forceps may allow the sample procurer to transport specimens directly from endoscope forceps to cryovials and </w:t>
      </w:r>
      <w:r w:rsidR="00D871F5">
        <w:rPr>
          <w:rFonts w:eastAsia="Times New Roman"/>
          <w:sz w:val="24"/>
          <w:szCs w:val="24"/>
        </w:rPr>
        <w:t>to allow the specimens to be frozen more quickly</w:t>
      </w:r>
      <w:r w:rsidRPr="0070631B">
        <w:rPr>
          <w:rFonts w:eastAsia="Times New Roman"/>
          <w:sz w:val="24"/>
          <w:szCs w:val="24"/>
        </w:rPr>
        <w:t>. Biopsies can be placed into cryovials with freezing medium and placed into a freezing container with isopropanol</w:t>
      </w:r>
      <w:r w:rsidR="00D871F5">
        <w:rPr>
          <w:rFonts w:eastAsia="Times New Roman"/>
          <w:sz w:val="24"/>
          <w:szCs w:val="24"/>
        </w:rPr>
        <w:t xml:space="preserve"> to</w:t>
      </w:r>
      <w:r w:rsidRPr="0070631B">
        <w:rPr>
          <w:rFonts w:eastAsia="Times New Roman"/>
          <w:sz w:val="24"/>
          <w:szCs w:val="24"/>
        </w:rPr>
        <w:t xml:space="preserve"> freeze</w:t>
      </w:r>
      <w:r w:rsidR="00D871F5">
        <w:rPr>
          <w:rFonts w:eastAsia="Times New Roman"/>
          <w:sz w:val="24"/>
          <w:szCs w:val="24"/>
        </w:rPr>
        <w:t xml:space="preserve"> the</w:t>
      </w:r>
      <w:r w:rsidRPr="0070631B">
        <w:rPr>
          <w:rFonts w:eastAsia="Times New Roman"/>
          <w:sz w:val="24"/>
          <w:szCs w:val="24"/>
        </w:rPr>
        <w:t xml:space="preserve"> tissue samples at a constant, gradual rate until they reach </w:t>
      </w:r>
      <w:r w:rsidR="00D871F5">
        <w:rPr>
          <w:rFonts w:eastAsia="Times New Roman"/>
          <w:sz w:val="24"/>
          <w:szCs w:val="24"/>
        </w:rPr>
        <w:t>-80 °C</w:t>
      </w:r>
      <w:r w:rsidRPr="0070631B">
        <w:rPr>
          <w:rFonts w:eastAsia="Times New Roman"/>
          <w:sz w:val="24"/>
          <w:szCs w:val="24"/>
        </w:rPr>
        <w:t xml:space="preserve">. </w:t>
      </w:r>
      <w:r w:rsidRPr="0070631B">
        <w:rPr>
          <w:rFonts w:eastAsia="Times New Roman"/>
          <w:sz w:val="24"/>
          <w:szCs w:val="24"/>
        </w:rPr>
        <w:lastRenderedPageBreak/>
        <w:t xml:space="preserve">Liquid nitrogen tissue storage could also be valuable depending on the anticipated time from tissue collection to DNA extraction and analysis. Biopsies should not be fixed in formalin, which can disrupt duodenal microbiota and cause issues with DNA extraction and amplification. If the patient is hesitant to donate tissue biopsies, aspirate alone can provide useful information, however the mucosal microbiome cannot be evaluated in this case. Aspirates can also be analyzed by a metabolomics approach </w:t>
      </w:r>
      <w:r w:rsidR="008D4612" w:rsidRPr="0070631B">
        <w:rPr>
          <w:rFonts w:eastAsia="Times New Roman"/>
          <w:sz w:val="24"/>
          <w:szCs w:val="24"/>
        </w:rPr>
        <w:t xml:space="preserve">or by correlating luminal </w:t>
      </w:r>
      <w:r w:rsidR="00525F54" w:rsidRPr="0070631B">
        <w:rPr>
          <w:rFonts w:eastAsia="Times New Roman"/>
          <w:sz w:val="24"/>
          <w:szCs w:val="24"/>
        </w:rPr>
        <w:t>samples</w:t>
      </w:r>
      <w:r w:rsidR="008D4612" w:rsidRPr="0070631B">
        <w:rPr>
          <w:rFonts w:eastAsia="Times New Roman"/>
          <w:sz w:val="24"/>
          <w:szCs w:val="24"/>
        </w:rPr>
        <w:t xml:space="preserve"> with bile acid concentrations. </w:t>
      </w:r>
      <w:r w:rsidRPr="0070631B">
        <w:rPr>
          <w:rFonts w:eastAsia="Times New Roman"/>
          <w:sz w:val="24"/>
          <w:szCs w:val="24"/>
        </w:rPr>
        <w:t>Further metabolomics analysis can be added by including a blood sample collection from</w:t>
      </w:r>
      <w:r w:rsidR="00D871F5">
        <w:rPr>
          <w:rFonts w:eastAsia="Times New Roman"/>
          <w:sz w:val="24"/>
          <w:szCs w:val="24"/>
        </w:rPr>
        <w:t xml:space="preserve"> a</w:t>
      </w:r>
      <w:r w:rsidRPr="0070631B">
        <w:rPr>
          <w:rFonts w:eastAsia="Times New Roman"/>
          <w:sz w:val="24"/>
          <w:szCs w:val="24"/>
        </w:rPr>
        <w:t xml:space="preserve"> patient</w:t>
      </w:r>
      <w:r w:rsidR="00D871F5">
        <w:rPr>
          <w:rFonts w:eastAsia="Times New Roman"/>
          <w:sz w:val="24"/>
          <w:szCs w:val="24"/>
        </w:rPr>
        <w:t>’</w:t>
      </w:r>
      <w:r w:rsidRPr="0070631B">
        <w:rPr>
          <w:rFonts w:eastAsia="Times New Roman"/>
          <w:sz w:val="24"/>
          <w:szCs w:val="24"/>
        </w:rPr>
        <w:t>s pre-procedure.</w:t>
      </w:r>
    </w:p>
    <w:p w14:paraId="1A7F3949" w14:textId="77777777" w:rsidR="004E1FDD" w:rsidRPr="0070631B" w:rsidRDefault="004E1FDD" w:rsidP="00D47367">
      <w:pPr>
        <w:spacing w:after="0" w:line="240" w:lineRule="auto"/>
        <w:jc w:val="both"/>
        <w:rPr>
          <w:rFonts w:eastAsia="Times New Roman"/>
          <w:sz w:val="24"/>
          <w:szCs w:val="24"/>
        </w:rPr>
      </w:pPr>
    </w:p>
    <w:p w14:paraId="32001259" w14:textId="24981F8F" w:rsidR="004E1FDD" w:rsidRPr="0070631B" w:rsidRDefault="004E1FDD" w:rsidP="00D47367">
      <w:pPr>
        <w:spacing w:after="0" w:line="240" w:lineRule="auto"/>
        <w:jc w:val="both"/>
        <w:rPr>
          <w:rFonts w:eastAsia="Times New Roman"/>
          <w:sz w:val="24"/>
          <w:szCs w:val="24"/>
        </w:rPr>
      </w:pPr>
      <w:r w:rsidRPr="0070631B">
        <w:rPr>
          <w:rFonts w:eastAsia="Times New Roman"/>
          <w:sz w:val="24"/>
          <w:szCs w:val="24"/>
        </w:rPr>
        <w:t>There are several bioinformatics pipelines that can be used in place of DADA2 that have tradeoffs in sensitivity, specificity</w:t>
      </w:r>
      <w:r w:rsidR="00D871F5">
        <w:rPr>
          <w:rFonts w:eastAsia="Times New Roman"/>
          <w:sz w:val="24"/>
          <w:szCs w:val="24"/>
        </w:rPr>
        <w:t>,</w:t>
      </w:r>
      <w:r w:rsidRPr="0070631B">
        <w:rPr>
          <w:rFonts w:eastAsia="Times New Roman"/>
          <w:sz w:val="24"/>
          <w:szCs w:val="24"/>
        </w:rPr>
        <w:t xml:space="preserve"> and degree of consensus between outputs</w:t>
      </w:r>
      <w:r w:rsidRPr="0070631B">
        <w:rPr>
          <w:rFonts w:eastAsia="Times New Roman"/>
          <w:sz w:val="24"/>
          <w:szCs w:val="24"/>
          <w:vertAlign w:val="superscript"/>
        </w:rPr>
        <w:t>2</w:t>
      </w:r>
      <w:r w:rsidR="00263B8C">
        <w:rPr>
          <w:rFonts w:eastAsia="Times New Roman"/>
          <w:sz w:val="24"/>
          <w:szCs w:val="24"/>
          <w:vertAlign w:val="superscript"/>
        </w:rPr>
        <w:t>3</w:t>
      </w:r>
      <w:r w:rsidRPr="0070631B">
        <w:rPr>
          <w:rFonts w:eastAsia="Times New Roman"/>
          <w:sz w:val="24"/>
          <w:szCs w:val="24"/>
        </w:rPr>
        <w:t>. Once samples have been sequenced and denoised, the possibilities for analysis are very broad. Briefly, sequencing data can be analyzed for alpha and beta diversity, coupled with a metabolomics approach to identify microbial byproducts. QIIME 2 is a useful microbiome analysis package that can generate a variety of different data manipulations from raw DNA sequencing inputs</w:t>
      </w:r>
      <w:r w:rsidRPr="0070631B">
        <w:rPr>
          <w:rFonts w:eastAsia="Times New Roman"/>
          <w:sz w:val="24"/>
          <w:szCs w:val="24"/>
          <w:vertAlign w:val="superscript"/>
        </w:rPr>
        <w:t>2</w:t>
      </w:r>
      <w:r w:rsidR="00263B8C">
        <w:rPr>
          <w:rFonts w:eastAsia="Times New Roman"/>
          <w:sz w:val="24"/>
          <w:szCs w:val="24"/>
          <w:vertAlign w:val="superscript"/>
        </w:rPr>
        <w:t>4</w:t>
      </w:r>
      <w:r w:rsidRPr="0070631B">
        <w:rPr>
          <w:rFonts w:eastAsia="Times New Roman"/>
          <w:sz w:val="24"/>
          <w:szCs w:val="24"/>
        </w:rPr>
        <w:t xml:space="preserve">. This allows flexibility in comparison of the microbial profiles in different disease states. The </w:t>
      </w:r>
      <w:r w:rsidR="00EE1128" w:rsidRPr="0070631B">
        <w:rPr>
          <w:rFonts w:eastAsia="Times New Roman"/>
          <w:sz w:val="24"/>
          <w:szCs w:val="24"/>
        </w:rPr>
        <w:t xml:space="preserve">DNA extraction and sequencing </w:t>
      </w:r>
      <w:r w:rsidRPr="0070631B">
        <w:rPr>
          <w:rFonts w:eastAsia="Times New Roman"/>
          <w:sz w:val="24"/>
          <w:szCs w:val="24"/>
        </w:rPr>
        <w:t xml:space="preserve">protocols detailed in this manuscript can also be used to study oral, fecal and tissue-based </w:t>
      </w:r>
      <w:sdt>
        <w:sdtPr>
          <w:rPr>
            <w:sz w:val="24"/>
            <w:szCs w:val="24"/>
          </w:rPr>
          <w:tag w:val="goog_rdk_3"/>
          <w:id w:val="-1762512295"/>
        </w:sdtPr>
        <w:sdtEndPr/>
        <w:sdtContent/>
      </w:sdt>
      <w:r w:rsidRPr="0070631B">
        <w:rPr>
          <w:rFonts w:eastAsia="Times New Roman"/>
          <w:sz w:val="24"/>
          <w:szCs w:val="24"/>
        </w:rPr>
        <w:t>microbiomes.</w:t>
      </w:r>
    </w:p>
    <w:p w14:paraId="319E668A" w14:textId="49409DCD" w:rsidR="004E1FDD" w:rsidRPr="0070631B" w:rsidRDefault="004E1FDD" w:rsidP="00D47367">
      <w:pPr>
        <w:spacing w:after="0" w:line="240" w:lineRule="auto"/>
        <w:jc w:val="both"/>
        <w:rPr>
          <w:rFonts w:eastAsia="Times New Roman"/>
          <w:sz w:val="24"/>
          <w:szCs w:val="24"/>
        </w:rPr>
      </w:pPr>
      <w:r w:rsidRPr="0070631B">
        <w:rPr>
          <w:rFonts w:eastAsia="Times New Roman"/>
          <w:sz w:val="24"/>
          <w:szCs w:val="24"/>
        </w:rPr>
        <w:t xml:space="preserve"> </w:t>
      </w:r>
    </w:p>
    <w:p w14:paraId="13E577BB" w14:textId="2B27B0C6" w:rsidR="00B9241D" w:rsidRPr="0070631B" w:rsidRDefault="004E1FDD" w:rsidP="00D47367">
      <w:pPr>
        <w:spacing w:after="0" w:line="240" w:lineRule="auto"/>
        <w:jc w:val="both"/>
        <w:rPr>
          <w:rFonts w:eastAsia="Times New Roman"/>
          <w:sz w:val="24"/>
          <w:szCs w:val="24"/>
        </w:rPr>
      </w:pPr>
      <w:r w:rsidRPr="0070631B">
        <w:rPr>
          <w:rFonts w:eastAsia="Times New Roman"/>
          <w:sz w:val="24"/>
          <w:szCs w:val="24"/>
        </w:rPr>
        <w:t>There are potential limitations to this method that should be considered when devising a protocol to study the duodenal microbiome. There is little correlation between duodenal and fecal microbiota, so results may not be generalizable to other regions of the gastrointestinal tract</w:t>
      </w:r>
      <w:r w:rsidRPr="0070631B">
        <w:rPr>
          <w:rFonts w:eastAsia="Times New Roman"/>
          <w:sz w:val="24"/>
          <w:szCs w:val="24"/>
          <w:vertAlign w:val="superscript"/>
        </w:rPr>
        <w:t>2</w:t>
      </w:r>
      <w:r w:rsidR="00263B8C">
        <w:rPr>
          <w:rFonts w:eastAsia="Times New Roman"/>
          <w:sz w:val="24"/>
          <w:szCs w:val="24"/>
          <w:vertAlign w:val="superscript"/>
        </w:rPr>
        <w:t>5</w:t>
      </w:r>
      <w:r w:rsidRPr="0070631B">
        <w:rPr>
          <w:rFonts w:eastAsia="Times New Roman"/>
          <w:sz w:val="24"/>
          <w:szCs w:val="24"/>
        </w:rPr>
        <w:t>. Studies comparing duodenal to oral and fecal microbiota in several disease states have found the communities to be unique as well</w:t>
      </w:r>
      <w:r w:rsidRPr="0070631B">
        <w:rPr>
          <w:rFonts w:eastAsia="Times New Roman"/>
          <w:sz w:val="24"/>
          <w:szCs w:val="24"/>
          <w:vertAlign w:val="superscript"/>
        </w:rPr>
        <w:t>2</w:t>
      </w:r>
      <w:r w:rsidR="00263B8C">
        <w:rPr>
          <w:rFonts w:eastAsia="Times New Roman"/>
          <w:sz w:val="24"/>
          <w:szCs w:val="24"/>
          <w:vertAlign w:val="superscript"/>
        </w:rPr>
        <w:t>6</w:t>
      </w:r>
      <w:r w:rsidRPr="0070631B">
        <w:rPr>
          <w:rFonts w:eastAsia="Times New Roman"/>
          <w:sz w:val="24"/>
          <w:szCs w:val="24"/>
          <w:vertAlign w:val="superscript"/>
        </w:rPr>
        <w:t>,2</w:t>
      </w:r>
      <w:r w:rsidR="00263B8C">
        <w:rPr>
          <w:rFonts w:eastAsia="Times New Roman"/>
          <w:sz w:val="24"/>
          <w:szCs w:val="24"/>
          <w:vertAlign w:val="superscript"/>
        </w:rPr>
        <w:t>7</w:t>
      </w:r>
      <w:r w:rsidRPr="0070631B">
        <w:rPr>
          <w:rFonts w:eastAsia="Times New Roman"/>
          <w:sz w:val="24"/>
          <w:szCs w:val="24"/>
        </w:rPr>
        <w:t xml:space="preserve">. Concomitant medications should be reviewed at the time of endoscopy. </w:t>
      </w:r>
      <w:r w:rsidR="00631427" w:rsidRPr="0070631B">
        <w:rPr>
          <w:rFonts w:eastAsia="Times New Roman"/>
          <w:sz w:val="24"/>
          <w:szCs w:val="24"/>
        </w:rPr>
        <w:t>It is critical to ensure that participants have not used antibiotics in the past month, which are known to affect microbial diversity in the gut</w:t>
      </w:r>
      <w:r w:rsidR="00631427" w:rsidRPr="0070631B">
        <w:rPr>
          <w:rFonts w:eastAsia="Times New Roman"/>
          <w:sz w:val="24"/>
          <w:szCs w:val="24"/>
          <w:vertAlign w:val="superscript"/>
        </w:rPr>
        <w:t>2</w:t>
      </w:r>
      <w:r w:rsidR="00263B8C">
        <w:rPr>
          <w:rFonts w:eastAsia="Times New Roman"/>
          <w:sz w:val="24"/>
          <w:szCs w:val="24"/>
          <w:vertAlign w:val="superscript"/>
        </w:rPr>
        <w:t>8</w:t>
      </w:r>
      <w:r w:rsidR="000F73FB" w:rsidRPr="0070631B">
        <w:rPr>
          <w:rFonts w:eastAsia="Times New Roman"/>
          <w:sz w:val="24"/>
          <w:szCs w:val="24"/>
          <w:vertAlign w:val="superscript"/>
        </w:rPr>
        <w:t>,2</w:t>
      </w:r>
      <w:r w:rsidR="00263B8C">
        <w:rPr>
          <w:rFonts w:eastAsia="Times New Roman"/>
          <w:sz w:val="24"/>
          <w:szCs w:val="24"/>
          <w:vertAlign w:val="superscript"/>
        </w:rPr>
        <w:t>9</w:t>
      </w:r>
      <w:r w:rsidR="00631427" w:rsidRPr="0070631B">
        <w:rPr>
          <w:rFonts w:eastAsia="Times New Roman"/>
          <w:sz w:val="24"/>
          <w:szCs w:val="24"/>
        </w:rPr>
        <w:t xml:space="preserve">. </w:t>
      </w:r>
      <w:r w:rsidRPr="0070631B">
        <w:rPr>
          <w:rFonts w:eastAsia="Times New Roman"/>
          <w:sz w:val="24"/>
          <w:szCs w:val="24"/>
        </w:rPr>
        <w:t>Cholestyramine or proton pump inhibitor usage could potentially affect microbial diversity and confound results</w:t>
      </w:r>
      <w:r w:rsidR="00263B8C">
        <w:rPr>
          <w:rFonts w:eastAsia="Times New Roman"/>
          <w:sz w:val="24"/>
          <w:szCs w:val="24"/>
          <w:vertAlign w:val="superscript"/>
        </w:rPr>
        <w:t>30,31</w:t>
      </w:r>
      <w:r w:rsidRPr="0070631B">
        <w:rPr>
          <w:rFonts w:eastAsia="Times New Roman"/>
          <w:sz w:val="24"/>
          <w:szCs w:val="24"/>
        </w:rPr>
        <w:t>. Additionally, flexible endoscopes cannot be heat sterilized and it is possible for biofilms to form, potentially confounding microbial analysis of duodenal biopsies. Microbiological inspection of endoscopes should be considered when reviewing facility endoscope sterilization protocols.</w:t>
      </w:r>
    </w:p>
    <w:p w14:paraId="5E56FE94" w14:textId="77777777" w:rsidR="004B698A" w:rsidRPr="0070631B" w:rsidRDefault="004B698A" w:rsidP="00D47367">
      <w:pPr>
        <w:spacing w:after="0" w:line="240" w:lineRule="auto"/>
        <w:jc w:val="both"/>
        <w:rPr>
          <w:rFonts w:eastAsia="Times New Roman"/>
          <w:sz w:val="24"/>
          <w:szCs w:val="24"/>
        </w:rPr>
      </w:pPr>
    </w:p>
    <w:p w14:paraId="4A716EB9" w14:textId="4463470E" w:rsidR="004B698A" w:rsidRPr="0070631B" w:rsidRDefault="004E1FDD" w:rsidP="00D47367">
      <w:pPr>
        <w:spacing w:after="0" w:line="240" w:lineRule="auto"/>
        <w:jc w:val="both"/>
        <w:rPr>
          <w:rFonts w:eastAsia="Times New Roman"/>
          <w:sz w:val="24"/>
          <w:szCs w:val="24"/>
        </w:rPr>
      </w:pPr>
      <w:r w:rsidRPr="0070631B">
        <w:rPr>
          <w:rFonts w:eastAsia="Times New Roman"/>
          <w:sz w:val="24"/>
          <w:szCs w:val="24"/>
        </w:rPr>
        <w:t xml:space="preserve">This manuscript details a duodenal microbiome sampling protocol from initial biopsy and aspirate specimen procurement during endoscopy to DNA extraction, sequencing and data formatting to prepare for downstream applications. </w:t>
      </w:r>
      <w:r w:rsidR="00631427" w:rsidRPr="0070631B">
        <w:rPr>
          <w:rFonts w:eastAsia="Times New Roman"/>
          <w:sz w:val="24"/>
          <w:szCs w:val="24"/>
        </w:rPr>
        <w:t>This method has direct applications specifically to research regarding liver disease. Absorbed macromolecules, microbiota</w:t>
      </w:r>
      <w:r w:rsidR="00D871F5">
        <w:rPr>
          <w:rFonts w:eastAsia="Times New Roman"/>
          <w:sz w:val="24"/>
          <w:szCs w:val="24"/>
        </w:rPr>
        <w:t>,</w:t>
      </w:r>
      <w:r w:rsidR="00631427" w:rsidRPr="0070631B">
        <w:rPr>
          <w:rFonts w:eastAsia="Times New Roman"/>
          <w:sz w:val="24"/>
          <w:szCs w:val="24"/>
        </w:rPr>
        <w:t xml:space="preserve"> and their metabolites are carried from the gastrointestinal tract to the liver by portal circulation</w:t>
      </w:r>
      <w:r w:rsidR="00B04F69" w:rsidRPr="0070631B">
        <w:rPr>
          <w:rFonts w:eastAsia="Times New Roman"/>
          <w:sz w:val="24"/>
          <w:szCs w:val="24"/>
          <w:vertAlign w:val="superscript"/>
        </w:rPr>
        <w:t>12</w:t>
      </w:r>
      <w:r w:rsidR="00631427" w:rsidRPr="0070631B">
        <w:rPr>
          <w:rFonts w:eastAsia="Times New Roman"/>
          <w:sz w:val="24"/>
          <w:szCs w:val="24"/>
        </w:rPr>
        <w:t>. Cirrhosis impairs gastrointestinal epithelial barrier function</w:t>
      </w:r>
      <w:r w:rsidR="00D871F5">
        <w:rPr>
          <w:rFonts w:eastAsia="Times New Roman"/>
          <w:sz w:val="24"/>
          <w:szCs w:val="24"/>
        </w:rPr>
        <w:t>,</w:t>
      </w:r>
      <w:r w:rsidR="00631427" w:rsidRPr="0070631B">
        <w:rPr>
          <w:rFonts w:eastAsia="Times New Roman"/>
          <w:sz w:val="24"/>
          <w:szCs w:val="24"/>
        </w:rPr>
        <w:t xml:space="preserve"> which can increase exposure of the liver to these potentially immunogenic features and has also been associated with microbial dysbiosis</w:t>
      </w:r>
      <w:r w:rsidR="00631427" w:rsidRPr="0070631B">
        <w:rPr>
          <w:rFonts w:eastAsia="Times New Roman"/>
          <w:sz w:val="24"/>
          <w:szCs w:val="24"/>
          <w:vertAlign w:val="superscript"/>
        </w:rPr>
        <w:t>2</w:t>
      </w:r>
      <w:r w:rsidR="00263B8C">
        <w:rPr>
          <w:rFonts w:eastAsia="Times New Roman"/>
          <w:sz w:val="24"/>
          <w:szCs w:val="24"/>
          <w:vertAlign w:val="superscript"/>
        </w:rPr>
        <w:t>5</w:t>
      </w:r>
      <w:r w:rsidR="00631427" w:rsidRPr="0070631B">
        <w:rPr>
          <w:rFonts w:eastAsia="Times New Roman"/>
          <w:sz w:val="24"/>
          <w:szCs w:val="24"/>
        </w:rPr>
        <w:t>. Dysbiosis of the gut microbiome has been linked to the pathogenesis of autoimmune diseases and other changes in immune function</w:t>
      </w:r>
      <w:r w:rsidR="00E2655D">
        <w:rPr>
          <w:rFonts w:eastAsia="Times New Roman"/>
          <w:sz w:val="24"/>
          <w:szCs w:val="24"/>
          <w:vertAlign w:val="superscript"/>
        </w:rPr>
        <w:t>3</w:t>
      </w:r>
      <w:r w:rsidR="00263B8C">
        <w:rPr>
          <w:rFonts w:eastAsia="Times New Roman"/>
          <w:sz w:val="24"/>
          <w:szCs w:val="24"/>
          <w:vertAlign w:val="superscript"/>
        </w:rPr>
        <w:t>2,33</w:t>
      </w:r>
      <w:r w:rsidR="00631427" w:rsidRPr="0070631B">
        <w:rPr>
          <w:rFonts w:eastAsia="Times New Roman"/>
          <w:sz w:val="24"/>
          <w:szCs w:val="24"/>
        </w:rPr>
        <w:t xml:space="preserve">. Following this reasoning, the proximal gut microbiota may also be </w:t>
      </w:r>
      <w:r w:rsidR="00780F2B" w:rsidRPr="0070631B">
        <w:rPr>
          <w:rFonts w:eastAsia="Times New Roman"/>
          <w:sz w:val="24"/>
          <w:szCs w:val="24"/>
        </w:rPr>
        <w:t>important for the outcomes of</w:t>
      </w:r>
      <w:r w:rsidR="00631427" w:rsidRPr="0070631B">
        <w:rPr>
          <w:rFonts w:eastAsia="Times New Roman"/>
          <w:sz w:val="24"/>
          <w:szCs w:val="24"/>
        </w:rPr>
        <w:t xml:space="preserve"> liver and other gastrointestinal organ transplantation outcomes</w:t>
      </w:r>
      <w:r w:rsidR="00780F2B" w:rsidRPr="0070631B">
        <w:rPr>
          <w:rFonts w:eastAsia="Times New Roman"/>
          <w:sz w:val="24"/>
          <w:szCs w:val="24"/>
        </w:rPr>
        <w:t xml:space="preserve"> due to effects on the anti-graft immune response</w:t>
      </w:r>
      <w:r w:rsidR="00631427" w:rsidRPr="0070631B">
        <w:rPr>
          <w:rFonts w:eastAsia="Times New Roman"/>
          <w:sz w:val="24"/>
          <w:szCs w:val="24"/>
        </w:rPr>
        <w:t xml:space="preserve">. </w:t>
      </w:r>
      <w:r w:rsidRPr="0070631B">
        <w:rPr>
          <w:rFonts w:eastAsia="Times New Roman"/>
          <w:sz w:val="24"/>
          <w:szCs w:val="24"/>
        </w:rPr>
        <w:t xml:space="preserve">Obtaining duodenal aspirate and mucosa samples may be useful </w:t>
      </w:r>
      <w:r w:rsidR="00D871F5">
        <w:rPr>
          <w:rFonts w:eastAsia="Times New Roman"/>
          <w:sz w:val="24"/>
          <w:szCs w:val="24"/>
        </w:rPr>
        <w:t>for</w:t>
      </w:r>
      <w:r w:rsidRPr="0070631B">
        <w:rPr>
          <w:rFonts w:eastAsia="Times New Roman"/>
          <w:sz w:val="24"/>
          <w:szCs w:val="24"/>
        </w:rPr>
        <w:t xml:space="preserve"> identify</w:t>
      </w:r>
      <w:r w:rsidR="00D871F5">
        <w:rPr>
          <w:rFonts w:eastAsia="Times New Roman"/>
          <w:sz w:val="24"/>
          <w:szCs w:val="24"/>
        </w:rPr>
        <w:t>ing</w:t>
      </w:r>
      <w:r w:rsidRPr="0070631B">
        <w:rPr>
          <w:rFonts w:eastAsia="Times New Roman"/>
          <w:sz w:val="24"/>
          <w:szCs w:val="24"/>
        </w:rPr>
        <w:t xml:space="preserve"> and further investigat</w:t>
      </w:r>
      <w:r w:rsidR="00D871F5">
        <w:rPr>
          <w:rFonts w:eastAsia="Times New Roman"/>
          <w:sz w:val="24"/>
          <w:szCs w:val="24"/>
        </w:rPr>
        <w:t>ing the</w:t>
      </w:r>
      <w:r w:rsidRPr="0070631B">
        <w:rPr>
          <w:rFonts w:eastAsia="Times New Roman"/>
          <w:sz w:val="24"/>
          <w:szCs w:val="24"/>
        </w:rPr>
        <w:t xml:space="preserve"> specific roles of small bowel microbiota in gastrointestinal physiology and disease.</w:t>
      </w:r>
    </w:p>
    <w:p w14:paraId="2AE34A61" w14:textId="77777777" w:rsidR="004E1FDD" w:rsidRPr="0070631B" w:rsidRDefault="004E1FDD" w:rsidP="00D47367">
      <w:pPr>
        <w:spacing w:after="0" w:line="240" w:lineRule="auto"/>
        <w:jc w:val="both"/>
        <w:rPr>
          <w:rFonts w:eastAsia="Times New Roman"/>
          <w:sz w:val="24"/>
          <w:szCs w:val="24"/>
        </w:rPr>
      </w:pPr>
    </w:p>
    <w:p w14:paraId="4CB1F6BA" w14:textId="77777777" w:rsidR="00985FD1" w:rsidRDefault="00DA0029" w:rsidP="00D47367">
      <w:pPr>
        <w:spacing w:after="0" w:line="240" w:lineRule="auto"/>
        <w:jc w:val="both"/>
        <w:rPr>
          <w:rFonts w:eastAsia="Times New Roman"/>
          <w:b/>
          <w:sz w:val="24"/>
          <w:szCs w:val="24"/>
        </w:rPr>
      </w:pPr>
      <w:r>
        <w:rPr>
          <w:rFonts w:eastAsia="Times New Roman"/>
          <w:b/>
          <w:sz w:val="24"/>
          <w:szCs w:val="24"/>
        </w:rPr>
        <w:t>ACKNOWLEDGMENTS</w:t>
      </w:r>
      <w:r w:rsidR="00631427" w:rsidRPr="0070631B">
        <w:rPr>
          <w:rFonts w:eastAsia="Times New Roman"/>
          <w:b/>
          <w:sz w:val="24"/>
          <w:szCs w:val="24"/>
        </w:rPr>
        <w:t xml:space="preserve">: </w:t>
      </w:r>
    </w:p>
    <w:p w14:paraId="7CB18BD1" w14:textId="09604133" w:rsidR="004B698A" w:rsidRPr="0070631B" w:rsidRDefault="00631427" w:rsidP="00D47367">
      <w:pPr>
        <w:spacing w:after="0" w:line="240" w:lineRule="auto"/>
        <w:jc w:val="both"/>
        <w:rPr>
          <w:rFonts w:eastAsia="Times New Roman"/>
          <w:bCs/>
          <w:sz w:val="24"/>
          <w:szCs w:val="24"/>
        </w:rPr>
      </w:pPr>
      <w:r w:rsidRPr="0070631B">
        <w:rPr>
          <w:rFonts w:eastAsia="Times New Roman"/>
          <w:bCs/>
          <w:sz w:val="24"/>
          <w:szCs w:val="24"/>
        </w:rPr>
        <w:t>This research was funded by the National Institutes of Health/National Cancer Institute grant number RO1CA204145</w:t>
      </w:r>
      <w:r w:rsidR="004E1FDD" w:rsidRPr="0070631B">
        <w:rPr>
          <w:rFonts w:eastAsia="Times New Roman"/>
          <w:bCs/>
          <w:sz w:val="24"/>
          <w:szCs w:val="24"/>
        </w:rPr>
        <w:t>.</w:t>
      </w:r>
    </w:p>
    <w:p w14:paraId="5CEA76E1" w14:textId="77777777" w:rsidR="004E1FDD" w:rsidRPr="0070631B" w:rsidRDefault="004E1FDD" w:rsidP="00D47367">
      <w:pPr>
        <w:spacing w:after="0" w:line="240" w:lineRule="auto"/>
        <w:jc w:val="both"/>
        <w:rPr>
          <w:rFonts w:eastAsia="Times New Roman"/>
          <w:b/>
          <w:sz w:val="24"/>
          <w:szCs w:val="24"/>
        </w:rPr>
      </w:pPr>
    </w:p>
    <w:p w14:paraId="5C1088E9" w14:textId="77777777" w:rsidR="00985FD1" w:rsidRDefault="00985FD1" w:rsidP="00D47367">
      <w:pPr>
        <w:spacing w:after="0" w:line="240" w:lineRule="auto"/>
        <w:jc w:val="both"/>
        <w:rPr>
          <w:rFonts w:eastAsia="Times New Roman"/>
          <w:b/>
          <w:sz w:val="24"/>
          <w:szCs w:val="24"/>
        </w:rPr>
      </w:pPr>
      <w:r>
        <w:rPr>
          <w:rFonts w:eastAsia="Times New Roman"/>
          <w:b/>
          <w:sz w:val="24"/>
          <w:szCs w:val="24"/>
        </w:rPr>
        <w:t>DISCLOSURES</w:t>
      </w:r>
      <w:r w:rsidR="00631427" w:rsidRPr="0070631B">
        <w:rPr>
          <w:rFonts w:eastAsia="Times New Roman"/>
          <w:b/>
          <w:sz w:val="24"/>
          <w:szCs w:val="24"/>
        </w:rPr>
        <w:t>:</w:t>
      </w:r>
    </w:p>
    <w:p w14:paraId="424DBE3F" w14:textId="4DA55DE9" w:rsidR="004B698A" w:rsidRPr="0070631B" w:rsidRDefault="00631427" w:rsidP="00D47367">
      <w:pPr>
        <w:spacing w:after="0" w:line="240" w:lineRule="auto"/>
        <w:jc w:val="both"/>
        <w:rPr>
          <w:rFonts w:eastAsia="Times New Roman"/>
          <w:sz w:val="24"/>
          <w:szCs w:val="24"/>
        </w:rPr>
      </w:pPr>
      <w:r w:rsidRPr="0070631B">
        <w:rPr>
          <w:rFonts w:eastAsia="Times New Roman"/>
          <w:b/>
          <w:sz w:val="24"/>
          <w:szCs w:val="24"/>
        </w:rPr>
        <w:t xml:space="preserve"> </w:t>
      </w:r>
      <w:r w:rsidR="004E1FDD" w:rsidRPr="0070631B">
        <w:rPr>
          <w:rFonts w:eastAsia="Times New Roman"/>
          <w:sz w:val="24"/>
          <w:szCs w:val="24"/>
          <w:highlight w:val="white"/>
        </w:rPr>
        <w:t>The authors have no competing financial conflicts of interest to report.</w:t>
      </w:r>
    </w:p>
    <w:p w14:paraId="7BD3D1EB" w14:textId="77777777" w:rsidR="004E1FDD" w:rsidRPr="0070631B" w:rsidRDefault="004E1FDD" w:rsidP="00D47367">
      <w:pPr>
        <w:spacing w:after="0" w:line="240" w:lineRule="auto"/>
        <w:jc w:val="both"/>
        <w:rPr>
          <w:rFonts w:eastAsia="Times New Roman"/>
          <w:b/>
          <w:sz w:val="24"/>
          <w:szCs w:val="24"/>
        </w:rPr>
      </w:pPr>
    </w:p>
    <w:p w14:paraId="3B885153" w14:textId="11CC9C0E" w:rsidR="004B698A" w:rsidRDefault="00985FD1" w:rsidP="00D47367">
      <w:pPr>
        <w:spacing w:after="0" w:line="240" w:lineRule="auto"/>
        <w:jc w:val="both"/>
        <w:rPr>
          <w:rFonts w:eastAsia="Times New Roman"/>
          <w:b/>
          <w:sz w:val="24"/>
          <w:szCs w:val="24"/>
        </w:rPr>
      </w:pPr>
      <w:r>
        <w:rPr>
          <w:rFonts w:eastAsia="Times New Roman"/>
          <w:b/>
          <w:sz w:val="24"/>
          <w:szCs w:val="24"/>
        </w:rPr>
        <w:t>REFERENCES</w:t>
      </w:r>
    </w:p>
    <w:p w14:paraId="718B8DB0" w14:textId="77777777" w:rsidR="00985FD1" w:rsidRPr="0070631B" w:rsidRDefault="00985FD1" w:rsidP="00D47367">
      <w:pPr>
        <w:spacing w:after="0" w:line="240" w:lineRule="auto"/>
        <w:jc w:val="both"/>
        <w:rPr>
          <w:rFonts w:eastAsia="Times New Roman"/>
          <w:b/>
          <w:sz w:val="24"/>
          <w:szCs w:val="24"/>
        </w:rPr>
      </w:pPr>
    </w:p>
    <w:p w14:paraId="648A477D" w14:textId="77777777" w:rsidR="004E1FDD" w:rsidRPr="0070631B" w:rsidRDefault="004E1FDD" w:rsidP="00D47367">
      <w:pPr>
        <w:numPr>
          <w:ilvl w:val="0"/>
          <w:numId w:val="2"/>
        </w:numPr>
        <w:spacing w:after="0" w:line="240" w:lineRule="auto"/>
        <w:ind w:left="0" w:firstLine="0"/>
        <w:jc w:val="both"/>
        <w:rPr>
          <w:rFonts w:eastAsia="Times New Roman"/>
          <w:sz w:val="24"/>
          <w:szCs w:val="24"/>
        </w:rPr>
      </w:pPr>
      <w:bookmarkStart w:id="4" w:name="_Hlk55486201"/>
      <w:r w:rsidRPr="0070631B">
        <w:rPr>
          <w:rFonts w:eastAsia="Times New Roman"/>
          <w:sz w:val="24"/>
          <w:szCs w:val="24"/>
        </w:rPr>
        <w:t>Kau, A., Ahern, P., Griffin, N., Goodman, A.L., Gordon, J.I</w:t>
      </w:r>
      <w:r w:rsidRPr="0070631B">
        <w:rPr>
          <w:rFonts w:eastAsia="Times New Roman"/>
          <w:i/>
          <w:sz w:val="24"/>
          <w:szCs w:val="24"/>
        </w:rPr>
        <w:t>.</w:t>
      </w:r>
      <w:r w:rsidRPr="0070631B">
        <w:rPr>
          <w:rFonts w:eastAsia="Times New Roman"/>
          <w:sz w:val="24"/>
          <w:szCs w:val="24"/>
        </w:rPr>
        <w:t xml:space="preserve"> Human nutrition, the gut microbiome and the immune system. </w:t>
      </w:r>
      <w:r w:rsidRPr="0070631B">
        <w:rPr>
          <w:rFonts w:eastAsia="Times New Roman"/>
          <w:i/>
          <w:sz w:val="24"/>
          <w:szCs w:val="24"/>
        </w:rPr>
        <w:t>Nature.</w:t>
      </w:r>
      <w:r w:rsidRPr="0070631B">
        <w:rPr>
          <w:rFonts w:eastAsia="Times New Roman"/>
          <w:sz w:val="24"/>
          <w:szCs w:val="24"/>
        </w:rPr>
        <w:t xml:space="preserve"> </w:t>
      </w:r>
      <w:r w:rsidRPr="00985FD1">
        <w:rPr>
          <w:rFonts w:eastAsia="Times New Roman"/>
          <w:b/>
          <w:bCs/>
          <w:sz w:val="24"/>
          <w:szCs w:val="24"/>
        </w:rPr>
        <w:t>474</w:t>
      </w:r>
      <w:r w:rsidRPr="0070631B">
        <w:rPr>
          <w:rFonts w:eastAsia="Times New Roman"/>
          <w:sz w:val="24"/>
          <w:szCs w:val="24"/>
        </w:rPr>
        <w:t>, 327–336 (2011).</w:t>
      </w:r>
    </w:p>
    <w:p w14:paraId="27E562B9" w14:textId="77777777"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r w:rsidRPr="0070631B">
        <w:rPr>
          <w:rFonts w:eastAsia="Times New Roman"/>
          <w:sz w:val="24"/>
          <w:szCs w:val="24"/>
        </w:rPr>
        <w:t xml:space="preserve">Young VB. The intestinal microbiota in health and disease. </w:t>
      </w:r>
      <w:r w:rsidRPr="0070631B">
        <w:rPr>
          <w:rFonts w:eastAsia="Times New Roman"/>
          <w:i/>
          <w:sz w:val="24"/>
          <w:szCs w:val="24"/>
        </w:rPr>
        <w:t>Current Opinion in Gastroenterol</w:t>
      </w:r>
      <w:r w:rsidRPr="0070631B">
        <w:rPr>
          <w:rFonts w:eastAsia="Times New Roman"/>
          <w:sz w:val="24"/>
          <w:szCs w:val="24"/>
        </w:rPr>
        <w:t xml:space="preserve">ogy. 28(1), </w:t>
      </w:r>
      <w:r w:rsidRPr="00985FD1">
        <w:rPr>
          <w:rFonts w:eastAsia="Times New Roman"/>
          <w:b/>
          <w:bCs/>
          <w:sz w:val="24"/>
          <w:szCs w:val="24"/>
        </w:rPr>
        <w:t>63-69</w:t>
      </w:r>
      <w:r w:rsidRPr="0070631B">
        <w:rPr>
          <w:rFonts w:eastAsia="Times New Roman"/>
          <w:sz w:val="24"/>
          <w:szCs w:val="24"/>
        </w:rPr>
        <w:t xml:space="preserve"> (2012). </w:t>
      </w:r>
    </w:p>
    <w:p w14:paraId="260924A8" w14:textId="43C8CEDE"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proofErr w:type="spellStart"/>
      <w:r w:rsidRPr="0070631B">
        <w:rPr>
          <w:rFonts w:eastAsia="Times New Roman"/>
          <w:sz w:val="24"/>
          <w:szCs w:val="24"/>
        </w:rPr>
        <w:t>Kolodziejczyk</w:t>
      </w:r>
      <w:proofErr w:type="spellEnd"/>
      <w:r w:rsidRPr="0070631B">
        <w:rPr>
          <w:rFonts w:eastAsia="Times New Roman"/>
          <w:sz w:val="24"/>
          <w:szCs w:val="24"/>
        </w:rPr>
        <w:t xml:space="preserve"> A.A., Zheng D, </w:t>
      </w:r>
      <w:proofErr w:type="spellStart"/>
      <w:r w:rsidRPr="0070631B">
        <w:rPr>
          <w:rFonts w:eastAsia="Times New Roman"/>
          <w:sz w:val="24"/>
          <w:szCs w:val="24"/>
        </w:rPr>
        <w:t>Elinav</w:t>
      </w:r>
      <w:proofErr w:type="spellEnd"/>
      <w:r w:rsidRPr="0070631B">
        <w:rPr>
          <w:rFonts w:eastAsia="Times New Roman"/>
          <w:sz w:val="24"/>
          <w:szCs w:val="24"/>
        </w:rPr>
        <w:t xml:space="preserve"> E. Diet-microbiota interactions and personalized nutrition. </w:t>
      </w:r>
      <w:r w:rsidRPr="0070631B">
        <w:rPr>
          <w:rFonts w:eastAsia="Times New Roman"/>
          <w:i/>
          <w:sz w:val="24"/>
          <w:szCs w:val="24"/>
        </w:rPr>
        <w:t>Nature Reviews Microbiology</w:t>
      </w:r>
      <w:r w:rsidRPr="0070631B">
        <w:rPr>
          <w:rFonts w:eastAsia="Times New Roman"/>
          <w:sz w:val="24"/>
          <w:szCs w:val="24"/>
        </w:rPr>
        <w:t xml:space="preserve">. </w:t>
      </w:r>
      <w:r w:rsidRPr="00985FD1">
        <w:rPr>
          <w:rFonts w:eastAsia="Times New Roman"/>
          <w:b/>
          <w:bCs/>
          <w:sz w:val="24"/>
          <w:szCs w:val="24"/>
        </w:rPr>
        <w:t>17</w:t>
      </w:r>
      <w:r w:rsidR="00985FD1">
        <w:rPr>
          <w:rFonts w:eastAsia="Times New Roman"/>
          <w:sz w:val="24"/>
          <w:szCs w:val="24"/>
        </w:rPr>
        <w:t xml:space="preserve"> </w:t>
      </w:r>
      <w:r w:rsidRPr="0070631B">
        <w:rPr>
          <w:rFonts w:eastAsia="Times New Roman"/>
          <w:sz w:val="24"/>
          <w:szCs w:val="24"/>
        </w:rPr>
        <w:t xml:space="preserve">(12), 742-753 (2019). </w:t>
      </w:r>
    </w:p>
    <w:p w14:paraId="47D00584" w14:textId="4102F908"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proofErr w:type="spellStart"/>
      <w:r w:rsidRPr="0070631B">
        <w:rPr>
          <w:rFonts w:eastAsia="Times New Roman"/>
          <w:sz w:val="24"/>
          <w:szCs w:val="24"/>
        </w:rPr>
        <w:t>Tuddenham</w:t>
      </w:r>
      <w:proofErr w:type="spellEnd"/>
      <w:r w:rsidRPr="0070631B">
        <w:rPr>
          <w:rFonts w:eastAsia="Times New Roman"/>
          <w:sz w:val="24"/>
          <w:szCs w:val="24"/>
        </w:rPr>
        <w:t xml:space="preserve"> S, Sears C.L. The intestinal microbiome and health. </w:t>
      </w:r>
      <w:r w:rsidRPr="0070631B">
        <w:rPr>
          <w:rFonts w:eastAsia="Times New Roman"/>
          <w:i/>
          <w:sz w:val="24"/>
          <w:szCs w:val="24"/>
        </w:rPr>
        <w:t>Current Opinion in Infectious Diseases</w:t>
      </w:r>
      <w:r w:rsidRPr="0070631B">
        <w:rPr>
          <w:rFonts w:eastAsia="Times New Roman"/>
          <w:sz w:val="24"/>
          <w:szCs w:val="24"/>
        </w:rPr>
        <w:t xml:space="preserve">. </w:t>
      </w:r>
      <w:r w:rsidRPr="00985FD1">
        <w:rPr>
          <w:rFonts w:eastAsia="Times New Roman"/>
          <w:b/>
          <w:bCs/>
          <w:sz w:val="24"/>
          <w:szCs w:val="24"/>
        </w:rPr>
        <w:t>28</w:t>
      </w:r>
      <w:r w:rsidR="00985FD1">
        <w:rPr>
          <w:rFonts w:eastAsia="Times New Roman"/>
          <w:sz w:val="24"/>
          <w:szCs w:val="24"/>
        </w:rPr>
        <w:t xml:space="preserve"> </w:t>
      </w:r>
      <w:r w:rsidRPr="0070631B">
        <w:rPr>
          <w:rFonts w:eastAsia="Times New Roman"/>
          <w:sz w:val="24"/>
          <w:szCs w:val="24"/>
        </w:rPr>
        <w:t xml:space="preserve">(5), 464-470 (2015). </w:t>
      </w:r>
    </w:p>
    <w:p w14:paraId="1270738B" w14:textId="77777777"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r w:rsidRPr="0070631B">
        <w:rPr>
          <w:rFonts w:eastAsia="Times New Roman"/>
          <w:sz w:val="24"/>
          <w:szCs w:val="24"/>
        </w:rPr>
        <w:t xml:space="preserve">Dieterich W., </w:t>
      </w:r>
      <w:proofErr w:type="spellStart"/>
      <w:r w:rsidRPr="0070631B">
        <w:rPr>
          <w:rFonts w:eastAsia="Times New Roman"/>
          <w:sz w:val="24"/>
          <w:szCs w:val="24"/>
        </w:rPr>
        <w:t>Schink</w:t>
      </w:r>
      <w:proofErr w:type="spellEnd"/>
      <w:r w:rsidRPr="0070631B">
        <w:rPr>
          <w:rFonts w:eastAsia="Times New Roman"/>
          <w:sz w:val="24"/>
          <w:szCs w:val="24"/>
        </w:rPr>
        <w:t xml:space="preserve"> M., Zopf Y. Microbiota in the Gastrointestinal Tract. </w:t>
      </w:r>
      <w:r w:rsidRPr="0070631B">
        <w:rPr>
          <w:rFonts w:eastAsia="Times New Roman"/>
          <w:i/>
          <w:sz w:val="24"/>
          <w:szCs w:val="24"/>
        </w:rPr>
        <w:t>Medical Sciences (Basel)</w:t>
      </w:r>
      <w:r w:rsidRPr="0070631B">
        <w:rPr>
          <w:rFonts w:eastAsia="Times New Roman"/>
          <w:sz w:val="24"/>
          <w:szCs w:val="24"/>
        </w:rPr>
        <w:t xml:space="preserve">. 6(4), </w:t>
      </w:r>
      <w:r w:rsidRPr="00985FD1">
        <w:rPr>
          <w:rFonts w:eastAsia="Times New Roman"/>
          <w:b/>
          <w:bCs/>
          <w:sz w:val="24"/>
          <w:szCs w:val="24"/>
        </w:rPr>
        <w:t>116</w:t>
      </w:r>
      <w:r w:rsidRPr="0070631B">
        <w:rPr>
          <w:rFonts w:eastAsia="Times New Roman"/>
          <w:sz w:val="24"/>
          <w:szCs w:val="24"/>
        </w:rPr>
        <w:t xml:space="preserve"> (2018). </w:t>
      </w:r>
    </w:p>
    <w:p w14:paraId="7F0D661F" w14:textId="784EDE61"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r w:rsidRPr="0070631B">
        <w:rPr>
          <w:rFonts w:eastAsia="Times New Roman"/>
          <w:sz w:val="24"/>
          <w:szCs w:val="24"/>
        </w:rPr>
        <w:t>Martinez-</w:t>
      </w:r>
      <w:proofErr w:type="spellStart"/>
      <w:r w:rsidRPr="0070631B">
        <w:rPr>
          <w:rFonts w:eastAsia="Times New Roman"/>
          <w:sz w:val="24"/>
          <w:szCs w:val="24"/>
        </w:rPr>
        <w:t>Guryn</w:t>
      </w:r>
      <w:proofErr w:type="spellEnd"/>
      <w:r w:rsidRPr="0070631B">
        <w:rPr>
          <w:rFonts w:eastAsia="Times New Roman"/>
          <w:sz w:val="24"/>
          <w:szCs w:val="24"/>
        </w:rPr>
        <w:t xml:space="preserve"> K et al. Small Intestine Microbiota Regulate Host Digestive and Absorptive Adaptive Responses to Dietary Lipids. </w:t>
      </w:r>
      <w:r w:rsidRPr="0070631B">
        <w:rPr>
          <w:rFonts w:eastAsia="Times New Roman"/>
          <w:i/>
          <w:sz w:val="24"/>
          <w:szCs w:val="24"/>
        </w:rPr>
        <w:t>Cell Host Microbe</w:t>
      </w:r>
      <w:r w:rsidRPr="0070631B">
        <w:rPr>
          <w:rFonts w:eastAsia="Times New Roman"/>
          <w:sz w:val="24"/>
          <w:szCs w:val="24"/>
        </w:rPr>
        <w:t xml:space="preserve">. </w:t>
      </w:r>
      <w:r w:rsidRPr="00985FD1">
        <w:rPr>
          <w:rFonts w:eastAsia="Times New Roman"/>
          <w:b/>
          <w:bCs/>
          <w:sz w:val="24"/>
          <w:szCs w:val="24"/>
        </w:rPr>
        <w:t>23</w:t>
      </w:r>
      <w:r w:rsidR="00985FD1">
        <w:rPr>
          <w:rFonts w:eastAsia="Times New Roman"/>
          <w:sz w:val="24"/>
          <w:szCs w:val="24"/>
        </w:rPr>
        <w:t xml:space="preserve"> </w:t>
      </w:r>
      <w:r w:rsidRPr="0070631B">
        <w:rPr>
          <w:rFonts w:eastAsia="Times New Roman"/>
          <w:sz w:val="24"/>
          <w:szCs w:val="24"/>
        </w:rPr>
        <w:t xml:space="preserve">(4), 458-469.e5, (2018). </w:t>
      </w:r>
    </w:p>
    <w:p w14:paraId="4013B02B" w14:textId="01791019"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r w:rsidRPr="0070631B">
        <w:rPr>
          <w:rFonts w:eastAsia="Times New Roman"/>
          <w:sz w:val="24"/>
          <w:szCs w:val="24"/>
        </w:rPr>
        <w:t xml:space="preserve">Kastl A.J. Jr, Terry N.A., Wu G.D., </w:t>
      </w:r>
      <w:proofErr w:type="spellStart"/>
      <w:r w:rsidRPr="0070631B">
        <w:rPr>
          <w:rFonts w:eastAsia="Times New Roman"/>
          <w:sz w:val="24"/>
          <w:szCs w:val="24"/>
        </w:rPr>
        <w:t>Albenberg</w:t>
      </w:r>
      <w:proofErr w:type="spellEnd"/>
      <w:r w:rsidRPr="0070631B">
        <w:rPr>
          <w:rFonts w:eastAsia="Times New Roman"/>
          <w:sz w:val="24"/>
          <w:szCs w:val="24"/>
        </w:rPr>
        <w:t xml:space="preserve"> L.G. The Structure and Function of the Human Small Intestinal Microbiota: Current Understanding and Future Directions. </w:t>
      </w:r>
      <w:r w:rsidRPr="0070631B">
        <w:rPr>
          <w:rFonts w:eastAsia="Times New Roman"/>
          <w:i/>
          <w:sz w:val="24"/>
          <w:szCs w:val="24"/>
        </w:rPr>
        <w:t>Cellular and Molecular Gastroenterology and Hepatology</w:t>
      </w:r>
      <w:r w:rsidRPr="0070631B">
        <w:rPr>
          <w:rFonts w:eastAsia="Times New Roman"/>
          <w:sz w:val="24"/>
          <w:szCs w:val="24"/>
        </w:rPr>
        <w:t xml:space="preserve">. </w:t>
      </w:r>
      <w:r w:rsidRPr="00985FD1">
        <w:rPr>
          <w:rFonts w:eastAsia="Times New Roman"/>
          <w:b/>
          <w:bCs/>
          <w:sz w:val="24"/>
          <w:szCs w:val="24"/>
        </w:rPr>
        <w:t>9</w:t>
      </w:r>
      <w:r w:rsidR="00985FD1">
        <w:rPr>
          <w:rFonts w:eastAsia="Times New Roman"/>
          <w:sz w:val="24"/>
          <w:szCs w:val="24"/>
        </w:rPr>
        <w:t xml:space="preserve"> </w:t>
      </w:r>
      <w:r w:rsidRPr="0070631B">
        <w:rPr>
          <w:rFonts w:eastAsia="Times New Roman"/>
          <w:sz w:val="24"/>
          <w:szCs w:val="24"/>
        </w:rPr>
        <w:t>(1), 33-45 (2020).</w:t>
      </w:r>
    </w:p>
    <w:p w14:paraId="4E5A33AB" w14:textId="6F55AA0A"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r w:rsidRPr="0070631B">
        <w:rPr>
          <w:rFonts w:eastAsia="Times New Roman"/>
          <w:sz w:val="24"/>
          <w:szCs w:val="24"/>
        </w:rPr>
        <w:t xml:space="preserve">Angelakis E. et al. A Metagenomic Investigation of the Duodenal Microbiota Reveals Links with Obesity. </w:t>
      </w:r>
      <w:proofErr w:type="spellStart"/>
      <w:r w:rsidRPr="0070631B">
        <w:rPr>
          <w:rFonts w:eastAsia="Times New Roman"/>
          <w:i/>
          <w:sz w:val="24"/>
          <w:szCs w:val="24"/>
        </w:rPr>
        <w:t>PLoS</w:t>
      </w:r>
      <w:proofErr w:type="spellEnd"/>
      <w:r w:rsidRPr="0070631B">
        <w:rPr>
          <w:rFonts w:eastAsia="Times New Roman"/>
          <w:i/>
          <w:sz w:val="24"/>
          <w:szCs w:val="24"/>
        </w:rPr>
        <w:t xml:space="preserve"> One</w:t>
      </w:r>
      <w:r w:rsidRPr="0070631B">
        <w:rPr>
          <w:rFonts w:eastAsia="Times New Roman"/>
          <w:sz w:val="24"/>
          <w:szCs w:val="24"/>
        </w:rPr>
        <w:t xml:space="preserve">. </w:t>
      </w:r>
      <w:r w:rsidRPr="00985FD1">
        <w:rPr>
          <w:rFonts w:eastAsia="Times New Roman"/>
          <w:b/>
          <w:bCs/>
          <w:sz w:val="24"/>
          <w:szCs w:val="24"/>
        </w:rPr>
        <w:t>10</w:t>
      </w:r>
      <w:r w:rsidR="00985FD1">
        <w:rPr>
          <w:rFonts w:eastAsia="Times New Roman"/>
          <w:sz w:val="24"/>
          <w:szCs w:val="24"/>
        </w:rPr>
        <w:t xml:space="preserve"> </w:t>
      </w:r>
      <w:r w:rsidRPr="0070631B">
        <w:rPr>
          <w:rFonts w:eastAsia="Times New Roman"/>
          <w:sz w:val="24"/>
          <w:szCs w:val="24"/>
        </w:rPr>
        <w:t xml:space="preserve">(9), e0137784 (2015). </w:t>
      </w:r>
    </w:p>
    <w:p w14:paraId="757CFCFC" w14:textId="5843B34D"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r w:rsidRPr="0070631B">
        <w:rPr>
          <w:rFonts w:eastAsia="Times New Roman"/>
          <w:sz w:val="24"/>
          <w:szCs w:val="24"/>
        </w:rPr>
        <w:t xml:space="preserve">Yu L.X., Schwabe R.F. The gut microbiome and liver cancer: mechanisms and clinical translation. </w:t>
      </w:r>
      <w:r w:rsidRPr="0070631B">
        <w:rPr>
          <w:rFonts w:eastAsia="Times New Roman"/>
          <w:i/>
          <w:sz w:val="24"/>
          <w:szCs w:val="24"/>
        </w:rPr>
        <w:t>Nature Reviews. Gastroenterology and Hepatology</w:t>
      </w:r>
      <w:r w:rsidRPr="0070631B">
        <w:rPr>
          <w:rFonts w:eastAsia="Times New Roman"/>
          <w:sz w:val="24"/>
          <w:szCs w:val="24"/>
        </w:rPr>
        <w:t xml:space="preserve">. </w:t>
      </w:r>
      <w:r w:rsidRPr="00985FD1">
        <w:rPr>
          <w:rFonts w:eastAsia="Times New Roman"/>
          <w:b/>
          <w:bCs/>
          <w:sz w:val="24"/>
          <w:szCs w:val="24"/>
        </w:rPr>
        <w:t>14</w:t>
      </w:r>
      <w:r w:rsidR="00985FD1">
        <w:rPr>
          <w:rFonts w:eastAsia="Times New Roman"/>
          <w:sz w:val="24"/>
          <w:szCs w:val="24"/>
        </w:rPr>
        <w:t xml:space="preserve"> </w:t>
      </w:r>
      <w:r w:rsidRPr="0070631B">
        <w:rPr>
          <w:rFonts w:eastAsia="Times New Roman"/>
          <w:sz w:val="24"/>
          <w:szCs w:val="24"/>
        </w:rPr>
        <w:t xml:space="preserve">(9), 527-539 (2017). </w:t>
      </w:r>
    </w:p>
    <w:p w14:paraId="570255E4" w14:textId="1AD93C11"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proofErr w:type="spellStart"/>
      <w:r w:rsidRPr="0070631B">
        <w:rPr>
          <w:rFonts w:eastAsia="Times New Roman"/>
          <w:sz w:val="24"/>
          <w:szCs w:val="24"/>
        </w:rPr>
        <w:t>Schnabl</w:t>
      </w:r>
      <w:proofErr w:type="spellEnd"/>
      <w:r w:rsidRPr="0070631B">
        <w:rPr>
          <w:rFonts w:eastAsia="Times New Roman"/>
          <w:sz w:val="24"/>
          <w:szCs w:val="24"/>
        </w:rPr>
        <w:t xml:space="preserve"> B., Brenner D.A. Interactions between the intestinal microbiome and liver diseases. </w:t>
      </w:r>
      <w:r w:rsidRPr="0070631B">
        <w:rPr>
          <w:rFonts w:eastAsia="Times New Roman"/>
          <w:i/>
          <w:sz w:val="24"/>
          <w:szCs w:val="24"/>
        </w:rPr>
        <w:t>Gastroenterology</w:t>
      </w:r>
      <w:r w:rsidRPr="0070631B">
        <w:rPr>
          <w:rFonts w:eastAsia="Times New Roman"/>
          <w:sz w:val="24"/>
          <w:szCs w:val="24"/>
        </w:rPr>
        <w:t xml:space="preserve">. </w:t>
      </w:r>
      <w:r w:rsidRPr="00985FD1">
        <w:rPr>
          <w:rFonts w:eastAsia="Times New Roman"/>
          <w:b/>
          <w:bCs/>
          <w:sz w:val="24"/>
          <w:szCs w:val="24"/>
        </w:rPr>
        <w:t>146</w:t>
      </w:r>
      <w:r w:rsidR="00985FD1">
        <w:rPr>
          <w:rFonts w:eastAsia="Times New Roman"/>
          <w:sz w:val="24"/>
          <w:szCs w:val="24"/>
        </w:rPr>
        <w:t xml:space="preserve"> </w:t>
      </w:r>
      <w:r w:rsidRPr="0070631B">
        <w:rPr>
          <w:rFonts w:eastAsia="Times New Roman"/>
          <w:sz w:val="24"/>
          <w:szCs w:val="24"/>
        </w:rPr>
        <w:t>(6), 1513-1524 (2014).</w:t>
      </w:r>
    </w:p>
    <w:p w14:paraId="0FA5FFE5" w14:textId="236BCD85"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rPr>
      </w:pPr>
      <w:r w:rsidRPr="0070631B">
        <w:rPr>
          <w:rFonts w:eastAsia="Times New Roman"/>
          <w:sz w:val="24"/>
          <w:szCs w:val="24"/>
        </w:rPr>
        <w:t xml:space="preserve">Shen T.D., </w:t>
      </w:r>
      <w:proofErr w:type="spellStart"/>
      <w:r w:rsidRPr="0070631B">
        <w:rPr>
          <w:rFonts w:eastAsia="Times New Roman"/>
          <w:sz w:val="24"/>
          <w:szCs w:val="24"/>
        </w:rPr>
        <w:t>Pyrsopoulos</w:t>
      </w:r>
      <w:proofErr w:type="spellEnd"/>
      <w:r w:rsidRPr="0070631B">
        <w:rPr>
          <w:rFonts w:eastAsia="Times New Roman"/>
          <w:sz w:val="24"/>
          <w:szCs w:val="24"/>
        </w:rPr>
        <w:t xml:space="preserve"> N., </w:t>
      </w:r>
      <w:proofErr w:type="spellStart"/>
      <w:r w:rsidRPr="0070631B">
        <w:rPr>
          <w:rFonts w:eastAsia="Times New Roman"/>
          <w:sz w:val="24"/>
          <w:szCs w:val="24"/>
        </w:rPr>
        <w:t>Rustgi</w:t>
      </w:r>
      <w:proofErr w:type="spellEnd"/>
      <w:r w:rsidRPr="0070631B">
        <w:rPr>
          <w:rFonts w:eastAsia="Times New Roman"/>
          <w:sz w:val="24"/>
          <w:szCs w:val="24"/>
        </w:rPr>
        <w:t xml:space="preserve"> V.K. Microbiota and the liver. </w:t>
      </w:r>
      <w:r w:rsidRPr="0070631B">
        <w:rPr>
          <w:rFonts w:eastAsia="Times New Roman"/>
          <w:i/>
          <w:sz w:val="24"/>
          <w:szCs w:val="24"/>
        </w:rPr>
        <w:t>Liver Transplant</w:t>
      </w:r>
      <w:r w:rsidRPr="0070631B">
        <w:rPr>
          <w:rFonts w:eastAsia="Times New Roman"/>
          <w:sz w:val="24"/>
          <w:szCs w:val="24"/>
        </w:rPr>
        <w:t xml:space="preserve">. </w:t>
      </w:r>
      <w:r w:rsidRPr="00985FD1">
        <w:rPr>
          <w:rFonts w:eastAsia="Times New Roman"/>
          <w:b/>
          <w:bCs/>
          <w:sz w:val="24"/>
          <w:szCs w:val="24"/>
        </w:rPr>
        <w:t>24</w:t>
      </w:r>
      <w:r w:rsidR="00985FD1">
        <w:rPr>
          <w:rFonts w:eastAsia="Times New Roman"/>
          <w:sz w:val="24"/>
          <w:szCs w:val="24"/>
        </w:rPr>
        <w:t xml:space="preserve"> </w:t>
      </w:r>
      <w:r w:rsidRPr="0070631B">
        <w:rPr>
          <w:rFonts w:eastAsia="Times New Roman"/>
          <w:sz w:val="24"/>
          <w:szCs w:val="24"/>
        </w:rPr>
        <w:t>(4), 539-550 (2018).</w:t>
      </w:r>
    </w:p>
    <w:p w14:paraId="6E56B587" w14:textId="77777777"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Hussain, S.K. et al. Dietary Protein, Fiber and Coffee Are Associated with Small Intestine Microbiome Composition and Diversity in Patients with Liver Cirrhosis. </w:t>
      </w:r>
      <w:r w:rsidRPr="0070631B">
        <w:rPr>
          <w:rFonts w:eastAsia="Times New Roman"/>
          <w:i/>
          <w:sz w:val="24"/>
          <w:szCs w:val="24"/>
          <w:highlight w:val="white"/>
        </w:rPr>
        <w:t>Nutrients.</w:t>
      </w:r>
      <w:r w:rsidRPr="0070631B">
        <w:rPr>
          <w:rFonts w:eastAsia="Times New Roman"/>
          <w:sz w:val="24"/>
          <w:szCs w:val="24"/>
          <w:highlight w:val="white"/>
        </w:rPr>
        <w:t xml:space="preserve"> </w:t>
      </w:r>
      <w:r w:rsidRPr="00985FD1">
        <w:rPr>
          <w:rFonts w:eastAsia="Times New Roman"/>
          <w:b/>
          <w:bCs/>
          <w:iCs/>
          <w:sz w:val="24"/>
          <w:szCs w:val="24"/>
          <w:highlight w:val="white"/>
        </w:rPr>
        <w:t>12</w:t>
      </w:r>
      <w:r w:rsidRPr="0070631B">
        <w:rPr>
          <w:rFonts w:eastAsia="Times New Roman"/>
          <w:sz w:val="24"/>
          <w:szCs w:val="24"/>
          <w:highlight w:val="white"/>
        </w:rPr>
        <w:t xml:space="preserve">, 1395 (2020). </w:t>
      </w:r>
    </w:p>
    <w:p w14:paraId="1B0CBCAD" w14:textId="0286E15D" w:rsidR="00032DAD" w:rsidRDefault="00032DA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Kristal, A.R. et al. Evaluation of web-based, self-administered, graphical food frequency questionnaire. </w:t>
      </w:r>
      <w:r w:rsidRPr="0070631B">
        <w:rPr>
          <w:rFonts w:eastAsia="Times New Roman"/>
          <w:i/>
          <w:iCs/>
          <w:sz w:val="24"/>
          <w:szCs w:val="24"/>
          <w:highlight w:val="white"/>
        </w:rPr>
        <w:t>Journal of the Academy of Nutrition and Dietetics</w:t>
      </w:r>
      <w:r w:rsidRPr="0070631B">
        <w:rPr>
          <w:rFonts w:eastAsia="Times New Roman"/>
          <w:sz w:val="24"/>
          <w:szCs w:val="24"/>
          <w:highlight w:val="white"/>
        </w:rPr>
        <w:t xml:space="preserve">. </w:t>
      </w:r>
      <w:r w:rsidRPr="00985FD1">
        <w:rPr>
          <w:rFonts w:eastAsia="Times New Roman"/>
          <w:b/>
          <w:bCs/>
          <w:sz w:val="24"/>
          <w:szCs w:val="24"/>
          <w:highlight w:val="white"/>
        </w:rPr>
        <w:t>114</w:t>
      </w:r>
      <w:r w:rsidR="00985FD1">
        <w:rPr>
          <w:rFonts w:eastAsia="Times New Roman"/>
          <w:sz w:val="24"/>
          <w:szCs w:val="24"/>
          <w:highlight w:val="white"/>
        </w:rPr>
        <w:t xml:space="preserve"> </w:t>
      </w:r>
      <w:r w:rsidRPr="0070631B">
        <w:rPr>
          <w:rFonts w:eastAsia="Times New Roman"/>
          <w:sz w:val="24"/>
          <w:szCs w:val="24"/>
          <w:highlight w:val="white"/>
        </w:rPr>
        <w:t>(4), 613-621 (2014).</w:t>
      </w:r>
    </w:p>
    <w:p w14:paraId="0B805E9E" w14:textId="3DD0376D" w:rsidR="00263B8C" w:rsidRPr="0070631B" w:rsidRDefault="00263B8C" w:rsidP="00D47367">
      <w:pPr>
        <w:numPr>
          <w:ilvl w:val="0"/>
          <w:numId w:val="2"/>
        </w:numPr>
        <w:shd w:val="clear" w:color="auto" w:fill="FFFFFF"/>
        <w:spacing w:after="0" w:line="240" w:lineRule="auto"/>
        <w:ind w:left="0" w:firstLine="0"/>
        <w:jc w:val="both"/>
        <w:rPr>
          <w:rFonts w:eastAsia="Times New Roman"/>
          <w:sz w:val="24"/>
          <w:szCs w:val="24"/>
          <w:highlight w:val="white"/>
        </w:rPr>
      </w:pPr>
      <w:r>
        <w:rPr>
          <w:rFonts w:eastAsia="Times New Roman"/>
          <w:sz w:val="24"/>
          <w:szCs w:val="24"/>
          <w:highlight w:val="white"/>
        </w:rPr>
        <w:t xml:space="preserve">Benhammou, J.N. et al. Novel Lipid Long Intervening Noncoding RNA, Oligodendrocyte Maturation-Associated Long Intergenic Noncoding RNA, Regulates the Liver Steatosis Gene Stearoyl-Coenzyme A Desaturase </w:t>
      </w:r>
      <w:proofErr w:type="gramStart"/>
      <w:r>
        <w:rPr>
          <w:rFonts w:eastAsia="Times New Roman"/>
          <w:sz w:val="24"/>
          <w:szCs w:val="24"/>
          <w:highlight w:val="white"/>
        </w:rPr>
        <w:t>As</w:t>
      </w:r>
      <w:proofErr w:type="gramEnd"/>
      <w:r>
        <w:rPr>
          <w:rFonts w:eastAsia="Times New Roman"/>
          <w:sz w:val="24"/>
          <w:szCs w:val="24"/>
          <w:highlight w:val="white"/>
        </w:rPr>
        <w:t xml:space="preserve"> an Enhancer RNA. </w:t>
      </w:r>
      <w:r>
        <w:rPr>
          <w:rFonts w:eastAsia="Times New Roman"/>
          <w:i/>
          <w:iCs/>
          <w:sz w:val="24"/>
          <w:szCs w:val="24"/>
          <w:highlight w:val="white"/>
        </w:rPr>
        <w:t>Hepatology Communications</w:t>
      </w:r>
      <w:r>
        <w:rPr>
          <w:rFonts w:eastAsia="Times New Roman"/>
          <w:sz w:val="24"/>
          <w:szCs w:val="24"/>
          <w:highlight w:val="white"/>
        </w:rPr>
        <w:t xml:space="preserve">. </w:t>
      </w:r>
      <w:r>
        <w:rPr>
          <w:rFonts w:eastAsia="Times New Roman"/>
          <w:b/>
          <w:bCs/>
          <w:sz w:val="24"/>
          <w:szCs w:val="24"/>
          <w:highlight w:val="white"/>
        </w:rPr>
        <w:t>3</w:t>
      </w:r>
      <w:r>
        <w:rPr>
          <w:rFonts w:eastAsia="Times New Roman"/>
          <w:sz w:val="24"/>
          <w:szCs w:val="24"/>
          <w:highlight w:val="white"/>
        </w:rPr>
        <w:t>(10) 1356-1372 (2019).</w:t>
      </w:r>
    </w:p>
    <w:p w14:paraId="121EF6FC" w14:textId="14B912A3"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Earth Microbiome Project. 16S Illumina Amplicon Protocol. Updated December 2018. Accessed July 28, 2020. https://earthmicrobiome.org/protocols-and-standards/16s/</w:t>
      </w:r>
    </w:p>
    <w:p w14:paraId="48F5EF52" w14:textId="77777777"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lastRenderedPageBreak/>
        <w:t xml:space="preserve">Callahan, B.J., </w:t>
      </w:r>
      <w:proofErr w:type="spellStart"/>
      <w:r w:rsidRPr="0070631B">
        <w:rPr>
          <w:rFonts w:eastAsia="Times New Roman"/>
          <w:sz w:val="24"/>
          <w:szCs w:val="24"/>
          <w:highlight w:val="white"/>
        </w:rPr>
        <w:t>McMurdie</w:t>
      </w:r>
      <w:proofErr w:type="spellEnd"/>
      <w:r w:rsidRPr="0070631B">
        <w:rPr>
          <w:rFonts w:eastAsia="Times New Roman"/>
          <w:sz w:val="24"/>
          <w:szCs w:val="24"/>
          <w:highlight w:val="white"/>
        </w:rPr>
        <w:t xml:space="preserve">, P.J., Rosen, M.J., Han, A.W., Johnson, A.J.A., Holmes, S.P. DADA2: High-resolution sample inference from Illumina amplicon data. </w:t>
      </w:r>
      <w:r w:rsidRPr="0070631B">
        <w:rPr>
          <w:rFonts w:eastAsia="Times New Roman"/>
          <w:i/>
          <w:iCs/>
          <w:sz w:val="24"/>
          <w:szCs w:val="24"/>
          <w:highlight w:val="white"/>
        </w:rPr>
        <w:t>Nature Methods.</w:t>
      </w:r>
      <w:r w:rsidRPr="0070631B">
        <w:rPr>
          <w:sz w:val="24"/>
          <w:szCs w:val="24"/>
          <w:highlight w:val="white"/>
        </w:rPr>
        <w:t xml:space="preserve"> </w:t>
      </w:r>
      <w:r w:rsidRPr="00985FD1">
        <w:rPr>
          <w:b/>
          <w:bCs/>
          <w:sz w:val="24"/>
          <w:szCs w:val="24"/>
          <w:highlight w:val="white"/>
        </w:rPr>
        <w:t>13</w:t>
      </w:r>
      <w:r w:rsidRPr="0070631B">
        <w:rPr>
          <w:sz w:val="24"/>
          <w:szCs w:val="24"/>
          <w:highlight w:val="white"/>
        </w:rPr>
        <w:t>, 581-583 (2016).</w:t>
      </w:r>
    </w:p>
    <w:p w14:paraId="1DEB0B76" w14:textId="77777777"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Quast, C. et al. The SILVA ribosomal RNA gene database project: improved data processing and web-based tools. </w:t>
      </w:r>
      <w:r w:rsidRPr="0070631B">
        <w:rPr>
          <w:rFonts w:eastAsia="Times New Roman"/>
          <w:i/>
          <w:iCs/>
          <w:sz w:val="24"/>
          <w:szCs w:val="24"/>
          <w:highlight w:val="white"/>
        </w:rPr>
        <w:t xml:space="preserve">Nucleic Acids Research. </w:t>
      </w:r>
      <w:r w:rsidRPr="00985FD1">
        <w:rPr>
          <w:rFonts w:eastAsia="Times New Roman"/>
          <w:b/>
          <w:bCs/>
          <w:sz w:val="24"/>
          <w:szCs w:val="24"/>
          <w:highlight w:val="white"/>
        </w:rPr>
        <w:t>41</w:t>
      </w:r>
      <w:r w:rsidRPr="0070631B">
        <w:rPr>
          <w:rFonts w:eastAsia="Times New Roman"/>
          <w:sz w:val="24"/>
          <w:szCs w:val="24"/>
          <w:highlight w:val="white"/>
        </w:rPr>
        <w:t>, D590-596, (2013).</w:t>
      </w:r>
    </w:p>
    <w:p w14:paraId="5D236C35" w14:textId="4CB22BA0"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proofErr w:type="spellStart"/>
      <w:r w:rsidRPr="0070631B">
        <w:rPr>
          <w:rFonts w:eastAsia="Times New Roman"/>
          <w:sz w:val="24"/>
          <w:szCs w:val="24"/>
          <w:highlight w:val="white"/>
        </w:rPr>
        <w:t>Eckburg</w:t>
      </w:r>
      <w:proofErr w:type="spellEnd"/>
      <w:r w:rsidRPr="0070631B">
        <w:rPr>
          <w:rFonts w:eastAsia="Times New Roman"/>
          <w:sz w:val="24"/>
          <w:szCs w:val="24"/>
          <w:highlight w:val="white"/>
        </w:rPr>
        <w:t xml:space="preserve"> P.B., et al. Diversity of the human intestinal microbial flora. </w:t>
      </w:r>
      <w:r w:rsidRPr="0070631B">
        <w:rPr>
          <w:rFonts w:eastAsia="Times New Roman"/>
          <w:i/>
          <w:sz w:val="24"/>
          <w:szCs w:val="24"/>
          <w:highlight w:val="white"/>
        </w:rPr>
        <w:t>Science</w:t>
      </w:r>
      <w:r w:rsidRPr="0070631B">
        <w:rPr>
          <w:rFonts w:eastAsia="Times New Roman"/>
          <w:sz w:val="24"/>
          <w:szCs w:val="24"/>
          <w:highlight w:val="white"/>
        </w:rPr>
        <w:t xml:space="preserve">. </w:t>
      </w:r>
      <w:r w:rsidRPr="00985FD1">
        <w:rPr>
          <w:rFonts w:eastAsia="Times New Roman"/>
          <w:b/>
          <w:bCs/>
          <w:sz w:val="24"/>
          <w:szCs w:val="24"/>
          <w:highlight w:val="white"/>
        </w:rPr>
        <w:t>308</w:t>
      </w:r>
      <w:r w:rsidR="00985FD1">
        <w:rPr>
          <w:rFonts w:eastAsia="Times New Roman"/>
          <w:sz w:val="24"/>
          <w:szCs w:val="24"/>
          <w:highlight w:val="white"/>
        </w:rPr>
        <w:t xml:space="preserve"> </w:t>
      </w:r>
      <w:r w:rsidRPr="0070631B">
        <w:rPr>
          <w:rFonts w:eastAsia="Times New Roman"/>
          <w:sz w:val="24"/>
          <w:szCs w:val="24"/>
          <w:highlight w:val="white"/>
        </w:rPr>
        <w:t>(5728), 1635-1638 (2005).</w:t>
      </w:r>
    </w:p>
    <w:p w14:paraId="32FB0BE4" w14:textId="2F374D0A"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proofErr w:type="spellStart"/>
      <w:r w:rsidRPr="0070631B">
        <w:rPr>
          <w:rFonts w:eastAsia="Times New Roman"/>
          <w:sz w:val="24"/>
          <w:szCs w:val="24"/>
          <w:highlight w:val="white"/>
        </w:rPr>
        <w:t>Nieuwdorp</w:t>
      </w:r>
      <w:proofErr w:type="spellEnd"/>
      <w:r w:rsidRPr="0070631B">
        <w:rPr>
          <w:rFonts w:eastAsia="Times New Roman"/>
          <w:sz w:val="24"/>
          <w:szCs w:val="24"/>
          <w:highlight w:val="white"/>
        </w:rPr>
        <w:t xml:space="preserve"> M., </w:t>
      </w:r>
      <w:proofErr w:type="spellStart"/>
      <w:r w:rsidRPr="0070631B">
        <w:rPr>
          <w:rFonts w:eastAsia="Times New Roman"/>
          <w:sz w:val="24"/>
          <w:szCs w:val="24"/>
          <w:highlight w:val="white"/>
        </w:rPr>
        <w:t>Gilijamse</w:t>
      </w:r>
      <w:proofErr w:type="spellEnd"/>
      <w:r w:rsidRPr="0070631B">
        <w:rPr>
          <w:rFonts w:eastAsia="Times New Roman"/>
          <w:sz w:val="24"/>
          <w:szCs w:val="24"/>
          <w:highlight w:val="white"/>
        </w:rPr>
        <w:t xml:space="preserve"> P.W., Pai N., Kaplan L.M. Role of the microbiome in energy regulation and metabolism. </w:t>
      </w:r>
      <w:r w:rsidRPr="0070631B">
        <w:rPr>
          <w:rFonts w:eastAsia="Times New Roman"/>
          <w:i/>
          <w:sz w:val="24"/>
          <w:szCs w:val="24"/>
          <w:highlight w:val="white"/>
        </w:rPr>
        <w:t>Gastroenterology</w:t>
      </w:r>
      <w:r w:rsidRPr="0070631B">
        <w:rPr>
          <w:rFonts w:eastAsia="Times New Roman"/>
          <w:sz w:val="24"/>
          <w:szCs w:val="24"/>
          <w:highlight w:val="white"/>
        </w:rPr>
        <w:t xml:space="preserve">. </w:t>
      </w:r>
      <w:r w:rsidRPr="00985FD1">
        <w:rPr>
          <w:rFonts w:eastAsia="Times New Roman"/>
          <w:b/>
          <w:bCs/>
          <w:sz w:val="24"/>
          <w:szCs w:val="24"/>
          <w:highlight w:val="white"/>
        </w:rPr>
        <w:t>146</w:t>
      </w:r>
      <w:r w:rsidR="00985FD1">
        <w:rPr>
          <w:rFonts w:eastAsia="Times New Roman"/>
          <w:sz w:val="24"/>
          <w:szCs w:val="24"/>
          <w:highlight w:val="white"/>
        </w:rPr>
        <w:t xml:space="preserve"> </w:t>
      </w:r>
      <w:r w:rsidRPr="0070631B">
        <w:rPr>
          <w:rFonts w:eastAsia="Times New Roman"/>
          <w:sz w:val="24"/>
          <w:szCs w:val="24"/>
          <w:highlight w:val="white"/>
        </w:rPr>
        <w:t>(6), 1525-1533 (2014).</w:t>
      </w:r>
    </w:p>
    <w:p w14:paraId="6403ED1D" w14:textId="09510D49"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Jacob N., et al. Inflammation-independent TL1A-mediated intestinal fibrosis is dependent on the gut microbiome. </w:t>
      </w:r>
      <w:r w:rsidRPr="0070631B">
        <w:rPr>
          <w:rFonts w:eastAsia="Times New Roman"/>
          <w:i/>
          <w:sz w:val="24"/>
          <w:szCs w:val="24"/>
          <w:highlight w:val="white"/>
        </w:rPr>
        <w:t>Mucosal Immunology</w:t>
      </w:r>
      <w:r w:rsidRPr="0070631B">
        <w:rPr>
          <w:rFonts w:eastAsia="Times New Roman"/>
          <w:sz w:val="24"/>
          <w:szCs w:val="24"/>
          <w:highlight w:val="white"/>
        </w:rPr>
        <w:t xml:space="preserve">. </w:t>
      </w:r>
      <w:r w:rsidRPr="00985FD1">
        <w:rPr>
          <w:rFonts w:eastAsia="Times New Roman"/>
          <w:b/>
          <w:bCs/>
          <w:sz w:val="24"/>
          <w:szCs w:val="24"/>
          <w:highlight w:val="white"/>
        </w:rPr>
        <w:t>11</w:t>
      </w:r>
      <w:r w:rsidR="00985FD1">
        <w:rPr>
          <w:rFonts w:eastAsia="Times New Roman"/>
          <w:sz w:val="24"/>
          <w:szCs w:val="24"/>
          <w:highlight w:val="white"/>
        </w:rPr>
        <w:t xml:space="preserve"> </w:t>
      </w:r>
      <w:r w:rsidRPr="0070631B">
        <w:rPr>
          <w:rFonts w:eastAsia="Times New Roman"/>
          <w:sz w:val="24"/>
          <w:szCs w:val="24"/>
          <w:highlight w:val="white"/>
        </w:rPr>
        <w:t xml:space="preserve">(5), 1466-1476 (2018). </w:t>
      </w:r>
    </w:p>
    <w:p w14:paraId="05AC4FB9" w14:textId="6623F2AB"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Fujimori S. What are the effects of proton pump inhibitors on the small intestine? </w:t>
      </w:r>
      <w:r w:rsidRPr="0070631B">
        <w:rPr>
          <w:rFonts w:eastAsia="Times New Roman"/>
          <w:i/>
          <w:sz w:val="24"/>
          <w:szCs w:val="24"/>
          <w:highlight w:val="white"/>
        </w:rPr>
        <w:t>World Journal of Gastroenterology</w:t>
      </w:r>
      <w:r w:rsidRPr="0070631B">
        <w:rPr>
          <w:rFonts w:eastAsia="Times New Roman"/>
          <w:sz w:val="24"/>
          <w:szCs w:val="24"/>
          <w:highlight w:val="white"/>
        </w:rPr>
        <w:t xml:space="preserve">. </w:t>
      </w:r>
      <w:r w:rsidRPr="00985FD1">
        <w:rPr>
          <w:rFonts w:eastAsia="Times New Roman"/>
          <w:b/>
          <w:bCs/>
          <w:sz w:val="24"/>
          <w:szCs w:val="24"/>
          <w:highlight w:val="white"/>
        </w:rPr>
        <w:t>21</w:t>
      </w:r>
      <w:r w:rsidR="00985FD1">
        <w:rPr>
          <w:rFonts w:eastAsia="Times New Roman"/>
          <w:sz w:val="24"/>
          <w:szCs w:val="24"/>
          <w:highlight w:val="white"/>
        </w:rPr>
        <w:t xml:space="preserve"> </w:t>
      </w:r>
      <w:r w:rsidRPr="0070631B">
        <w:rPr>
          <w:rFonts w:eastAsia="Times New Roman"/>
          <w:sz w:val="24"/>
          <w:szCs w:val="24"/>
          <w:highlight w:val="white"/>
        </w:rPr>
        <w:t xml:space="preserve">(22), 6817-6819 (2015). </w:t>
      </w:r>
    </w:p>
    <w:p w14:paraId="3E7B2C0C" w14:textId="23A7115C"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Garcia-Tsao, G., </w:t>
      </w:r>
      <w:proofErr w:type="spellStart"/>
      <w:r w:rsidRPr="0070631B">
        <w:rPr>
          <w:rFonts w:eastAsia="Times New Roman"/>
          <w:sz w:val="24"/>
          <w:szCs w:val="24"/>
          <w:highlight w:val="white"/>
        </w:rPr>
        <w:t>Abraldes</w:t>
      </w:r>
      <w:proofErr w:type="spellEnd"/>
      <w:r w:rsidRPr="0070631B">
        <w:rPr>
          <w:rFonts w:eastAsia="Times New Roman"/>
          <w:sz w:val="24"/>
          <w:szCs w:val="24"/>
          <w:highlight w:val="white"/>
        </w:rPr>
        <w:t xml:space="preserve">, J.G., </w:t>
      </w:r>
      <w:proofErr w:type="spellStart"/>
      <w:r w:rsidRPr="0070631B">
        <w:rPr>
          <w:rFonts w:eastAsia="Times New Roman"/>
          <w:sz w:val="24"/>
          <w:szCs w:val="24"/>
          <w:highlight w:val="white"/>
        </w:rPr>
        <w:t>Berzigotti</w:t>
      </w:r>
      <w:proofErr w:type="spellEnd"/>
      <w:r w:rsidRPr="0070631B">
        <w:rPr>
          <w:rFonts w:eastAsia="Times New Roman"/>
          <w:sz w:val="24"/>
          <w:szCs w:val="24"/>
          <w:highlight w:val="white"/>
        </w:rPr>
        <w:t xml:space="preserve">, A., Bosch, J. Portal hypertensive bleeding in cirrhosis: Risk stratification, diagnosis, and management: 2016 practice guidance by the American Association for the study of liver diseases. </w:t>
      </w:r>
      <w:r w:rsidRPr="0070631B">
        <w:rPr>
          <w:rFonts w:eastAsia="Times New Roman"/>
          <w:i/>
          <w:sz w:val="24"/>
          <w:szCs w:val="24"/>
          <w:highlight w:val="white"/>
        </w:rPr>
        <w:t>Hepatology.</w:t>
      </w:r>
      <w:r w:rsidRPr="0070631B">
        <w:rPr>
          <w:rFonts w:eastAsia="Times New Roman"/>
          <w:sz w:val="24"/>
          <w:szCs w:val="24"/>
          <w:highlight w:val="white"/>
        </w:rPr>
        <w:t xml:space="preserve"> </w:t>
      </w:r>
      <w:r w:rsidRPr="00985FD1">
        <w:rPr>
          <w:rFonts w:eastAsia="Times New Roman"/>
          <w:b/>
          <w:bCs/>
          <w:sz w:val="24"/>
          <w:szCs w:val="24"/>
          <w:highlight w:val="white"/>
        </w:rPr>
        <w:t>65</w:t>
      </w:r>
      <w:r w:rsidR="00985FD1">
        <w:rPr>
          <w:rFonts w:eastAsia="Times New Roman"/>
          <w:sz w:val="24"/>
          <w:szCs w:val="24"/>
          <w:highlight w:val="white"/>
        </w:rPr>
        <w:t xml:space="preserve"> </w:t>
      </w:r>
      <w:r w:rsidRPr="0070631B">
        <w:rPr>
          <w:rFonts w:eastAsia="Times New Roman"/>
          <w:sz w:val="24"/>
          <w:szCs w:val="24"/>
          <w:highlight w:val="white"/>
        </w:rPr>
        <w:t xml:space="preserve">(1), 310-335 (2016). </w:t>
      </w:r>
    </w:p>
    <w:p w14:paraId="165598E9" w14:textId="77777777"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Prodan, A., </w:t>
      </w:r>
      <w:proofErr w:type="spellStart"/>
      <w:r w:rsidRPr="0070631B">
        <w:rPr>
          <w:rFonts w:eastAsia="Times New Roman"/>
          <w:sz w:val="24"/>
          <w:szCs w:val="24"/>
          <w:highlight w:val="white"/>
        </w:rPr>
        <w:t>Tremaroli</w:t>
      </w:r>
      <w:proofErr w:type="spellEnd"/>
      <w:r w:rsidRPr="0070631B">
        <w:rPr>
          <w:rFonts w:eastAsia="Times New Roman"/>
          <w:sz w:val="24"/>
          <w:szCs w:val="24"/>
          <w:highlight w:val="white"/>
        </w:rPr>
        <w:t xml:space="preserve">, V., Brolin, H, </w:t>
      </w:r>
      <w:proofErr w:type="spellStart"/>
      <w:r w:rsidRPr="0070631B">
        <w:rPr>
          <w:rFonts w:eastAsia="Times New Roman"/>
          <w:sz w:val="24"/>
          <w:szCs w:val="24"/>
          <w:highlight w:val="white"/>
        </w:rPr>
        <w:t>Zwinderman</w:t>
      </w:r>
      <w:proofErr w:type="spellEnd"/>
      <w:r w:rsidRPr="0070631B">
        <w:rPr>
          <w:rFonts w:eastAsia="Times New Roman"/>
          <w:sz w:val="24"/>
          <w:szCs w:val="24"/>
          <w:highlight w:val="white"/>
        </w:rPr>
        <w:t xml:space="preserve">, A.H., </w:t>
      </w:r>
      <w:proofErr w:type="spellStart"/>
      <w:r w:rsidRPr="0070631B">
        <w:rPr>
          <w:rFonts w:eastAsia="Times New Roman"/>
          <w:sz w:val="24"/>
          <w:szCs w:val="24"/>
          <w:highlight w:val="white"/>
        </w:rPr>
        <w:t>Nieuwdorp</w:t>
      </w:r>
      <w:proofErr w:type="spellEnd"/>
      <w:r w:rsidRPr="0070631B">
        <w:rPr>
          <w:rFonts w:eastAsia="Times New Roman"/>
          <w:sz w:val="24"/>
          <w:szCs w:val="24"/>
          <w:highlight w:val="white"/>
        </w:rPr>
        <w:t xml:space="preserve">, M., Levin, E. Comparing bioinformatic pipelines for microbial 16S rRNA amplicon sequencing. </w:t>
      </w:r>
      <w:proofErr w:type="spellStart"/>
      <w:r w:rsidRPr="0070631B">
        <w:rPr>
          <w:rFonts w:eastAsia="Times New Roman"/>
          <w:i/>
          <w:sz w:val="24"/>
          <w:szCs w:val="24"/>
          <w:highlight w:val="white"/>
        </w:rPr>
        <w:t>PLoS</w:t>
      </w:r>
      <w:proofErr w:type="spellEnd"/>
      <w:r w:rsidRPr="0070631B">
        <w:rPr>
          <w:rFonts w:eastAsia="Times New Roman"/>
          <w:i/>
          <w:sz w:val="24"/>
          <w:szCs w:val="24"/>
          <w:highlight w:val="white"/>
        </w:rPr>
        <w:t xml:space="preserve"> One</w:t>
      </w:r>
      <w:r w:rsidRPr="0070631B">
        <w:rPr>
          <w:rFonts w:eastAsia="Times New Roman"/>
          <w:sz w:val="24"/>
          <w:szCs w:val="24"/>
          <w:highlight w:val="white"/>
        </w:rPr>
        <w:t xml:space="preserve">. </w:t>
      </w:r>
      <w:r w:rsidRPr="00985FD1">
        <w:rPr>
          <w:rFonts w:eastAsia="Times New Roman"/>
          <w:b/>
          <w:bCs/>
          <w:sz w:val="24"/>
          <w:szCs w:val="24"/>
          <w:highlight w:val="white"/>
        </w:rPr>
        <w:t>15</w:t>
      </w:r>
      <w:r w:rsidRPr="0070631B">
        <w:rPr>
          <w:rFonts w:eastAsia="Times New Roman"/>
          <w:sz w:val="24"/>
          <w:szCs w:val="24"/>
          <w:highlight w:val="white"/>
        </w:rPr>
        <w:t>(1), 2019.</w:t>
      </w:r>
    </w:p>
    <w:p w14:paraId="6CD7E03C" w14:textId="77777777"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proofErr w:type="spellStart"/>
      <w:r w:rsidRPr="0070631B">
        <w:rPr>
          <w:rFonts w:eastAsia="Times New Roman"/>
          <w:sz w:val="24"/>
          <w:szCs w:val="24"/>
          <w:highlight w:val="white"/>
        </w:rPr>
        <w:t>Bolyen</w:t>
      </w:r>
      <w:proofErr w:type="spellEnd"/>
      <w:r w:rsidRPr="0070631B">
        <w:rPr>
          <w:rFonts w:eastAsia="Times New Roman"/>
          <w:sz w:val="24"/>
          <w:szCs w:val="24"/>
          <w:highlight w:val="white"/>
        </w:rPr>
        <w:t xml:space="preserve">, E. et al. Reproducible, interactive, scalable and extensible microbiome data science using QIIME 2. </w:t>
      </w:r>
      <w:r w:rsidRPr="0070631B">
        <w:rPr>
          <w:rFonts w:eastAsia="Times New Roman"/>
          <w:i/>
          <w:sz w:val="24"/>
          <w:szCs w:val="24"/>
          <w:highlight w:val="white"/>
        </w:rPr>
        <w:t>Nature Biotechnology</w:t>
      </w:r>
      <w:r w:rsidRPr="0070631B">
        <w:rPr>
          <w:rFonts w:eastAsia="Times New Roman"/>
          <w:sz w:val="24"/>
          <w:szCs w:val="24"/>
          <w:highlight w:val="white"/>
        </w:rPr>
        <w:t xml:space="preserve">. </w:t>
      </w:r>
      <w:r w:rsidRPr="00985FD1">
        <w:rPr>
          <w:rFonts w:eastAsia="Times New Roman"/>
          <w:b/>
          <w:bCs/>
          <w:sz w:val="24"/>
          <w:szCs w:val="24"/>
          <w:highlight w:val="white"/>
        </w:rPr>
        <w:t>37</w:t>
      </w:r>
      <w:r w:rsidRPr="0070631B">
        <w:rPr>
          <w:rFonts w:eastAsia="Times New Roman"/>
          <w:sz w:val="24"/>
          <w:szCs w:val="24"/>
          <w:highlight w:val="white"/>
        </w:rPr>
        <w:t>, 852-857 (2019).</w:t>
      </w:r>
    </w:p>
    <w:p w14:paraId="30C2437A" w14:textId="00FE64F9"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Li, G. et al. Diversity of Duodenal and Rectal Microbiota in Biopsy Tissues and Luminal Contents in Healthy Volunteers. </w:t>
      </w:r>
      <w:r w:rsidRPr="0070631B">
        <w:rPr>
          <w:rFonts w:eastAsia="Times New Roman"/>
          <w:i/>
          <w:sz w:val="24"/>
          <w:szCs w:val="24"/>
          <w:highlight w:val="white"/>
        </w:rPr>
        <w:t>Journal of Microbiology and Biotechnology</w:t>
      </w:r>
      <w:r w:rsidRPr="0070631B">
        <w:rPr>
          <w:rFonts w:eastAsia="Times New Roman"/>
          <w:sz w:val="24"/>
          <w:szCs w:val="24"/>
          <w:highlight w:val="white"/>
        </w:rPr>
        <w:t xml:space="preserve">. </w:t>
      </w:r>
      <w:r w:rsidRPr="00985FD1">
        <w:rPr>
          <w:rFonts w:eastAsia="Times New Roman"/>
          <w:b/>
          <w:bCs/>
          <w:sz w:val="24"/>
          <w:szCs w:val="24"/>
          <w:highlight w:val="white"/>
        </w:rPr>
        <w:t>25</w:t>
      </w:r>
      <w:r w:rsidR="00985FD1">
        <w:rPr>
          <w:rFonts w:eastAsia="Times New Roman"/>
          <w:sz w:val="24"/>
          <w:szCs w:val="24"/>
          <w:highlight w:val="white"/>
        </w:rPr>
        <w:t xml:space="preserve"> </w:t>
      </w:r>
      <w:r w:rsidRPr="0070631B">
        <w:rPr>
          <w:rFonts w:eastAsia="Times New Roman"/>
          <w:sz w:val="24"/>
          <w:szCs w:val="24"/>
          <w:highlight w:val="white"/>
        </w:rPr>
        <w:t>(7), 1136-1145 (2015).</w:t>
      </w:r>
    </w:p>
    <w:p w14:paraId="27A36588" w14:textId="25D7E9D5"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de Groot, P.F. et al. Distinct fecal and oral microbiota composition in human type 1 diabetes, an observational study. </w:t>
      </w:r>
      <w:proofErr w:type="spellStart"/>
      <w:r w:rsidRPr="0070631B">
        <w:rPr>
          <w:rFonts w:eastAsia="Times New Roman"/>
          <w:i/>
          <w:sz w:val="24"/>
          <w:szCs w:val="24"/>
          <w:highlight w:val="white"/>
        </w:rPr>
        <w:t>PLoS</w:t>
      </w:r>
      <w:proofErr w:type="spellEnd"/>
      <w:r w:rsidRPr="0070631B">
        <w:rPr>
          <w:rFonts w:eastAsia="Times New Roman"/>
          <w:i/>
          <w:sz w:val="24"/>
          <w:szCs w:val="24"/>
          <w:highlight w:val="white"/>
        </w:rPr>
        <w:t xml:space="preserve"> One</w:t>
      </w:r>
      <w:r w:rsidRPr="0070631B">
        <w:rPr>
          <w:rFonts w:eastAsia="Times New Roman"/>
          <w:sz w:val="24"/>
          <w:szCs w:val="24"/>
          <w:highlight w:val="white"/>
        </w:rPr>
        <w:t xml:space="preserve">. </w:t>
      </w:r>
      <w:r w:rsidRPr="00985FD1">
        <w:rPr>
          <w:rFonts w:eastAsia="Times New Roman"/>
          <w:b/>
          <w:bCs/>
          <w:sz w:val="24"/>
          <w:szCs w:val="24"/>
          <w:highlight w:val="white"/>
        </w:rPr>
        <w:t>12</w:t>
      </w:r>
      <w:r w:rsidR="00985FD1">
        <w:rPr>
          <w:rFonts w:eastAsia="Times New Roman"/>
          <w:sz w:val="24"/>
          <w:szCs w:val="24"/>
          <w:highlight w:val="white"/>
        </w:rPr>
        <w:t xml:space="preserve"> </w:t>
      </w:r>
      <w:r w:rsidRPr="0070631B">
        <w:rPr>
          <w:rFonts w:eastAsia="Times New Roman"/>
          <w:sz w:val="24"/>
          <w:szCs w:val="24"/>
          <w:highlight w:val="white"/>
        </w:rPr>
        <w:t xml:space="preserve">(12) (2017). </w:t>
      </w:r>
    </w:p>
    <w:p w14:paraId="427ACD73" w14:textId="49A78550"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Kong, X. et al. New and Preliminary Evidence on Altered Oral and Gut Microbiota in Individuals with Autism Spectrum Disorder (ASD): Implications for ASD Diagnosis and Subtyping Based on Microbial Biomarkers. </w:t>
      </w:r>
      <w:r w:rsidRPr="0070631B">
        <w:rPr>
          <w:rFonts w:eastAsia="Times New Roman"/>
          <w:i/>
          <w:sz w:val="24"/>
          <w:szCs w:val="24"/>
          <w:highlight w:val="white"/>
        </w:rPr>
        <w:t>Nutrients</w:t>
      </w:r>
      <w:r w:rsidRPr="0070631B">
        <w:rPr>
          <w:rFonts w:eastAsia="Times New Roman"/>
          <w:sz w:val="24"/>
          <w:szCs w:val="24"/>
          <w:highlight w:val="white"/>
        </w:rPr>
        <w:t xml:space="preserve">. </w:t>
      </w:r>
      <w:r w:rsidRPr="00985FD1">
        <w:rPr>
          <w:rFonts w:eastAsia="Times New Roman"/>
          <w:b/>
          <w:bCs/>
          <w:sz w:val="24"/>
          <w:szCs w:val="24"/>
          <w:highlight w:val="white"/>
        </w:rPr>
        <w:t>11</w:t>
      </w:r>
      <w:r w:rsidR="00985FD1">
        <w:rPr>
          <w:rFonts w:eastAsia="Times New Roman"/>
          <w:sz w:val="24"/>
          <w:szCs w:val="24"/>
          <w:highlight w:val="white"/>
        </w:rPr>
        <w:t xml:space="preserve"> </w:t>
      </w:r>
      <w:r w:rsidRPr="0070631B">
        <w:rPr>
          <w:rFonts w:eastAsia="Times New Roman"/>
          <w:sz w:val="24"/>
          <w:szCs w:val="24"/>
          <w:highlight w:val="white"/>
        </w:rPr>
        <w:t xml:space="preserve">(9):2128 (2019). </w:t>
      </w:r>
      <w:proofErr w:type="spellStart"/>
      <w:r w:rsidRPr="0070631B">
        <w:rPr>
          <w:rFonts w:eastAsia="Times New Roman"/>
          <w:sz w:val="24"/>
          <w:szCs w:val="24"/>
          <w:highlight w:val="white"/>
        </w:rPr>
        <w:t>Pijls</w:t>
      </w:r>
      <w:proofErr w:type="spellEnd"/>
      <w:r w:rsidRPr="0070631B">
        <w:rPr>
          <w:rFonts w:eastAsia="Times New Roman"/>
          <w:sz w:val="24"/>
          <w:szCs w:val="24"/>
          <w:highlight w:val="white"/>
        </w:rPr>
        <w:t xml:space="preserve">, K.E., </w:t>
      </w:r>
      <w:proofErr w:type="spellStart"/>
      <w:r w:rsidRPr="0070631B">
        <w:rPr>
          <w:rFonts w:eastAsia="Times New Roman"/>
          <w:sz w:val="24"/>
          <w:szCs w:val="24"/>
          <w:highlight w:val="white"/>
        </w:rPr>
        <w:t>Jonkers</w:t>
      </w:r>
      <w:proofErr w:type="spellEnd"/>
      <w:r w:rsidRPr="0070631B">
        <w:rPr>
          <w:rFonts w:eastAsia="Times New Roman"/>
          <w:sz w:val="24"/>
          <w:szCs w:val="24"/>
          <w:highlight w:val="white"/>
        </w:rPr>
        <w:t xml:space="preserve">, D.M.A.E., </w:t>
      </w:r>
      <w:proofErr w:type="spellStart"/>
      <w:r w:rsidRPr="0070631B">
        <w:rPr>
          <w:rFonts w:eastAsia="Times New Roman"/>
          <w:sz w:val="24"/>
          <w:szCs w:val="24"/>
          <w:highlight w:val="white"/>
        </w:rPr>
        <w:t>Elamin</w:t>
      </w:r>
      <w:proofErr w:type="spellEnd"/>
      <w:r w:rsidRPr="0070631B">
        <w:rPr>
          <w:rFonts w:eastAsia="Times New Roman"/>
          <w:sz w:val="24"/>
          <w:szCs w:val="24"/>
          <w:highlight w:val="white"/>
        </w:rPr>
        <w:t xml:space="preserve">, E.E., </w:t>
      </w:r>
      <w:proofErr w:type="spellStart"/>
      <w:r w:rsidRPr="0070631B">
        <w:rPr>
          <w:rFonts w:eastAsia="Times New Roman"/>
          <w:sz w:val="24"/>
          <w:szCs w:val="24"/>
          <w:highlight w:val="white"/>
        </w:rPr>
        <w:t>Masclee</w:t>
      </w:r>
      <w:proofErr w:type="spellEnd"/>
      <w:r w:rsidRPr="0070631B">
        <w:rPr>
          <w:rFonts w:eastAsia="Times New Roman"/>
          <w:sz w:val="24"/>
          <w:szCs w:val="24"/>
          <w:highlight w:val="white"/>
        </w:rPr>
        <w:t xml:space="preserve">, A.A.M., </w:t>
      </w:r>
      <w:proofErr w:type="spellStart"/>
      <w:r w:rsidRPr="0070631B">
        <w:rPr>
          <w:rFonts w:eastAsia="Times New Roman"/>
          <w:sz w:val="24"/>
          <w:szCs w:val="24"/>
          <w:highlight w:val="white"/>
        </w:rPr>
        <w:t>Koek</w:t>
      </w:r>
      <w:proofErr w:type="spellEnd"/>
      <w:r w:rsidRPr="0070631B">
        <w:rPr>
          <w:rFonts w:eastAsia="Times New Roman"/>
          <w:sz w:val="24"/>
          <w:szCs w:val="24"/>
          <w:highlight w:val="white"/>
        </w:rPr>
        <w:t xml:space="preserve">, G.H. Intestinal epithelial barrier function in liver cirrhosis: an extensive review of the literature. </w:t>
      </w:r>
      <w:r w:rsidRPr="0070631B">
        <w:rPr>
          <w:rFonts w:eastAsia="Times New Roman"/>
          <w:i/>
          <w:sz w:val="24"/>
          <w:szCs w:val="24"/>
          <w:highlight w:val="white"/>
        </w:rPr>
        <w:t>Liver International</w:t>
      </w:r>
      <w:r w:rsidRPr="0070631B">
        <w:rPr>
          <w:rFonts w:eastAsia="Times New Roman"/>
          <w:sz w:val="24"/>
          <w:szCs w:val="24"/>
          <w:highlight w:val="white"/>
        </w:rPr>
        <w:t xml:space="preserve">. </w:t>
      </w:r>
      <w:r w:rsidRPr="00985FD1">
        <w:rPr>
          <w:rFonts w:eastAsia="Times New Roman"/>
          <w:b/>
          <w:bCs/>
          <w:sz w:val="24"/>
          <w:szCs w:val="24"/>
          <w:highlight w:val="white"/>
        </w:rPr>
        <w:t>33</w:t>
      </w:r>
      <w:r w:rsidR="00985FD1">
        <w:rPr>
          <w:rFonts w:eastAsia="Times New Roman"/>
          <w:sz w:val="24"/>
          <w:szCs w:val="24"/>
          <w:highlight w:val="white"/>
        </w:rPr>
        <w:t xml:space="preserve"> </w:t>
      </w:r>
      <w:r w:rsidRPr="0070631B">
        <w:rPr>
          <w:rFonts w:eastAsia="Times New Roman"/>
          <w:sz w:val="24"/>
          <w:szCs w:val="24"/>
          <w:highlight w:val="white"/>
        </w:rPr>
        <w:t xml:space="preserve">(10), 1457-1469 (2013). </w:t>
      </w:r>
    </w:p>
    <w:p w14:paraId="7C2893B5" w14:textId="69A8797A"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proofErr w:type="spellStart"/>
      <w:r w:rsidRPr="0070631B">
        <w:rPr>
          <w:rFonts w:eastAsia="Times New Roman"/>
          <w:sz w:val="24"/>
          <w:szCs w:val="24"/>
          <w:highlight w:val="white"/>
        </w:rPr>
        <w:t>Dethlefsen</w:t>
      </w:r>
      <w:proofErr w:type="spellEnd"/>
      <w:r w:rsidRPr="0070631B">
        <w:rPr>
          <w:rFonts w:eastAsia="Times New Roman"/>
          <w:sz w:val="24"/>
          <w:szCs w:val="24"/>
          <w:highlight w:val="white"/>
        </w:rPr>
        <w:t xml:space="preserve"> L., </w:t>
      </w:r>
      <w:proofErr w:type="spellStart"/>
      <w:r w:rsidRPr="0070631B">
        <w:rPr>
          <w:rFonts w:eastAsia="Times New Roman"/>
          <w:sz w:val="24"/>
          <w:szCs w:val="24"/>
          <w:highlight w:val="white"/>
        </w:rPr>
        <w:t>Huse</w:t>
      </w:r>
      <w:proofErr w:type="spellEnd"/>
      <w:r w:rsidRPr="0070631B">
        <w:rPr>
          <w:rFonts w:eastAsia="Times New Roman"/>
          <w:sz w:val="24"/>
          <w:szCs w:val="24"/>
          <w:highlight w:val="white"/>
        </w:rPr>
        <w:t xml:space="preserve"> S., </w:t>
      </w:r>
      <w:proofErr w:type="spellStart"/>
      <w:r w:rsidRPr="0070631B">
        <w:rPr>
          <w:rFonts w:eastAsia="Times New Roman"/>
          <w:sz w:val="24"/>
          <w:szCs w:val="24"/>
          <w:highlight w:val="white"/>
        </w:rPr>
        <w:t>Sogin</w:t>
      </w:r>
      <w:proofErr w:type="spellEnd"/>
      <w:r w:rsidRPr="0070631B">
        <w:rPr>
          <w:rFonts w:eastAsia="Times New Roman"/>
          <w:sz w:val="24"/>
          <w:szCs w:val="24"/>
          <w:highlight w:val="white"/>
        </w:rPr>
        <w:t xml:space="preserve"> M.L., </w:t>
      </w:r>
      <w:proofErr w:type="spellStart"/>
      <w:r w:rsidRPr="0070631B">
        <w:rPr>
          <w:rFonts w:eastAsia="Times New Roman"/>
          <w:sz w:val="24"/>
          <w:szCs w:val="24"/>
          <w:highlight w:val="white"/>
        </w:rPr>
        <w:t>Relman</w:t>
      </w:r>
      <w:proofErr w:type="spellEnd"/>
      <w:r w:rsidRPr="0070631B">
        <w:rPr>
          <w:rFonts w:eastAsia="Times New Roman"/>
          <w:sz w:val="24"/>
          <w:szCs w:val="24"/>
          <w:highlight w:val="white"/>
        </w:rPr>
        <w:t xml:space="preserve"> D.A. The Pervasive Effects of an Antibiotic on the Human Gut Microbiota, as Revealed by Deep 16S rRNA Sequencing. </w:t>
      </w:r>
      <w:r w:rsidRPr="0070631B">
        <w:rPr>
          <w:rFonts w:eastAsia="Times New Roman"/>
          <w:i/>
          <w:sz w:val="24"/>
          <w:szCs w:val="24"/>
          <w:highlight w:val="white"/>
        </w:rPr>
        <w:t>PLOS Biology.</w:t>
      </w:r>
      <w:r w:rsidRPr="0070631B">
        <w:rPr>
          <w:rFonts w:eastAsia="Times New Roman"/>
          <w:sz w:val="24"/>
          <w:szCs w:val="24"/>
          <w:highlight w:val="white"/>
        </w:rPr>
        <w:t xml:space="preserve"> </w:t>
      </w:r>
      <w:r w:rsidRPr="00985FD1">
        <w:rPr>
          <w:rFonts w:eastAsia="Times New Roman"/>
          <w:b/>
          <w:bCs/>
          <w:sz w:val="24"/>
          <w:szCs w:val="24"/>
          <w:highlight w:val="white"/>
        </w:rPr>
        <w:t>6</w:t>
      </w:r>
      <w:r w:rsidR="00985FD1">
        <w:rPr>
          <w:rFonts w:eastAsia="Times New Roman"/>
          <w:sz w:val="24"/>
          <w:szCs w:val="24"/>
          <w:highlight w:val="white"/>
        </w:rPr>
        <w:t xml:space="preserve"> </w:t>
      </w:r>
      <w:r w:rsidRPr="0070631B">
        <w:rPr>
          <w:rFonts w:eastAsia="Times New Roman"/>
          <w:sz w:val="24"/>
          <w:szCs w:val="24"/>
          <w:highlight w:val="white"/>
        </w:rPr>
        <w:t xml:space="preserve">(11), e280 (2008). </w:t>
      </w:r>
    </w:p>
    <w:p w14:paraId="3BB78C47" w14:textId="07992FE3"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proofErr w:type="spellStart"/>
      <w:r w:rsidRPr="0070631B">
        <w:rPr>
          <w:rFonts w:eastAsia="Times New Roman"/>
          <w:sz w:val="24"/>
          <w:szCs w:val="24"/>
          <w:highlight w:val="white"/>
        </w:rPr>
        <w:t>Dethlefsen</w:t>
      </w:r>
      <w:proofErr w:type="spellEnd"/>
      <w:r w:rsidRPr="0070631B">
        <w:rPr>
          <w:rFonts w:eastAsia="Times New Roman"/>
          <w:sz w:val="24"/>
          <w:szCs w:val="24"/>
          <w:highlight w:val="white"/>
        </w:rPr>
        <w:t xml:space="preserve">, L., </w:t>
      </w:r>
      <w:proofErr w:type="spellStart"/>
      <w:r w:rsidRPr="0070631B">
        <w:rPr>
          <w:rFonts w:eastAsia="Times New Roman"/>
          <w:sz w:val="24"/>
          <w:szCs w:val="24"/>
          <w:highlight w:val="white"/>
        </w:rPr>
        <w:t>Relman</w:t>
      </w:r>
      <w:proofErr w:type="spellEnd"/>
      <w:r w:rsidRPr="0070631B">
        <w:rPr>
          <w:rFonts w:eastAsia="Times New Roman"/>
          <w:sz w:val="24"/>
          <w:szCs w:val="24"/>
          <w:highlight w:val="white"/>
        </w:rPr>
        <w:t xml:space="preserve">, D.A. Incomplete recovery and individualized responses of the human distal gut microbiota to repeated antibiotic perturbation. </w:t>
      </w:r>
      <w:r w:rsidRPr="0070631B">
        <w:rPr>
          <w:rFonts w:eastAsia="Times New Roman"/>
          <w:i/>
          <w:sz w:val="24"/>
          <w:szCs w:val="24"/>
          <w:highlight w:val="white"/>
        </w:rPr>
        <w:t xml:space="preserve">PNAS. </w:t>
      </w:r>
      <w:r w:rsidRPr="0070631B">
        <w:rPr>
          <w:rFonts w:eastAsia="Times New Roman"/>
          <w:sz w:val="24"/>
          <w:szCs w:val="24"/>
          <w:highlight w:val="white"/>
        </w:rPr>
        <w:t>2011;</w:t>
      </w:r>
      <w:r w:rsidR="00985FD1">
        <w:rPr>
          <w:rFonts w:eastAsia="Times New Roman"/>
          <w:sz w:val="24"/>
          <w:szCs w:val="24"/>
          <w:highlight w:val="white"/>
        </w:rPr>
        <w:t xml:space="preserve"> </w:t>
      </w:r>
      <w:r w:rsidRPr="00985FD1">
        <w:rPr>
          <w:rFonts w:eastAsia="Times New Roman"/>
          <w:b/>
          <w:bCs/>
          <w:sz w:val="24"/>
          <w:szCs w:val="24"/>
          <w:highlight w:val="white"/>
        </w:rPr>
        <w:t>108</w:t>
      </w:r>
      <w:r w:rsidR="00985FD1">
        <w:rPr>
          <w:rFonts w:eastAsia="Times New Roman"/>
          <w:sz w:val="24"/>
          <w:szCs w:val="24"/>
          <w:highlight w:val="white"/>
        </w:rPr>
        <w:t xml:space="preserve"> </w:t>
      </w:r>
      <w:r w:rsidRPr="0070631B">
        <w:rPr>
          <w:rFonts w:eastAsia="Times New Roman"/>
          <w:sz w:val="24"/>
          <w:szCs w:val="24"/>
          <w:highlight w:val="white"/>
        </w:rPr>
        <w:t xml:space="preserve">(1):4554-4561. </w:t>
      </w:r>
    </w:p>
    <w:p w14:paraId="0B8D4DA6" w14:textId="76498341" w:rsidR="004E1FDD" w:rsidRPr="0070631B"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70631B">
        <w:rPr>
          <w:rFonts w:eastAsia="Times New Roman"/>
          <w:sz w:val="24"/>
          <w:szCs w:val="24"/>
          <w:highlight w:val="white"/>
        </w:rPr>
        <w:t xml:space="preserve">Williams, R.C., Showalter, R., Kern Jr., F. In vivo effect of bile salts and cholestyramine on intestinal anaerobic bacteria. Gastroenterology. </w:t>
      </w:r>
      <w:r w:rsidRPr="00985FD1">
        <w:rPr>
          <w:rFonts w:eastAsia="Times New Roman"/>
          <w:b/>
          <w:bCs/>
          <w:sz w:val="24"/>
          <w:szCs w:val="24"/>
          <w:highlight w:val="white"/>
        </w:rPr>
        <w:t>69</w:t>
      </w:r>
      <w:r w:rsidR="00985FD1">
        <w:rPr>
          <w:rFonts w:eastAsia="Times New Roman"/>
          <w:sz w:val="24"/>
          <w:szCs w:val="24"/>
          <w:highlight w:val="white"/>
        </w:rPr>
        <w:t xml:space="preserve"> </w:t>
      </w:r>
      <w:r w:rsidRPr="0070631B">
        <w:rPr>
          <w:rFonts w:eastAsia="Times New Roman"/>
          <w:sz w:val="24"/>
          <w:szCs w:val="24"/>
          <w:highlight w:val="white"/>
        </w:rPr>
        <w:t>(2), 483-491 (1975).</w:t>
      </w:r>
    </w:p>
    <w:p w14:paraId="4A8CB553" w14:textId="77777777" w:rsidR="0015678D"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proofErr w:type="spellStart"/>
      <w:r w:rsidRPr="0070631B">
        <w:rPr>
          <w:rFonts w:eastAsia="Times New Roman"/>
          <w:sz w:val="24"/>
          <w:szCs w:val="24"/>
          <w:highlight w:val="white"/>
        </w:rPr>
        <w:t>Seto</w:t>
      </w:r>
      <w:proofErr w:type="spellEnd"/>
      <w:r w:rsidRPr="0070631B">
        <w:rPr>
          <w:rFonts w:eastAsia="Times New Roman"/>
          <w:sz w:val="24"/>
          <w:szCs w:val="24"/>
          <w:highlight w:val="white"/>
        </w:rPr>
        <w:t xml:space="preserve">, C.T., </w:t>
      </w:r>
      <w:proofErr w:type="spellStart"/>
      <w:r w:rsidRPr="0070631B">
        <w:rPr>
          <w:rFonts w:eastAsia="Times New Roman"/>
          <w:sz w:val="24"/>
          <w:szCs w:val="24"/>
          <w:highlight w:val="white"/>
        </w:rPr>
        <w:t>Jeralod</w:t>
      </w:r>
      <w:proofErr w:type="spellEnd"/>
      <w:r w:rsidRPr="0070631B">
        <w:rPr>
          <w:rFonts w:eastAsia="Times New Roman"/>
          <w:sz w:val="24"/>
          <w:szCs w:val="24"/>
          <w:highlight w:val="white"/>
        </w:rPr>
        <w:t xml:space="preserve">, P., Orenstein, R., Chia, N., </w:t>
      </w:r>
      <w:proofErr w:type="spellStart"/>
      <w:r w:rsidRPr="0070631B">
        <w:rPr>
          <w:rFonts w:eastAsia="Times New Roman"/>
          <w:sz w:val="24"/>
          <w:szCs w:val="24"/>
          <w:highlight w:val="white"/>
        </w:rPr>
        <w:t>DiBiase</w:t>
      </w:r>
      <w:proofErr w:type="spellEnd"/>
      <w:r w:rsidRPr="0070631B">
        <w:rPr>
          <w:rFonts w:eastAsia="Times New Roman"/>
          <w:sz w:val="24"/>
          <w:szCs w:val="24"/>
          <w:highlight w:val="white"/>
        </w:rPr>
        <w:t xml:space="preserve">, J.K. Prolonged use of a proton pump inhibitor reduces microbial diversity: implications for Clostridium difficile susceptibility. </w:t>
      </w:r>
      <w:r w:rsidRPr="00985FD1">
        <w:rPr>
          <w:rFonts w:eastAsia="Times New Roman"/>
          <w:b/>
          <w:bCs/>
          <w:sz w:val="24"/>
          <w:szCs w:val="24"/>
          <w:highlight w:val="white"/>
        </w:rPr>
        <w:t>2</w:t>
      </w:r>
      <w:r w:rsidR="00985FD1">
        <w:rPr>
          <w:rFonts w:eastAsia="Times New Roman"/>
          <w:sz w:val="24"/>
          <w:szCs w:val="24"/>
          <w:highlight w:val="white"/>
        </w:rPr>
        <w:t xml:space="preserve"> </w:t>
      </w:r>
      <w:r w:rsidRPr="0070631B">
        <w:rPr>
          <w:rFonts w:eastAsia="Times New Roman"/>
          <w:sz w:val="24"/>
          <w:szCs w:val="24"/>
          <w:highlight w:val="white"/>
        </w:rPr>
        <w:t>(42), (2014).</w:t>
      </w:r>
    </w:p>
    <w:p w14:paraId="3B0250DB" w14:textId="77777777" w:rsidR="0015678D"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r w:rsidRPr="0015678D">
        <w:rPr>
          <w:rFonts w:eastAsia="Times New Roman"/>
          <w:sz w:val="24"/>
          <w:szCs w:val="24"/>
          <w:highlight w:val="white"/>
        </w:rPr>
        <w:t xml:space="preserve">De Luca, F., </w:t>
      </w:r>
      <w:proofErr w:type="spellStart"/>
      <w:r w:rsidRPr="0015678D">
        <w:rPr>
          <w:rFonts w:eastAsia="Times New Roman"/>
          <w:sz w:val="24"/>
          <w:szCs w:val="24"/>
          <w:highlight w:val="white"/>
        </w:rPr>
        <w:t>Shoenfeld</w:t>
      </w:r>
      <w:proofErr w:type="spellEnd"/>
      <w:r w:rsidRPr="0015678D">
        <w:rPr>
          <w:rFonts w:eastAsia="Times New Roman"/>
          <w:sz w:val="24"/>
          <w:szCs w:val="24"/>
          <w:highlight w:val="white"/>
        </w:rPr>
        <w:t xml:space="preserve"> Y. The microbiome in autoimmune diseases. </w:t>
      </w:r>
      <w:r w:rsidRPr="0015678D">
        <w:rPr>
          <w:rFonts w:eastAsia="Times New Roman"/>
          <w:i/>
          <w:sz w:val="24"/>
          <w:szCs w:val="24"/>
          <w:highlight w:val="white"/>
        </w:rPr>
        <w:t>Clinical and Experimental Immunology</w:t>
      </w:r>
      <w:r w:rsidRPr="0015678D">
        <w:rPr>
          <w:rFonts w:eastAsia="Times New Roman"/>
          <w:sz w:val="24"/>
          <w:szCs w:val="24"/>
          <w:highlight w:val="white"/>
        </w:rPr>
        <w:t xml:space="preserve">. </w:t>
      </w:r>
      <w:r w:rsidRPr="0015678D">
        <w:rPr>
          <w:rFonts w:eastAsia="Times New Roman"/>
          <w:b/>
          <w:bCs/>
          <w:sz w:val="24"/>
          <w:szCs w:val="24"/>
          <w:highlight w:val="white"/>
        </w:rPr>
        <w:t>195</w:t>
      </w:r>
      <w:r w:rsidR="00985FD1" w:rsidRPr="0015678D">
        <w:rPr>
          <w:rFonts w:eastAsia="Times New Roman"/>
          <w:sz w:val="24"/>
          <w:szCs w:val="24"/>
          <w:highlight w:val="white"/>
        </w:rPr>
        <w:t xml:space="preserve"> </w:t>
      </w:r>
      <w:r w:rsidRPr="0015678D">
        <w:rPr>
          <w:rFonts w:eastAsia="Times New Roman"/>
          <w:sz w:val="24"/>
          <w:szCs w:val="24"/>
          <w:highlight w:val="white"/>
        </w:rPr>
        <w:t>(1), 74-85 (2019).</w:t>
      </w:r>
    </w:p>
    <w:p w14:paraId="0DDE760B" w14:textId="34444B1C" w:rsidR="004B698A" w:rsidRPr="0015678D" w:rsidRDefault="004E1FDD" w:rsidP="00D47367">
      <w:pPr>
        <w:numPr>
          <w:ilvl w:val="0"/>
          <w:numId w:val="2"/>
        </w:numPr>
        <w:shd w:val="clear" w:color="auto" w:fill="FFFFFF"/>
        <w:spacing w:after="0" w:line="240" w:lineRule="auto"/>
        <w:ind w:left="0" w:firstLine="0"/>
        <w:jc w:val="both"/>
        <w:rPr>
          <w:rFonts w:eastAsia="Times New Roman"/>
          <w:sz w:val="24"/>
          <w:szCs w:val="24"/>
          <w:highlight w:val="white"/>
        </w:rPr>
      </w:pPr>
      <w:proofErr w:type="spellStart"/>
      <w:r w:rsidRPr="0015678D">
        <w:rPr>
          <w:rFonts w:eastAsia="Times New Roman"/>
          <w:sz w:val="24"/>
          <w:szCs w:val="24"/>
          <w:highlight w:val="white"/>
        </w:rPr>
        <w:lastRenderedPageBreak/>
        <w:t>Belkaid</w:t>
      </w:r>
      <w:proofErr w:type="spellEnd"/>
      <w:r w:rsidRPr="0015678D">
        <w:rPr>
          <w:rFonts w:eastAsia="Times New Roman"/>
          <w:sz w:val="24"/>
          <w:szCs w:val="24"/>
          <w:highlight w:val="white"/>
        </w:rPr>
        <w:t xml:space="preserve"> Y., Hand, T.W. Role of the microbiota in immunity and inflammation. </w:t>
      </w:r>
      <w:r w:rsidRPr="0015678D">
        <w:rPr>
          <w:rFonts w:eastAsia="Times New Roman"/>
          <w:i/>
          <w:sz w:val="24"/>
          <w:szCs w:val="24"/>
          <w:highlight w:val="white"/>
        </w:rPr>
        <w:t>Cell</w:t>
      </w:r>
      <w:r w:rsidRPr="0015678D">
        <w:rPr>
          <w:rFonts w:eastAsia="Times New Roman"/>
          <w:sz w:val="24"/>
          <w:szCs w:val="24"/>
          <w:highlight w:val="white"/>
        </w:rPr>
        <w:t xml:space="preserve">. </w:t>
      </w:r>
      <w:r w:rsidRPr="0015678D">
        <w:rPr>
          <w:rFonts w:eastAsia="Times New Roman"/>
          <w:b/>
          <w:bCs/>
          <w:sz w:val="24"/>
          <w:szCs w:val="24"/>
          <w:highlight w:val="white"/>
        </w:rPr>
        <w:t>157</w:t>
      </w:r>
      <w:r w:rsidR="00985FD1" w:rsidRPr="0015678D">
        <w:rPr>
          <w:rFonts w:eastAsia="Times New Roman"/>
          <w:sz w:val="24"/>
          <w:szCs w:val="24"/>
          <w:highlight w:val="white"/>
        </w:rPr>
        <w:t xml:space="preserve"> </w:t>
      </w:r>
      <w:r w:rsidRPr="0015678D">
        <w:rPr>
          <w:rFonts w:eastAsia="Times New Roman"/>
          <w:sz w:val="24"/>
          <w:szCs w:val="24"/>
          <w:highlight w:val="white"/>
        </w:rPr>
        <w:t>(1), 121-141 (2014).</w:t>
      </w:r>
      <w:bookmarkEnd w:id="4"/>
    </w:p>
    <w:sectPr w:rsidR="004B698A" w:rsidRPr="0015678D" w:rsidSect="00CC614A">
      <w:headerReference w:type="default" r:id="rId20"/>
      <w:footerReference w:type="default" r:id="rId21"/>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98427" w14:textId="77777777" w:rsidR="00DB6373" w:rsidRDefault="00DB6373">
      <w:pPr>
        <w:spacing w:after="0" w:line="240" w:lineRule="auto"/>
      </w:pPr>
      <w:r>
        <w:separator/>
      </w:r>
    </w:p>
  </w:endnote>
  <w:endnote w:type="continuationSeparator" w:id="0">
    <w:p w14:paraId="304F3DBB" w14:textId="77777777" w:rsidR="00DB6373" w:rsidRDefault="00DB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3179B" w14:textId="77777777" w:rsidR="00E409CC" w:rsidRDefault="00E40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32B8B" w14:textId="77777777" w:rsidR="00DB6373" w:rsidRDefault="00DB6373">
      <w:pPr>
        <w:spacing w:after="0" w:line="240" w:lineRule="auto"/>
      </w:pPr>
      <w:r>
        <w:separator/>
      </w:r>
    </w:p>
  </w:footnote>
  <w:footnote w:type="continuationSeparator" w:id="0">
    <w:p w14:paraId="3FEDF06E" w14:textId="77777777" w:rsidR="00DB6373" w:rsidRDefault="00DB6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DEB7" w14:textId="77777777" w:rsidR="00E409CC" w:rsidRDefault="00E40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31CAB"/>
    <w:multiLevelType w:val="multilevel"/>
    <w:tmpl w:val="15801BC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1072F3"/>
    <w:multiLevelType w:val="multilevel"/>
    <w:tmpl w:val="485091E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80B5849"/>
    <w:multiLevelType w:val="multilevel"/>
    <w:tmpl w:val="1430F742"/>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3477A2E"/>
    <w:multiLevelType w:val="multilevel"/>
    <w:tmpl w:val="47CAA7C6"/>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5077DE"/>
    <w:multiLevelType w:val="multilevel"/>
    <w:tmpl w:val="852EC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DD5A5A"/>
    <w:multiLevelType w:val="multilevel"/>
    <w:tmpl w:val="FE301A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62E00821"/>
    <w:multiLevelType w:val="multilevel"/>
    <w:tmpl w:val="2F7050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4457DC0"/>
    <w:multiLevelType w:val="multilevel"/>
    <w:tmpl w:val="8F1A5734"/>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897C8A"/>
    <w:multiLevelType w:val="multilevel"/>
    <w:tmpl w:val="47CAA7C6"/>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8A"/>
    <w:rsid w:val="000041B4"/>
    <w:rsid w:val="00011AD0"/>
    <w:rsid w:val="00032DAD"/>
    <w:rsid w:val="000938DD"/>
    <w:rsid w:val="000D1FB7"/>
    <w:rsid w:val="000F73FB"/>
    <w:rsid w:val="00120D11"/>
    <w:rsid w:val="0015678D"/>
    <w:rsid w:val="001922DC"/>
    <w:rsid w:val="001B384E"/>
    <w:rsid w:val="00232E4F"/>
    <w:rsid w:val="00263B8C"/>
    <w:rsid w:val="00281E20"/>
    <w:rsid w:val="002F2DCB"/>
    <w:rsid w:val="003008F1"/>
    <w:rsid w:val="00326DA2"/>
    <w:rsid w:val="0037748D"/>
    <w:rsid w:val="00380FC8"/>
    <w:rsid w:val="003C0634"/>
    <w:rsid w:val="003D6FF6"/>
    <w:rsid w:val="003F339B"/>
    <w:rsid w:val="00413D30"/>
    <w:rsid w:val="00436646"/>
    <w:rsid w:val="0044223D"/>
    <w:rsid w:val="00465437"/>
    <w:rsid w:val="004B698A"/>
    <w:rsid w:val="004D0C00"/>
    <w:rsid w:val="004E1FDD"/>
    <w:rsid w:val="005104D4"/>
    <w:rsid w:val="00525F54"/>
    <w:rsid w:val="00527139"/>
    <w:rsid w:val="005366D9"/>
    <w:rsid w:val="005762F3"/>
    <w:rsid w:val="005A6895"/>
    <w:rsid w:val="00631427"/>
    <w:rsid w:val="00675E8E"/>
    <w:rsid w:val="00687DE1"/>
    <w:rsid w:val="0070631B"/>
    <w:rsid w:val="00714EC4"/>
    <w:rsid w:val="00780F2B"/>
    <w:rsid w:val="007A37B5"/>
    <w:rsid w:val="00803B7A"/>
    <w:rsid w:val="00873D2E"/>
    <w:rsid w:val="008840ED"/>
    <w:rsid w:val="008D4612"/>
    <w:rsid w:val="008E387F"/>
    <w:rsid w:val="008F0E06"/>
    <w:rsid w:val="00902765"/>
    <w:rsid w:val="00962E53"/>
    <w:rsid w:val="009648F3"/>
    <w:rsid w:val="00985FD1"/>
    <w:rsid w:val="00A06C9F"/>
    <w:rsid w:val="00A83A5E"/>
    <w:rsid w:val="00AA3EE1"/>
    <w:rsid w:val="00AD2D4E"/>
    <w:rsid w:val="00B04F69"/>
    <w:rsid w:val="00B303A0"/>
    <w:rsid w:val="00B303AB"/>
    <w:rsid w:val="00B80F59"/>
    <w:rsid w:val="00B874B2"/>
    <w:rsid w:val="00B9241D"/>
    <w:rsid w:val="00BB4EA1"/>
    <w:rsid w:val="00BD1E7A"/>
    <w:rsid w:val="00C150A7"/>
    <w:rsid w:val="00C17011"/>
    <w:rsid w:val="00C55A5F"/>
    <w:rsid w:val="00C861D2"/>
    <w:rsid w:val="00CC614A"/>
    <w:rsid w:val="00CD024E"/>
    <w:rsid w:val="00CD4570"/>
    <w:rsid w:val="00CD4E5D"/>
    <w:rsid w:val="00D47367"/>
    <w:rsid w:val="00D871F5"/>
    <w:rsid w:val="00DA0029"/>
    <w:rsid w:val="00DA2B86"/>
    <w:rsid w:val="00DB6373"/>
    <w:rsid w:val="00DB70EA"/>
    <w:rsid w:val="00DC67B5"/>
    <w:rsid w:val="00DF458C"/>
    <w:rsid w:val="00E05CE4"/>
    <w:rsid w:val="00E2655D"/>
    <w:rsid w:val="00E409CC"/>
    <w:rsid w:val="00EE1128"/>
    <w:rsid w:val="00F71ED7"/>
    <w:rsid w:val="00F72617"/>
    <w:rsid w:val="00F81250"/>
    <w:rsid w:val="00FC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3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F0E06"/>
    <w:pPr>
      <w:ind w:left="720"/>
      <w:contextualSpacing/>
    </w:pPr>
  </w:style>
  <w:style w:type="paragraph" w:styleId="BalloonText">
    <w:name w:val="Balloon Text"/>
    <w:basedOn w:val="Normal"/>
    <w:link w:val="BalloonTextChar"/>
    <w:uiPriority w:val="99"/>
    <w:semiHidden/>
    <w:unhideWhenUsed/>
    <w:rsid w:val="008F0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024E"/>
    <w:rPr>
      <w:b/>
      <w:bCs/>
    </w:rPr>
  </w:style>
  <w:style w:type="character" w:customStyle="1" w:styleId="CommentSubjectChar">
    <w:name w:val="Comment Subject Char"/>
    <w:basedOn w:val="CommentTextChar"/>
    <w:link w:val="CommentSubject"/>
    <w:uiPriority w:val="99"/>
    <w:semiHidden/>
    <w:rsid w:val="00CD024E"/>
    <w:rPr>
      <w:b/>
      <w:bCs/>
      <w:sz w:val="20"/>
      <w:szCs w:val="20"/>
    </w:rPr>
  </w:style>
  <w:style w:type="character" w:styleId="Hyperlink">
    <w:name w:val="Hyperlink"/>
    <w:basedOn w:val="DefaultParagraphFont"/>
    <w:uiPriority w:val="99"/>
    <w:unhideWhenUsed/>
    <w:rsid w:val="00F71ED7"/>
    <w:rPr>
      <w:color w:val="0000FF" w:themeColor="hyperlink"/>
      <w:u w:val="single"/>
    </w:rPr>
  </w:style>
  <w:style w:type="character" w:customStyle="1" w:styleId="UnresolvedMention1">
    <w:name w:val="Unresolved Mention1"/>
    <w:basedOn w:val="DefaultParagraphFont"/>
    <w:uiPriority w:val="99"/>
    <w:semiHidden/>
    <w:unhideWhenUsed/>
    <w:rsid w:val="00F71ED7"/>
    <w:rPr>
      <w:color w:val="605E5C"/>
      <w:shd w:val="clear" w:color="auto" w:fill="E1DFDD"/>
    </w:rPr>
  </w:style>
  <w:style w:type="character" w:styleId="LineNumber">
    <w:name w:val="line number"/>
    <w:basedOn w:val="DefaultParagraphFont"/>
    <w:uiPriority w:val="99"/>
    <w:semiHidden/>
    <w:unhideWhenUsed/>
    <w:rsid w:val="0070631B"/>
  </w:style>
  <w:style w:type="character" w:styleId="FollowedHyperlink">
    <w:name w:val="FollowedHyperlink"/>
    <w:basedOn w:val="DefaultParagraphFont"/>
    <w:uiPriority w:val="99"/>
    <w:semiHidden/>
    <w:unhideWhenUsed/>
    <w:rsid w:val="00706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9867">
      <w:bodyDiv w:val="1"/>
      <w:marLeft w:val="0"/>
      <w:marRight w:val="0"/>
      <w:marTop w:val="0"/>
      <w:marBottom w:val="0"/>
      <w:divBdr>
        <w:top w:val="none" w:sz="0" w:space="0" w:color="auto"/>
        <w:left w:val="none" w:sz="0" w:space="0" w:color="auto"/>
        <w:bottom w:val="none" w:sz="0" w:space="0" w:color="auto"/>
        <w:right w:val="none" w:sz="0" w:space="0" w:color="auto"/>
      </w:divBdr>
    </w:div>
    <w:div w:id="400258256">
      <w:bodyDiv w:val="1"/>
      <w:marLeft w:val="0"/>
      <w:marRight w:val="0"/>
      <w:marTop w:val="0"/>
      <w:marBottom w:val="0"/>
      <w:divBdr>
        <w:top w:val="none" w:sz="0" w:space="0" w:color="auto"/>
        <w:left w:val="none" w:sz="0" w:space="0" w:color="auto"/>
        <w:bottom w:val="none" w:sz="0" w:space="0" w:color="auto"/>
        <w:right w:val="none" w:sz="0" w:space="0" w:color="auto"/>
      </w:divBdr>
    </w:div>
    <w:div w:id="439490491">
      <w:bodyDiv w:val="1"/>
      <w:marLeft w:val="0"/>
      <w:marRight w:val="0"/>
      <w:marTop w:val="0"/>
      <w:marBottom w:val="0"/>
      <w:divBdr>
        <w:top w:val="none" w:sz="0" w:space="0" w:color="auto"/>
        <w:left w:val="none" w:sz="0" w:space="0" w:color="auto"/>
        <w:bottom w:val="none" w:sz="0" w:space="0" w:color="auto"/>
        <w:right w:val="none" w:sz="0" w:space="0" w:color="auto"/>
      </w:divBdr>
    </w:div>
    <w:div w:id="904411464">
      <w:bodyDiv w:val="1"/>
      <w:marLeft w:val="0"/>
      <w:marRight w:val="0"/>
      <w:marTop w:val="0"/>
      <w:marBottom w:val="0"/>
      <w:divBdr>
        <w:top w:val="none" w:sz="0" w:space="0" w:color="auto"/>
        <w:left w:val="none" w:sz="0" w:space="0" w:color="auto"/>
        <w:bottom w:val="none" w:sz="0" w:space="0" w:color="auto"/>
        <w:right w:val="none" w:sz="0" w:space="0" w:color="auto"/>
      </w:divBdr>
    </w:div>
    <w:div w:id="1000933912">
      <w:bodyDiv w:val="1"/>
      <w:marLeft w:val="0"/>
      <w:marRight w:val="0"/>
      <w:marTop w:val="0"/>
      <w:marBottom w:val="0"/>
      <w:divBdr>
        <w:top w:val="none" w:sz="0" w:space="0" w:color="auto"/>
        <w:left w:val="none" w:sz="0" w:space="0" w:color="auto"/>
        <w:bottom w:val="none" w:sz="0" w:space="0" w:color="auto"/>
        <w:right w:val="none" w:sz="0" w:space="0" w:color="auto"/>
      </w:divBdr>
    </w:div>
    <w:div w:id="1102340471">
      <w:bodyDiv w:val="1"/>
      <w:marLeft w:val="0"/>
      <w:marRight w:val="0"/>
      <w:marTop w:val="0"/>
      <w:marBottom w:val="0"/>
      <w:divBdr>
        <w:top w:val="none" w:sz="0" w:space="0" w:color="auto"/>
        <w:left w:val="none" w:sz="0" w:space="0" w:color="auto"/>
        <w:bottom w:val="none" w:sz="0" w:space="0" w:color="auto"/>
        <w:right w:val="none" w:sz="0" w:space="0" w:color="auto"/>
      </w:divBdr>
    </w:div>
    <w:div w:id="1165585517">
      <w:bodyDiv w:val="1"/>
      <w:marLeft w:val="0"/>
      <w:marRight w:val="0"/>
      <w:marTop w:val="0"/>
      <w:marBottom w:val="0"/>
      <w:divBdr>
        <w:top w:val="none" w:sz="0" w:space="0" w:color="auto"/>
        <w:left w:val="none" w:sz="0" w:space="0" w:color="auto"/>
        <w:bottom w:val="none" w:sz="0" w:space="0" w:color="auto"/>
        <w:right w:val="none" w:sz="0" w:space="0" w:color="auto"/>
      </w:divBdr>
    </w:div>
    <w:div w:id="1183856227">
      <w:bodyDiv w:val="1"/>
      <w:marLeft w:val="0"/>
      <w:marRight w:val="0"/>
      <w:marTop w:val="0"/>
      <w:marBottom w:val="0"/>
      <w:divBdr>
        <w:top w:val="none" w:sz="0" w:space="0" w:color="auto"/>
        <w:left w:val="none" w:sz="0" w:space="0" w:color="auto"/>
        <w:bottom w:val="none" w:sz="0" w:space="0" w:color="auto"/>
        <w:right w:val="none" w:sz="0" w:space="0" w:color="auto"/>
      </w:divBdr>
    </w:div>
    <w:div w:id="1224029669">
      <w:bodyDiv w:val="1"/>
      <w:marLeft w:val="0"/>
      <w:marRight w:val="0"/>
      <w:marTop w:val="0"/>
      <w:marBottom w:val="0"/>
      <w:divBdr>
        <w:top w:val="none" w:sz="0" w:space="0" w:color="auto"/>
        <w:left w:val="none" w:sz="0" w:space="0" w:color="auto"/>
        <w:bottom w:val="none" w:sz="0" w:space="0" w:color="auto"/>
        <w:right w:val="none" w:sz="0" w:space="0" w:color="auto"/>
      </w:divBdr>
    </w:div>
    <w:div w:id="1262108739">
      <w:bodyDiv w:val="1"/>
      <w:marLeft w:val="0"/>
      <w:marRight w:val="0"/>
      <w:marTop w:val="0"/>
      <w:marBottom w:val="0"/>
      <w:divBdr>
        <w:top w:val="none" w:sz="0" w:space="0" w:color="auto"/>
        <w:left w:val="none" w:sz="0" w:space="0" w:color="auto"/>
        <w:bottom w:val="none" w:sz="0" w:space="0" w:color="auto"/>
        <w:right w:val="none" w:sz="0" w:space="0" w:color="auto"/>
      </w:divBdr>
    </w:div>
    <w:div w:id="1476874825">
      <w:bodyDiv w:val="1"/>
      <w:marLeft w:val="0"/>
      <w:marRight w:val="0"/>
      <w:marTop w:val="0"/>
      <w:marBottom w:val="0"/>
      <w:divBdr>
        <w:top w:val="none" w:sz="0" w:space="0" w:color="auto"/>
        <w:left w:val="none" w:sz="0" w:space="0" w:color="auto"/>
        <w:bottom w:val="none" w:sz="0" w:space="0" w:color="auto"/>
        <w:right w:val="none" w:sz="0" w:space="0" w:color="auto"/>
      </w:divBdr>
    </w:div>
    <w:div w:id="1733387407">
      <w:bodyDiv w:val="1"/>
      <w:marLeft w:val="0"/>
      <w:marRight w:val="0"/>
      <w:marTop w:val="0"/>
      <w:marBottom w:val="0"/>
      <w:divBdr>
        <w:top w:val="none" w:sz="0" w:space="0" w:color="auto"/>
        <w:left w:val="none" w:sz="0" w:space="0" w:color="auto"/>
        <w:bottom w:val="none" w:sz="0" w:space="0" w:color="auto"/>
        <w:right w:val="none" w:sz="0" w:space="0" w:color="auto"/>
      </w:divBdr>
    </w:div>
    <w:div w:id="1889217799">
      <w:bodyDiv w:val="1"/>
      <w:marLeft w:val="0"/>
      <w:marRight w:val="0"/>
      <w:marTop w:val="0"/>
      <w:marBottom w:val="0"/>
      <w:divBdr>
        <w:top w:val="none" w:sz="0" w:space="0" w:color="auto"/>
        <w:left w:val="none" w:sz="0" w:space="0" w:color="auto"/>
        <w:bottom w:val="none" w:sz="0" w:space="0" w:color="auto"/>
        <w:right w:val="none" w:sz="0" w:space="0" w:color="auto"/>
      </w:divBdr>
    </w:div>
    <w:div w:id="2116559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njamin.dreskin@va.gov" TargetMode="External"/><Relationship Id="rId13" Type="http://schemas.openxmlformats.org/officeDocument/2006/relationships/hyperlink" Target="mailto:VLagishetty@mednet.ucla.edu" TargetMode="External"/><Relationship Id="rId18" Type="http://schemas.openxmlformats.org/officeDocument/2006/relationships/hyperlink" Target="mailto:JJacobs@mednet.ucla.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Benhammou@mednet.ucla.edu" TargetMode="External"/><Relationship Id="rId17" Type="http://schemas.openxmlformats.org/officeDocument/2006/relationships/hyperlink" Target="mailto:VAgopian@mednet.ucla.edu" TargetMode="External"/><Relationship Id="rId2" Type="http://schemas.openxmlformats.org/officeDocument/2006/relationships/numbering" Target="numbering.xml"/><Relationship Id="rId16" Type="http://schemas.openxmlformats.org/officeDocument/2006/relationships/hyperlink" Target="mailto:Fdurazo@mcw.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dong@mednet.ucla.edu" TargetMode="External"/><Relationship Id="rId5" Type="http://schemas.openxmlformats.org/officeDocument/2006/relationships/webSettings" Target="webSettings.xml"/><Relationship Id="rId15" Type="http://schemas.openxmlformats.org/officeDocument/2006/relationships/hyperlink" Target="mailto:daniel.sanford@va.gov" TargetMode="External"/><Relationship Id="rId23" Type="http://schemas.openxmlformats.org/officeDocument/2006/relationships/theme" Target="theme/theme1.xml"/><Relationship Id="rId10" Type="http://schemas.openxmlformats.org/officeDocument/2006/relationships/hyperlink" Target="mailto:shehnaz.hussain@cshs.org" TargetMode="External"/><Relationship Id="rId19" Type="http://schemas.openxmlformats.org/officeDocument/2006/relationships/hyperlink" Target="mailto:joseph.pisegna@va.gov" TargetMode="External"/><Relationship Id="rId4" Type="http://schemas.openxmlformats.org/officeDocument/2006/relationships/settings" Target="settings.xml"/><Relationship Id="rId9" Type="http://schemas.openxmlformats.org/officeDocument/2006/relationships/hyperlink" Target="mailto:kayti.luu@va.gov" TargetMode="External"/><Relationship Id="rId14" Type="http://schemas.openxmlformats.org/officeDocument/2006/relationships/hyperlink" Target="mailto:john.vu@v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asdsf</b:Tag>
    <b:SourceType>Book</b:SourceType>
    <b:Guid>{FE5B95A2-5EC7-4FE2-97E7-EB47B5180303}</b:Guid>
    <b:Author>
      <b:Author>
        <b:NameList>
          <b:Person>
            <b:Last>asdf</b:Last>
          </b:Person>
        </b:NameList>
      </b:Author>
    </b:Author>
    <b:Title>asdf</b:Title>
    <b:Year>adsf</b:Year>
    <b:City>adsf</b:City>
    <b:Publisher>adsf</b:Publisher>
    <b:RefOrder>1</b:RefOrder>
  </b:Source>
</b:Sources>
</file>

<file path=customXml/itemProps1.xml><?xml version="1.0" encoding="utf-8"?>
<ds:datastoreItem xmlns:ds="http://schemas.openxmlformats.org/officeDocument/2006/customXml" ds:itemID="{DE7F016C-1225-4422-B602-7E40FFF8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4768</Words>
  <Characters>27184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2020-11-02T16:47:00Z</dcterms:created>
  <dcterms:modified xsi:type="dcterms:W3CDTF">2020-11-13T13:54:00Z</dcterms:modified>
</cp:coreProperties>
</file>