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F5781" w14:textId="5EDD56CC" w:rsidR="00CE277A" w:rsidRDefault="00004A64" w:rsidP="00CD31A6">
      <w:pPr>
        <w:jc w:val="center"/>
        <w:rPr>
          <w:rFonts w:asciiTheme="minorHAnsi" w:hAnsiTheme="minorHAnsi" w:cs="Arial"/>
          <w:b/>
          <w:bCs/>
          <w:sz w:val="32"/>
          <w:szCs w:val="32"/>
        </w:rPr>
      </w:pPr>
      <w:r w:rsidRPr="00CD31A6">
        <w:rPr>
          <w:rFonts w:asciiTheme="minorHAnsi" w:hAnsiTheme="minorHAnsi" w:cs="Arial"/>
          <w:b/>
          <w:bCs/>
          <w:sz w:val="32"/>
          <w:szCs w:val="32"/>
        </w:rPr>
        <w:t>Single-cell optical action potential measurement in human induced pluripotent stem cell-derived cardiomyocytes</w:t>
      </w:r>
    </w:p>
    <w:p w14:paraId="6C57B7CF" w14:textId="77777777" w:rsidR="00CD31A6" w:rsidRPr="00CD31A6" w:rsidRDefault="00CD31A6" w:rsidP="00CD31A6">
      <w:pPr>
        <w:jc w:val="center"/>
        <w:rPr>
          <w:rFonts w:asciiTheme="minorHAnsi" w:hAnsiTheme="minorHAnsi" w:cs="Arial"/>
          <w:b/>
          <w:bCs/>
        </w:rPr>
      </w:pPr>
    </w:p>
    <w:p w14:paraId="06E6C9EE" w14:textId="77777777" w:rsidR="00CD31A6" w:rsidRPr="00CD31A6" w:rsidRDefault="00CD31A6" w:rsidP="00CD31A6">
      <w:pPr>
        <w:jc w:val="center"/>
        <w:rPr>
          <w:rFonts w:asciiTheme="minorHAnsi" w:hAnsiTheme="minorHAnsi" w:cs="Arial"/>
        </w:rPr>
      </w:pPr>
      <w:r w:rsidRPr="00CD31A6">
        <w:rPr>
          <w:rFonts w:asciiTheme="minorHAnsi" w:hAnsiTheme="minorHAnsi" w:cs="Arial"/>
        </w:rPr>
        <w:t>Seibertz F, Reynolds M, Voigt N</w:t>
      </w:r>
    </w:p>
    <w:p w14:paraId="397CE194" w14:textId="77777777" w:rsidR="00CD31A6" w:rsidRPr="00CD31A6" w:rsidRDefault="00CD31A6" w:rsidP="00CD31A6">
      <w:pPr>
        <w:jc w:val="center"/>
        <w:rPr>
          <w:rFonts w:asciiTheme="minorHAnsi" w:hAnsiTheme="minorHAnsi" w:cs="Arial"/>
          <w:b/>
          <w:bCs/>
        </w:rPr>
      </w:pPr>
    </w:p>
    <w:p w14:paraId="3CDCC941" w14:textId="25AEAF04" w:rsidR="00FC419E" w:rsidRPr="00CD31A6" w:rsidRDefault="00FC419E" w:rsidP="00CD31A6">
      <w:pPr>
        <w:jc w:val="center"/>
        <w:rPr>
          <w:rFonts w:asciiTheme="minorHAnsi" w:hAnsiTheme="minorHAnsi" w:cs="Arial"/>
          <w:b/>
          <w:bCs/>
          <w:sz w:val="28"/>
          <w:szCs w:val="28"/>
        </w:rPr>
      </w:pPr>
      <w:r w:rsidRPr="00CD31A6">
        <w:rPr>
          <w:rFonts w:asciiTheme="minorHAnsi" w:hAnsiTheme="minorHAnsi" w:cs="Arial"/>
          <w:b/>
          <w:bCs/>
          <w:sz w:val="28"/>
          <w:szCs w:val="28"/>
        </w:rPr>
        <w:t>Supplemental material</w:t>
      </w:r>
    </w:p>
    <w:p w14:paraId="1FA3EAFA" w14:textId="77777777" w:rsidR="00FC419E" w:rsidRPr="00CD31A6" w:rsidRDefault="00FC419E" w:rsidP="00CD31A6">
      <w:pPr>
        <w:rPr>
          <w:rFonts w:asciiTheme="minorHAnsi" w:hAnsiTheme="minorHAnsi" w:cs="Arial"/>
        </w:rPr>
      </w:pPr>
    </w:p>
    <w:p w14:paraId="6E7A3A4E" w14:textId="77777777" w:rsidR="00FC419E" w:rsidRPr="00CD31A6" w:rsidRDefault="00FC419E" w:rsidP="00CD31A6">
      <w:pPr>
        <w:rPr>
          <w:rFonts w:asciiTheme="minorHAnsi" w:hAnsiTheme="minorHAnsi" w:cs="Arial"/>
          <w:b/>
        </w:rPr>
      </w:pPr>
      <w:r w:rsidRPr="00CD31A6">
        <w:rPr>
          <w:rFonts w:asciiTheme="minorHAnsi" w:hAnsiTheme="minorHAnsi" w:cs="Arial"/>
          <w:b/>
        </w:rPr>
        <w:t>Native murine cardiomyocyte preparation for voltage imaging</w:t>
      </w:r>
    </w:p>
    <w:p w14:paraId="621BB918" w14:textId="77777777" w:rsidR="00FC419E" w:rsidRPr="00CD31A6" w:rsidRDefault="00FC419E" w:rsidP="00CD31A6">
      <w:pPr>
        <w:rPr>
          <w:rFonts w:asciiTheme="minorHAnsi" w:hAnsiTheme="minorHAnsi" w:cs="Arial"/>
          <w:b/>
        </w:rPr>
      </w:pPr>
    </w:p>
    <w:p w14:paraId="5C98CA2C" w14:textId="7AF4FD1C" w:rsidR="00FC419E" w:rsidRPr="00CD31A6" w:rsidRDefault="00FC419E" w:rsidP="00CD31A6">
      <w:pPr>
        <w:jc w:val="both"/>
        <w:rPr>
          <w:rFonts w:asciiTheme="minorHAnsi" w:hAnsiTheme="minorHAnsi" w:cs="Arial"/>
          <w:lang w:val="en-US"/>
        </w:rPr>
      </w:pPr>
      <w:r w:rsidRPr="00CD31A6">
        <w:rPr>
          <w:rFonts w:asciiTheme="minorHAnsi" w:hAnsiTheme="minorHAnsi" w:cs="Arial"/>
          <w:lang w:val="en-US"/>
        </w:rPr>
        <w:t>Protocols for murine cardiomyocyte optical voltage investigation are largely identical to those outlined in the main text for human iPSC-CMs. Differences of note include the entirety of the cellular pre</w:t>
      </w:r>
      <w:r w:rsidR="0008374F" w:rsidRPr="00CD31A6">
        <w:rPr>
          <w:rFonts w:asciiTheme="minorHAnsi" w:hAnsiTheme="minorHAnsi" w:cs="Arial"/>
          <w:lang w:val="en-US"/>
        </w:rPr>
        <w:t xml:space="preserve">parations outlined in section </w:t>
      </w:r>
      <w:r w:rsidRPr="00CD31A6">
        <w:rPr>
          <w:rFonts w:asciiTheme="minorHAnsi" w:hAnsiTheme="minorHAnsi" w:cs="Arial"/>
          <w:lang w:val="en-US"/>
        </w:rPr>
        <w:t>1. Murine cardiomyocytes are not cultured, instead they are mechanically and enzymatically isolated from excised hearts as previously described</w:t>
      </w:r>
      <w:r w:rsidRPr="00CD31A6">
        <w:rPr>
          <w:rFonts w:asciiTheme="minorHAnsi" w:hAnsiTheme="minorHAnsi" w:cs="Arial"/>
          <w:lang w:val="en-US"/>
        </w:rPr>
        <w:fldChar w:fldCharType="begin" w:fldLock="1"/>
      </w:r>
      <w:r w:rsidRPr="00CD31A6">
        <w:rPr>
          <w:rFonts w:asciiTheme="minorHAnsi" w:hAnsiTheme="minorHAnsi" w:cs="Arial"/>
          <w:lang w:val="en-US"/>
        </w:rPr>
        <w:instrText>ADDIN CSL_CITATION {"citationItems":[{"id":"ITEM-1","itemData":{"DOI":"10.3791/50235","ISSN":"1940-087X","abstract":"The study of electrophysiological properties of cardiac ion channels with the patch-clamp technique and the exploration of cardiac cellular Ca(2+) handling abnormalities requires isolated cardiomyocytes. In addition, the possibility to investigate myocytes from patients using these techniques is an invaluable requirement to elucidate the molecular basis of cardiac diseases such as atrial fibrillation (AF).(1) Here we describe a method for isolation of human atrial myocytes which are suitable for both patch-clamp studies and simultaneous measurements of intracellular Ca(2+) concentrations. First, right atrial appendages obtained from patients undergoing open heart surgery are chopped into small tissue chunks (\"chunk method\") and washed in Ca(2+)-free solution. Then the tissue chunks are digested in collagenase and protease containing solutions with 20 μM Ca(2+). Thereafter, the isolated myocytes are harvested by filtration and centrifugation of the tissue suspension. Finally, the Ca(2+) concentration in the cell storage solution is adjusted stepwise to 0.2 mM. We briefly discuss the meaning of Ca(2+) and Ca(2+) buffering during the isolation process and also provide representative recordings of action potentials and membrane currents, both together with simultaneous Ca(2+) transient measurements, performed in these isolated myocytes.","author":[{"dropping-particle":"","family":"Voigt","given":"Niels","non-dropping-particle":"","parse-names":false,"suffix":""},{"dropping-particle":"","family":"Zhou","given":"Xiao-Bo","non-dropping-particle":"","parse-names":false,"suffix":""},{"dropping-particle":"","family":"Dobrev","given":"Dobromir","non-dropping-particle":"","parse-names":false,"suffix":""}],"container-title":"Journal of visualized experiments : JoVE","id":"ITEM-1","issue":"77","issued":{"date-parts":[["2013","7","3"]]},"language":"eng","page":"e50235-e50235","publisher":"MyJove Corporation","title":"Isolation of human atrial myocytes for simultaneous measurements of Ca2+ transients and membrane currents","type":"article-journal"},"uris":["http://www.mendeley.com/documents/?uuid=e1f371a2-6a81-4e3d-8c2c-06073092768a"]}],"mendeley":{"formattedCitation":"&lt;sup&gt;1&lt;/sup&gt;","plainTextFormattedCitation":"1","previouslyFormattedCitation":"&lt;sup&gt;1&lt;/sup&gt;"},"properties":{"noteIndex":0},"schema":"https://github.com/citation-style-language/schema/raw/master/csl-citation.json"}</w:instrText>
      </w:r>
      <w:r w:rsidRPr="00CD31A6">
        <w:rPr>
          <w:rFonts w:asciiTheme="minorHAnsi" w:hAnsiTheme="minorHAnsi" w:cs="Arial"/>
          <w:lang w:val="en-US"/>
        </w:rPr>
        <w:fldChar w:fldCharType="separate"/>
      </w:r>
      <w:r w:rsidRPr="00CD31A6">
        <w:rPr>
          <w:rFonts w:asciiTheme="minorHAnsi" w:hAnsiTheme="minorHAnsi" w:cs="Arial"/>
          <w:noProof/>
          <w:vertAlign w:val="superscript"/>
          <w:lang w:val="en-US"/>
        </w:rPr>
        <w:t>1</w:t>
      </w:r>
      <w:r w:rsidRPr="00CD31A6">
        <w:rPr>
          <w:rFonts w:asciiTheme="minorHAnsi" w:hAnsiTheme="minorHAnsi" w:cs="Arial"/>
          <w:lang w:val="en-US"/>
        </w:rPr>
        <w:fldChar w:fldCharType="end"/>
      </w:r>
      <w:r w:rsidR="00853107">
        <w:rPr>
          <w:rFonts w:asciiTheme="minorHAnsi" w:hAnsiTheme="minorHAnsi" w:cs="Arial"/>
          <w:lang w:val="en-US"/>
        </w:rPr>
        <w:t>.</w:t>
      </w:r>
      <w:r w:rsidRPr="00CD31A6">
        <w:rPr>
          <w:rFonts w:asciiTheme="minorHAnsi" w:hAnsiTheme="minorHAnsi" w:cs="Arial"/>
          <w:lang w:val="en-US"/>
        </w:rPr>
        <w:t xml:space="preserve"> </w:t>
      </w:r>
      <w:r w:rsidR="004E5BAC" w:rsidRPr="00CD31A6">
        <w:rPr>
          <w:rFonts w:asciiTheme="minorHAnsi" w:hAnsiTheme="minorHAnsi" w:cs="Arial"/>
          <w:lang w:val="en-US"/>
        </w:rPr>
        <w:t>V</w:t>
      </w:r>
      <w:r w:rsidR="00755C72" w:rsidRPr="00CD31A6">
        <w:rPr>
          <w:rFonts w:asciiTheme="minorHAnsi" w:hAnsiTheme="minorHAnsi" w:cs="Arial"/>
          <w:lang w:val="en-US"/>
        </w:rPr>
        <w:t>F</w:t>
      </w:r>
      <w:r w:rsidR="004E5BAC" w:rsidRPr="00CD31A6">
        <w:rPr>
          <w:rFonts w:asciiTheme="minorHAnsi" w:hAnsiTheme="minorHAnsi" w:cs="Arial"/>
          <w:lang w:val="en-US"/>
        </w:rPr>
        <w:t xml:space="preserve">2.1Cl </w:t>
      </w:r>
      <w:r w:rsidRPr="00CD31A6">
        <w:rPr>
          <w:rFonts w:asciiTheme="minorHAnsi" w:hAnsiTheme="minorHAnsi" w:cs="Arial"/>
          <w:lang w:val="en-US"/>
        </w:rPr>
        <w:t>loading concentration remains the same as lis</w:t>
      </w:r>
      <w:r w:rsidR="0008374F" w:rsidRPr="00CD31A6">
        <w:rPr>
          <w:rFonts w:asciiTheme="minorHAnsi" w:hAnsiTheme="minorHAnsi" w:cs="Arial"/>
          <w:lang w:val="en-US"/>
        </w:rPr>
        <w:t>ted, however, loading protocol 3.3–7</w:t>
      </w:r>
      <w:r w:rsidRPr="00CD31A6">
        <w:rPr>
          <w:rFonts w:asciiTheme="minorHAnsi" w:hAnsiTheme="minorHAnsi" w:cs="Arial"/>
          <w:lang w:val="en-US"/>
        </w:rPr>
        <w:t xml:space="preserve">.7 proceeds under alternative directions. </w:t>
      </w:r>
      <w:r w:rsidR="00C8091A" w:rsidRPr="00CD31A6">
        <w:rPr>
          <w:rFonts w:asciiTheme="minorHAnsi" w:hAnsiTheme="minorHAnsi" w:cs="Arial"/>
          <w:lang w:val="en-US"/>
        </w:rPr>
        <w:t xml:space="preserve">A visual guide is displayed in </w:t>
      </w:r>
      <w:r w:rsidR="00C8091A" w:rsidRPr="00CD31A6">
        <w:rPr>
          <w:rFonts w:asciiTheme="minorHAnsi" w:hAnsiTheme="minorHAnsi" w:cs="Arial"/>
          <w:b/>
          <w:bCs/>
          <w:lang w:val="en-US"/>
        </w:rPr>
        <w:t>Figure 2A.</w:t>
      </w:r>
    </w:p>
    <w:p w14:paraId="6C90EEDF" w14:textId="77777777" w:rsidR="00FC419E" w:rsidRPr="00CD31A6" w:rsidRDefault="00FC419E" w:rsidP="00CD31A6">
      <w:pPr>
        <w:jc w:val="both"/>
        <w:rPr>
          <w:rFonts w:asciiTheme="minorHAnsi" w:hAnsiTheme="minorHAnsi" w:cs="Arial"/>
          <w:lang w:val="en-US"/>
        </w:rPr>
      </w:pPr>
    </w:p>
    <w:p w14:paraId="0F28C8A4" w14:textId="7ADBD7DD" w:rsidR="00FC419E" w:rsidRPr="00CD31A6" w:rsidRDefault="00FC419E" w:rsidP="00CD31A6">
      <w:pPr>
        <w:jc w:val="both"/>
        <w:rPr>
          <w:rStyle w:val="Strong"/>
          <w:rFonts w:asciiTheme="minorHAnsi" w:hAnsiTheme="minorHAnsi" w:cs="Arial"/>
          <w:b w:val="0"/>
          <w:color w:val="000000" w:themeColor="text1"/>
          <w:lang w:val="en-US"/>
        </w:rPr>
      </w:pPr>
      <w:r w:rsidRPr="00CD31A6">
        <w:rPr>
          <w:rFonts w:asciiTheme="minorHAnsi" w:hAnsiTheme="minorHAnsi" w:cs="Arial"/>
          <w:lang w:val="en-US"/>
        </w:rPr>
        <w:t>Mouse cardiomyocyte isolation yields a pellet suspended in 0.2 mM Ca</w:t>
      </w:r>
      <w:r w:rsidRPr="00CD31A6">
        <w:rPr>
          <w:rFonts w:asciiTheme="minorHAnsi" w:hAnsiTheme="minorHAnsi" w:cs="Arial"/>
          <w:vertAlign w:val="superscript"/>
          <w:lang w:val="en-US"/>
        </w:rPr>
        <w:t>2+</w:t>
      </w:r>
      <w:r w:rsidRPr="00CD31A6">
        <w:rPr>
          <w:rFonts w:asciiTheme="minorHAnsi" w:hAnsiTheme="minorHAnsi" w:cs="Arial"/>
          <w:lang w:val="en-US"/>
        </w:rPr>
        <w:t xml:space="preserve"> storage solution in a 15 ml falcon tube. Decant this solution to 2 ml and add 2 µl </w:t>
      </w:r>
      <w:r w:rsidR="00C8091A" w:rsidRPr="00CD31A6">
        <w:rPr>
          <w:rFonts w:asciiTheme="minorHAnsi" w:hAnsiTheme="minorHAnsi" w:cs="Arial"/>
          <w:lang w:val="en-US"/>
        </w:rPr>
        <w:t>0.1X</w:t>
      </w:r>
      <w:r w:rsidRPr="00CD31A6">
        <w:rPr>
          <w:rFonts w:asciiTheme="minorHAnsi" w:hAnsiTheme="minorHAnsi" w:cs="Arial"/>
          <w:lang w:val="en-US"/>
        </w:rPr>
        <w:t xml:space="preserve"> </w:t>
      </w:r>
      <w:r w:rsidR="00755C72" w:rsidRPr="00CD31A6">
        <w:rPr>
          <w:rFonts w:asciiTheme="minorHAnsi" w:hAnsiTheme="minorHAnsi" w:cs="Arial"/>
          <w:lang w:val="en-US"/>
        </w:rPr>
        <w:t>VF</w:t>
      </w:r>
      <w:r w:rsidR="004E5BAC" w:rsidRPr="00CD31A6">
        <w:rPr>
          <w:rFonts w:asciiTheme="minorHAnsi" w:hAnsiTheme="minorHAnsi" w:cs="Arial"/>
          <w:lang w:val="en-US"/>
        </w:rPr>
        <w:t>2.1Cl</w:t>
      </w:r>
      <w:r w:rsidRPr="00CD31A6">
        <w:rPr>
          <w:rFonts w:asciiTheme="minorHAnsi" w:hAnsiTheme="minorHAnsi" w:cs="Arial"/>
          <w:lang w:val="en-US"/>
        </w:rPr>
        <w:t xml:space="preserve"> loading so</w:t>
      </w:r>
      <w:r w:rsidR="0008374F" w:rsidRPr="00CD31A6">
        <w:rPr>
          <w:rFonts w:asciiTheme="minorHAnsi" w:hAnsiTheme="minorHAnsi" w:cs="Arial"/>
          <w:lang w:val="en-US"/>
        </w:rPr>
        <w:t>lution (Contents provided step 3.2)</w:t>
      </w:r>
      <w:r w:rsidRPr="00CD31A6">
        <w:rPr>
          <w:rFonts w:asciiTheme="minorHAnsi" w:hAnsiTheme="minorHAnsi" w:cs="Arial"/>
          <w:lang w:val="en-US"/>
        </w:rPr>
        <w:t xml:space="preserve">. Loading proceeds in low light conditions for 30 minutes at room temperature. After, aspirate all supernatant and resuspend the cardiomyocytes with 2 ml fresh, warm Tyrode’s solution (Contents provided in step </w:t>
      </w:r>
      <w:r w:rsidR="0008374F" w:rsidRPr="00CD31A6">
        <w:rPr>
          <w:rFonts w:asciiTheme="minorHAnsi" w:hAnsiTheme="minorHAnsi" w:cs="Arial"/>
          <w:lang w:val="en-US"/>
        </w:rPr>
        <w:t>3</w:t>
      </w:r>
      <w:r w:rsidRPr="00CD31A6">
        <w:rPr>
          <w:rFonts w:asciiTheme="minorHAnsi" w:hAnsiTheme="minorHAnsi" w:cs="Arial"/>
          <w:lang w:val="en-US"/>
        </w:rPr>
        <w:t xml:space="preserve">.1). An identical bath chamber (Setup detailed in step </w:t>
      </w:r>
      <w:r w:rsidR="0008374F" w:rsidRPr="00CD31A6">
        <w:rPr>
          <w:rFonts w:asciiTheme="minorHAnsi" w:hAnsiTheme="minorHAnsi" w:cs="Arial"/>
          <w:lang w:val="en-US"/>
        </w:rPr>
        <w:t>3</w:t>
      </w:r>
      <w:r w:rsidRPr="00CD31A6">
        <w:rPr>
          <w:rFonts w:asciiTheme="minorHAnsi" w:hAnsiTheme="minorHAnsi" w:cs="Arial"/>
          <w:lang w:val="en-US"/>
        </w:rPr>
        <w:t xml:space="preserve">.5) is </w:t>
      </w:r>
      <w:r w:rsidR="004E5BAC" w:rsidRPr="00CD31A6">
        <w:rPr>
          <w:rFonts w:asciiTheme="minorHAnsi" w:hAnsiTheme="minorHAnsi" w:cs="Arial"/>
          <w:lang w:val="en-US"/>
        </w:rPr>
        <w:t>utilized</w:t>
      </w:r>
      <w:r w:rsidRPr="00CD31A6">
        <w:rPr>
          <w:rFonts w:asciiTheme="minorHAnsi" w:hAnsiTheme="minorHAnsi" w:cs="Arial"/>
          <w:lang w:val="en-US"/>
        </w:rPr>
        <w:t xml:space="preserve"> however the rectangular coverslip is coated with</w:t>
      </w:r>
      <w:r w:rsidRPr="00CD31A6">
        <w:rPr>
          <w:rFonts w:asciiTheme="minorHAnsi" w:hAnsiTheme="minorHAnsi" w:cs="Arial"/>
          <w:b/>
          <w:lang w:val="en-US"/>
        </w:rPr>
        <w:t xml:space="preserve"> </w:t>
      </w:r>
      <w:r w:rsidRPr="00CD31A6">
        <w:rPr>
          <w:rStyle w:val="Strong"/>
          <w:rFonts w:asciiTheme="minorHAnsi" w:hAnsiTheme="minorHAnsi" w:cs="Arial"/>
          <w:b w:val="0"/>
          <w:color w:val="000000" w:themeColor="text1"/>
          <w:lang w:val="en-US"/>
        </w:rPr>
        <w:t xml:space="preserve">2 µl of 1 mg/mL laminin prior to </w:t>
      </w:r>
      <w:r w:rsidR="00CD31A6">
        <w:rPr>
          <w:rStyle w:val="Strong"/>
          <w:rFonts w:asciiTheme="minorHAnsi" w:hAnsiTheme="minorHAnsi" w:cs="Arial"/>
          <w:b w:val="0"/>
          <w:color w:val="000000" w:themeColor="text1"/>
          <w:lang w:val="en-US"/>
        </w:rPr>
        <w:t xml:space="preserve">the </w:t>
      </w:r>
      <w:r w:rsidRPr="00CD31A6">
        <w:rPr>
          <w:rStyle w:val="Strong"/>
          <w:rFonts w:asciiTheme="minorHAnsi" w:hAnsiTheme="minorHAnsi" w:cs="Arial"/>
          <w:b w:val="0"/>
          <w:color w:val="000000" w:themeColor="text1"/>
          <w:lang w:val="en-US"/>
        </w:rPr>
        <w:t xml:space="preserve">direct application of 500 µl cell suspension. This is to limit cardiomyocyte movement during perfusion. </w:t>
      </w:r>
    </w:p>
    <w:p w14:paraId="2AA5F726" w14:textId="77777777" w:rsidR="00FC419E" w:rsidRPr="00CD31A6" w:rsidRDefault="00FC419E" w:rsidP="00CD31A6">
      <w:pPr>
        <w:jc w:val="both"/>
        <w:rPr>
          <w:rStyle w:val="Strong"/>
          <w:rFonts w:asciiTheme="minorHAnsi" w:hAnsiTheme="minorHAnsi" w:cs="Arial"/>
          <w:b w:val="0"/>
          <w:color w:val="000000" w:themeColor="text1"/>
        </w:rPr>
      </w:pPr>
    </w:p>
    <w:p w14:paraId="3C072FCB" w14:textId="77777777" w:rsidR="00FC419E" w:rsidRPr="00CD31A6" w:rsidRDefault="00FC419E" w:rsidP="00CD31A6">
      <w:pPr>
        <w:jc w:val="both"/>
        <w:rPr>
          <w:rStyle w:val="Strong"/>
          <w:rFonts w:asciiTheme="minorHAnsi" w:hAnsiTheme="minorHAnsi" w:cs="Arial"/>
          <w:color w:val="000000" w:themeColor="text1"/>
        </w:rPr>
      </w:pPr>
      <w:r w:rsidRPr="00CD31A6">
        <w:rPr>
          <w:rStyle w:val="Strong"/>
          <w:rFonts w:asciiTheme="minorHAnsi" w:hAnsiTheme="minorHAnsi" w:cs="Arial"/>
          <w:color w:val="000000" w:themeColor="text1"/>
        </w:rPr>
        <w:t>References:</w:t>
      </w:r>
    </w:p>
    <w:p w14:paraId="7AC1410E" w14:textId="77777777" w:rsidR="00FC419E" w:rsidRPr="00CD31A6" w:rsidRDefault="00FC419E" w:rsidP="00CD31A6">
      <w:pPr>
        <w:jc w:val="both"/>
        <w:rPr>
          <w:rStyle w:val="Strong"/>
          <w:rFonts w:asciiTheme="minorHAnsi" w:hAnsiTheme="minorHAnsi" w:cs="Arial"/>
          <w:b w:val="0"/>
          <w:color w:val="000000" w:themeColor="text1"/>
        </w:rPr>
      </w:pPr>
    </w:p>
    <w:p w14:paraId="3995F6FB" w14:textId="132CB6BF" w:rsidR="00FC419E" w:rsidRPr="00FC419E" w:rsidRDefault="00FC419E" w:rsidP="00CD31A6">
      <w:pPr>
        <w:widowControl w:val="0"/>
        <w:autoSpaceDE w:val="0"/>
        <w:autoSpaceDN w:val="0"/>
        <w:adjustRightInd w:val="0"/>
        <w:ind w:left="640" w:hanging="640"/>
        <w:rPr>
          <w:rFonts w:ascii="Arial" w:hAnsi="Arial" w:cs="Arial"/>
          <w:bCs/>
          <w:color w:val="000000" w:themeColor="text1"/>
        </w:rPr>
      </w:pPr>
      <w:r w:rsidRPr="00CD31A6">
        <w:rPr>
          <w:rStyle w:val="Strong"/>
          <w:rFonts w:asciiTheme="minorHAnsi" w:hAnsiTheme="minorHAnsi" w:cs="Arial"/>
          <w:b w:val="0"/>
          <w:color w:val="000000" w:themeColor="text1"/>
        </w:rPr>
        <w:fldChar w:fldCharType="begin" w:fldLock="1"/>
      </w:r>
      <w:r w:rsidRPr="00CD31A6">
        <w:rPr>
          <w:rStyle w:val="Strong"/>
          <w:rFonts w:asciiTheme="minorHAnsi" w:hAnsiTheme="minorHAnsi" w:cs="Arial"/>
          <w:b w:val="0"/>
          <w:color w:val="000000" w:themeColor="text1"/>
        </w:rPr>
        <w:instrText xml:space="preserve">ADDIN Mendeley Bibliography CSL_BIBLIOGRAPHY </w:instrText>
      </w:r>
      <w:r w:rsidRPr="00CD31A6">
        <w:rPr>
          <w:rStyle w:val="Strong"/>
          <w:rFonts w:asciiTheme="minorHAnsi" w:hAnsiTheme="minorHAnsi" w:cs="Arial"/>
          <w:b w:val="0"/>
          <w:color w:val="000000" w:themeColor="text1"/>
        </w:rPr>
        <w:fldChar w:fldCharType="separate"/>
      </w:r>
      <w:r w:rsidRPr="00CD31A6">
        <w:rPr>
          <w:rFonts w:asciiTheme="minorHAnsi" w:hAnsiTheme="minorHAnsi" w:cs="Arial"/>
          <w:noProof/>
          <w:lang w:val="en-US"/>
        </w:rPr>
        <w:t>1.</w:t>
      </w:r>
      <w:r w:rsidRPr="00CD31A6">
        <w:rPr>
          <w:rFonts w:asciiTheme="minorHAnsi" w:hAnsiTheme="minorHAnsi" w:cs="Arial"/>
          <w:noProof/>
          <w:lang w:val="en-US"/>
        </w:rPr>
        <w:tab/>
        <w:t>Voigt, N., Zhou, X.-B., Dobrev, D. Isolation of human atrial myocytes for simultaneous measurements of Ca</w:t>
      </w:r>
      <w:r w:rsidRPr="00CD31A6">
        <w:rPr>
          <w:rFonts w:asciiTheme="minorHAnsi" w:hAnsiTheme="minorHAnsi" w:cs="Arial"/>
          <w:noProof/>
          <w:vertAlign w:val="superscript"/>
          <w:lang w:val="en-US"/>
        </w:rPr>
        <w:t>2+</w:t>
      </w:r>
      <w:r w:rsidRPr="00CD31A6">
        <w:rPr>
          <w:rFonts w:asciiTheme="minorHAnsi" w:hAnsiTheme="minorHAnsi" w:cs="Arial"/>
          <w:noProof/>
          <w:lang w:val="en-US"/>
        </w:rPr>
        <w:t xml:space="preserve"> transients and membrane currents. </w:t>
      </w:r>
      <w:r w:rsidRPr="00CD31A6">
        <w:rPr>
          <w:rFonts w:asciiTheme="minorHAnsi" w:hAnsiTheme="minorHAnsi" w:cs="Arial"/>
          <w:i/>
          <w:iCs/>
          <w:noProof/>
          <w:lang w:val="en-US"/>
        </w:rPr>
        <w:t xml:space="preserve">Journal of </w:t>
      </w:r>
      <w:r w:rsidR="00853107">
        <w:rPr>
          <w:rFonts w:asciiTheme="minorHAnsi" w:hAnsiTheme="minorHAnsi" w:cs="Arial"/>
          <w:i/>
          <w:iCs/>
          <w:noProof/>
          <w:lang w:val="en-US"/>
        </w:rPr>
        <w:t>V</w:t>
      </w:r>
      <w:r w:rsidRPr="00CD31A6">
        <w:rPr>
          <w:rFonts w:asciiTheme="minorHAnsi" w:hAnsiTheme="minorHAnsi" w:cs="Arial"/>
          <w:i/>
          <w:iCs/>
          <w:noProof/>
          <w:lang w:val="en-US"/>
        </w:rPr>
        <w:t>isualized experiments</w:t>
      </w:r>
      <w:r w:rsidRPr="00CD31A6">
        <w:rPr>
          <w:rFonts w:asciiTheme="minorHAnsi" w:hAnsiTheme="minorHAnsi" w:cs="Arial"/>
          <w:noProof/>
          <w:lang w:val="en-US"/>
        </w:rPr>
        <w:t>. (77), e50235 (2013).</w:t>
      </w:r>
      <w:r w:rsidRPr="00CD31A6">
        <w:rPr>
          <w:rStyle w:val="Strong"/>
          <w:rFonts w:asciiTheme="minorHAnsi" w:hAnsiTheme="minorHAnsi" w:cs="Arial"/>
          <w:b w:val="0"/>
          <w:color w:val="000000" w:themeColor="text1"/>
        </w:rPr>
        <w:fldChar w:fldCharType="end"/>
      </w:r>
    </w:p>
    <w:sectPr w:rsidR="00FC419E" w:rsidRPr="00FC419E" w:rsidSect="00086F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19E"/>
    <w:rsid w:val="00004A64"/>
    <w:rsid w:val="0008374F"/>
    <w:rsid w:val="00086F85"/>
    <w:rsid w:val="004E5BAC"/>
    <w:rsid w:val="00755C72"/>
    <w:rsid w:val="00821CE1"/>
    <w:rsid w:val="00853107"/>
    <w:rsid w:val="00A86579"/>
    <w:rsid w:val="00C8091A"/>
    <w:rsid w:val="00CD31A6"/>
    <w:rsid w:val="00CE277A"/>
    <w:rsid w:val="00FC41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D14B"/>
  <w15:chartTrackingRefBased/>
  <w15:docId w15:val="{FBC56F17-1438-384A-86D1-55DCA40F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9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C419E"/>
    <w:rPr>
      <w:b/>
      <w:bCs/>
    </w:rPr>
  </w:style>
  <w:style w:type="paragraph" w:styleId="BalloonText">
    <w:name w:val="Balloon Text"/>
    <w:basedOn w:val="Normal"/>
    <w:link w:val="BalloonTextChar"/>
    <w:uiPriority w:val="99"/>
    <w:semiHidden/>
    <w:unhideWhenUsed/>
    <w:rsid w:val="00A86579"/>
    <w:rPr>
      <w:sz w:val="18"/>
      <w:szCs w:val="18"/>
    </w:rPr>
  </w:style>
  <w:style w:type="character" w:customStyle="1" w:styleId="BalloonTextChar">
    <w:name w:val="Balloon Text Char"/>
    <w:basedOn w:val="DefaultParagraphFont"/>
    <w:link w:val="BalloonText"/>
    <w:uiPriority w:val="99"/>
    <w:semiHidden/>
    <w:rsid w:val="00A86579"/>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B5E22-FD36-4171-BFE8-7D3D3252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Seibertz</dc:creator>
  <cp:keywords/>
  <dc:description/>
  <cp:lastModifiedBy>Vineeta Bajaj</cp:lastModifiedBy>
  <cp:revision>2</cp:revision>
  <cp:lastPrinted>2020-07-30T17:45:00Z</cp:lastPrinted>
  <dcterms:created xsi:type="dcterms:W3CDTF">2020-09-28T15:43:00Z</dcterms:created>
  <dcterms:modified xsi:type="dcterms:W3CDTF">2020-09-28T15:43:00Z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0efd6b93-8705-30f5-9fdd-cadc6ade66bf</vt:lpwstr>
  </property>
  <property fmtid="{D5CDD505-2E9C-101B-9397-08002B2CF9AE}" pid="24" name="Mendeley Citation Style_1">
    <vt:lpwstr>http://www.zotero.org/styles/journal-of-visualized-experiments</vt:lpwstr>
  </property>
</Properties>
</file>