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1069BC7" w14:textId="7025F0CE" w:rsidR="008D70B3" w:rsidRPr="009F15DC" w:rsidRDefault="008D70B3" w:rsidP="009F15DC">
      <w:pPr>
        <w:pStyle w:val="NormalWeb"/>
        <w:spacing w:before="0" w:beforeAutospacing="0" w:after="0" w:afterAutospacing="0"/>
        <w:rPr>
          <w:rFonts w:asciiTheme="minorHAnsi" w:hAnsiTheme="minorHAnsi" w:cstheme="minorHAnsi"/>
          <w:color w:val="000000"/>
          <w:sz w:val="24"/>
          <w:szCs w:val="24"/>
        </w:rPr>
      </w:pPr>
      <w:r w:rsidRPr="009F15DC">
        <w:rPr>
          <w:rFonts w:asciiTheme="minorHAnsi" w:hAnsiTheme="minorHAnsi" w:cstheme="minorHAnsi"/>
          <w:color w:val="000000"/>
          <w:sz w:val="24"/>
          <w:szCs w:val="24"/>
        </w:rPr>
        <w:t xml:space="preserve">JoVE61875 </w:t>
      </w:r>
    </w:p>
    <w:p w14:paraId="76808C25"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rPr>
        <w:t xml:space="preserve">E. Park et al. </w:t>
      </w:r>
    </w:p>
    <w:p w14:paraId="5187302B" w14:textId="4E9CF56F" w:rsidR="008D70B3" w:rsidRPr="009F15DC" w:rsidRDefault="008D70B3" w:rsidP="009F15DC">
      <w:pPr>
        <w:pStyle w:val="NormalWeb"/>
        <w:spacing w:before="0" w:beforeAutospacing="0" w:after="0" w:afterAutospacing="0"/>
        <w:rPr>
          <w:rStyle w:val="Strong"/>
          <w:rFonts w:asciiTheme="minorHAnsi" w:hAnsiTheme="minorHAnsi" w:cstheme="minorHAnsi"/>
          <w:b w:val="0"/>
          <w:bCs w:val="0"/>
          <w:sz w:val="24"/>
          <w:szCs w:val="24"/>
        </w:rPr>
      </w:pPr>
      <w:r w:rsidRPr="009F15DC">
        <w:rPr>
          <w:rFonts w:asciiTheme="minorHAnsi" w:hAnsiTheme="minorHAnsi" w:cstheme="minorHAnsi"/>
          <w:sz w:val="24"/>
          <w:szCs w:val="24"/>
        </w:rPr>
        <w:t>"Bone Marrow Transplantation Procedures in Mice to Study Clonal Hematopoiesis and the Role of Immune Cells in Cardiovascular Disease,"</w:t>
      </w:r>
      <w:r w:rsidRPr="009F15DC">
        <w:rPr>
          <w:rStyle w:val="Strong"/>
          <w:rFonts w:asciiTheme="minorHAnsi" w:hAnsiTheme="minorHAnsi" w:cstheme="minorHAnsi"/>
          <w:color w:val="FF0000"/>
          <w:sz w:val="24"/>
          <w:szCs w:val="24"/>
          <w:u w:val="single"/>
        </w:rPr>
        <w:br/>
      </w:r>
    </w:p>
    <w:p w14:paraId="2EC46D42" w14:textId="77777777" w:rsidR="008D70B3" w:rsidRPr="009F15DC" w:rsidRDefault="008D70B3" w:rsidP="009F15DC">
      <w:pPr>
        <w:pStyle w:val="NormalWeb"/>
        <w:spacing w:before="0" w:beforeAutospacing="0" w:after="0" w:afterAutospacing="0"/>
        <w:rPr>
          <w:rStyle w:val="Strong"/>
          <w:rFonts w:asciiTheme="minorHAnsi" w:hAnsiTheme="minorHAnsi" w:cstheme="minorHAnsi"/>
          <w:b w:val="0"/>
          <w:bCs w:val="0"/>
          <w:sz w:val="24"/>
          <w:szCs w:val="24"/>
        </w:rPr>
      </w:pPr>
    </w:p>
    <w:p w14:paraId="18778F23" w14:textId="77777777" w:rsidR="008D70B3" w:rsidRPr="009F15DC" w:rsidRDefault="008D70B3" w:rsidP="009F15DC">
      <w:pPr>
        <w:pStyle w:val="NormalWeb"/>
        <w:spacing w:before="0" w:beforeAutospacing="0" w:after="0" w:afterAutospacing="0"/>
        <w:rPr>
          <w:rStyle w:val="Strong"/>
          <w:rFonts w:asciiTheme="minorHAnsi" w:hAnsiTheme="minorHAnsi" w:cstheme="minorHAnsi"/>
          <w:color w:val="FF0000"/>
          <w:sz w:val="24"/>
          <w:szCs w:val="24"/>
          <w:u w:val="single"/>
        </w:rPr>
      </w:pPr>
      <w:r w:rsidRPr="009F15DC">
        <w:rPr>
          <w:rStyle w:val="Strong"/>
          <w:rFonts w:asciiTheme="minorHAnsi" w:hAnsiTheme="minorHAnsi" w:cstheme="minorHAnsi"/>
          <w:color w:val="FF0000"/>
          <w:sz w:val="24"/>
          <w:szCs w:val="24"/>
          <w:u w:val="single"/>
        </w:rPr>
        <w:t>Editorial comments:</w:t>
      </w:r>
    </w:p>
    <w:p w14:paraId="310790F0"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460B7991" w14:textId="6A6147AC"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Changes to be made by the Author(s):</w:t>
      </w:r>
    </w:p>
    <w:p w14:paraId="68397202" w14:textId="77777777" w:rsidR="001B141B" w:rsidRPr="009F15DC" w:rsidRDefault="001B141B" w:rsidP="009F15DC">
      <w:pPr>
        <w:pStyle w:val="NormalWeb"/>
        <w:spacing w:before="0" w:beforeAutospacing="0" w:after="0" w:afterAutospacing="0"/>
        <w:rPr>
          <w:rFonts w:asciiTheme="minorHAnsi" w:hAnsiTheme="minorHAnsi" w:cstheme="minorHAnsi"/>
          <w:i/>
          <w:iCs/>
          <w:sz w:val="24"/>
          <w:szCs w:val="24"/>
        </w:rPr>
      </w:pPr>
    </w:p>
    <w:p w14:paraId="76CBF3B6" w14:textId="3EE4BD28"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 xml:space="preserve">1. Please take this opportunity to thoroughly proofread the manuscript to ensure that there are no spelling or grammar issues. The </w:t>
      </w:r>
      <w:proofErr w:type="spellStart"/>
      <w:r w:rsidRPr="009F15DC">
        <w:rPr>
          <w:rFonts w:asciiTheme="minorHAnsi" w:hAnsiTheme="minorHAnsi" w:cstheme="minorHAnsi"/>
          <w:i/>
          <w:iCs/>
          <w:sz w:val="24"/>
          <w:szCs w:val="24"/>
        </w:rPr>
        <w:t>JoVE</w:t>
      </w:r>
      <w:proofErr w:type="spellEnd"/>
      <w:r w:rsidRPr="009F15DC">
        <w:rPr>
          <w:rFonts w:asciiTheme="minorHAnsi" w:hAnsiTheme="minorHAnsi" w:cstheme="minorHAnsi"/>
          <w:i/>
          <w:iCs/>
          <w:sz w:val="24"/>
          <w:szCs w:val="24"/>
        </w:rPr>
        <w:t xml:space="preserve"> editor will not copy-edit your manuscript and any errors in the submitted revision may be present in the published version.</w:t>
      </w:r>
    </w:p>
    <w:p w14:paraId="46840FB8" w14:textId="535BEED1"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15ECD3E4" w14:textId="360B9107" w:rsidR="008D70B3"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r w:rsidR="00503950" w:rsidRPr="00503950">
        <w:rPr>
          <w:rFonts w:asciiTheme="minorHAnsi" w:eastAsia="GulimChe" w:hAnsiTheme="minorHAnsi" w:cstheme="minorHAnsi"/>
          <w:color w:val="0000FF"/>
          <w:sz w:val="24"/>
          <w:szCs w:val="24"/>
          <w:lang w:val="en-AU" w:eastAsia="x-none"/>
        </w:rPr>
        <w:t>Followed.</w:t>
      </w:r>
    </w:p>
    <w:p w14:paraId="5E714335"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3D8FC0E4"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4EF5A0FC" w14:textId="31FC77E1"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B2100C">
        <w:rPr>
          <w:rFonts w:asciiTheme="minorHAnsi" w:hAnsiTheme="minorHAnsi" w:cstheme="minorHAnsi"/>
          <w:i/>
          <w:iCs/>
          <w:sz w:val="24"/>
          <w:szCs w:val="24"/>
        </w:rPr>
        <w:t>2. Please format the manuscript as: paragraph Indentation: 0 for both left and right and special: none, Line spacings: single. Please include a single line space</w:t>
      </w:r>
      <w:r w:rsidRPr="009D5458">
        <w:rPr>
          <w:rFonts w:asciiTheme="minorHAnsi" w:hAnsiTheme="minorHAnsi" w:cstheme="minorHAnsi"/>
          <w:i/>
          <w:iCs/>
          <w:sz w:val="24"/>
          <w:szCs w:val="24"/>
        </w:rPr>
        <w:t xml:space="preserve"> between each step, </w:t>
      </w:r>
      <w:proofErr w:type="spellStart"/>
      <w:r w:rsidRPr="009D5458">
        <w:rPr>
          <w:rFonts w:asciiTheme="minorHAnsi" w:hAnsiTheme="minorHAnsi" w:cstheme="minorHAnsi"/>
          <w:i/>
          <w:iCs/>
          <w:sz w:val="24"/>
          <w:szCs w:val="24"/>
        </w:rPr>
        <w:t>substep</w:t>
      </w:r>
      <w:proofErr w:type="spellEnd"/>
      <w:r w:rsidRPr="009D5458">
        <w:rPr>
          <w:rFonts w:asciiTheme="minorHAnsi" w:hAnsiTheme="minorHAnsi" w:cstheme="minorHAnsi"/>
          <w:i/>
          <w:iCs/>
          <w:sz w:val="24"/>
          <w:szCs w:val="24"/>
        </w:rPr>
        <w:t xml:space="preserve"> and note in the protocol section. Please use Calibri 12 points.</w:t>
      </w:r>
    </w:p>
    <w:p w14:paraId="402DC4CE"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36E3E3D6" w14:textId="586156BC" w:rsidR="008D70B3"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r w:rsidR="00503950" w:rsidRPr="00503950">
        <w:rPr>
          <w:rFonts w:asciiTheme="minorHAnsi" w:eastAsia="GulimChe" w:hAnsiTheme="minorHAnsi" w:cstheme="minorHAnsi"/>
          <w:color w:val="0000FF"/>
          <w:sz w:val="24"/>
          <w:szCs w:val="24"/>
          <w:lang w:val="en-AU" w:eastAsia="x-none"/>
        </w:rPr>
        <w:t>Followed.</w:t>
      </w:r>
    </w:p>
    <w:p w14:paraId="6D4AFADB"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780044B0"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22F20B0E" w14:textId="7086A1F6"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3. Please rephrase the Short Abstract/Summary to clearly describe the protocol and its applications in complete sentences between 10-50 words: “Presented here is a protocol …”</w:t>
      </w:r>
    </w:p>
    <w:p w14:paraId="3A9EDD65"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6E925E67" w14:textId="002FB7C1" w:rsidR="009A7148" w:rsidRPr="003475EB" w:rsidRDefault="008D70B3" w:rsidP="009A7148">
      <w:pPr>
        <w:jc w:val="both"/>
        <w:rPr>
          <w:rFonts w:ascii="Calibri" w:hAnsi="Calibri" w:cs="Calibri"/>
          <w:color w:val="000000" w:themeColor="text1"/>
          <w:shd w:val="clear" w:color="auto" w:fill="FFFFFF"/>
        </w:rPr>
      </w:pPr>
      <w:r w:rsidRPr="009F15DC">
        <w:rPr>
          <w:rFonts w:cstheme="minorHAnsi"/>
          <w:sz w:val="24"/>
          <w:szCs w:val="24"/>
          <w:u w:val="single"/>
        </w:rPr>
        <w:t>Response</w:t>
      </w:r>
      <w:r w:rsidRPr="009F15DC">
        <w:rPr>
          <w:rFonts w:cstheme="minorHAnsi"/>
          <w:sz w:val="24"/>
          <w:szCs w:val="24"/>
        </w:rPr>
        <w:t xml:space="preserve">: </w:t>
      </w:r>
      <w:r w:rsidR="00503950" w:rsidRPr="00503950">
        <w:rPr>
          <w:rFonts w:eastAsia="GulimChe" w:cstheme="minorHAnsi"/>
          <w:color w:val="0000FF"/>
          <w:sz w:val="24"/>
          <w:szCs w:val="24"/>
          <w:lang w:val="en-AU" w:eastAsia="x-none"/>
        </w:rPr>
        <w:t>Followed.</w:t>
      </w:r>
      <w:r w:rsidR="009A7148">
        <w:rPr>
          <w:rFonts w:eastAsia="GulimChe" w:cstheme="minorHAnsi"/>
          <w:color w:val="0000FF"/>
          <w:sz w:val="24"/>
          <w:szCs w:val="24"/>
          <w:lang w:val="en-AU" w:eastAsia="x-none"/>
        </w:rPr>
        <w:t xml:space="preserve"> </w:t>
      </w:r>
    </w:p>
    <w:p w14:paraId="7BA04634" w14:textId="003C83CB"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436A88F4" w14:textId="6A6C1063"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9D5458">
        <w:rPr>
          <w:rFonts w:asciiTheme="minorHAnsi" w:hAnsiTheme="minorHAnsi" w:cstheme="minorHAnsi"/>
          <w:i/>
          <w:iCs/>
          <w:sz w:val="24"/>
          <w:szCs w:val="24"/>
        </w:rPr>
        <w:t>4. Please ensure that all text in the protocol section is written in the imperative tense as if telling someone how to do the technique (e.g., “Do this,” “Ensure that,” etc.). The actions should be described in the imperative tense in complete sentences wherever possible. Avoid usage of phrases such as “could be,” “should be,” and “would be” throughout the Protocol. Any text that cannot be written in the imperative tense may be added as a “Note.”</w:t>
      </w:r>
    </w:p>
    <w:p w14:paraId="6914C6F0"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5D20DE45" w14:textId="7C547289" w:rsidR="008D70B3"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r w:rsidR="00503950" w:rsidRPr="00503950">
        <w:rPr>
          <w:rFonts w:asciiTheme="minorHAnsi" w:eastAsia="GulimChe" w:hAnsiTheme="minorHAnsi" w:cstheme="minorHAnsi"/>
          <w:color w:val="0000FF"/>
          <w:sz w:val="24"/>
          <w:szCs w:val="24"/>
          <w:lang w:val="en-AU" w:eastAsia="x-none"/>
        </w:rPr>
        <w:t>Followed.</w:t>
      </w:r>
    </w:p>
    <w:p w14:paraId="66E0E918"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0B41B383"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6322134A" w14:textId="5D5B1BAD"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5. The Protocol should contain only action items that direct the reader to do something.</w:t>
      </w:r>
    </w:p>
    <w:p w14:paraId="2D4AE55C"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2D4DCE58" w14:textId="4EBAF844" w:rsidR="008D70B3"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r w:rsidR="00503950" w:rsidRPr="00503950">
        <w:rPr>
          <w:rFonts w:asciiTheme="minorHAnsi" w:eastAsia="GulimChe" w:hAnsiTheme="minorHAnsi" w:cstheme="minorHAnsi"/>
          <w:color w:val="0000FF"/>
          <w:sz w:val="24"/>
          <w:szCs w:val="24"/>
          <w:lang w:val="en-AU" w:eastAsia="x-none"/>
        </w:rPr>
        <w:t>Followed.</w:t>
      </w:r>
    </w:p>
    <w:p w14:paraId="0C1B58D1"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5DE33798"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1932F8E5" w14:textId="102B081F"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lastRenderedPageBreak/>
        <w:t>6. Please revise the protocol text to avoid the use of any personal pronouns in the protocol (e.g., "we", "you", "our" etc.).</w:t>
      </w:r>
    </w:p>
    <w:p w14:paraId="5383183F"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67461C6D" w14:textId="75D32456" w:rsidR="008D70B3"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r w:rsidR="00503950" w:rsidRPr="00503950">
        <w:rPr>
          <w:rFonts w:asciiTheme="minorHAnsi" w:eastAsia="GulimChe" w:hAnsiTheme="minorHAnsi" w:cstheme="minorHAnsi"/>
          <w:color w:val="0000FF"/>
          <w:sz w:val="24"/>
          <w:szCs w:val="24"/>
          <w:lang w:val="en-AU" w:eastAsia="x-none"/>
        </w:rPr>
        <w:t>Followed.</w:t>
      </w:r>
    </w:p>
    <w:p w14:paraId="5B99EEA1"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174A3749"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6F3A0EC7" w14:textId="3B6470DA"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8C2DB8">
        <w:rPr>
          <w:rFonts w:asciiTheme="minorHAnsi" w:hAnsiTheme="minorHAnsi" w:cstheme="minorHAnsi"/>
          <w:i/>
          <w:iCs/>
          <w:sz w:val="24"/>
          <w:szCs w:val="24"/>
        </w:rPr>
        <w:t>7. Please add more details to your protocol steps. Please ensure you answer the “how” question, i.e., how is the step performed? For this please include button clicks, knob turns, mechanical actions, etc.</w:t>
      </w:r>
    </w:p>
    <w:p w14:paraId="2155EE1E"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789CB841" w14:textId="4025FD10" w:rsidR="008D70B3"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r w:rsidR="00503950" w:rsidRPr="00503950">
        <w:rPr>
          <w:rFonts w:asciiTheme="minorHAnsi" w:eastAsia="GulimChe" w:hAnsiTheme="minorHAnsi" w:cstheme="minorHAnsi"/>
          <w:color w:val="0000FF"/>
          <w:sz w:val="24"/>
          <w:szCs w:val="24"/>
          <w:lang w:val="en-AU" w:eastAsia="x-none"/>
        </w:rPr>
        <w:t>Followed.</w:t>
      </w:r>
    </w:p>
    <w:p w14:paraId="496BB2DC"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3D1B8188"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171FB035" w14:textId="43B9771E"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8. There is a 10-page limit for the Protocol, but there is a 3-page limit for filmable content. Please highlight 3 pages or less of the Protocol (including headings and spacing) that identifies the essential steps of the protocol for the video, i.e., the steps that should be visualized to tell the most cohesive story of the Protocol.</w:t>
      </w:r>
    </w:p>
    <w:p w14:paraId="35B79316"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33B0C167" w14:textId="0AD48B47" w:rsidR="008D70B3"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r w:rsidR="00D01C2C">
        <w:rPr>
          <w:rFonts w:asciiTheme="minorHAnsi" w:eastAsia="GulimChe" w:hAnsiTheme="minorHAnsi" w:cstheme="minorHAnsi"/>
          <w:color w:val="0000FF"/>
          <w:sz w:val="24"/>
          <w:szCs w:val="24"/>
          <w:lang w:val="en-AU" w:eastAsia="x-none"/>
        </w:rPr>
        <w:t>Highlighted</w:t>
      </w:r>
      <w:r w:rsidR="00503950" w:rsidRPr="00503950">
        <w:rPr>
          <w:rFonts w:asciiTheme="minorHAnsi" w:eastAsia="GulimChe" w:hAnsiTheme="minorHAnsi" w:cstheme="minorHAnsi"/>
          <w:color w:val="0000FF"/>
          <w:sz w:val="24"/>
          <w:szCs w:val="24"/>
          <w:lang w:val="en-AU" w:eastAsia="x-none"/>
        </w:rPr>
        <w:t>.</w:t>
      </w:r>
    </w:p>
    <w:p w14:paraId="1279A506"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5EC704B6"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379DA47F" w14:textId="5FBC8855"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9. Anesthesia and Euthanasia steps cannot be filmed.</w:t>
      </w:r>
    </w:p>
    <w:p w14:paraId="35BC8077"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1B993764" w14:textId="4A8CFF68" w:rsidR="008D70B3"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r w:rsidR="00503950">
        <w:rPr>
          <w:rFonts w:asciiTheme="minorHAnsi" w:eastAsia="GulimChe" w:hAnsiTheme="minorHAnsi" w:cstheme="minorHAnsi"/>
          <w:color w:val="0000FF"/>
          <w:sz w:val="24"/>
          <w:szCs w:val="24"/>
          <w:lang w:val="en-AU" w:eastAsia="x-none"/>
        </w:rPr>
        <w:t xml:space="preserve">Understood. </w:t>
      </w:r>
    </w:p>
    <w:p w14:paraId="4091056A"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37A9CDDD"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1EDDFD76" w14:textId="16899870"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10. Please obtain explicit copyright permission to reuse any figures from a previous publication. Explicit permission can be expressed in the form of a letter from the editor or a link to the editorial policy that allows re-prints. Please upload this information as a .doc or .docx file to your Editorial Manager account. The Figure must be cited appropriately in Figure Legend, i.e. “This figure has been modified from [citation].”</w:t>
      </w:r>
    </w:p>
    <w:p w14:paraId="45515C5A"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5D50C348" w14:textId="1AE7B37F" w:rsidR="008D70B3"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r w:rsidR="00D05238" w:rsidRPr="00503950">
        <w:rPr>
          <w:rFonts w:asciiTheme="minorHAnsi" w:eastAsia="GulimChe" w:hAnsiTheme="minorHAnsi" w:cstheme="minorHAnsi"/>
          <w:color w:val="0000FF"/>
          <w:sz w:val="24"/>
          <w:szCs w:val="24"/>
          <w:lang w:val="en-AU" w:eastAsia="x-none"/>
        </w:rPr>
        <w:t>Followed.</w:t>
      </w:r>
    </w:p>
    <w:p w14:paraId="631C05F8"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6DFE44AF" w14:textId="77777777" w:rsidR="00D05238" w:rsidRDefault="00D05238" w:rsidP="009F15DC">
      <w:pPr>
        <w:pStyle w:val="NormalWeb"/>
        <w:spacing w:before="0" w:beforeAutospacing="0" w:after="0" w:afterAutospacing="0"/>
        <w:rPr>
          <w:rFonts w:asciiTheme="minorHAnsi" w:hAnsiTheme="minorHAnsi" w:cstheme="minorHAnsi"/>
          <w:i/>
          <w:iCs/>
          <w:sz w:val="24"/>
          <w:szCs w:val="24"/>
        </w:rPr>
      </w:pPr>
    </w:p>
    <w:p w14:paraId="24A23261" w14:textId="4E9DE469" w:rsidR="008D70B3"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11. Please include all the Figure Legends together at the end of the Representative Results in the manuscript text.</w:t>
      </w:r>
    </w:p>
    <w:p w14:paraId="1A506D48" w14:textId="77777777" w:rsidR="00D05238" w:rsidRPr="009F15DC" w:rsidRDefault="00D05238" w:rsidP="009F15DC">
      <w:pPr>
        <w:pStyle w:val="NormalWeb"/>
        <w:spacing w:before="0" w:beforeAutospacing="0" w:after="0" w:afterAutospacing="0"/>
        <w:rPr>
          <w:rFonts w:asciiTheme="minorHAnsi" w:hAnsiTheme="minorHAnsi" w:cstheme="minorHAnsi"/>
          <w:i/>
          <w:iCs/>
          <w:sz w:val="24"/>
          <w:szCs w:val="24"/>
        </w:rPr>
      </w:pPr>
    </w:p>
    <w:p w14:paraId="7D73891A"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760E2972" w14:textId="74CC443B" w:rsidR="008D70B3"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r w:rsidR="00D05238" w:rsidRPr="00503950">
        <w:rPr>
          <w:rFonts w:asciiTheme="minorHAnsi" w:eastAsia="GulimChe" w:hAnsiTheme="minorHAnsi" w:cstheme="minorHAnsi"/>
          <w:color w:val="0000FF"/>
          <w:sz w:val="24"/>
          <w:szCs w:val="24"/>
          <w:lang w:val="en-AU" w:eastAsia="x-none"/>
        </w:rPr>
        <w:t>Followed.</w:t>
      </w:r>
    </w:p>
    <w:p w14:paraId="7CDA6791"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24E75B5D" w14:textId="2A759B7A"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12. Please ensure all figures are referenced in the order. So figure 1 will be cited before Figures 2 or 3.</w:t>
      </w:r>
    </w:p>
    <w:p w14:paraId="5AA8B6AE"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491B6207" w14:textId="685DF671" w:rsidR="008D70B3"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lastRenderedPageBreak/>
        <w:t>Response</w:t>
      </w:r>
      <w:r w:rsidRPr="009F15DC">
        <w:rPr>
          <w:rFonts w:asciiTheme="minorHAnsi" w:hAnsiTheme="minorHAnsi" w:cstheme="minorHAnsi"/>
          <w:sz w:val="24"/>
          <w:szCs w:val="24"/>
        </w:rPr>
        <w:t xml:space="preserve">: </w:t>
      </w:r>
      <w:r w:rsidR="00D05238" w:rsidRPr="00503950">
        <w:rPr>
          <w:rFonts w:asciiTheme="minorHAnsi" w:eastAsia="GulimChe" w:hAnsiTheme="minorHAnsi" w:cstheme="minorHAnsi"/>
          <w:color w:val="0000FF"/>
          <w:sz w:val="24"/>
          <w:szCs w:val="24"/>
          <w:lang w:val="en-AU" w:eastAsia="x-none"/>
        </w:rPr>
        <w:t>Followed.</w:t>
      </w:r>
    </w:p>
    <w:p w14:paraId="79821F2F"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0506006C"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3CB86F2B" w14:textId="0FF354B9"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13. As we are a methods journal, please ensure that the Discussion explicitly covers the following in detail in 3-6 paragraphs with citations:</w:t>
      </w:r>
      <w:r w:rsidRPr="009F15DC">
        <w:rPr>
          <w:rFonts w:asciiTheme="minorHAnsi" w:hAnsiTheme="minorHAnsi" w:cstheme="minorHAnsi"/>
          <w:i/>
          <w:iCs/>
          <w:sz w:val="24"/>
          <w:szCs w:val="24"/>
        </w:rPr>
        <w:br/>
        <w:t>a) Critical steps within the protocol</w:t>
      </w:r>
      <w:r w:rsidRPr="009F15DC">
        <w:rPr>
          <w:rFonts w:asciiTheme="minorHAnsi" w:hAnsiTheme="minorHAnsi" w:cstheme="minorHAnsi"/>
          <w:i/>
          <w:iCs/>
          <w:sz w:val="24"/>
          <w:szCs w:val="24"/>
        </w:rPr>
        <w:br/>
        <w:t>b) Any modifications and troubleshooting of the technique</w:t>
      </w:r>
      <w:r w:rsidRPr="009F15DC">
        <w:rPr>
          <w:rFonts w:asciiTheme="minorHAnsi" w:hAnsiTheme="minorHAnsi" w:cstheme="minorHAnsi"/>
          <w:i/>
          <w:iCs/>
          <w:sz w:val="24"/>
          <w:szCs w:val="24"/>
        </w:rPr>
        <w:br/>
        <w:t>c) Any limitations of the technique</w:t>
      </w:r>
      <w:r w:rsidRPr="009F15DC">
        <w:rPr>
          <w:rFonts w:asciiTheme="minorHAnsi" w:hAnsiTheme="minorHAnsi" w:cstheme="minorHAnsi"/>
          <w:i/>
          <w:iCs/>
          <w:sz w:val="24"/>
          <w:szCs w:val="24"/>
        </w:rPr>
        <w:br/>
        <w:t>d) The significance with respect to existing methods</w:t>
      </w:r>
      <w:r w:rsidRPr="009F15DC">
        <w:rPr>
          <w:rFonts w:asciiTheme="minorHAnsi" w:hAnsiTheme="minorHAnsi" w:cstheme="minorHAnsi"/>
          <w:i/>
          <w:iCs/>
          <w:sz w:val="24"/>
          <w:szCs w:val="24"/>
        </w:rPr>
        <w:br/>
        <w:t>e) Any future applications of the technique</w:t>
      </w:r>
    </w:p>
    <w:p w14:paraId="0A8D9C84"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75BA29E6" w14:textId="1D837A0C" w:rsidR="008D70B3"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r w:rsidR="00D05238" w:rsidRPr="00503950">
        <w:rPr>
          <w:rFonts w:asciiTheme="minorHAnsi" w:eastAsia="GulimChe" w:hAnsiTheme="minorHAnsi" w:cstheme="minorHAnsi"/>
          <w:color w:val="0000FF"/>
          <w:sz w:val="24"/>
          <w:szCs w:val="24"/>
          <w:lang w:val="en-AU" w:eastAsia="x-none"/>
        </w:rPr>
        <w:t>Followed.</w:t>
      </w:r>
    </w:p>
    <w:p w14:paraId="01E6545F"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5C2A7199"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26212751" w14:textId="1D839651"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14. Please do not make a separate section for additional comments. This can be integrated in the discussion in the format mentioned above.</w:t>
      </w:r>
    </w:p>
    <w:p w14:paraId="60EE05A5"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265B8620" w14:textId="57EDF234" w:rsidR="008D70B3"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r w:rsidR="00D05238" w:rsidRPr="00503950">
        <w:rPr>
          <w:rFonts w:asciiTheme="minorHAnsi" w:eastAsia="GulimChe" w:hAnsiTheme="minorHAnsi" w:cstheme="minorHAnsi"/>
          <w:color w:val="0000FF"/>
          <w:sz w:val="24"/>
          <w:szCs w:val="24"/>
          <w:lang w:val="en-AU" w:eastAsia="x-none"/>
        </w:rPr>
        <w:t>Followed.</w:t>
      </w:r>
    </w:p>
    <w:p w14:paraId="203544C8"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72E659C5"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2931DDBD" w14:textId="4A712D5E"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15. Please remove the figure legends from the uploaded figures.</w:t>
      </w:r>
    </w:p>
    <w:p w14:paraId="79146D2E"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65053DB3" w14:textId="5E71988B" w:rsidR="001B141B"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r w:rsidR="00D05238" w:rsidRPr="00503950">
        <w:rPr>
          <w:rFonts w:asciiTheme="minorHAnsi" w:eastAsia="GulimChe" w:hAnsiTheme="minorHAnsi" w:cstheme="minorHAnsi"/>
          <w:color w:val="0000FF"/>
          <w:sz w:val="24"/>
          <w:szCs w:val="24"/>
          <w:lang w:val="en-AU" w:eastAsia="x-none"/>
        </w:rPr>
        <w:t>Followed.</w:t>
      </w:r>
    </w:p>
    <w:p w14:paraId="13363E6C"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1FF6B228"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40C3FA5D" w14:textId="52F7D463" w:rsidR="009F15DC" w:rsidRPr="009F15DC" w:rsidRDefault="009F15DC" w:rsidP="009F15DC">
      <w:pPr>
        <w:spacing w:after="0" w:line="240" w:lineRule="auto"/>
        <w:rPr>
          <w:rFonts w:cstheme="minorHAnsi"/>
          <w:sz w:val="24"/>
          <w:szCs w:val="24"/>
        </w:rPr>
      </w:pPr>
      <w:r w:rsidRPr="009F15DC">
        <w:rPr>
          <w:rFonts w:cstheme="minorHAnsi"/>
          <w:sz w:val="24"/>
          <w:szCs w:val="24"/>
        </w:rPr>
        <w:br w:type="page"/>
      </w:r>
    </w:p>
    <w:p w14:paraId="5CDEA3B3" w14:textId="77777777" w:rsidR="009F15DC"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b/>
          <w:bCs/>
          <w:sz w:val="24"/>
          <w:szCs w:val="24"/>
        </w:rPr>
        <w:lastRenderedPageBreak/>
        <w:t xml:space="preserve">Reviewer #1: </w:t>
      </w:r>
    </w:p>
    <w:p w14:paraId="42D2D6F5" w14:textId="6DF53026" w:rsidR="009F15DC" w:rsidRDefault="009F15DC" w:rsidP="009F15DC">
      <w:pPr>
        <w:pStyle w:val="NormalWeb"/>
        <w:spacing w:before="0" w:beforeAutospacing="0" w:after="0" w:afterAutospacing="0"/>
        <w:rPr>
          <w:rFonts w:asciiTheme="minorHAnsi" w:hAnsiTheme="minorHAnsi" w:cstheme="minorHAnsi"/>
          <w:sz w:val="24"/>
          <w:szCs w:val="24"/>
        </w:rPr>
      </w:pPr>
    </w:p>
    <w:p w14:paraId="7245186A" w14:textId="2B0387DF" w:rsidR="006B0590" w:rsidRPr="006B0590" w:rsidRDefault="006B0590" w:rsidP="009F15DC">
      <w:pPr>
        <w:pStyle w:val="NormalWeb"/>
        <w:spacing w:before="0" w:beforeAutospacing="0" w:after="0" w:afterAutospacing="0"/>
        <w:rPr>
          <w:rFonts w:asciiTheme="minorHAnsi" w:hAnsiTheme="minorHAnsi" w:cstheme="minorHAnsi"/>
          <w:i/>
          <w:iCs/>
          <w:sz w:val="24"/>
          <w:szCs w:val="24"/>
        </w:rPr>
      </w:pPr>
      <w:r w:rsidRPr="006B0590">
        <w:rPr>
          <w:i/>
          <w:iCs/>
          <w:sz w:val="24"/>
          <w:szCs w:val="24"/>
        </w:rPr>
        <w:t xml:space="preserve">In the submitted manuscript, Park et al. describe bone marrow transplantation methods in mice to study clonal hematopoiesis. The authors compare methodology for bone marrow transplantation into preconditioned (global and localized radiation) and naïve mice. They further provide an example where adoptive transplantation on </w:t>
      </w:r>
      <w:r w:rsidRPr="00C64C3E">
        <w:rPr>
          <w:sz w:val="24"/>
          <w:szCs w:val="24"/>
        </w:rPr>
        <w:t>Tet2</w:t>
      </w:r>
      <w:r w:rsidRPr="006B0590">
        <w:rPr>
          <w:i/>
          <w:iCs/>
          <w:sz w:val="24"/>
          <w:szCs w:val="24"/>
        </w:rPr>
        <w:t xml:space="preserve"> KO bone marrow into naïve mice results in stable and increasing chimerism over time. The manuscript is clearly written and will be useful to investigators wishing to enter this field. The authors do an excellent job clearly explaining the experimental protocol in sufficient detail and discussing the intricacies of different irradiation sources. I have the following comments and suggestions to improve the manuscript.</w:t>
      </w:r>
    </w:p>
    <w:p w14:paraId="5E83A862" w14:textId="6AD3E555" w:rsidR="006B0590" w:rsidRDefault="006B0590" w:rsidP="009F15DC">
      <w:pPr>
        <w:pStyle w:val="NormalWeb"/>
        <w:spacing w:before="0" w:beforeAutospacing="0" w:after="0" w:afterAutospacing="0"/>
        <w:rPr>
          <w:rFonts w:asciiTheme="minorHAnsi" w:hAnsiTheme="minorHAnsi" w:cstheme="minorHAnsi"/>
          <w:sz w:val="24"/>
          <w:szCs w:val="24"/>
        </w:rPr>
      </w:pPr>
    </w:p>
    <w:p w14:paraId="5E11CED6" w14:textId="0B66AB04" w:rsidR="006B0590" w:rsidRDefault="006B0590" w:rsidP="009F15DC">
      <w:pPr>
        <w:pStyle w:val="NormalWeb"/>
        <w:spacing w:before="0" w:beforeAutospacing="0" w:after="0" w:afterAutospacing="0"/>
        <w:rPr>
          <w:rFonts w:asciiTheme="minorHAnsi" w:hAnsiTheme="minorHAnsi" w:cstheme="minorHAnsi"/>
          <w:sz w:val="24"/>
          <w:szCs w:val="24"/>
        </w:rPr>
      </w:pPr>
      <w:r w:rsidRPr="006B0590">
        <w:rPr>
          <w:rFonts w:asciiTheme="minorHAnsi" w:hAnsiTheme="minorHAnsi" w:cstheme="minorHAnsi"/>
          <w:sz w:val="24"/>
          <w:szCs w:val="24"/>
          <w:u w:val="single"/>
        </w:rPr>
        <w:t>Response</w:t>
      </w:r>
      <w:r>
        <w:rPr>
          <w:rFonts w:asciiTheme="minorHAnsi" w:hAnsiTheme="minorHAnsi" w:cstheme="minorHAnsi"/>
          <w:sz w:val="24"/>
          <w:szCs w:val="24"/>
        </w:rPr>
        <w:t>: We thank the reviewer for these positive comments.</w:t>
      </w:r>
    </w:p>
    <w:p w14:paraId="4DDAEB31" w14:textId="77777777" w:rsidR="006B0590" w:rsidRPr="009F15DC" w:rsidRDefault="006B0590" w:rsidP="009F15DC">
      <w:pPr>
        <w:pStyle w:val="NormalWeb"/>
        <w:spacing w:before="0" w:beforeAutospacing="0" w:after="0" w:afterAutospacing="0"/>
        <w:rPr>
          <w:rFonts w:asciiTheme="minorHAnsi" w:hAnsiTheme="minorHAnsi" w:cstheme="minorHAnsi"/>
          <w:sz w:val="24"/>
          <w:szCs w:val="24"/>
        </w:rPr>
      </w:pPr>
    </w:p>
    <w:p w14:paraId="59503EF0" w14:textId="260350EB"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1. Understanding the difference between 4h and 24h TBI dosing regimens is an important and useful note. It would be helpful to more clearly explain whether any differences are expected between these radiation dosing schedules. Example data would be useful if available. The authors state that optimal engraftment is obtained using the 4h dosing interval and only display results from this protocol.</w:t>
      </w:r>
    </w:p>
    <w:p w14:paraId="768B597F"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5AF554F2"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5809641A" w14:textId="77777777" w:rsidR="001B141B" w:rsidRPr="00140CA5" w:rsidRDefault="001B141B" w:rsidP="009F15DC">
      <w:pPr>
        <w:pStyle w:val="NormalWeb"/>
        <w:spacing w:before="0" w:beforeAutospacing="0" w:after="0" w:afterAutospacing="0"/>
        <w:rPr>
          <w:rFonts w:asciiTheme="minorHAnsi" w:hAnsiTheme="minorHAnsi" w:cstheme="minorHAnsi"/>
          <w:sz w:val="24"/>
          <w:szCs w:val="24"/>
        </w:rPr>
      </w:pPr>
    </w:p>
    <w:p w14:paraId="44BDE6A6" w14:textId="26DF9275" w:rsidR="00140CA5" w:rsidRPr="00377316" w:rsidRDefault="00140CA5" w:rsidP="00140CA5">
      <w:pPr>
        <w:jc w:val="both"/>
        <w:rPr>
          <w:rFonts w:ascii="Calibri" w:hAnsi="Calibri" w:cs="Calibri"/>
          <w:color w:val="0000FF"/>
          <w:sz w:val="24"/>
          <w:szCs w:val="24"/>
        </w:rPr>
      </w:pPr>
      <w:r w:rsidRPr="00377316">
        <w:rPr>
          <w:rFonts w:ascii="Calibri" w:hAnsi="Calibri" w:cs="Calibri"/>
          <w:color w:val="0000FF"/>
          <w:sz w:val="24"/>
          <w:szCs w:val="24"/>
        </w:rPr>
        <w:t xml:space="preserve">We appreciate your detailed comment. We agree that it would be helpful to show the difference between irradiation dosing intervals. Thus, we have added the following to the discussion section. </w:t>
      </w:r>
      <w:r w:rsidR="00E8134A" w:rsidRPr="00F32105">
        <w:rPr>
          <w:rFonts w:ascii="Calibri" w:hAnsi="Calibri" w:cs="Calibri"/>
          <w:color w:val="0000FF"/>
          <w:sz w:val="24"/>
          <w:szCs w:val="24"/>
          <w:highlight w:val="yellow"/>
        </w:rPr>
        <w:t>(Line 55</w:t>
      </w:r>
      <w:r w:rsidR="008D3086">
        <w:rPr>
          <w:rFonts w:ascii="Calibri" w:hAnsi="Calibri" w:cs="Calibri"/>
          <w:color w:val="0000FF"/>
          <w:sz w:val="24"/>
          <w:szCs w:val="24"/>
          <w:highlight w:val="yellow"/>
        </w:rPr>
        <w:t>7</w:t>
      </w:r>
      <w:r w:rsidR="00E8134A" w:rsidRPr="00F32105">
        <w:rPr>
          <w:rFonts w:ascii="Calibri" w:hAnsi="Calibri" w:cs="Calibri"/>
          <w:color w:val="0000FF"/>
          <w:sz w:val="24"/>
          <w:szCs w:val="24"/>
          <w:highlight w:val="yellow"/>
        </w:rPr>
        <w:t>-5</w:t>
      </w:r>
      <w:r w:rsidR="005A5169">
        <w:rPr>
          <w:rFonts w:ascii="Calibri" w:hAnsi="Calibri" w:cs="Calibri"/>
          <w:color w:val="0000FF"/>
          <w:sz w:val="24"/>
          <w:szCs w:val="24"/>
          <w:highlight w:val="yellow"/>
        </w:rPr>
        <w:t>8</w:t>
      </w:r>
      <w:r w:rsidR="008D3086">
        <w:rPr>
          <w:rFonts w:ascii="Calibri" w:hAnsi="Calibri" w:cs="Calibri"/>
          <w:color w:val="0000FF"/>
          <w:sz w:val="24"/>
          <w:szCs w:val="24"/>
          <w:highlight w:val="yellow"/>
        </w:rPr>
        <w:t>0</w:t>
      </w:r>
      <w:r w:rsidR="00E8134A" w:rsidRPr="00F32105">
        <w:rPr>
          <w:rFonts w:ascii="Calibri" w:hAnsi="Calibri" w:cs="Calibri"/>
          <w:color w:val="0000FF"/>
          <w:sz w:val="24"/>
          <w:szCs w:val="24"/>
          <w:highlight w:val="yellow"/>
        </w:rPr>
        <w:t>)</w:t>
      </w:r>
    </w:p>
    <w:p w14:paraId="5CE201CF" w14:textId="4927EC18" w:rsidR="00EC3380" w:rsidRPr="00377316" w:rsidRDefault="00EC3380" w:rsidP="00EC3380">
      <w:pPr>
        <w:jc w:val="both"/>
        <w:rPr>
          <w:rFonts w:ascii="Calibri" w:hAnsi="Calibri" w:cs="Calibri"/>
          <w:color w:val="0000FF"/>
          <w:sz w:val="24"/>
          <w:szCs w:val="24"/>
        </w:rPr>
      </w:pPr>
      <w:r w:rsidRPr="00377316">
        <w:rPr>
          <w:rFonts w:ascii="Calibri" w:hAnsi="Calibri" w:cs="Calibri"/>
          <w:color w:val="0000FF"/>
          <w:sz w:val="24"/>
          <w:szCs w:val="24"/>
        </w:rPr>
        <w:t>“</w:t>
      </w:r>
      <w:r w:rsidRPr="00377316">
        <w:rPr>
          <w:rFonts w:ascii="Calibri" w:hAnsi="Calibri" w:cs="Calibri"/>
          <w:b/>
          <w:bCs/>
          <w:color w:val="0000FF"/>
          <w:sz w:val="24"/>
          <w:szCs w:val="24"/>
        </w:rPr>
        <w:t>Dosing intervals</w:t>
      </w:r>
    </w:p>
    <w:p w14:paraId="122F9C76" w14:textId="24BC60D3" w:rsidR="00B75A8E" w:rsidRPr="00B75A8E" w:rsidRDefault="00B75A8E" w:rsidP="00B75A8E">
      <w:pPr>
        <w:jc w:val="both"/>
        <w:rPr>
          <w:color w:val="0000FF"/>
          <w:sz w:val="24"/>
          <w:szCs w:val="24"/>
          <w:lang w:eastAsia="ko-KR"/>
        </w:rPr>
      </w:pPr>
      <w:r w:rsidRPr="00B75A8E">
        <w:rPr>
          <w:color w:val="0000FF"/>
          <w:sz w:val="24"/>
          <w:szCs w:val="24"/>
          <w:lang w:eastAsia="ko-KR"/>
        </w:rPr>
        <w:t>Dosage and dosing intervals may affect the efficiency of donor cell engraftment and survival rates. In human patients, high-dose irradiation can cause idiopathic interstitial pneumonia, gastrointestinal injury, and cataract formation in human patients. In mouse models, single high-dose irradiation followed by bone marrow transplantation can produce similar results and can also affect survival rates</w:t>
      </w:r>
      <w:r w:rsidRPr="00B75A8E">
        <w:rPr>
          <w:color w:val="0000FF"/>
          <w:sz w:val="24"/>
          <w:szCs w:val="24"/>
          <w:vertAlign w:val="superscript"/>
          <w:lang w:eastAsia="ko-KR"/>
        </w:rPr>
        <w:t>31</w:t>
      </w:r>
      <w:r w:rsidRPr="00B75A8E">
        <w:rPr>
          <w:color w:val="0000FF"/>
          <w:sz w:val="24"/>
          <w:szCs w:val="24"/>
          <w:lang w:eastAsia="ko-KR"/>
        </w:rPr>
        <w:t>. Therefore, fractionated irradiation is highly recommended for the mouse BMT studies. In addition, the dosing intervals of fractions can impact mouse survival rate and reconstitution rate, leading to different fractions of donor cell chimerism in the hematological organs as well as other tissues</w:t>
      </w:r>
      <w:r w:rsidRPr="00B75A8E">
        <w:rPr>
          <w:color w:val="0000FF"/>
          <w:sz w:val="24"/>
          <w:szCs w:val="24"/>
          <w:vertAlign w:val="superscript"/>
          <w:lang w:eastAsia="ko-KR"/>
        </w:rPr>
        <w:t>31</w:t>
      </w:r>
      <w:r w:rsidRPr="00B75A8E">
        <w:rPr>
          <w:color w:val="0000FF"/>
          <w:sz w:val="24"/>
          <w:szCs w:val="24"/>
          <w:lang w:eastAsia="ko-KR"/>
        </w:rPr>
        <w:t xml:space="preserve">. Thus, researchers should be careful in designing a fractionated irradiation dosing schedule for BMT studies. </w:t>
      </w:r>
    </w:p>
    <w:p w14:paraId="47921756" w14:textId="77777777" w:rsidR="00B75A8E" w:rsidRPr="00B75A8E" w:rsidRDefault="00B75A8E" w:rsidP="00B75A8E">
      <w:pPr>
        <w:ind w:firstLine="720"/>
        <w:jc w:val="both"/>
        <w:rPr>
          <w:rFonts w:ascii="Calibri" w:hAnsi="Calibri" w:cs="Calibri"/>
          <w:color w:val="0000FF"/>
          <w:sz w:val="24"/>
          <w:szCs w:val="24"/>
          <w:lang w:eastAsia="ko-KR"/>
        </w:rPr>
      </w:pPr>
      <w:r w:rsidRPr="00B75A8E">
        <w:rPr>
          <w:rFonts w:ascii="Calibri" w:hAnsi="Calibri" w:cs="Calibri"/>
          <w:color w:val="0000FF"/>
          <w:sz w:val="24"/>
          <w:szCs w:val="24"/>
          <w:lang w:eastAsia="ko-KR"/>
        </w:rPr>
        <w:t xml:space="preserve">In the context of survival rate and immune cell reconstitution, our small study, showed that a group of mice receiving total body irradiation with a lethal radiation dose of 11 Gy in two 5.5 Gy fractions separated by a 24 h interval group had no significantly different results than the group which received the same TBI dosage at a 4 h interval. (see </w:t>
      </w:r>
      <w:r w:rsidRPr="00B75A8E">
        <w:rPr>
          <w:rFonts w:ascii="Calibri" w:hAnsi="Calibri" w:cs="Calibri"/>
          <w:b/>
          <w:bCs/>
          <w:color w:val="0000FF"/>
          <w:sz w:val="24"/>
          <w:szCs w:val="24"/>
          <w:lang w:eastAsia="ko-KR"/>
        </w:rPr>
        <w:t>Table 1</w:t>
      </w:r>
      <w:r w:rsidRPr="00B75A8E">
        <w:rPr>
          <w:rFonts w:ascii="Calibri" w:hAnsi="Calibri" w:cs="Calibri"/>
          <w:color w:val="0000FF"/>
          <w:sz w:val="24"/>
          <w:szCs w:val="24"/>
          <w:lang w:eastAsia="ko-KR"/>
        </w:rPr>
        <w:t xml:space="preserve">) However, with thorax-shielding BMT, 24 h interval group appeared to show less efficiency of donor cell chimerism by comparison with the 4 h interval group. A possible explanation for this result is that irradiation </w:t>
      </w:r>
      <w:r w:rsidRPr="00B75A8E">
        <w:rPr>
          <w:rFonts w:ascii="Calibri" w:hAnsi="Calibri" w:cs="Calibri"/>
          <w:color w:val="0000FF"/>
          <w:sz w:val="24"/>
          <w:szCs w:val="24"/>
          <w:lang w:eastAsia="ko-KR"/>
        </w:rPr>
        <w:lastRenderedPageBreak/>
        <w:t xml:space="preserve">with 24 h interval may not have been sufficient to remove the recipient’s immunocompetent cells because the prolonged intervals gave recipient mice sufficient time to repair damaged cells. In addition, thorax-shielding protects partial spine bones that also contain recipient’s HSCs. Thus, the remaining and recovered immunocompetent recipient cells may have attacked the donor-derived cells and induced an outcome that showed lower engraftment efficiency. </w:t>
      </w:r>
    </w:p>
    <w:p w14:paraId="7EADD01E" w14:textId="028CDBAB" w:rsidR="006B615C" w:rsidRDefault="00B4078C" w:rsidP="00F77192">
      <w:pPr>
        <w:pStyle w:val="NormalWeb"/>
        <w:spacing w:before="0" w:beforeAutospacing="0" w:after="0" w:afterAutospacing="0"/>
        <w:jc w:val="both"/>
        <w:rPr>
          <w:color w:val="0000FF"/>
          <w:sz w:val="24"/>
          <w:szCs w:val="24"/>
        </w:rPr>
      </w:pPr>
      <w:r>
        <w:rPr>
          <w:noProof/>
          <w:color w:val="0000FF"/>
          <w:sz w:val="24"/>
          <w:szCs w:val="24"/>
          <w:lang w:eastAsia="ko-KR"/>
        </w:rPr>
        <w:drawing>
          <wp:inline distT="0" distB="0" distL="0" distR="0" wp14:anchorId="70D3EAE9" wp14:editId="74FC6F64">
            <wp:extent cx="5943600" cy="22358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2235835"/>
                    </a:xfrm>
                    <a:prstGeom prst="rect">
                      <a:avLst/>
                    </a:prstGeom>
                  </pic:spPr>
                </pic:pic>
              </a:graphicData>
            </a:graphic>
          </wp:inline>
        </w:drawing>
      </w:r>
    </w:p>
    <w:p w14:paraId="3908127F" w14:textId="77777777" w:rsidR="00D456A1" w:rsidRPr="00D456A1" w:rsidRDefault="00D456A1" w:rsidP="00D456A1">
      <w:pPr>
        <w:jc w:val="both"/>
        <w:rPr>
          <w:rFonts w:ascii="Calibri" w:hAnsi="Calibri" w:cs="Calibri"/>
          <w:b/>
          <w:color w:val="0600FF"/>
          <w:sz w:val="24"/>
          <w:szCs w:val="24"/>
        </w:rPr>
      </w:pPr>
      <w:r w:rsidRPr="00D456A1">
        <w:rPr>
          <w:rFonts w:cstheme="minorHAnsi"/>
          <w:bCs/>
          <w:color w:val="0600FF"/>
          <w:sz w:val="24"/>
          <w:szCs w:val="24"/>
        </w:rPr>
        <w:t xml:space="preserve">Flow cytometric analysis of peripheral blood was performed 1 month after bone marrow transplantation. </w:t>
      </w:r>
      <w:r w:rsidRPr="00D456A1">
        <w:rPr>
          <w:rFonts w:ascii="Calibri" w:hAnsi="Calibri" w:cs="Calibri"/>
          <w:i/>
          <w:iCs/>
          <w:color w:val="0600FF"/>
          <w:sz w:val="24"/>
          <w:szCs w:val="24"/>
        </w:rPr>
        <w:t xml:space="preserve">WT </w:t>
      </w:r>
      <w:r w:rsidRPr="00D456A1">
        <w:rPr>
          <w:rFonts w:ascii="Calibri" w:hAnsi="Calibri" w:cs="Calibri"/>
          <w:color w:val="0600FF"/>
          <w:sz w:val="24"/>
          <w:szCs w:val="24"/>
        </w:rPr>
        <w:t>CD45.2</w:t>
      </w:r>
      <w:r w:rsidRPr="00D456A1">
        <w:rPr>
          <w:rFonts w:ascii="Calibri" w:hAnsi="Calibri" w:cs="Calibri"/>
          <w:color w:val="0600FF"/>
          <w:sz w:val="24"/>
          <w:szCs w:val="24"/>
          <w:vertAlign w:val="superscript"/>
        </w:rPr>
        <w:t>+</w:t>
      </w:r>
      <w:r w:rsidRPr="00D456A1">
        <w:rPr>
          <w:rFonts w:ascii="Calibri" w:hAnsi="Calibri" w:cs="Calibri"/>
          <w:color w:val="0600FF"/>
          <w:sz w:val="24"/>
          <w:szCs w:val="24"/>
        </w:rPr>
        <w:t xml:space="preserve"> donor bone marrow cells were transplanted into CD45.1</w:t>
      </w:r>
      <w:r w:rsidRPr="00D456A1">
        <w:rPr>
          <w:rFonts w:ascii="Calibri" w:hAnsi="Calibri" w:cs="Calibri"/>
          <w:color w:val="0600FF"/>
          <w:sz w:val="24"/>
          <w:szCs w:val="24"/>
          <w:vertAlign w:val="superscript"/>
        </w:rPr>
        <w:t>+</w:t>
      </w:r>
      <w:r w:rsidRPr="00D456A1">
        <w:rPr>
          <w:rFonts w:ascii="Calibri" w:hAnsi="Calibri" w:cs="Calibri"/>
          <w:color w:val="0600FF"/>
          <w:sz w:val="24"/>
          <w:szCs w:val="24"/>
        </w:rPr>
        <w:t xml:space="preserve"> recipient mice. </w:t>
      </w:r>
      <w:r w:rsidRPr="00D456A1">
        <w:rPr>
          <w:rFonts w:cstheme="minorHAnsi"/>
          <w:bCs/>
          <w:color w:val="0600FF"/>
          <w:sz w:val="24"/>
          <w:szCs w:val="24"/>
        </w:rPr>
        <w:t>5 × 10</w:t>
      </w:r>
      <w:r w:rsidRPr="00D456A1">
        <w:rPr>
          <w:rFonts w:cstheme="minorHAnsi"/>
          <w:bCs/>
          <w:color w:val="0600FF"/>
          <w:sz w:val="24"/>
          <w:szCs w:val="24"/>
          <w:vertAlign w:val="superscript"/>
        </w:rPr>
        <w:t>6</w:t>
      </w:r>
      <w:r w:rsidRPr="00D456A1">
        <w:rPr>
          <w:rFonts w:cstheme="minorHAnsi"/>
          <w:bCs/>
          <w:color w:val="0600FF"/>
          <w:sz w:val="24"/>
          <w:szCs w:val="24"/>
        </w:rPr>
        <w:t xml:space="preserve"> bone marrow cells were transplanted following 2 fractions of total body irradiation (2 x 5.5 Gy) with or without thorax-shielding separated by a 4 h interval or 24 h interval. (n=3-4 per each group).</w:t>
      </w:r>
    </w:p>
    <w:p w14:paraId="50DC93C8" w14:textId="77777777" w:rsidR="00D456A1" w:rsidRDefault="00D456A1" w:rsidP="009F15DC">
      <w:pPr>
        <w:pStyle w:val="NormalWeb"/>
        <w:spacing w:before="0" w:beforeAutospacing="0" w:after="0" w:afterAutospacing="0"/>
        <w:rPr>
          <w:rFonts w:asciiTheme="minorHAnsi" w:hAnsiTheme="minorHAnsi" w:cstheme="minorHAnsi"/>
          <w:i/>
          <w:iCs/>
          <w:sz w:val="24"/>
          <w:szCs w:val="24"/>
        </w:rPr>
      </w:pPr>
    </w:p>
    <w:p w14:paraId="36819AAD" w14:textId="2597623F" w:rsidR="008D70B3"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2. In regard to the design of the lead shielding, please provide anatomical landmarks to describe the proper size and position of the shield. This information would be helpful for investigators to properly execute experiments on mice of different sizes.</w:t>
      </w:r>
    </w:p>
    <w:p w14:paraId="2517B445"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196B713E"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7243C961" w14:textId="3B1F8F14" w:rsidR="008D70B3" w:rsidRDefault="008D70B3" w:rsidP="009F15DC">
      <w:pPr>
        <w:pStyle w:val="NormalWeb"/>
        <w:spacing w:before="0" w:beforeAutospacing="0" w:after="0" w:afterAutospacing="0"/>
        <w:rPr>
          <w:rFonts w:asciiTheme="minorHAnsi" w:hAnsiTheme="minorHAnsi" w:cstheme="minorHAnsi"/>
          <w:sz w:val="24"/>
          <w:szCs w:val="24"/>
        </w:rPr>
      </w:pPr>
    </w:p>
    <w:p w14:paraId="200116FF" w14:textId="6A3C3E4F" w:rsidR="00F77192" w:rsidRPr="00F77192" w:rsidRDefault="00F77192" w:rsidP="00F77192">
      <w:pPr>
        <w:autoSpaceDE w:val="0"/>
        <w:autoSpaceDN w:val="0"/>
        <w:adjustRightInd w:val="0"/>
        <w:spacing w:line="276" w:lineRule="auto"/>
        <w:jc w:val="both"/>
        <w:rPr>
          <w:rFonts w:ascii="Calibri" w:hAnsi="Calibri" w:cs="Calibri"/>
          <w:color w:val="0000FF"/>
          <w:sz w:val="24"/>
          <w:szCs w:val="24"/>
        </w:rPr>
      </w:pPr>
      <w:r w:rsidRPr="00F77192">
        <w:rPr>
          <w:rFonts w:ascii="Calibri" w:hAnsi="Calibri" w:cs="Calibri"/>
          <w:color w:val="0000FF"/>
          <w:sz w:val="24"/>
          <w:szCs w:val="24"/>
        </w:rPr>
        <w:t>We agree that potential readers will be curious about how we designed the size and positioned the shield for different sizes of mice. Based on your comment, we have modified the revised manuscript as follows.</w:t>
      </w:r>
      <w:r w:rsidR="003069C5">
        <w:rPr>
          <w:rFonts w:ascii="Calibri" w:hAnsi="Calibri" w:cs="Calibri"/>
          <w:color w:val="0000FF"/>
          <w:sz w:val="24"/>
          <w:szCs w:val="24"/>
        </w:rPr>
        <w:t xml:space="preserve"> </w:t>
      </w:r>
      <w:r w:rsidR="003069C5" w:rsidRPr="00F32105">
        <w:rPr>
          <w:rFonts w:ascii="Calibri" w:hAnsi="Calibri" w:cs="Calibri"/>
          <w:color w:val="0000FF"/>
          <w:sz w:val="24"/>
          <w:szCs w:val="24"/>
          <w:highlight w:val="yellow"/>
        </w:rPr>
        <w:t xml:space="preserve">(Line 167-169, 171-175, 177-180, </w:t>
      </w:r>
      <w:r w:rsidR="00F32105" w:rsidRPr="00F32105">
        <w:rPr>
          <w:rFonts w:ascii="Calibri" w:hAnsi="Calibri" w:cs="Calibri"/>
          <w:color w:val="0000FF"/>
          <w:sz w:val="24"/>
          <w:szCs w:val="24"/>
          <w:highlight w:val="yellow"/>
        </w:rPr>
        <w:t>190-195)</w:t>
      </w:r>
    </w:p>
    <w:p w14:paraId="67ABA0EF" w14:textId="31BBBA36" w:rsidR="00F77192" w:rsidRPr="00F77192" w:rsidRDefault="00F77192" w:rsidP="00F77192">
      <w:pPr>
        <w:autoSpaceDE w:val="0"/>
        <w:autoSpaceDN w:val="0"/>
        <w:adjustRightInd w:val="0"/>
        <w:spacing w:line="276" w:lineRule="auto"/>
        <w:jc w:val="both"/>
        <w:rPr>
          <w:rFonts w:ascii="Calibri" w:hAnsi="Calibri" w:cs="Calibri"/>
          <w:color w:val="0000FF"/>
          <w:sz w:val="24"/>
          <w:szCs w:val="24"/>
        </w:rPr>
      </w:pPr>
      <w:r>
        <w:rPr>
          <w:rFonts w:ascii="Calibri" w:hAnsi="Calibri" w:cs="Calibri"/>
          <w:color w:val="0000FF"/>
          <w:sz w:val="24"/>
          <w:szCs w:val="24"/>
        </w:rPr>
        <w:t>2</w:t>
      </w:r>
      <w:r w:rsidRPr="00F77192">
        <w:rPr>
          <w:rFonts w:ascii="Calibri" w:hAnsi="Calibri" w:cs="Calibri"/>
          <w:color w:val="0000FF"/>
          <w:sz w:val="24"/>
          <w:szCs w:val="24"/>
        </w:rPr>
        <w:t xml:space="preserve">.2.2.3 Place lead shielding so that it covers regions that require protection. Localizing the lead shield to be consistent </w:t>
      </w:r>
      <w:r w:rsidR="00AE60F7">
        <w:rPr>
          <w:rFonts w:ascii="Calibri" w:hAnsi="Calibri" w:cs="Calibri"/>
          <w:color w:val="0000FF"/>
          <w:sz w:val="24"/>
          <w:szCs w:val="24"/>
        </w:rPr>
        <w:t>among</w:t>
      </w:r>
      <w:r w:rsidRPr="00F77192">
        <w:rPr>
          <w:rFonts w:ascii="Calibri" w:hAnsi="Calibri" w:cs="Calibri"/>
          <w:color w:val="0000FF"/>
          <w:sz w:val="24"/>
          <w:szCs w:val="24"/>
        </w:rPr>
        <w:t xml:space="preserve"> cohorts may reduce some variation with regard to the size of the mice. </w:t>
      </w:r>
    </w:p>
    <w:p w14:paraId="3049C96C" w14:textId="1E81E5C4" w:rsidR="00F77192" w:rsidRPr="00F77192" w:rsidRDefault="00F77192" w:rsidP="00F77192">
      <w:pPr>
        <w:autoSpaceDE w:val="0"/>
        <w:autoSpaceDN w:val="0"/>
        <w:adjustRightInd w:val="0"/>
        <w:spacing w:line="276" w:lineRule="auto"/>
        <w:jc w:val="both"/>
        <w:rPr>
          <w:rFonts w:ascii="Calibri" w:hAnsi="Calibri" w:cs="Calibri"/>
          <w:color w:val="0000FF"/>
          <w:sz w:val="24"/>
          <w:szCs w:val="24"/>
        </w:rPr>
      </w:pPr>
      <w:r w:rsidRPr="00F77192">
        <w:rPr>
          <w:rFonts w:ascii="Calibri" w:hAnsi="Calibri" w:cs="Calibri"/>
          <w:color w:val="0000FF"/>
          <w:sz w:val="24"/>
          <w:szCs w:val="24"/>
        </w:rPr>
        <w:t xml:space="preserve">2.2.2.3.1 For thorax shielding, the lead shield can be prepared by measuring the length from the mouse’s xiphisternum bone to the thymus and calculating the thickness </w:t>
      </w:r>
      <w:r w:rsidR="00AE60F7">
        <w:rPr>
          <w:rFonts w:ascii="Calibri" w:hAnsi="Calibri" w:cs="Calibri"/>
          <w:color w:val="0000FF"/>
          <w:sz w:val="24"/>
          <w:szCs w:val="24"/>
        </w:rPr>
        <w:t>that</w:t>
      </w:r>
      <w:r w:rsidRPr="00F77192">
        <w:rPr>
          <w:rFonts w:ascii="Calibri" w:hAnsi="Calibri" w:cs="Calibri"/>
          <w:color w:val="0000FF"/>
          <w:sz w:val="24"/>
          <w:szCs w:val="24"/>
        </w:rPr>
        <w:t xml:space="preserve"> provide sufficient protection from the source of irradiation. Place the lead </w:t>
      </w:r>
      <w:r w:rsidR="00AE60F7" w:rsidRPr="00F77192">
        <w:rPr>
          <w:rFonts w:ascii="Calibri" w:hAnsi="Calibri" w:cs="Calibri"/>
          <w:color w:val="0000FF"/>
          <w:sz w:val="24"/>
          <w:szCs w:val="24"/>
        </w:rPr>
        <w:t>shielding</w:t>
      </w:r>
      <w:r w:rsidRPr="00F77192">
        <w:rPr>
          <w:rFonts w:ascii="Calibri" w:hAnsi="Calibri" w:cs="Calibri"/>
          <w:color w:val="0000FF"/>
          <w:sz w:val="24"/>
          <w:szCs w:val="24"/>
        </w:rPr>
        <w:t xml:space="preserve"> so that the lower end </w:t>
      </w:r>
      <w:r w:rsidR="00AE60F7">
        <w:rPr>
          <w:rFonts w:ascii="Calibri" w:hAnsi="Calibri" w:cs="Calibri"/>
          <w:color w:val="0000FF"/>
          <w:sz w:val="24"/>
          <w:szCs w:val="24"/>
        </w:rPr>
        <w:t xml:space="preserve">aligns </w:t>
      </w:r>
      <w:r w:rsidRPr="00F77192">
        <w:rPr>
          <w:rFonts w:ascii="Calibri" w:hAnsi="Calibri" w:cs="Calibri"/>
          <w:color w:val="0000FF"/>
          <w:sz w:val="24"/>
          <w:szCs w:val="24"/>
        </w:rPr>
        <w:lastRenderedPageBreak/>
        <w:t xml:space="preserve">with the xiphisternum bone. The upper end of the lead barrier will fit near the thymus. </w:t>
      </w:r>
      <w:r w:rsidR="0063559D">
        <w:rPr>
          <w:rFonts w:ascii="Calibri" w:hAnsi="Calibri" w:cs="Calibri"/>
          <w:color w:val="0000FF"/>
          <w:sz w:val="24"/>
          <w:szCs w:val="24"/>
        </w:rPr>
        <w:t>(</w:t>
      </w:r>
      <w:r w:rsidR="0063559D" w:rsidRPr="003069C5">
        <w:rPr>
          <w:rFonts w:ascii="Calibri" w:hAnsi="Calibri" w:cs="Calibri"/>
          <w:b/>
          <w:bCs/>
          <w:color w:val="0000FF"/>
          <w:sz w:val="24"/>
          <w:szCs w:val="24"/>
        </w:rPr>
        <w:t>Figure 1D</w:t>
      </w:r>
      <w:r w:rsidR="0063559D">
        <w:rPr>
          <w:rFonts w:ascii="Calibri" w:hAnsi="Calibri" w:cs="Calibri"/>
          <w:color w:val="0000FF"/>
          <w:sz w:val="24"/>
          <w:szCs w:val="24"/>
        </w:rPr>
        <w:t>)</w:t>
      </w:r>
      <w:r w:rsidR="00B75A8E">
        <w:rPr>
          <w:rFonts w:ascii="Calibri" w:hAnsi="Calibri" w:cs="Calibri"/>
          <w:color w:val="0000FF"/>
          <w:sz w:val="24"/>
          <w:szCs w:val="24"/>
        </w:rPr>
        <w:t xml:space="preserve"> </w:t>
      </w:r>
    </w:p>
    <w:p w14:paraId="32087E50" w14:textId="785850DD" w:rsidR="0063559D" w:rsidRPr="00F77192" w:rsidRDefault="00F77192" w:rsidP="0063559D">
      <w:pPr>
        <w:autoSpaceDE w:val="0"/>
        <w:autoSpaceDN w:val="0"/>
        <w:adjustRightInd w:val="0"/>
        <w:spacing w:line="276" w:lineRule="auto"/>
        <w:jc w:val="both"/>
        <w:rPr>
          <w:rFonts w:ascii="Calibri" w:hAnsi="Calibri" w:cs="Calibri"/>
          <w:color w:val="0000FF"/>
          <w:sz w:val="24"/>
          <w:szCs w:val="24"/>
        </w:rPr>
      </w:pPr>
      <w:r w:rsidRPr="00F77192">
        <w:rPr>
          <w:rFonts w:ascii="Calibri" w:hAnsi="Calibri" w:cs="Calibri"/>
          <w:color w:val="0000FF"/>
          <w:sz w:val="24"/>
          <w:szCs w:val="24"/>
        </w:rPr>
        <w:t xml:space="preserve">2.2.2.3.2 For abdomen shielding, the lead shield can be prepared by measuring the length from the mouse’s anus to the diaphragm and calculating the thickness </w:t>
      </w:r>
      <w:r w:rsidR="001D264D">
        <w:rPr>
          <w:rFonts w:ascii="Calibri" w:hAnsi="Calibri" w:cs="Calibri"/>
          <w:color w:val="0000FF"/>
          <w:sz w:val="24"/>
          <w:szCs w:val="24"/>
        </w:rPr>
        <w:t>that</w:t>
      </w:r>
      <w:r w:rsidRPr="00F77192">
        <w:rPr>
          <w:rFonts w:ascii="Calibri" w:hAnsi="Calibri" w:cs="Calibri"/>
          <w:color w:val="0000FF"/>
          <w:sz w:val="24"/>
          <w:szCs w:val="24"/>
        </w:rPr>
        <w:t xml:space="preserve"> provide sufficient protection from the source of irradiation. Place the lead </w:t>
      </w:r>
      <w:r w:rsidR="001D264D" w:rsidRPr="00F77192">
        <w:rPr>
          <w:rFonts w:ascii="Calibri" w:hAnsi="Calibri" w:cs="Calibri"/>
          <w:color w:val="0000FF"/>
          <w:sz w:val="24"/>
          <w:szCs w:val="24"/>
        </w:rPr>
        <w:t>shielding</w:t>
      </w:r>
      <w:r w:rsidRPr="00F77192">
        <w:rPr>
          <w:rFonts w:ascii="Calibri" w:hAnsi="Calibri" w:cs="Calibri"/>
          <w:color w:val="0000FF"/>
          <w:sz w:val="24"/>
          <w:szCs w:val="24"/>
        </w:rPr>
        <w:t xml:space="preserve"> so that the lower end </w:t>
      </w:r>
      <w:r w:rsidR="001D264D">
        <w:rPr>
          <w:rFonts w:ascii="Calibri" w:hAnsi="Calibri" w:cs="Calibri"/>
          <w:color w:val="0000FF"/>
          <w:sz w:val="24"/>
          <w:szCs w:val="24"/>
        </w:rPr>
        <w:t>aligns</w:t>
      </w:r>
      <w:r w:rsidRPr="00F77192">
        <w:rPr>
          <w:rFonts w:ascii="Calibri" w:hAnsi="Calibri" w:cs="Calibri"/>
          <w:color w:val="0000FF"/>
          <w:sz w:val="24"/>
          <w:szCs w:val="24"/>
        </w:rPr>
        <w:t xml:space="preserve"> with the anus. The upper end of the lead </w:t>
      </w:r>
      <w:r w:rsidR="001D264D">
        <w:rPr>
          <w:rFonts w:ascii="Calibri" w:hAnsi="Calibri" w:cs="Calibri"/>
          <w:color w:val="0000FF"/>
          <w:sz w:val="24"/>
          <w:szCs w:val="24"/>
        </w:rPr>
        <w:t>shield</w:t>
      </w:r>
      <w:r w:rsidRPr="00F77192">
        <w:rPr>
          <w:rFonts w:ascii="Calibri" w:hAnsi="Calibri" w:cs="Calibri"/>
          <w:color w:val="0000FF"/>
          <w:sz w:val="24"/>
          <w:szCs w:val="24"/>
        </w:rPr>
        <w:t xml:space="preserve"> will fit below the diaphragm. </w:t>
      </w:r>
      <w:r w:rsidR="0063559D">
        <w:rPr>
          <w:rFonts w:ascii="Calibri" w:hAnsi="Calibri" w:cs="Calibri"/>
          <w:color w:val="0000FF"/>
          <w:sz w:val="24"/>
          <w:szCs w:val="24"/>
        </w:rPr>
        <w:t>(</w:t>
      </w:r>
      <w:r w:rsidR="0063559D" w:rsidRPr="00F32105">
        <w:rPr>
          <w:rFonts w:ascii="Calibri" w:hAnsi="Calibri" w:cs="Calibri"/>
          <w:b/>
          <w:bCs/>
          <w:color w:val="0000FF"/>
          <w:sz w:val="24"/>
          <w:szCs w:val="24"/>
        </w:rPr>
        <w:t>Figure 1E</w:t>
      </w:r>
      <w:r w:rsidR="0063559D">
        <w:rPr>
          <w:rFonts w:ascii="Calibri" w:hAnsi="Calibri" w:cs="Calibri"/>
          <w:color w:val="0000FF"/>
          <w:sz w:val="24"/>
          <w:szCs w:val="24"/>
        </w:rPr>
        <w:t>)</w:t>
      </w:r>
    </w:p>
    <w:p w14:paraId="666F867C" w14:textId="2035BCB2" w:rsidR="00F77192" w:rsidRPr="00F77192" w:rsidRDefault="00F77192" w:rsidP="00F77192">
      <w:pPr>
        <w:pStyle w:val="NormalWeb"/>
        <w:spacing w:before="0" w:beforeAutospacing="0" w:after="0" w:afterAutospacing="0"/>
        <w:jc w:val="both"/>
        <w:rPr>
          <w:color w:val="000000" w:themeColor="text1"/>
          <w:sz w:val="24"/>
          <w:szCs w:val="24"/>
        </w:rPr>
      </w:pPr>
      <w:r w:rsidRPr="00F77192">
        <w:rPr>
          <w:rFonts w:eastAsia="Times New Roman"/>
          <w:color w:val="0000FF"/>
          <w:sz w:val="24"/>
          <w:szCs w:val="24"/>
          <w:lang w:eastAsia="ko-KR"/>
        </w:rPr>
        <w:t xml:space="preserve">2.2.3.2. </w:t>
      </w:r>
      <w:r w:rsidR="00805779">
        <w:rPr>
          <w:rFonts w:eastAsia="Times New Roman"/>
          <w:color w:val="0000FF"/>
          <w:sz w:val="24"/>
          <w:szCs w:val="24"/>
          <w:lang w:eastAsia="ko-KR"/>
        </w:rPr>
        <w:t>For head shielding, t</w:t>
      </w:r>
      <w:r w:rsidRPr="00F77192">
        <w:rPr>
          <w:rFonts w:eastAsia="Times New Roman"/>
          <w:color w:val="0000FF"/>
          <w:sz w:val="24"/>
          <w:szCs w:val="24"/>
          <w:lang w:eastAsia="ko-KR"/>
        </w:rPr>
        <w:t>he mouse can be placed in a conical restrainer which fits inside a lead shield.</w:t>
      </w:r>
      <w:r w:rsidRPr="00F77192">
        <w:rPr>
          <w:color w:val="000000" w:themeColor="text1"/>
          <w:sz w:val="24"/>
          <w:szCs w:val="24"/>
        </w:rPr>
        <w:t xml:space="preserve"> </w:t>
      </w:r>
      <w:r w:rsidRPr="00F77192">
        <w:rPr>
          <w:rFonts w:eastAsia="Times New Roman"/>
          <w:color w:val="0000FF"/>
          <w:sz w:val="24"/>
          <w:szCs w:val="24"/>
          <w:lang w:eastAsia="ko-KR"/>
        </w:rPr>
        <w:t>Once the mouse is inside the conical restrainer, slide the restrainer into the slot within the lead shield</w:t>
      </w:r>
      <w:r w:rsidR="00212563">
        <w:rPr>
          <w:rFonts w:eastAsia="Times New Roman"/>
          <w:color w:val="0000FF"/>
          <w:sz w:val="24"/>
          <w:szCs w:val="24"/>
          <w:lang w:eastAsia="ko-KR"/>
        </w:rPr>
        <w:t>.</w:t>
      </w:r>
      <w:r w:rsidRPr="00F77192">
        <w:rPr>
          <w:rFonts w:eastAsia="Times New Roman"/>
          <w:color w:val="0000FF"/>
          <w:sz w:val="24"/>
          <w:szCs w:val="24"/>
          <w:lang w:eastAsia="ko-KR"/>
        </w:rPr>
        <w:t xml:space="preserve"> (</w:t>
      </w:r>
      <w:r w:rsidRPr="003069C5">
        <w:rPr>
          <w:rFonts w:eastAsia="Times New Roman"/>
          <w:b/>
          <w:bCs/>
          <w:color w:val="0000FF"/>
          <w:sz w:val="24"/>
          <w:szCs w:val="24"/>
          <w:lang w:eastAsia="ko-KR"/>
        </w:rPr>
        <w:t>Figure 1</w:t>
      </w:r>
      <w:r w:rsidR="0063559D" w:rsidRPr="003069C5">
        <w:rPr>
          <w:rFonts w:eastAsia="Times New Roman"/>
          <w:b/>
          <w:bCs/>
          <w:color w:val="0000FF"/>
          <w:sz w:val="24"/>
          <w:szCs w:val="24"/>
          <w:lang w:eastAsia="ko-KR"/>
        </w:rPr>
        <w:t>F</w:t>
      </w:r>
      <w:r w:rsidRPr="00F77192">
        <w:rPr>
          <w:rFonts w:eastAsia="Times New Roman"/>
          <w:color w:val="0000FF"/>
          <w:sz w:val="24"/>
          <w:szCs w:val="24"/>
          <w:lang w:eastAsia="ko-KR"/>
        </w:rPr>
        <w:t>) The lead shield should completely cover the mouse’s head and ears (~3.2 cm), leaving the rest of the mouse’s body exposed for irradiation. The position of the restrainer inside the shield can be adjusted to fit different sized animals by sliding it further inside or outside the shield.</w:t>
      </w:r>
    </w:p>
    <w:p w14:paraId="4043E290" w14:textId="7777777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2B0B4CFE"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3. The authors share clear evidence of immune cell chimerism in the blood and heart. Some investigators may be interested in studying clonal hematopoiesis in hematopoietic organs (bone marrow and spleen). It would be informative to provide information regarding chimerism of WT and Tet2 KO engrafted cells in these hematopoietic compartments. Comparisons between preconditioning with chest shielding and adoptive transplantation into naïve mice would be ideal. This information would be valuable for readers to understand expected changes in hematopoiesis for each of these protocols.</w:t>
      </w:r>
    </w:p>
    <w:p w14:paraId="6B9578FF"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604FCED6"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70BEDFD9"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1DB6765C" w14:textId="135B600B" w:rsidR="00E3429C" w:rsidRPr="00E3429C" w:rsidRDefault="00E3429C" w:rsidP="00E3429C">
      <w:pPr>
        <w:spacing w:after="0" w:line="240" w:lineRule="auto"/>
        <w:jc w:val="both"/>
        <w:rPr>
          <w:rFonts w:ascii="Calibri" w:eastAsia="Times New Roman" w:hAnsi="Calibri" w:cs="Calibri"/>
          <w:color w:val="0000FF"/>
          <w:sz w:val="24"/>
          <w:szCs w:val="24"/>
          <w:lang w:eastAsia="ko-KR"/>
        </w:rPr>
      </w:pPr>
      <w:r w:rsidRPr="00E3429C">
        <w:rPr>
          <w:rFonts w:ascii="Calibri" w:eastAsia="Times New Roman" w:hAnsi="Calibri" w:cs="Calibri"/>
          <w:color w:val="0000FF"/>
          <w:sz w:val="24"/>
          <w:szCs w:val="24"/>
          <w:lang w:eastAsia="ko-KR"/>
        </w:rPr>
        <w:t xml:space="preserve">Thank you for pointing this out. We understand that studies investigating clonal hematopoiesis in hematopoietic organs would be of great worth. Unfortunately, we do not have data comparing the chimerism of </w:t>
      </w:r>
      <w:r w:rsidRPr="009029B3">
        <w:rPr>
          <w:rFonts w:ascii="Calibri" w:eastAsia="Times New Roman" w:hAnsi="Calibri" w:cs="Calibri"/>
          <w:i/>
          <w:iCs/>
          <w:color w:val="0000FF"/>
          <w:sz w:val="24"/>
          <w:szCs w:val="24"/>
          <w:lang w:eastAsia="ko-KR"/>
        </w:rPr>
        <w:t>WT</w:t>
      </w:r>
      <w:r w:rsidRPr="00E3429C">
        <w:rPr>
          <w:rFonts w:ascii="Calibri" w:eastAsia="Times New Roman" w:hAnsi="Calibri" w:cs="Calibri"/>
          <w:color w:val="0000FF"/>
          <w:sz w:val="24"/>
          <w:szCs w:val="24"/>
          <w:lang w:eastAsia="ko-KR"/>
        </w:rPr>
        <w:t xml:space="preserve"> and </w:t>
      </w:r>
      <w:r w:rsidRPr="009029B3">
        <w:rPr>
          <w:rFonts w:ascii="Calibri" w:eastAsia="Times New Roman" w:hAnsi="Calibri" w:cs="Calibri"/>
          <w:i/>
          <w:iCs/>
          <w:color w:val="0000FF"/>
          <w:sz w:val="24"/>
          <w:szCs w:val="24"/>
          <w:lang w:eastAsia="ko-KR"/>
        </w:rPr>
        <w:t>Tet2-deficient</w:t>
      </w:r>
      <w:r w:rsidRPr="00E3429C">
        <w:rPr>
          <w:rFonts w:ascii="Calibri" w:eastAsia="Times New Roman" w:hAnsi="Calibri" w:cs="Calibri"/>
          <w:color w:val="0000FF"/>
          <w:sz w:val="24"/>
          <w:szCs w:val="24"/>
          <w:lang w:eastAsia="ko-KR"/>
        </w:rPr>
        <w:t xml:space="preserve"> cells between thorax-shielding BMT and adoptive </w:t>
      </w:r>
      <w:r w:rsidR="009029B3">
        <w:rPr>
          <w:rFonts w:ascii="Calibri" w:eastAsia="Times New Roman" w:hAnsi="Calibri" w:cs="Calibri"/>
          <w:color w:val="0000FF"/>
          <w:sz w:val="24"/>
          <w:szCs w:val="24"/>
          <w:lang w:eastAsia="ko-KR"/>
        </w:rPr>
        <w:t>BMT</w:t>
      </w:r>
      <w:r w:rsidRPr="00E3429C">
        <w:rPr>
          <w:rFonts w:ascii="Calibri" w:eastAsia="Times New Roman" w:hAnsi="Calibri" w:cs="Calibri"/>
          <w:color w:val="0000FF"/>
          <w:sz w:val="24"/>
          <w:szCs w:val="24"/>
          <w:lang w:eastAsia="ko-KR"/>
        </w:rPr>
        <w:t xml:space="preserve"> to non-conditioned mice with respect to the bone marrow and spleen. </w:t>
      </w:r>
    </w:p>
    <w:p w14:paraId="7BE7617D" w14:textId="10644F5E" w:rsidR="00E3429C" w:rsidRDefault="00E3429C" w:rsidP="00E3429C">
      <w:pPr>
        <w:spacing w:after="0" w:line="240" w:lineRule="auto"/>
        <w:ind w:firstLine="720"/>
        <w:jc w:val="both"/>
        <w:rPr>
          <w:rFonts w:ascii="Calibri" w:eastAsia="Times New Roman" w:hAnsi="Calibri" w:cs="Calibri"/>
          <w:color w:val="0000FF"/>
          <w:sz w:val="24"/>
          <w:szCs w:val="24"/>
          <w:lang w:eastAsia="ko-KR"/>
        </w:rPr>
      </w:pPr>
      <w:r w:rsidRPr="00E3429C">
        <w:rPr>
          <w:rFonts w:ascii="Calibri" w:eastAsia="Times New Roman" w:hAnsi="Calibri" w:cs="Calibri"/>
          <w:color w:val="0000FF"/>
          <w:sz w:val="24"/>
          <w:szCs w:val="24"/>
          <w:lang w:eastAsia="ko-KR"/>
        </w:rPr>
        <w:t xml:space="preserve">However, our lab’s previous published paper described the chimerism of </w:t>
      </w:r>
      <w:r w:rsidRPr="009029B3">
        <w:rPr>
          <w:rFonts w:ascii="Calibri" w:eastAsia="Times New Roman" w:hAnsi="Calibri" w:cs="Calibri"/>
          <w:i/>
          <w:iCs/>
          <w:color w:val="0000FF"/>
          <w:sz w:val="24"/>
          <w:szCs w:val="24"/>
          <w:lang w:eastAsia="ko-KR"/>
        </w:rPr>
        <w:t>WT</w:t>
      </w:r>
      <w:r w:rsidRPr="00E3429C">
        <w:rPr>
          <w:rFonts w:ascii="Calibri" w:eastAsia="Times New Roman" w:hAnsi="Calibri" w:cs="Calibri"/>
          <w:color w:val="0000FF"/>
          <w:sz w:val="24"/>
          <w:szCs w:val="24"/>
          <w:lang w:eastAsia="ko-KR"/>
        </w:rPr>
        <w:t xml:space="preserve"> and </w:t>
      </w:r>
      <w:r w:rsidRPr="00C64C3E">
        <w:rPr>
          <w:rFonts w:ascii="Calibri" w:eastAsia="Times New Roman" w:hAnsi="Calibri" w:cs="Calibri"/>
          <w:i/>
          <w:iCs/>
          <w:color w:val="0000FF"/>
          <w:sz w:val="24"/>
          <w:szCs w:val="24"/>
          <w:lang w:eastAsia="ko-KR"/>
        </w:rPr>
        <w:t>Tet2</w:t>
      </w:r>
      <w:r w:rsidRPr="00E3429C">
        <w:rPr>
          <w:rFonts w:ascii="Calibri" w:eastAsia="Times New Roman" w:hAnsi="Calibri" w:cs="Calibri"/>
          <w:color w:val="0000FF"/>
          <w:sz w:val="24"/>
          <w:szCs w:val="24"/>
          <w:lang w:eastAsia="ko-KR"/>
        </w:rPr>
        <w:t xml:space="preserve">-deficient donor cells engrafted into </w:t>
      </w:r>
      <w:r w:rsidR="009029B3" w:rsidRPr="009029B3">
        <w:rPr>
          <w:rFonts w:ascii="Calibri" w:eastAsia="Times New Roman" w:hAnsi="Calibri" w:cs="Calibri"/>
          <w:color w:val="0000FF"/>
          <w:sz w:val="24"/>
          <w:szCs w:val="24"/>
          <w:lang w:eastAsia="ko-KR"/>
        </w:rPr>
        <w:t>B6.SJL-</w:t>
      </w:r>
      <w:r w:rsidR="009029B3" w:rsidRPr="009029B3">
        <w:rPr>
          <w:rFonts w:ascii="Calibri" w:eastAsia="Times New Roman" w:hAnsi="Calibri" w:cs="Calibri"/>
          <w:i/>
          <w:iCs/>
          <w:color w:val="0000FF"/>
          <w:sz w:val="24"/>
          <w:szCs w:val="24"/>
          <w:lang w:eastAsia="ko-KR"/>
        </w:rPr>
        <w:t>Ptprc</w:t>
      </w:r>
      <w:r w:rsidR="009029B3" w:rsidRPr="009029B3">
        <w:rPr>
          <w:rFonts w:ascii="Calibri" w:eastAsia="Times New Roman" w:hAnsi="Calibri" w:cs="Calibri"/>
          <w:i/>
          <w:iCs/>
          <w:color w:val="0000FF"/>
          <w:sz w:val="24"/>
          <w:szCs w:val="24"/>
          <w:vertAlign w:val="superscript"/>
          <w:lang w:eastAsia="ko-KR"/>
        </w:rPr>
        <w:t>a</w:t>
      </w:r>
      <w:r w:rsidR="009029B3" w:rsidRPr="009029B3">
        <w:rPr>
          <w:rFonts w:ascii="Calibri" w:eastAsia="Times New Roman" w:hAnsi="Calibri" w:cs="Calibri"/>
          <w:i/>
          <w:iCs/>
          <w:color w:val="0000FF"/>
          <w:sz w:val="24"/>
          <w:szCs w:val="24"/>
          <w:lang w:eastAsia="ko-KR"/>
        </w:rPr>
        <w:t>Prpc</w:t>
      </w:r>
      <w:r w:rsidR="009029B3" w:rsidRPr="009029B3">
        <w:rPr>
          <w:rFonts w:ascii="Calibri" w:eastAsia="Times New Roman" w:hAnsi="Calibri" w:cs="Calibri"/>
          <w:color w:val="0000FF"/>
          <w:sz w:val="24"/>
          <w:szCs w:val="24"/>
          <w:vertAlign w:val="superscript"/>
          <w:lang w:eastAsia="ko-KR"/>
        </w:rPr>
        <w:t>b</w:t>
      </w:r>
      <w:r w:rsidR="009029B3" w:rsidRPr="009029B3">
        <w:rPr>
          <w:rFonts w:ascii="Calibri" w:eastAsia="Times New Roman" w:hAnsi="Calibri" w:cs="Calibri"/>
          <w:color w:val="0000FF"/>
          <w:sz w:val="24"/>
          <w:szCs w:val="24"/>
          <w:lang w:eastAsia="ko-KR"/>
        </w:rPr>
        <w:t>/</w:t>
      </w:r>
      <w:proofErr w:type="spellStart"/>
      <w:r w:rsidR="009029B3" w:rsidRPr="009029B3">
        <w:rPr>
          <w:rFonts w:ascii="Calibri" w:eastAsia="Times New Roman" w:hAnsi="Calibri" w:cs="Calibri"/>
          <w:color w:val="0000FF"/>
          <w:sz w:val="24"/>
          <w:szCs w:val="24"/>
          <w:lang w:eastAsia="ko-KR"/>
        </w:rPr>
        <w:t>BoyJ</w:t>
      </w:r>
      <w:proofErr w:type="spellEnd"/>
      <w:r w:rsidR="009029B3" w:rsidRPr="009029B3">
        <w:rPr>
          <w:rFonts w:ascii="Calibri" w:eastAsia="Times New Roman" w:hAnsi="Calibri" w:cs="Calibri"/>
          <w:color w:val="0000FF"/>
          <w:sz w:val="24"/>
          <w:szCs w:val="24"/>
          <w:lang w:eastAsia="ko-KR"/>
        </w:rPr>
        <w:t xml:space="preserve"> (CD45.1)</w:t>
      </w:r>
      <w:r w:rsidR="009029B3">
        <w:rPr>
          <w:rFonts w:ascii="Calibri" w:eastAsia="Times New Roman" w:hAnsi="Calibri" w:cs="Calibri"/>
          <w:color w:val="0000FF"/>
          <w:sz w:val="24"/>
          <w:szCs w:val="24"/>
          <w:lang w:eastAsia="ko-KR"/>
        </w:rPr>
        <w:t xml:space="preserve"> </w:t>
      </w:r>
      <w:r w:rsidRPr="00E3429C">
        <w:rPr>
          <w:rFonts w:ascii="Calibri" w:eastAsia="Times New Roman" w:hAnsi="Calibri" w:cs="Calibri"/>
          <w:color w:val="0000FF"/>
          <w:sz w:val="24"/>
          <w:szCs w:val="24"/>
          <w:lang w:eastAsia="ko-KR"/>
        </w:rPr>
        <w:t xml:space="preserve">recipient </w:t>
      </w:r>
      <w:r w:rsidR="003D31D2" w:rsidRPr="00E3429C">
        <w:rPr>
          <w:rFonts w:ascii="Calibri" w:eastAsia="Times New Roman" w:hAnsi="Calibri" w:cs="Calibri"/>
          <w:color w:val="0000FF"/>
          <w:sz w:val="24"/>
          <w:szCs w:val="24"/>
          <w:lang w:eastAsia="ko-KR"/>
        </w:rPr>
        <w:t>m</w:t>
      </w:r>
      <w:r w:rsidR="003D31D2">
        <w:rPr>
          <w:rFonts w:ascii="Calibri" w:eastAsia="Times New Roman" w:hAnsi="Calibri" w:cs="Calibri"/>
          <w:color w:val="0000FF"/>
          <w:sz w:val="24"/>
          <w:szCs w:val="24"/>
          <w:lang w:eastAsia="ko-KR"/>
        </w:rPr>
        <w:t>ice</w:t>
      </w:r>
      <w:r w:rsidRPr="00E3429C">
        <w:rPr>
          <w:rFonts w:ascii="Calibri" w:eastAsia="Times New Roman" w:hAnsi="Calibri" w:cs="Calibri"/>
          <w:color w:val="0000FF"/>
          <w:sz w:val="24"/>
          <w:szCs w:val="24"/>
          <w:lang w:eastAsia="ko-KR"/>
        </w:rPr>
        <w:t xml:space="preserve"> 8 months after adoptive </w:t>
      </w:r>
      <w:r w:rsidR="00262F6F">
        <w:rPr>
          <w:rFonts w:ascii="Calibri" w:eastAsia="Times New Roman" w:hAnsi="Calibri" w:cs="Calibri"/>
          <w:color w:val="0000FF"/>
          <w:sz w:val="24"/>
          <w:szCs w:val="24"/>
          <w:lang w:eastAsia="ko-KR"/>
        </w:rPr>
        <w:t>BMT</w:t>
      </w:r>
      <w:r w:rsidRPr="00E3429C">
        <w:rPr>
          <w:rFonts w:ascii="Calibri" w:eastAsia="Times New Roman" w:hAnsi="Calibri" w:cs="Calibri"/>
          <w:color w:val="0000FF"/>
          <w:sz w:val="24"/>
          <w:szCs w:val="24"/>
          <w:lang w:eastAsia="ko-KR"/>
        </w:rPr>
        <w:t xml:space="preserve"> in bone marrow, </w:t>
      </w:r>
      <w:r w:rsidR="00D260AC">
        <w:rPr>
          <w:rFonts w:ascii="Calibri" w:eastAsia="Times New Roman" w:hAnsi="Calibri" w:cs="Calibri"/>
          <w:color w:val="0000FF"/>
          <w:sz w:val="24"/>
          <w:szCs w:val="24"/>
          <w:lang w:eastAsia="ko-KR"/>
        </w:rPr>
        <w:t>heart</w:t>
      </w:r>
      <w:r w:rsidRPr="00E3429C">
        <w:rPr>
          <w:rFonts w:ascii="Calibri" w:eastAsia="Times New Roman" w:hAnsi="Calibri" w:cs="Calibri"/>
          <w:color w:val="0000FF"/>
          <w:sz w:val="24"/>
          <w:szCs w:val="24"/>
          <w:lang w:eastAsia="ko-KR"/>
        </w:rPr>
        <w:t>, liver, and kidney.</w:t>
      </w:r>
      <w:r w:rsidRPr="00E3429C">
        <w:rPr>
          <w:rFonts w:ascii="Calibri" w:eastAsia="Times New Roman" w:hAnsi="Calibri" w:cs="Calibri"/>
          <w:color w:val="0000FF"/>
          <w:sz w:val="24"/>
          <w:szCs w:val="24"/>
          <w:vertAlign w:val="superscript"/>
          <w:lang w:eastAsia="ko-KR"/>
        </w:rPr>
        <w:t>9</w:t>
      </w:r>
      <w:r w:rsidRPr="00E3429C">
        <w:rPr>
          <w:rFonts w:ascii="Calibri" w:eastAsia="Times New Roman" w:hAnsi="Calibri" w:cs="Calibri"/>
          <w:color w:val="0000FF"/>
          <w:sz w:val="24"/>
          <w:szCs w:val="24"/>
          <w:lang w:eastAsia="ko-KR"/>
        </w:rPr>
        <w:t xml:space="preserve"> Thus, we have added the following paragraph to the discussion section.</w:t>
      </w:r>
      <w:r w:rsidR="00F32105">
        <w:rPr>
          <w:rFonts w:ascii="Calibri" w:eastAsia="Times New Roman" w:hAnsi="Calibri" w:cs="Calibri"/>
          <w:color w:val="0000FF"/>
          <w:sz w:val="24"/>
          <w:szCs w:val="24"/>
          <w:lang w:eastAsia="ko-KR"/>
        </w:rPr>
        <w:t xml:space="preserve"> </w:t>
      </w:r>
      <w:r w:rsidR="00F32105" w:rsidRPr="00F32105">
        <w:rPr>
          <w:rFonts w:ascii="Calibri" w:eastAsia="Times New Roman" w:hAnsi="Calibri" w:cs="Calibri"/>
          <w:color w:val="0000FF"/>
          <w:sz w:val="24"/>
          <w:szCs w:val="24"/>
          <w:highlight w:val="yellow"/>
          <w:lang w:eastAsia="ko-KR"/>
        </w:rPr>
        <w:t xml:space="preserve">(Line </w:t>
      </w:r>
      <w:r w:rsidR="009625F1">
        <w:rPr>
          <w:rFonts w:ascii="Calibri" w:eastAsia="Times New Roman" w:hAnsi="Calibri" w:cs="Calibri"/>
          <w:color w:val="0000FF"/>
          <w:sz w:val="24"/>
          <w:szCs w:val="24"/>
          <w:highlight w:val="yellow"/>
          <w:lang w:eastAsia="ko-KR"/>
        </w:rPr>
        <w:t>500</w:t>
      </w:r>
      <w:r w:rsidR="00F32105" w:rsidRPr="00F32105">
        <w:rPr>
          <w:rFonts w:ascii="Calibri" w:eastAsia="Times New Roman" w:hAnsi="Calibri" w:cs="Calibri"/>
          <w:color w:val="0000FF"/>
          <w:sz w:val="24"/>
          <w:szCs w:val="24"/>
          <w:highlight w:val="yellow"/>
          <w:lang w:eastAsia="ko-KR"/>
        </w:rPr>
        <w:t>-5</w:t>
      </w:r>
      <w:r w:rsidR="002E1412">
        <w:rPr>
          <w:rFonts w:ascii="Calibri" w:eastAsia="Times New Roman" w:hAnsi="Calibri" w:cs="Calibri"/>
          <w:color w:val="0000FF"/>
          <w:sz w:val="24"/>
          <w:szCs w:val="24"/>
          <w:highlight w:val="yellow"/>
          <w:lang w:eastAsia="ko-KR"/>
        </w:rPr>
        <w:t>1</w:t>
      </w:r>
      <w:r w:rsidR="008D3086">
        <w:rPr>
          <w:rFonts w:ascii="Calibri" w:eastAsia="Times New Roman" w:hAnsi="Calibri" w:cs="Calibri"/>
          <w:color w:val="0000FF"/>
          <w:sz w:val="24"/>
          <w:szCs w:val="24"/>
          <w:highlight w:val="yellow"/>
          <w:lang w:eastAsia="ko-KR"/>
        </w:rPr>
        <w:t>4</w:t>
      </w:r>
      <w:r w:rsidR="00F32105" w:rsidRPr="00F32105">
        <w:rPr>
          <w:rFonts w:ascii="Calibri" w:eastAsia="Times New Roman" w:hAnsi="Calibri" w:cs="Calibri"/>
          <w:color w:val="0000FF"/>
          <w:sz w:val="24"/>
          <w:szCs w:val="24"/>
          <w:highlight w:val="yellow"/>
          <w:lang w:eastAsia="ko-KR"/>
        </w:rPr>
        <w:t>)</w:t>
      </w:r>
    </w:p>
    <w:p w14:paraId="7AF7885F" w14:textId="77777777" w:rsidR="00F32105" w:rsidRPr="00E3429C" w:rsidRDefault="00F32105" w:rsidP="00E3429C">
      <w:pPr>
        <w:spacing w:after="0" w:line="240" w:lineRule="auto"/>
        <w:ind w:firstLine="720"/>
        <w:jc w:val="both"/>
        <w:rPr>
          <w:rFonts w:ascii="Calibri" w:eastAsia="Times New Roman" w:hAnsi="Calibri" w:cs="Calibri"/>
          <w:color w:val="0000FF"/>
          <w:sz w:val="24"/>
          <w:szCs w:val="24"/>
          <w:lang w:eastAsia="ko-KR"/>
        </w:rPr>
      </w:pPr>
    </w:p>
    <w:p w14:paraId="7693EFD8" w14:textId="435F7205" w:rsidR="00E3429C" w:rsidRPr="007E349F" w:rsidRDefault="00E3429C" w:rsidP="007E349F">
      <w:pPr>
        <w:ind w:firstLineChars="150" w:firstLine="420"/>
        <w:jc w:val="both"/>
        <w:rPr>
          <w:rFonts w:ascii="Calibri" w:hAnsi="Calibri" w:cs="Calibri"/>
          <w:sz w:val="24"/>
          <w:szCs w:val="24"/>
          <w:shd w:val="clear" w:color="auto" w:fill="FFFFFF"/>
          <w:lang w:eastAsia="ja-JP"/>
        </w:rPr>
      </w:pPr>
      <w:r w:rsidRPr="007E349F">
        <w:rPr>
          <w:rFonts w:ascii="Calibri" w:eastAsia="Times New Roman" w:hAnsi="Calibri" w:cs="Calibri"/>
          <w:color w:val="0000FF"/>
          <w:sz w:val="28"/>
          <w:szCs w:val="28"/>
          <w:lang w:eastAsia="ko-KR"/>
        </w:rPr>
        <w:t>“</w:t>
      </w:r>
      <w:r w:rsidR="007E349F" w:rsidRPr="007E349F">
        <w:rPr>
          <w:rFonts w:ascii="Calibri" w:hAnsi="Calibri" w:cs="Calibri"/>
          <w:color w:val="112CFF"/>
          <w:sz w:val="24"/>
          <w:szCs w:val="24"/>
        </w:rPr>
        <w:t xml:space="preserve">The expansion of </w:t>
      </w:r>
      <w:r w:rsidR="007E349F" w:rsidRPr="007E349F">
        <w:rPr>
          <w:rFonts w:ascii="Calibri" w:hAnsi="Calibri" w:cs="Calibri"/>
          <w:i/>
          <w:iCs/>
          <w:color w:val="112CFF"/>
          <w:sz w:val="24"/>
          <w:szCs w:val="24"/>
        </w:rPr>
        <w:t>Tet2-deficient</w:t>
      </w:r>
      <w:r w:rsidR="007E349F" w:rsidRPr="007E349F">
        <w:rPr>
          <w:rFonts w:ascii="Calibri" w:hAnsi="Calibri" w:cs="Calibri"/>
          <w:color w:val="112CFF"/>
          <w:sz w:val="24"/>
          <w:szCs w:val="24"/>
        </w:rPr>
        <w:t xml:space="preserve"> cells has bee</w:t>
      </w:r>
      <w:r w:rsidR="007E349F">
        <w:rPr>
          <w:rFonts w:ascii="Calibri" w:hAnsi="Calibri" w:cs="Calibri"/>
          <w:color w:val="112CFF"/>
          <w:sz w:val="24"/>
          <w:szCs w:val="24"/>
        </w:rPr>
        <w:t>n</w:t>
      </w:r>
      <w:r w:rsidR="007E349F" w:rsidRPr="007E349F">
        <w:rPr>
          <w:rFonts w:ascii="Calibri" w:hAnsi="Calibri" w:cs="Calibri"/>
          <w:color w:val="112CFF"/>
          <w:sz w:val="24"/>
          <w:szCs w:val="24"/>
        </w:rPr>
        <w:t xml:space="preserve"> observed not only in the peripheral blood but also in several other tissues, including bone marrow, liver, and kidney, with different dynamics of hematopoietic cell reconstitution</w:t>
      </w:r>
      <w:r w:rsidR="007E349F" w:rsidRPr="007E349F">
        <w:rPr>
          <w:rFonts w:ascii="Calibri" w:hAnsi="Calibri" w:cs="Calibri"/>
          <w:color w:val="112CFF"/>
          <w:sz w:val="24"/>
          <w:szCs w:val="24"/>
          <w:vertAlign w:val="superscript"/>
        </w:rPr>
        <w:t>9</w:t>
      </w:r>
      <w:r w:rsidR="007E349F" w:rsidRPr="007E349F">
        <w:rPr>
          <w:rFonts w:ascii="Calibri" w:hAnsi="Calibri" w:cs="Calibri"/>
          <w:color w:val="112CFF"/>
          <w:sz w:val="24"/>
          <w:szCs w:val="24"/>
        </w:rPr>
        <w:t xml:space="preserve">. For example, our lab’s previous published paper described the bone marrow cell chimerism of </w:t>
      </w:r>
      <w:r w:rsidR="007E349F" w:rsidRPr="007E349F">
        <w:rPr>
          <w:rFonts w:ascii="Calibri" w:hAnsi="Calibri" w:cs="Calibri"/>
          <w:i/>
          <w:iCs/>
          <w:color w:val="112CFF"/>
          <w:sz w:val="24"/>
          <w:szCs w:val="24"/>
        </w:rPr>
        <w:t xml:space="preserve">WT </w:t>
      </w:r>
      <w:r w:rsidR="007E349F" w:rsidRPr="007E349F">
        <w:rPr>
          <w:rFonts w:ascii="Calibri" w:hAnsi="Calibri" w:cs="Calibri"/>
          <w:color w:val="112CFF"/>
          <w:sz w:val="24"/>
          <w:szCs w:val="24"/>
        </w:rPr>
        <w:t xml:space="preserve">and </w:t>
      </w:r>
      <w:r w:rsidR="007E349F" w:rsidRPr="007E349F">
        <w:rPr>
          <w:rFonts w:ascii="Calibri" w:hAnsi="Calibri" w:cs="Calibri"/>
          <w:i/>
          <w:iCs/>
          <w:color w:val="112CFF"/>
          <w:sz w:val="24"/>
          <w:szCs w:val="24"/>
        </w:rPr>
        <w:t>Tet2-deficient</w:t>
      </w:r>
      <w:r w:rsidR="007E349F" w:rsidRPr="007E349F">
        <w:rPr>
          <w:rFonts w:ascii="Calibri" w:hAnsi="Calibri" w:cs="Calibri"/>
          <w:color w:val="112CFF"/>
          <w:sz w:val="24"/>
          <w:szCs w:val="24"/>
        </w:rPr>
        <w:t xml:space="preserve"> donor cells engrafted into CD45.1 recipient mice 8 months after adoptive BMT</w:t>
      </w:r>
      <w:r w:rsidR="007E349F" w:rsidRPr="007E349F">
        <w:rPr>
          <w:rFonts w:ascii="Calibri" w:hAnsi="Calibri" w:cs="Calibri"/>
          <w:color w:val="112CFF"/>
          <w:sz w:val="24"/>
          <w:szCs w:val="24"/>
          <w:vertAlign w:val="superscript"/>
        </w:rPr>
        <w:t>9</w:t>
      </w:r>
      <w:r w:rsidR="007E349F" w:rsidRPr="007E349F">
        <w:rPr>
          <w:rFonts w:ascii="Calibri" w:hAnsi="Calibri" w:cs="Calibri"/>
          <w:color w:val="112CFF"/>
          <w:sz w:val="24"/>
          <w:szCs w:val="24"/>
        </w:rPr>
        <w:t xml:space="preserve">. </w:t>
      </w:r>
      <w:r w:rsidR="007E349F" w:rsidRPr="007E349F">
        <w:rPr>
          <w:rFonts w:ascii="Calibri" w:hAnsi="Calibri" w:cs="Calibri"/>
          <w:i/>
          <w:iCs/>
          <w:color w:val="112CFF"/>
          <w:sz w:val="24"/>
          <w:szCs w:val="24"/>
        </w:rPr>
        <w:t>Tet2-deficient</w:t>
      </w:r>
      <w:r w:rsidR="007E349F" w:rsidRPr="007E349F">
        <w:rPr>
          <w:rFonts w:ascii="Calibri" w:hAnsi="Calibri" w:cs="Calibri"/>
          <w:color w:val="112CFF"/>
          <w:sz w:val="24"/>
          <w:szCs w:val="24"/>
        </w:rPr>
        <w:t xml:space="preserve"> donor cells transplanted into CD45.1 recipient mice have shown a competitive advantage over immature lineage</w:t>
      </w:r>
      <w:r w:rsidR="007E349F" w:rsidRPr="007E349F">
        <w:rPr>
          <w:rFonts w:ascii="Calibri" w:hAnsi="Calibri" w:cs="Calibri"/>
          <w:color w:val="112CFF"/>
          <w:sz w:val="24"/>
          <w:szCs w:val="24"/>
          <w:vertAlign w:val="superscript"/>
        </w:rPr>
        <w:t>–</w:t>
      </w:r>
      <w:r w:rsidR="007E349F" w:rsidRPr="007E349F">
        <w:rPr>
          <w:rFonts w:ascii="Calibri" w:hAnsi="Calibri" w:cs="Calibri"/>
          <w:color w:val="112CFF"/>
          <w:sz w:val="24"/>
          <w:szCs w:val="24"/>
        </w:rPr>
        <w:t>Sca1</w:t>
      </w:r>
      <w:r w:rsidR="007E349F" w:rsidRPr="007E349F">
        <w:rPr>
          <w:rFonts w:ascii="Calibri" w:hAnsi="Calibri" w:cs="Calibri"/>
          <w:color w:val="112CFF"/>
          <w:sz w:val="24"/>
          <w:szCs w:val="24"/>
          <w:vertAlign w:val="superscript"/>
        </w:rPr>
        <w:t>+</w:t>
      </w:r>
      <w:r w:rsidR="007E349F" w:rsidRPr="007E349F">
        <w:rPr>
          <w:rFonts w:ascii="Calibri" w:hAnsi="Calibri" w:cs="Calibri"/>
          <w:color w:val="112CFF"/>
          <w:sz w:val="24"/>
          <w:szCs w:val="24"/>
        </w:rPr>
        <w:t>c-Kit</w:t>
      </w:r>
      <w:r w:rsidR="007E349F" w:rsidRPr="007E349F">
        <w:rPr>
          <w:rFonts w:ascii="Calibri" w:hAnsi="Calibri" w:cs="Calibri"/>
          <w:color w:val="112CFF"/>
          <w:sz w:val="24"/>
          <w:szCs w:val="24"/>
          <w:vertAlign w:val="superscript"/>
        </w:rPr>
        <w:t>+</w:t>
      </w:r>
      <w:r w:rsidR="007E349F" w:rsidRPr="007E349F">
        <w:rPr>
          <w:rFonts w:ascii="Calibri" w:hAnsi="Calibri" w:cs="Calibri"/>
          <w:color w:val="112CFF"/>
          <w:sz w:val="24"/>
          <w:szCs w:val="24"/>
        </w:rPr>
        <w:t xml:space="preserve"> (LSK) cells, short-term and long-term HSC cells, and multipotent progenitors (MPPs) compared to that of </w:t>
      </w:r>
      <w:r w:rsidR="007E349F" w:rsidRPr="007E349F">
        <w:rPr>
          <w:rFonts w:ascii="Calibri" w:hAnsi="Calibri" w:cs="Calibri"/>
          <w:i/>
          <w:iCs/>
          <w:color w:val="112CFF"/>
          <w:sz w:val="24"/>
          <w:szCs w:val="24"/>
        </w:rPr>
        <w:t>WT</w:t>
      </w:r>
      <w:r w:rsidR="007E349F" w:rsidRPr="007E349F">
        <w:rPr>
          <w:rFonts w:ascii="Calibri" w:hAnsi="Calibri" w:cs="Calibri"/>
          <w:color w:val="112CFF"/>
          <w:sz w:val="24"/>
          <w:szCs w:val="24"/>
        </w:rPr>
        <w:t xml:space="preserve"> donor cells transplanted into the CD45.1 recipient mice. In addition, as </w:t>
      </w:r>
      <w:r w:rsidR="007E349F" w:rsidRPr="007E349F">
        <w:rPr>
          <w:rFonts w:ascii="Calibri" w:hAnsi="Calibri" w:cs="Calibri"/>
          <w:i/>
          <w:iCs/>
          <w:color w:val="112CFF"/>
          <w:sz w:val="24"/>
          <w:szCs w:val="24"/>
        </w:rPr>
        <w:t>Tet2</w:t>
      </w:r>
      <w:r w:rsidR="007E349F" w:rsidRPr="007E349F">
        <w:rPr>
          <w:rFonts w:ascii="Calibri" w:hAnsi="Calibri" w:cs="Calibri"/>
          <w:color w:val="112CFF"/>
          <w:sz w:val="24"/>
          <w:szCs w:val="24"/>
        </w:rPr>
        <w:t>-</w:t>
      </w:r>
      <w:r w:rsidR="007E349F" w:rsidRPr="007E349F">
        <w:rPr>
          <w:rFonts w:ascii="Calibri" w:hAnsi="Calibri" w:cs="Calibri"/>
          <w:i/>
          <w:iCs/>
          <w:color w:val="112CFF"/>
          <w:sz w:val="24"/>
          <w:szCs w:val="24"/>
        </w:rPr>
        <w:t>deficien</w:t>
      </w:r>
      <w:r w:rsidR="007E349F" w:rsidRPr="007E349F">
        <w:rPr>
          <w:rFonts w:ascii="Calibri" w:hAnsi="Calibri" w:cs="Calibri"/>
          <w:color w:val="112CFF"/>
          <w:sz w:val="24"/>
          <w:szCs w:val="24"/>
        </w:rPr>
        <w:t xml:space="preserve">t donor cell engrafted recipient mice, they develop an age-related cardiomyopathy </w:t>
      </w:r>
      <w:r w:rsidR="007E349F" w:rsidRPr="007E349F">
        <w:rPr>
          <w:rFonts w:ascii="Calibri" w:hAnsi="Calibri" w:cs="Calibri"/>
          <w:color w:val="112CFF"/>
          <w:sz w:val="24"/>
          <w:szCs w:val="24"/>
        </w:rPr>
        <w:lastRenderedPageBreak/>
        <w:t>phenotype without exogenous factors causing cardiac dysfunction, thereby recapitulating the effect of clonal hematopoiesis in a manner similar to that of aging humans. This observation was accompanied with increased degree of chimerism in cardiac neutrophils and Ly6C</w:t>
      </w:r>
      <w:r w:rsidR="007E349F" w:rsidRPr="007E349F">
        <w:rPr>
          <w:rFonts w:ascii="Calibri" w:hAnsi="Calibri" w:cs="Calibri"/>
          <w:color w:val="112CFF"/>
          <w:sz w:val="24"/>
          <w:szCs w:val="24"/>
          <w:vertAlign w:val="superscript"/>
        </w:rPr>
        <w:t>hi</w:t>
      </w:r>
      <w:r w:rsidR="007E349F" w:rsidRPr="007E349F">
        <w:rPr>
          <w:rFonts w:ascii="Calibri" w:hAnsi="Calibri" w:cs="Calibri"/>
          <w:color w:val="112CFF"/>
          <w:sz w:val="24"/>
          <w:szCs w:val="24"/>
        </w:rPr>
        <w:t xml:space="preserve"> monocytes. Collectively, this adoptive BMT regimen can be applied to future studies that could expand our understanding of the association between cardiovascular disease development and clonal hematopoiesis on a more advanced level.</w:t>
      </w:r>
      <w:r w:rsidR="002A1B45" w:rsidRPr="007E349F">
        <w:rPr>
          <w:rFonts w:ascii="Calibri" w:eastAsia="Times New Roman" w:hAnsi="Calibri" w:cs="Calibri"/>
          <w:color w:val="0000FF"/>
          <w:sz w:val="28"/>
          <w:szCs w:val="28"/>
          <w:lang w:eastAsia="ko-KR"/>
        </w:rPr>
        <w:t>”</w:t>
      </w:r>
      <w:r w:rsidRPr="007E349F">
        <w:rPr>
          <w:rFonts w:ascii="Calibri" w:eastAsia="Times New Roman" w:hAnsi="Calibri" w:cs="Calibri"/>
          <w:color w:val="0000FF"/>
          <w:sz w:val="28"/>
          <w:szCs w:val="28"/>
          <w:lang w:eastAsia="ko-KR"/>
        </w:rPr>
        <w:t xml:space="preserve"> </w:t>
      </w:r>
    </w:p>
    <w:p w14:paraId="1402CFA1" w14:textId="4B3DF364" w:rsidR="00485927" w:rsidRPr="00E3429C" w:rsidRDefault="00485927" w:rsidP="00485927">
      <w:pPr>
        <w:spacing w:after="0" w:line="240" w:lineRule="auto"/>
        <w:jc w:val="both"/>
        <w:rPr>
          <w:rFonts w:ascii="Calibri" w:eastAsia="Times New Roman" w:hAnsi="Calibri" w:cs="Calibri"/>
          <w:color w:val="0000FF"/>
          <w:sz w:val="24"/>
          <w:szCs w:val="24"/>
          <w:lang w:eastAsia="ko-KR"/>
        </w:rPr>
      </w:pPr>
    </w:p>
    <w:p w14:paraId="33740133"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4. Please discuss in further detail the observation that adoptive transfer of WT bone marrow into naïve WT mice results in 5-10% chimerism that appears to increase over time. This seems high considering that donors should not have a competitive advantage over recipient cells in this experiment.</w:t>
      </w:r>
    </w:p>
    <w:p w14:paraId="045ECE8F"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4426ECEF"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245C7461" w14:textId="44F60A60" w:rsidR="001B141B" w:rsidRDefault="001B141B" w:rsidP="009F15DC">
      <w:pPr>
        <w:pStyle w:val="NormalWeb"/>
        <w:spacing w:before="0" w:beforeAutospacing="0" w:after="0" w:afterAutospacing="0"/>
        <w:rPr>
          <w:rFonts w:asciiTheme="minorHAnsi" w:hAnsiTheme="minorHAnsi" w:cstheme="minorHAnsi"/>
          <w:sz w:val="24"/>
          <w:szCs w:val="24"/>
        </w:rPr>
      </w:pPr>
    </w:p>
    <w:p w14:paraId="536AF9C3" w14:textId="6D61B236" w:rsidR="006540B4" w:rsidRDefault="002A19B4" w:rsidP="00AE657C">
      <w:pPr>
        <w:spacing w:after="0" w:line="240" w:lineRule="auto"/>
        <w:jc w:val="both"/>
        <w:rPr>
          <w:rFonts w:ascii="Calibri" w:eastAsia="Times New Roman" w:hAnsi="Calibri" w:cs="Calibri"/>
          <w:color w:val="0000FF"/>
          <w:sz w:val="24"/>
          <w:szCs w:val="24"/>
          <w:lang w:eastAsia="ko-KR"/>
        </w:rPr>
      </w:pPr>
      <w:r w:rsidRPr="00AE657C">
        <w:rPr>
          <w:rFonts w:ascii="Calibri" w:eastAsia="Times New Roman" w:hAnsi="Calibri" w:cs="Calibri"/>
          <w:color w:val="0000FF"/>
          <w:sz w:val="24"/>
          <w:szCs w:val="24"/>
          <w:lang w:eastAsia="ko-KR"/>
        </w:rPr>
        <w:t xml:space="preserve">We </w:t>
      </w:r>
      <w:r>
        <w:rPr>
          <w:rFonts w:ascii="Calibri" w:eastAsia="Times New Roman" w:hAnsi="Calibri" w:cs="Calibri"/>
          <w:color w:val="0000FF"/>
          <w:sz w:val="24"/>
          <w:szCs w:val="24"/>
          <w:lang w:eastAsia="ko-KR"/>
        </w:rPr>
        <w:t>thank the reviewer for their concern</w:t>
      </w:r>
      <w:r w:rsidRPr="00AE657C">
        <w:rPr>
          <w:rFonts w:ascii="Calibri" w:eastAsia="Times New Roman" w:hAnsi="Calibri" w:cs="Calibri"/>
          <w:color w:val="0000FF"/>
          <w:sz w:val="24"/>
          <w:szCs w:val="24"/>
          <w:lang w:eastAsia="ko-KR"/>
        </w:rPr>
        <w:t xml:space="preserve">. </w:t>
      </w:r>
      <w:r w:rsidR="00AE657C" w:rsidRPr="00F82108">
        <w:rPr>
          <w:rFonts w:ascii="Calibri" w:eastAsia="Times New Roman" w:hAnsi="Calibri" w:cs="Calibri"/>
          <w:color w:val="0000FF"/>
          <w:sz w:val="24"/>
          <w:szCs w:val="24"/>
          <w:lang w:eastAsia="ko-KR"/>
        </w:rPr>
        <w:t xml:space="preserve">As you mentioned, </w:t>
      </w:r>
      <w:r w:rsidR="009638F9" w:rsidRPr="00F82108">
        <w:rPr>
          <w:rFonts w:ascii="Calibri" w:eastAsia="Times New Roman" w:hAnsi="Calibri" w:cs="Calibri"/>
          <w:color w:val="0000FF"/>
          <w:sz w:val="24"/>
          <w:szCs w:val="24"/>
          <w:lang w:eastAsia="ko-KR"/>
        </w:rPr>
        <w:t xml:space="preserve">engrafted </w:t>
      </w:r>
      <w:r w:rsidR="009638F9" w:rsidRPr="00F82108">
        <w:rPr>
          <w:rFonts w:ascii="Calibri" w:eastAsia="Times New Roman" w:hAnsi="Calibri" w:cs="Calibri"/>
          <w:i/>
          <w:iCs/>
          <w:color w:val="0000FF"/>
          <w:sz w:val="24"/>
          <w:szCs w:val="24"/>
          <w:lang w:eastAsia="ko-KR"/>
        </w:rPr>
        <w:t xml:space="preserve">WT </w:t>
      </w:r>
      <w:r w:rsidR="009638F9" w:rsidRPr="00F82108">
        <w:rPr>
          <w:rFonts w:ascii="Calibri" w:eastAsia="Times New Roman" w:hAnsi="Calibri" w:cs="Calibri"/>
          <w:color w:val="0000FF"/>
          <w:sz w:val="24"/>
          <w:szCs w:val="24"/>
          <w:lang w:eastAsia="ko-KR"/>
        </w:rPr>
        <w:t>CD45.2</w:t>
      </w:r>
      <w:r w:rsidR="009638F9" w:rsidRPr="00F82108">
        <w:rPr>
          <w:rFonts w:ascii="Calibri" w:eastAsia="Times New Roman" w:hAnsi="Calibri" w:cs="Calibri"/>
          <w:color w:val="0000FF"/>
          <w:sz w:val="24"/>
          <w:szCs w:val="24"/>
          <w:vertAlign w:val="superscript"/>
          <w:lang w:eastAsia="ko-KR"/>
        </w:rPr>
        <w:t>+</w:t>
      </w:r>
      <w:r w:rsidR="009638F9" w:rsidRPr="00F82108">
        <w:rPr>
          <w:rFonts w:ascii="Calibri" w:eastAsia="Times New Roman" w:hAnsi="Calibri" w:cs="Calibri"/>
          <w:i/>
          <w:iCs/>
          <w:color w:val="0000FF"/>
          <w:sz w:val="24"/>
          <w:szCs w:val="24"/>
          <w:lang w:eastAsia="ko-KR"/>
        </w:rPr>
        <w:t xml:space="preserve"> </w:t>
      </w:r>
      <w:r w:rsidR="00B64240" w:rsidRPr="00F82108">
        <w:rPr>
          <w:rFonts w:ascii="Calibri" w:eastAsia="Times New Roman" w:hAnsi="Calibri" w:cs="Calibri"/>
          <w:color w:val="0000FF"/>
          <w:sz w:val="24"/>
          <w:szCs w:val="24"/>
          <w:lang w:eastAsia="ko-KR"/>
        </w:rPr>
        <w:t>donor</w:t>
      </w:r>
      <w:r w:rsidR="009638F9" w:rsidRPr="00F82108">
        <w:rPr>
          <w:rFonts w:ascii="Calibri" w:eastAsia="Times New Roman" w:hAnsi="Calibri" w:cs="Calibri"/>
          <w:color w:val="0000FF"/>
          <w:sz w:val="24"/>
          <w:szCs w:val="24"/>
          <w:lang w:eastAsia="ko-KR"/>
        </w:rPr>
        <w:t xml:space="preserve"> cells increase over time</w:t>
      </w:r>
      <w:r w:rsidR="00E93C67" w:rsidRPr="00F82108">
        <w:rPr>
          <w:rFonts w:ascii="Calibri" w:eastAsia="Times New Roman" w:hAnsi="Calibri" w:cs="Calibri"/>
          <w:color w:val="0000FF"/>
          <w:sz w:val="24"/>
          <w:szCs w:val="24"/>
          <w:lang w:eastAsia="ko-KR"/>
        </w:rPr>
        <w:t xml:space="preserve">, although </w:t>
      </w:r>
      <w:r w:rsidR="00377316" w:rsidRPr="00F82108">
        <w:rPr>
          <w:rFonts w:ascii="Calibri" w:eastAsia="Times New Roman" w:hAnsi="Calibri" w:cs="Calibri"/>
          <w:color w:val="0000FF"/>
          <w:sz w:val="24"/>
          <w:szCs w:val="24"/>
          <w:lang w:eastAsia="ko-KR"/>
        </w:rPr>
        <w:t xml:space="preserve">this </w:t>
      </w:r>
      <w:r w:rsidR="00B64240" w:rsidRPr="00F82108">
        <w:rPr>
          <w:rFonts w:ascii="Calibri" w:eastAsia="Times New Roman" w:hAnsi="Calibri" w:cs="Calibri"/>
          <w:color w:val="0000FF"/>
          <w:sz w:val="24"/>
          <w:szCs w:val="24"/>
          <w:lang w:eastAsia="ko-KR"/>
        </w:rPr>
        <w:t xml:space="preserve">increase </w:t>
      </w:r>
      <w:r w:rsidR="00377316" w:rsidRPr="00F82108">
        <w:rPr>
          <w:rFonts w:ascii="Calibri" w:eastAsia="Times New Roman" w:hAnsi="Calibri" w:cs="Calibri"/>
          <w:color w:val="0000FF"/>
          <w:sz w:val="24"/>
          <w:szCs w:val="24"/>
          <w:lang w:eastAsia="ko-KR"/>
        </w:rPr>
        <w:t xml:space="preserve">is </w:t>
      </w:r>
      <w:r w:rsidR="005A561E" w:rsidRPr="00F82108">
        <w:rPr>
          <w:rFonts w:ascii="Calibri" w:eastAsia="Times New Roman" w:hAnsi="Calibri" w:cs="Calibri"/>
          <w:color w:val="0000FF"/>
          <w:sz w:val="24"/>
          <w:szCs w:val="24"/>
          <w:lang w:eastAsia="ko-KR"/>
        </w:rPr>
        <w:t xml:space="preserve">much </w:t>
      </w:r>
      <w:r w:rsidR="00377316" w:rsidRPr="00F82108">
        <w:rPr>
          <w:rFonts w:ascii="Calibri" w:eastAsia="Times New Roman" w:hAnsi="Calibri" w:cs="Calibri"/>
          <w:color w:val="0000FF"/>
          <w:sz w:val="24"/>
          <w:szCs w:val="24"/>
          <w:lang w:eastAsia="ko-KR"/>
        </w:rPr>
        <w:t xml:space="preserve">less than the increase produced by </w:t>
      </w:r>
      <w:r w:rsidR="00B64240" w:rsidRPr="00F82108">
        <w:rPr>
          <w:rFonts w:ascii="Calibri" w:eastAsia="Times New Roman" w:hAnsi="Calibri" w:cs="Calibri"/>
          <w:i/>
          <w:iCs/>
          <w:color w:val="0000FF"/>
          <w:sz w:val="24"/>
          <w:szCs w:val="24"/>
          <w:lang w:eastAsia="ko-KR"/>
        </w:rPr>
        <w:t>Tet2-deficient</w:t>
      </w:r>
      <w:r w:rsidR="00B64240" w:rsidRPr="00F82108">
        <w:rPr>
          <w:rFonts w:ascii="Calibri" w:eastAsia="Times New Roman" w:hAnsi="Calibri" w:cs="Calibri"/>
          <w:color w:val="0000FF"/>
          <w:sz w:val="24"/>
          <w:szCs w:val="24"/>
          <w:lang w:eastAsia="ko-KR"/>
        </w:rPr>
        <w:t xml:space="preserve"> CD45.2</w:t>
      </w:r>
      <w:r w:rsidR="00B64240" w:rsidRPr="00F82108">
        <w:rPr>
          <w:rFonts w:ascii="Calibri" w:eastAsia="Times New Roman" w:hAnsi="Calibri" w:cs="Calibri"/>
          <w:color w:val="0000FF"/>
          <w:sz w:val="24"/>
          <w:szCs w:val="24"/>
          <w:vertAlign w:val="superscript"/>
          <w:lang w:eastAsia="ko-KR"/>
        </w:rPr>
        <w:t xml:space="preserve">+ </w:t>
      </w:r>
      <w:r w:rsidR="00B64240" w:rsidRPr="00F82108">
        <w:rPr>
          <w:rFonts w:ascii="Calibri" w:eastAsia="Times New Roman" w:hAnsi="Calibri" w:cs="Calibri"/>
          <w:color w:val="0000FF"/>
          <w:sz w:val="24"/>
          <w:szCs w:val="24"/>
          <w:lang w:eastAsia="ko-KR"/>
        </w:rPr>
        <w:t>cells</w:t>
      </w:r>
      <w:r w:rsidR="009638F9" w:rsidRPr="00F82108">
        <w:rPr>
          <w:rFonts w:ascii="Calibri" w:eastAsia="Times New Roman" w:hAnsi="Calibri" w:cs="Calibri"/>
          <w:color w:val="0000FF"/>
          <w:sz w:val="24"/>
          <w:szCs w:val="24"/>
          <w:lang w:eastAsia="ko-KR"/>
        </w:rPr>
        <w:t xml:space="preserve">. </w:t>
      </w:r>
      <w:r w:rsidR="00066925" w:rsidRPr="00F82108">
        <w:rPr>
          <w:rFonts w:ascii="Calibri" w:eastAsia="Times New Roman" w:hAnsi="Calibri" w:cs="Calibri"/>
          <w:color w:val="0000FF"/>
          <w:sz w:val="24"/>
          <w:szCs w:val="24"/>
          <w:lang w:eastAsia="ko-KR"/>
        </w:rPr>
        <w:t>In our understanding, t</w:t>
      </w:r>
      <w:r w:rsidR="009638F9" w:rsidRPr="00F82108">
        <w:rPr>
          <w:rFonts w:ascii="Calibri" w:eastAsia="Times New Roman" w:hAnsi="Calibri" w:cs="Calibri"/>
          <w:color w:val="0000FF"/>
          <w:sz w:val="24"/>
          <w:szCs w:val="24"/>
          <w:lang w:eastAsia="ko-KR"/>
        </w:rPr>
        <w:t>hi</w:t>
      </w:r>
      <w:r w:rsidR="007F40AA" w:rsidRPr="00F82108">
        <w:rPr>
          <w:rFonts w:ascii="Calibri" w:eastAsia="Times New Roman" w:hAnsi="Calibri" w:cs="Calibri"/>
          <w:color w:val="0000FF"/>
          <w:sz w:val="24"/>
          <w:szCs w:val="24"/>
          <w:lang w:eastAsia="ko-KR"/>
        </w:rPr>
        <w:t xml:space="preserve">s observation </w:t>
      </w:r>
      <w:r w:rsidR="00066925" w:rsidRPr="00F82108">
        <w:rPr>
          <w:rFonts w:ascii="Calibri" w:eastAsia="Times New Roman" w:hAnsi="Calibri" w:cs="Calibri"/>
          <w:color w:val="0000FF"/>
          <w:sz w:val="24"/>
          <w:szCs w:val="24"/>
          <w:lang w:eastAsia="ko-KR"/>
        </w:rPr>
        <w:t>derives from the confounding effects</w:t>
      </w:r>
      <w:r w:rsidR="00377316" w:rsidRPr="00F82108">
        <w:rPr>
          <w:rFonts w:ascii="Calibri" w:eastAsia="Times New Roman" w:hAnsi="Calibri" w:cs="Calibri"/>
          <w:color w:val="0000FF"/>
          <w:sz w:val="24"/>
          <w:szCs w:val="24"/>
          <w:lang w:eastAsia="ko-KR"/>
        </w:rPr>
        <w:t xml:space="preserve"> of</w:t>
      </w:r>
      <w:r w:rsidR="00066925" w:rsidRPr="00F82108">
        <w:rPr>
          <w:rFonts w:ascii="Calibri" w:eastAsia="Times New Roman" w:hAnsi="Calibri" w:cs="Calibri"/>
          <w:color w:val="0000FF"/>
          <w:sz w:val="24"/>
          <w:szCs w:val="24"/>
          <w:lang w:eastAsia="ko-KR"/>
        </w:rPr>
        <w:t xml:space="preserve"> using congenic mouse. </w:t>
      </w:r>
      <w:proofErr w:type="spellStart"/>
      <w:r w:rsidR="00402551" w:rsidRPr="00F82108">
        <w:rPr>
          <w:rFonts w:ascii="Calibri" w:eastAsia="Times New Roman" w:hAnsi="Calibri" w:cs="Calibri"/>
          <w:color w:val="0000FF"/>
          <w:sz w:val="24"/>
          <w:szCs w:val="24"/>
          <w:lang w:eastAsia="ko-KR"/>
        </w:rPr>
        <w:t>Waterstrat</w:t>
      </w:r>
      <w:proofErr w:type="spellEnd"/>
      <w:r w:rsidR="00402551" w:rsidRPr="00F82108">
        <w:rPr>
          <w:rFonts w:ascii="Calibri" w:eastAsia="Times New Roman" w:hAnsi="Calibri" w:cs="Calibri"/>
          <w:color w:val="0000FF"/>
          <w:sz w:val="24"/>
          <w:szCs w:val="24"/>
          <w:lang w:eastAsia="ko-KR"/>
        </w:rPr>
        <w:t xml:space="preserve"> et al., </w:t>
      </w:r>
      <w:r w:rsidR="00066925" w:rsidRPr="00F82108">
        <w:rPr>
          <w:rFonts w:ascii="Calibri" w:eastAsia="Times New Roman" w:hAnsi="Calibri" w:cs="Calibri"/>
          <w:color w:val="0000FF"/>
          <w:sz w:val="24"/>
          <w:szCs w:val="24"/>
          <w:lang w:eastAsia="ko-KR"/>
        </w:rPr>
        <w:t xml:space="preserve">have shown that </w:t>
      </w:r>
      <w:r w:rsidR="009638F9" w:rsidRPr="00F82108">
        <w:rPr>
          <w:rFonts w:ascii="Calibri" w:eastAsia="Times New Roman" w:hAnsi="Calibri" w:cs="Calibri"/>
          <w:color w:val="0000FF"/>
          <w:sz w:val="24"/>
          <w:szCs w:val="24"/>
          <w:lang w:eastAsia="ko-KR"/>
        </w:rPr>
        <w:t>CD45.2</w:t>
      </w:r>
      <w:r w:rsidR="009638F9" w:rsidRPr="00F82108">
        <w:rPr>
          <w:rFonts w:ascii="Calibri" w:eastAsia="Times New Roman" w:hAnsi="Calibri" w:cs="Calibri"/>
          <w:color w:val="0000FF"/>
          <w:sz w:val="24"/>
          <w:szCs w:val="24"/>
          <w:vertAlign w:val="superscript"/>
          <w:lang w:eastAsia="ko-KR"/>
        </w:rPr>
        <w:t>+</w:t>
      </w:r>
      <w:r w:rsidR="009638F9" w:rsidRPr="00F82108">
        <w:rPr>
          <w:rFonts w:ascii="Calibri" w:eastAsia="Times New Roman" w:hAnsi="Calibri" w:cs="Calibri"/>
          <w:color w:val="0000FF"/>
          <w:sz w:val="24"/>
          <w:szCs w:val="24"/>
          <w:lang w:eastAsia="ko-KR"/>
        </w:rPr>
        <w:t xml:space="preserve"> </w:t>
      </w:r>
      <w:r w:rsidR="00DD03CB" w:rsidRPr="00F82108">
        <w:rPr>
          <w:rFonts w:ascii="Calibri" w:eastAsia="Times New Roman" w:hAnsi="Calibri" w:cs="Calibri"/>
          <w:color w:val="0000FF"/>
          <w:sz w:val="24"/>
          <w:szCs w:val="24"/>
          <w:lang w:eastAsia="ko-KR"/>
        </w:rPr>
        <w:t xml:space="preserve">(C57BL/6) </w:t>
      </w:r>
      <w:r w:rsidR="007F40AA" w:rsidRPr="00F82108">
        <w:rPr>
          <w:rFonts w:ascii="Calibri" w:eastAsia="Times New Roman" w:hAnsi="Calibri" w:cs="Calibri"/>
          <w:color w:val="0000FF"/>
          <w:sz w:val="24"/>
          <w:szCs w:val="24"/>
          <w:lang w:eastAsia="ko-KR"/>
        </w:rPr>
        <w:t>HSPC</w:t>
      </w:r>
      <w:r w:rsidR="009638F9" w:rsidRPr="00F82108">
        <w:rPr>
          <w:rFonts w:ascii="Calibri" w:eastAsia="Times New Roman" w:hAnsi="Calibri" w:cs="Calibri"/>
          <w:color w:val="0000FF"/>
          <w:sz w:val="24"/>
          <w:szCs w:val="24"/>
          <w:lang w:eastAsia="ko-KR"/>
        </w:rPr>
        <w:t>s</w:t>
      </w:r>
      <w:r w:rsidR="00377316" w:rsidRPr="00F82108">
        <w:rPr>
          <w:rFonts w:ascii="Calibri" w:eastAsia="Times New Roman" w:hAnsi="Calibri" w:cs="Calibri"/>
          <w:color w:val="0000FF"/>
          <w:sz w:val="24"/>
          <w:szCs w:val="24"/>
          <w:lang w:eastAsia="ko-KR"/>
        </w:rPr>
        <w:t xml:space="preserve"> have an intrinsic</w:t>
      </w:r>
      <w:r w:rsidR="00657104" w:rsidRPr="00F82108">
        <w:rPr>
          <w:rFonts w:ascii="Calibri" w:eastAsia="Times New Roman" w:hAnsi="Calibri" w:cs="Calibri"/>
          <w:color w:val="0000FF"/>
          <w:sz w:val="24"/>
          <w:szCs w:val="24"/>
          <w:lang w:eastAsia="ko-KR"/>
        </w:rPr>
        <w:t xml:space="preserve"> competitive advantage over CD45.1</w:t>
      </w:r>
      <w:r w:rsidR="00657104" w:rsidRPr="00F82108">
        <w:rPr>
          <w:rFonts w:ascii="Calibri" w:eastAsia="Times New Roman" w:hAnsi="Calibri" w:cs="Calibri"/>
          <w:color w:val="0000FF"/>
          <w:sz w:val="24"/>
          <w:szCs w:val="24"/>
          <w:vertAlign w:val="superscript"/>
          <w:lang w:eastAsia="ko-KR"/>
        </w:rPr>
        <w:t>+</w:t>
      </w:r>
      <w:r w:rsidR="00657104" w:rsidRPr="00F82108">
        <w:rPr>
          <w:rFonts w:ascii="Calibri" w:eastAsia="Times New Roman" w:hAnsi="Calibri" w:cs="Calibri"/>
          <w:color w:val="0000FF"/>
          <w:sz w:val="24"/>
          <w:szCs w:val="24"/>
          <w:lang w:eastAsia="ko-KR"/>
        </w:rPr>
        <w:t xml:space="preserve"> (</w:t>
      </w:r>
      <w:r w:rsidR="00534109" w:rsidRPr="00F82108">
        <w:rPr>
          <w:rFonts w:ascii="Calibri" w:eastAsia="Times New Roman" w:hAnsi="Calibri" w:cs="Calibri"/>
          <w:color w:val="0000FF"/>
          <w:sz w:val="24"/>
          <w:szCs w:val="24"/>
          <w:lang w:eastAsia="ko-KR"/>
        </w:rPr>
        <w:t>B6/SJL-Ptprc</w:t>
      </w:r>
      <w:r w:rsidR="00534109" w:rsidRPr="00F82108">
        <w:rPr>
          <w:rFonts w:ascii="Calibri" w:eastAsia="Times New Roman" w:hAnsi="Calibri" w:cs="Calibri"/>
          <w:color w:val="0000FF"/>
          <w:sz w:val="24"/>
          <w:szCs w:val="24"/>
          <w:vertAlign w:val="superscript"/>
          <w:lang w:eastAsia="ko-KR"/>
        </w:rPr>
        <w:t xml:space="preserve">a </w:t>
      </w:r>
      <w:proofErr w:type="spellStart"/>
      <w:r w:rsidR="00657104" w:rsidRPr="00F82108">
        <w:rPr>
          <w:rFonts w:ascii="Calibri" w:eastAsia="Times New Roman" w:hAnsi="Calibri" w:cs="Calibri"/>
          <w:color w:val="0000FF"/>
          <w:sz w:val="24"/>
          <w:szCs w:val="24"/>
          <w:lang w:eastAsia="ko-KR"/>
        </w:rPr>
        <w:t>Pepc</w:t>
      </w:r>
      <w:r w:rsidR="00657104" w:rsidRPr="00F82108">
        <w:rPr>
          <w:rFonts w:ascii="Calibri" w:eastAsia="Times New Roman" w:hAnsi="Calibri" w:cs="Calibri"/>
          <w:color w:val="0000FF"/>
          <w:sz w:val="24"/>
          <w:szCs w:val="24"/>
          <w:vertAlign w:val="superscript"/>
          <w:lang w:eastAsia="ko-KR"/>
        </w:rPr>
        <w:t>b</w:t>
      </w:r>
      <w:proofErr w:type="spellEnd"/>
      <w:r w:rsidR="00657104" w:rsidRPr="00F82108">
        <w:rPr>
          <w:rFonts w:ascii="Calibri" w:eastAsia="Times New Roman" w:hAnsi="Calibri" w:cs="Calibri"/>
          <w:color w:val="0000FF"/>
          <w:sz w:val="24"/>
          <w:szCs w:val="24"/>
          <w:lang w:eastAsia="ko-KR"/>
        </w:rPr>
        <w:t>/</w:t>
      </w:r>
      <w:proofErr w:type="spellStart"/>
      <w:r w:rsidR="00657104" w:rsidRPr="00F82108">
        <w:rPr>
          <w:rFonts w:ascii="Calibri" w:eastAsia="Times New Roman" w:hAnsi="Calibri" w:cs="Calibri"/>
          <w:color w:val="0000FF"/>
          <w:sz w:val="24"/>
          <w:szCs w:val="24"/>
          <w:lang w:eastAsia="ko-KR"/>
        </w:rPr>
        <w:t>BoyJ</w:t>
      </w:r>
      <w:proofErr w:type="spellEnd"/>
      <w:r w:rsidR="00657104" w:rsidRPr="00F82108">
        <w:rPr>
          <w:rFonts w:ascii="Calibri" w:eastAsia="Times New Roman" w:hAnsi="Calibri" w:cs="Calibri"/>
          <w:color w:val="0000FF"/>
          <w:sz w:val="24"/>
          <w:szCs w:val="24"/>
          <w:lang w:eastAsia="ko-KR"/>
        </w:rPr>
        <w:t>)</w:t>
      </w:r>
      <w:r w:rsidR="009F16C9" w:rsidRPr="00F82108">
        <w:rPr>
          <w:rFonts w:ascii="Calibri" w:eastAsia="Times New Roman" w:hAnsi="Calibri" w:cs="Calibri"/>
          <w:color w:val="0000FF"/>
          <w:sz w:val="24"/>
          <w:szCs w:val="24"/>
          <w:lang w:eastAsia="ko-KR"/>
        </w:rPr>
        <w:t>. In a competitive BMT assay, where C57BL/6 and B6/SJL-Ptprc</w:t>
      </w:r>
      <w:r w:rsidR="009F16C9" w:rsidRPr="00F82108">
        <w:rPr>
          <w:rFonts w:ascii="Calibri" w:eastAsia="Times New Roman" w:hAnsi="Calibri" w:cs="Calibri"/>
          <w:color w:val="0000FF"/>
          <w:sz w:val="24"/>
          <w:szCs w:val="24"/>
          <w:vertAlign w:val="superscript"/>
          <w:lang w:eastAsia="ko-KR"/>
        </w:rPr>
        <w:t xml:space="preserve">a </w:t>
      </w:r>
      <w:proofErr w:type="spellStart"/>
      <w:r w:rsidR="009F16C9" w:rsidRPr="00F82108">
        <w:rPr>
          <w:rFonts w:ascii="Calibri" w:eastAsia="Times New Roman" w:hAnsi="Calibri" w:cs="Calibri"/>
          <w:color w:val="0000FF"/>
          <w:sz w:val="24"/>
          <w:szCs w:val="24"/>
          <w:lang w:eastAsia="ko-KR"/>
        </w:rPr>
        <w:t>Pepc</w:t>
      </w:r>
      <w:r w:rsidR="009F16C9" w:rsidRPr="00F82108">
        <w:rPr>
          <w:rFonts w:ascii="Calibri" w:eastAsia="Times New Roman" w:hAnsi="Calibri" w:cs="Calibri"/>
          <w:color w:val="0000FF"/>
          <w:sz w:val="24"/>
          <w:szCs w:val="24"/>
          <w:vertAlign w:val="superscript"/>
          <w:lang w:eastAsia="ko-KR"/>
        </w:rPr>
        <w:t>b</w:t>
      </w:r>
      <w:proofErr w:type="spellEnd"/>
      <w:r w:rsidR="009F16C9" w:rsidRPr="00F82108">
        <w:rPr>
          <w:rFonts w:ascii="Calibri" w:eastAsia="Times New Roman" w:hAnsi="Calibri" w:cs="Calibri"/>
          <w:color w:val="0000FF"/>
          <w:sz w:val="24"/>
          <w:szCs w:val="24"/>
          <w:lang w:eastAsia="ko-KR"/>
        </w:rPr>
        <w:t>/</w:t>
      </w:r>
      <w:proofErr w:type="spellStart"/>
      <w:r w:rsidR="009F16C9" w:rsidRPr="00F82108">
        <w:rPr>
          <w:rFonts w:ascii="Calibri" w:eastAsia="Times New Roman" w:hAnsi="Calibri" w:cs="Calibri"/>
          <w:color w:val="0000FF"/>
          <w:sz w:val="24"/>
          <w:szCs w:val="24"/>
          <w:lang w:eastAsia="ko-KR"/>
        </w:rPr>
        <w:t>BoyJ</w:t>
      </w:r>
      <w:proofErr w:type="spellEnd"/>
      <w:r w:rsidR="004F3B71" w:rsidRPr="00F82108">
        <w:rPr>
          <w:rFonts w:ascii="Calibri" w:eastAsia="Times New Roman" w:hAnsi="Calibri" w:cs="Calibri"/>
          <w:color w:val="0000FF"/>
          <w:sz w:val="24"/>
          <w:szCs w:val="24"/>
          <w:lang w:eastAsia="ko-KR"/>
        </w:rPr>
        <w:t xml:space="preserve"> </w:t>
      </w:r>
      <w:r w:rsidR="009F16C9" w:rsidRPr="00F82108">
        <w:rPr>
          <w:rFonts w:ascii="Calibri" w:eastAsia="Times New Roman" w:hAnsi="Calibri" w:cs="Calibri"/>
          <w:color w:val="0000FF"/>
          <w:sz w:val="24"/>
          <w:szCs w:val="24"/>
          <w:lang w:eastAsia="ko-KR"/>
        </w:rPr>
        <w:t xml:space="preserve">donor cells were mixed 50:50 and transplanted </w:t>
      </w:r>
      <w:r w:rsidR="00377316" w:rsidRPr="00F82108">
        <w:rPr>
          <w:rFonts w:ascii="Calibri" w:eastAsia="Times New Roman" w:hAnsi="Calibri" w:cs="Calibri"/>
          <w:color w:val="0000FF"/>
          <w:sz w:val="24"/>
          <w:szCs w:val="24"/>
          <w:lang w:eastAsia="ko-KR"/>
        </w:rPr>
        <w:t>in</w:t>
      </w:r>
      <w:r w:rsidR="009F16C9" w:rsidRPr="00F82108">
        <w:rPr>
          <w:rFonts w:ascii="Calibri" w:eastAsia="Times New Roman" w:hAnsi="Calibri" w:cs="Calibri"/>
          <w:color w:val="0000FF"/>
          <w:sz w:val="24"/>
          <w:szCs w:val="24"/>
          <w:lang w:eastAsia="ko-KR"/>
        </w:rPr>
        <w:t>to</w:t>
      </w:r>
      <w:r w:rsidR="00AC4C8D" w:rsidRPr="00F82108">
        <w:rPr>
          <w:rFonts w:ascii="Calibri" w:eastAsia="Times New Roman" w:hAnsi="Calibri" w:cs="Calibri"/>
          <w:color w:val="0000FF"/>
          <w:sz w:val="24"/>
          <w:szCs w:val="24"/>
          <w:lang w:eastAsia="ko-KR"/>
        </w:rPr>
        <w:t xml:space="preserve"> lethally irradiated</w:t>
      </w:r>
      <w:r w:rsidR="009F16C9" w:rsidRPr="00F82108">
        <w:rPr>
          <w:rFonts w:ascii="Calibri" w:eastAsia="Times New Roman" w:hAnsi="Calibri" w:cs="Calibri"/>
          <w:color w:val="0000FF"/>
          <w:sz w:val="24"/>
          <w:szCs w:val="24"/>
          <w:lang w:eastAsia="ko-KR"/>
        </w:rPr>
        <w:t xml:space="preserve"> </w:t>
      </w:r>
      <w:r w:rsidR="00AC4C8D" w:rsidRPr="00F82108">
        <w:rPr>
          <w:rFonts w:ascii="Calibri" w:eastAsia="Times New Roman" w:hAnsi="Calibri" w:cs="Calibri"/>
          <w:color w:val="0000FF"/>
          <w:sz w:val="24"/>
          <w:szCs w:val="24"/>
          <w:lang w:eastAsia="ko-KR"/>
        </w:rPr>
        <w:t xml:space="preserve">C57BL/6 </w:t>
      </w:r>
      <w:r w:rsidR="009F16C9" w:rsidRPr="00F82108">
        <w:rPr>
          <w:rFonts w:ascii="Calibri" w:eastAsia="Times New Roman" w:hAnsi="Calibri" w:cs="Calibri"/>
          <w:color w:val="0000FF"/>
          <w:sz w:val="24"/>
          <w:szCs w:val="24"/>
          <w:lang w:eastAsia="ko-KR"/>
        </w:rPr>
        <w:t xml:space="preserve">recipient mice, </w:t>
      </w:r>
      <w:r w:rsidR="00D44A99" w:rsidRPr="00F82108">
        <w:rPr>
          <w:rFonts w:ascii="Calibri" w:eastAsia="Times New Roman" w:hAnsi="Calibri" w:cs="Calibri"/>
          <w:color w:val="0000FF"/>
          <w:sz w:val="24"/>
          <w:szCs w:val="24"/>
          <w:lang w:eastAsia="ko-KR"/>
        </w:rPr>
        <w:t>CD45.1</w:t>
      </w:r>
      <w:r w:rsidR="00D44A99" w:rsidRPr="00F82108">
        <w:rPr>
          <w:rFonts w:ascii="Calibri" w:eastAsia="Times New Roman" w:hAnsi="Calibri" w:cs="Calibri"/>
          <w:color w:val="0000FF"/>
          <w:sz w:val="24"/>
          <w:szCs w:val="24"/>
          <w:vertAlign w:val="superscript"/>
          <w:lang w:eastAsia="ko-KR"/>
        </w:rPr>
        <w:t>+</w:t>
      </w:r>
      <w:r w:rsidR="00D44A99" w:rsidRPr="00F82108">
        <w:rPr>
          <w:rFonts w:ascii="Calibri" w:eastAsia="Times New Roman" w:hAnsi="Calibri" w:cs="Calibri"/>
          <w:color w:val="0000FF"/>
          <w:sz w:val="24"/>
          <w:szCs w:val="24"/>
          <w:lang w:eastAsia="ko-KR"/>
        </w:rPr>
        <w:t xml:space="preserve"> HSPCs </w:t>
      </w:r>
      <w:r w:rsidR="009F16C9" w:rsidRPr="00F82108">
        <w:rPr>
          <w:rFonts w:ascii="Calibri" w:eastAsia="Times New Roman" w:hAnsi="Calibri" w:cs="Calibri"/>
          <w:color w:val="0000FF"/>
          <w:sz w:val="24"/>
          <w:szCs w:val="24"/>
          <w:lang w:eastAsia="ko-KR"/>
        </w:rPr>
        <w:t>sho</w:t>
      </w:r>
      <w:r w:rsidR="00377316" w:rsidRPr="00F82108">
        <w:rPr>
          <w:rFonts w:ascii="Calibri" w:eastAsia="Times New Roman" w:hAnsi="Calibri" w:cs="Calibri"/>
          <w:color w:val="0000FF"/>
          <w:sz w:val="24"/>
          <w:szCs w:val="24"/>
          <w:lang w:eastAsia="ko-KR"/>
        </w:rPr>
        <w:t>wed</w:t>
      </w:r>
      <w:r w:rsidR="009F16C9" w:rsidRPr="00F82108">
        <w:rPr>
          <w:rFonts w:ascii="Calibri" w:eastAsia="Times New Roman" w:hAnsi="Calibri" w:cs="Calibri"/>
          <w:color w:val="0000FF"/>
          <w:sz w:val="24"/>
          <w:szCs w:val="24"/>
          <w:lang w:eastAsia="ko-KR"/>
        </w:rPr>
        <w:t xml:space="preserve"> </w:t>
      </w:r>
      <w:r w:rsidR="006540B4" w:rsidRPr="00F82108">
        <w:rPr>
          <w:rFonts w:ascii="Calibri" w:eastAsia="Times New Roman" w:hAnsi="Calibri" w:cs="Calibri"/>
          <w:color w:val="0000FF"/>
          <w:sz w:val="24"/>
          <w:szCs w:val="24"/>
          <w:lang w:eastAsia="ko-KR"/>
        </w:rPr>
        <w:t>reduc</w:t>
      </w:r>
      <w:r w:rsidR="00710B4D" w:rsidRPr="00F82108">
        <w:rPr>
          <w:rFonts w:ascii="Calibri" w:eastAsia="Times New Roman" w:hAnsi="Calibri" w:cs="Calibri"/>
          <w:color w:val="0000FF"/>
          <w:sz w:val="24"/>
          <w:szCs w:val="24"/>
          <w:lang w:eastAsia="ko-KR"/>
        </w:rPr>
        <w:t>ed</w:t>
      </w:r>
      <w:r w:rsidR="00D44A99" w:rsidRPr="00F82108">
        <w:rPr>
          <w:rFonts w:ascii="Calibri" w:eastAsia="Times New Roman" w:hAnsi="Calibri" w:cs="Calibri"/>
          <w:color w:val="0000FF"/>
          <w:sz w:val="24"/>
          <w:szCs w:val="24"/>
          <w:lang w:eastAsia="ko-KR"/>
        </w:rPr>
        <w:t xml:space="preserve"> homing efficiency</w:t>
      </w:r>
      <w:r w:rsidR="00377316" w:rsidRPr="00F82108">
        <w:rPr>
          <w:rFonts w:ascii="Calibri" w:eastAsia="Times New Roman" w:hAnsi="Calibri" w:cs="Calibri"/>
          <w:color w:val="0000FF"/>
          <w:sz w:val="24"/>
          <w:szCs w:val="24"/>
          <w:lang w:eastAsia="ko-KR"/>
        </w:rPr>
        <w:t>, a</w:t>
      </w:r>
      <w:r w:rsidR="00710B4D" w:rsidRPr="00F82108">
        <w:rPr>
          <w:rFonts w:ascii="Calibri" w:eastAsia="Times New Roman" w:hAnsi="Calibri" w:cs="Calibri"/>
          <w:color w:val="0000FF"/>
          <w:sz w:val="24"/>
          <w:szCs w:val="24"/>
          <w:lang w:eastAsia="ko-KR"/>
        </w:rPr>
        <w:t xml:space="preserve"> decreased number of long</w:t>
      </w:r>
      <w:r w:rsidR="006540B4" w:rsidRPr="00F82108">
        <w:rPr>
          <w:rFonts w:ascii="Calibri" w:eastAsia="Times New Roman" w:hAnsi="Calibri" w:cs="Calibri"/>
          <w:color w:val="0000FF"/>
          <w:sz w:val="24"/>
          <w:szCs w:val="24"/>
          <w:lang w:eastAsia="ko-KR"/>
        </w:rPr>
        <w:t>-term hematopoietic stem cells (LT-HSCs)</w:t>
      </w:r>
      <w:r w:rsidR="00377316" w:rsidRPr="00F82108">
        <w:rPr>
          <w:rFonts w:ascii="Calibri" w:eastAsia="Times New Roman" w:hAnsi="Calibri" w:cs="Calibri"/>
          <w:color w:val="0000FF"/>
          <w:sz w:val="24"/>
          <w:szCs w:val="24"/>
          <w:lang w:eastAsia="ko-KR"/>
        </w:rPr>
        <w:t>,</w:t>
      </w:r>
      <w:r w:rsidR="00D44A99" w:rsidRPr="00F82108">
        <w:rPr>
          <w:rFonts w:ascii="Calibri" w:eastAsia="Times New Roman" w:hAnsi="Calibri" w:cs="Calibri"/>
          <w:color w:val="0000FF"/>
          <w:sz w:val="24"/>
          <w:szCs w:val="24"/>
          <w:lang w:eastAsia="ko-KR"/>
        </w:rPr>
        <w:t xml:space="preserve"> </w:t>
      </w:r>
      <w:r w:rsidR="006540B4" w:rsidRPr="00F82108">
        <w:rPr>
          <w:rFonts w:ascii="Calibri" w:eastAsia="Times New Roman" w:hAnsi="Calibri" w:cs="Calibri"/>
          <w:color w:val="0000FF"/>
          <w:sz w:val="24"/>
          <w:szCs w:val="24"/>
          <w:lang w:eastAsia="ko-KR"/>
        </w:rPr>
        <w:t xml:space="preserve">and </w:t>
      </w:r>
      <w:r w:rsidR="00377316" w:rsidRPr="00F82108">
        <w:rPr>
          <w:rFonts w:ascii="Calibri" w:eastAsia="Times New Roman" w:hAnsi="Calibri" w:cs="Calibri"/>
          <w:color w:val="0000FF"/>
          <w:sz w:val="24"/>
          <w:szCs w:val="24"/>
          <w:lang w:eastAsia="ko-KR"/>
        </w:rPr>
        <w:t xml:space="preserve">a lower </w:t>
      </w:r>
      <w:r w:rsidR="006540B4" w:rsidRPr="00F82108">
        <w:rPr>
          <w:rFonts w:ascii="Calibri" w:eastAsia="Times New Roman" w:hAnsi="Calibri" w:cs="Calibri"/>
          <w:color w:val="0000FF"/>
          <w:sz w:val="24"/>
          <w:szCs w:val="24"/>
          <w:lang w:eastAsia="ko-KR"/>
        </w:rPr>
        <w:t>engraftment r</w:t>
      </w:r>
      <w:r w:rsidR="00710B4D" w:rsidRPr="00F82108">
        <w:rPr>
          <w:rFonts w:ascii="Calibri" w:eastAsia="Times New Roman" w:hAnsi="Calibri" w:cs="Calibri"/>
          <w:color w:val="0000FF"/>
          <w:sz w:val="24"/>
          <w:szCs w:val="24"/>
          <w:lang w:eastAsia="ko-KR"/>
        </w:rPr>
        <w:t>atio</w:t>
      </w:r>
      <w:r w:rsidR="006540B4" w:rsidRPr="00F82108">
        <w:rPr>
          <w:rFonts w:ascii="Calibri" w:eastAsia="Times New Roman" w:hAnsi="Calibri" w:cs="Calibri"/>
          <w:color w:val="0000FF"/>
          <w:sz w:val="24"/>
          <w:szCs w:val="24"/>
          <w:lang w:eastAsia="ko-KR"/>
        </w:rPr>
        <w:t>.</w:t>
      </w:r>
      <w:r w:rsidR="009F16C9" w:rsidRPr="00F82108">
        <w:rPr>
          <w:rFonts w:ascii="Calibri" w:eastAsia="Times New Roman" w:hAnsi="Calibri" w:cs="Calibri"/>
          <w:color w:val="0000FF"/>
          <w:sz w:val="24"/>
          <w:szCs w:val="24"/>
          <w:vertAlign w:val="superscript"/>
          <w:lang w:eastAsia="ko-KR"/>
        </w:rPr>
        <w:t xml:space="preserve"> </w:t>
      </w:r>
      <w:r w:rsidR="009F16C9" w:rsidRPr="00F82108">
        <w:rPr>
          <w:rFonts w:ascii="Calibri" w:eastAsia="Times New Roman" w:hAnsi="Calibri" w:cs="Calibri"/>
          <w:color w:val="0000FF"/>
          <w:sz w:val="24"/>
          <w:szCs w:val="24"/>
          <w:lang w:eastAsia="ko-KR"/>
        </w:rPr>
        <w:t>Although w</w:t>
      </w:r>
      <w:r w:rsidR="00906CF1" w:rsidRPr="00F82108">
        <w:rPr>
          <w:rFonts w:ascii="Calibri" w:eastAsia="Times New Roman" w:hAnsi="Calibri" w:cs="Calibri"/>
          <w:color w:val="0000FF"/>
          <w:sz w:val="24"/>
          <w:szCs w:val="24"/>
          <w:lang w:eastAsia="ko-KR"/>
        </w:rPr>
        <w:t xml:space="preserve">e are not sure whether this </w:t>
      </w:r>
      <w:r w:rsidR="0006011C" w:rsidRPr="00F82108">
        <w:rPr>
          <w:rFonts w:ascii="Calibri" w:eastAsia="Times New Roman" w:hAnsi="Calibri" w:cs="Calibri"/>
          <w:color w:val="0000FF"/>
          <w:sz w:val="24"/>
          <w:szCs w:val="24"/>
          <w:lang w:eastAsia="ko-KR"/>
        </w:rPr>
        <w:t>applies the same way in</w:t>
      </w:r>
      <w:r w:rsidR="00906CF1" w:rsidRPr="00F82108">
        <w:rPr>
          <w:rFonts w:ascii="Calibri" w:eastAsia="Times New Roman" w:hAnsi="Calibri" w:cs="Calibri"/>
          <w:color w:val="0000FF"/>
          <w:sz w:val="24"/>
          <w:szCs w:val="24"/>
          <w:lang w:eastAsia="ko-KR"/>
        </w:rPr>
        <w:t xml:space="preserve"> our adoptive BMT, CD45.2</w:t>
      </w:r>
      <w:r w:rsidR="00906CF1" w:rsidRPr="00F82108">
        <w:rPr>
          <w:rFonts w:ascii="Calibri" w:eastAsia="Times New Roman" w:hAnsi="Calibri" w:cs="Calibri"/>
          <w:color w:val="0000FF"/>
          <w:sz w:val="24"/>
          <w:szCs w:val="24"/>
          <w:vertAlign w:val="superscript"/>
          <w:lang w:eastAsia="ko-KR"/>
        </w:rPr>
        <w:t>+</w:t>
      </w:r>
      <w:r w:rsidR="00906CF1" w:rsidRPr="00F82108">
        <w:rPr>
          <w:rFonts w:ascii="Calibri" w:eastAsia="Times New Roman" w:hAnsi="Calibri" w:cs="Calibri"/>
          <w:color w:val="0000FF"/>
          <w:sz w:val="24"/>
          <w:szCs w:val="24"/>
          <w:lang w:eastAsia="ko-KR"/>
        </w:rPr>
        <w:t xml:space="preserve"> donor cells may </w:t>
      </w:r>
      <w:r w:rsidR="005F584B" w:rsidRPr="00F82108">
        <w:rPr>
          <w:rFonts w:ascii="Calibri" w:eastAsia="Times New Roman" w:hAnsi="Calibri" w:cs="Calibri"/>
          <w:color w:val="0000FF"/>
          <w:sz w:val="24"/>
          <w:szCs w:val="24"/>
          <w:lang w:eastAsia="ko-KR"/>
        </w:rPr>
        <w:t xml:space="preserve">possibly </w:t>
      </w:r>
      <w:r w:rsidR="00906CF1" w:rsidRPr="00F82108">
        <w:rPr>
          <w:rFonts w:ascii="Calibri" w:eastAsia="Times New Roman" w:hAnsi="Calibri" w:cs="Calibri"/>
          <w:color w:val="0000FF"/>
          <w:sz w:val="24"/>
          <w:szCs w:val="24"/>
          <w:lang w:eastAsia="ko-KR"/>
        </w:rPr>
        <w:t>present</w:t>
      </w:r>
      <w:r w:rsidR="00293EE3" w:rsidRPr="00F82108">
        <w:rPr>
          <w:rFonts w:ascii="Calibri" w:eastAsia="Times New Roman" w:hAnsi="Calibri" w:cs="Calibri"/>
          <w:color w:val="0000FF"/>
          <w:sz w:val="24"/>
          <w:szCs w:val="24"/>
          <w:lang w:eastAsia="ko-KR"/>
        </w:rPr>
        <w:t xml:space="preserve"> a </w:t>
      </w:r>
      <w:r w:rsidR="00906CF1" w:rsidRPr="00F82108">
        <w:rPr>
          <w:rFonts w:ascii="Calibri" w:eastAsia="Times New Roman" w:hAnsi="Calibri" w:cs="Calibri"/>
          <w:color w:val="0000FF"/>
          <w:sz w:val="24"/>
          <w:szCs w:val="24"/>
          <w:lang w:eastAsia="ko-KR"/>
        </w:rPr>
        <w:t xml:space="preserve">fitness </w:t>
      </w:r>
      <w:r w:rsidR="00A85DFC" w:rsidRPr="00F82108">
        <w:rPr>
          <w:rFonts w:ascii="Calibri" w:eastAsia="Times New Roman" w:hAnsi="Calibri" w:cs="Calibri"/>
          <w:color w:val="0000FF"/>
          <w:sz w:val="24"/>
          <w:szCs w:val="24"/>
          <w:lang w:eastAsia="ko-KR"/>
        </w:rPr>
        <w:t xml:space="preserve">advantage </w:t>
      </w:r>
      <w:r w:rsidR="00832D36" w:rsidRPr="00F82108">
        <w:rPr>
          <w:rFonts w:ascii="Calibri" w:eastAsia="Times New Roman" w:hAnsi="Calibri" w:cs="Calibri"/>
          <w:color w:val="0000FF"/>
          <w:sz w:val="24"/>
          <w:szCs w:val="24"/>
          <w:lang w:eastAsia="ko-KR"/>
        </w:rPr>
        <w:t>over CD45.1</w:t>
      </w:r>
      <w:r w:rsidR="00832D36" w:rsidRPr="00F82108">
        <w:rPr>
          <w:rFonts w:ascii="Calibri" w:eastAsia="Times New Roman" w:hAnsi="Calibri" w:cs="Calibri"/>
          <w:color w:val="0000FF"/>
          <w:sz w:val="24"/>
          <w:szCs w:val="24"/>
          <w:vertAlign w:val="superscript"/>
          <w:lang w:eastAsia="ko-KR"/>
        </w:rPr>
        <w:t>+</w:t>
      </w:r>
      <w:r w:rsidR="00832D36" w:rsidRPr="00F82108">
        <w:rPr>
          <w:rFonts w:ascii="Calibri" w:eastAsia="Times New Roman" w:hAnsi="Calibri" w:cs="Calibri"/>
          <w:color w:val="0000FF"/>
          <w:sz w:val="24"/>
          <w:szCs w:val="24"/>
          <w:lang w:eastAsia="ko-KR"/>
        </w:rPr>
        <w:t xml:space="preserve"> (B6/SJL-Ptprc</w:t>
      </w:r>
      <w:r w:rsidR="00832D36" w:rsidRPr="00F82108">
        <w:rPr>
          <w:rFonts w:ascii="Calibri" w:eastAsia="Times New Roman" w:hAnsi="Calibri" w:cs="Calibri"/>
          <w:color w:val="0000FF"/>
          <w:sz w:val="24"/>
          <w:szCs w:val="24"/>
          <w:vertAlign w:val="superscript"/>
          <w:lang w:eastAsia="ko-KR"/>
        </w:rPr>
        <w:t xml:space="preserve">a </w:t>
      </w:r>
      <w:proofErr w:type="spellStart"/>
      <w:r w:rsidR="00832D36" w:rsidRPr="00F82108">
        <w:rPr>
          <w:rFonts w:ascii="Calibri" w:eastAsia="Times New Roman" w:hAnsi="Calibri" w:cs="Calibri"/>
          <w:color w:val="0000FF"/>
          <w:sz w:val="24"/>
          <w:szCs w:val="24"/>
          <w:lang w:eastAsia="ko-KR"/>
        </w:rPr>
        <w:t>Pepc</w:t>
      </w:r>
      <w:r w:rsidR="00832D36" w:rsidRPr="00F82108">
        <w:rPr>
          <w:rFonts w:ascii="Calibri" w:eastAsia="Times New Roman" w:hAnsi="Calibri" w:cs="Calibri"/>
          <w:color w:val="0000FF"/>
          <w:sz w:val="24"/>
          <w:szCs w:val="24"/>
          <w:vertAlign w:val="superscript"/>
          <w:lang w:eastAsia="ko-KR"/>
        </w:rPr>
        <w:t>b</w:t>
      </w:r>
      <w:proofErr w:type="spellEnd"/>
      <w:r w:rsidR="00832D36" w:rsidRPr="00F82108">
        <w:rPr>
          <w:rFonts w:ascii="Calibri" w:eastAsia="Times New Roman" w:hAnsi="Calibri" w:cs="Calibri"/>
          <w:color w:val="0000FF"/>
          <w:sz w:val="24"/>
          <w:szCs w:val="24"/>
          <w:lang w:eastAsia="ko-KR"/>
        </w:rPr>
        <w:t>/</w:t>
      </w:r>
      <w:proofErr w:type="spellStart"/>
      <w:r w:rsidR="00832D36" w:rsidRPr="00F82108">
        <w:rPr>
          <w:rFonts w:ascii="Calibri" w:eastAsia="Times New Roman" w:hAnsi="Calibri" w:cs="Calibri"/>
          <w:color w:val="0000FF"/>
          <w:sz w:val="24"/>
          <w:szCs w:val="24"/>
          <w:lang w:eastAsia="ko-KR"/>
        </w:rPr>
        <w:t>BoyJ</w:t>
      </w:r>
      <w:proofErr w:type="spellEnd"/>
      <w:r w:rsidR="00832D36" w:rsidRPr="00F82108">
        <w:rPr>
          <w:rFonts w:ascii="Calibri" w:eastAsia="Times New Roman" w:hAnsi="Calibri" w:cs="Calibri"/>
          <w:color w:val="0000FF"/>
          <w:sz w:val="24"/>
          <w:szCs w:val="24"/>
          <w:lang w:eastAsia="ko-KR"/>
        </w:rPr>
        <w:t>)</w:t>
      </w:r>
      <w:r w:rsidR="005F584B" w:rsidRPr="00F82108">
        <w:rPr>
          <w:rFonts w:ascii="Calibri" w:eastAsia="Times New Roman" w:hAnsi="Calibri" w:cs="Calibri"/>
          <w:color w:val="0000FF"/>
          <w:sz w:val="24"/>
          <w:szCs w:val="24"/>
          <w:lang w:eastAsia="ko-KR"/>
        </w:rPr>
        <w:t xml:space="preserve"> when </w:t>
      </w:r>
      <w:r w:rsidR="00293EE3" w:rsidRPr="00F82108">
        <w:rPr>
          <w:rFonts w:ascii="Calibri" w:eastAsia="Times New Roman" w:hAnsi="Calibri" w:cs="Calibri"/>
          <w:color w:val="0000FF"/>
          <w:sz w:val="24"/>
          <w:szCs w:val="24"/>
          <w:lang w:eastAsia="ko-KR"/>
        </w:rPr>
        <w:t xml:space="preserve">a relatively high number of </w:t>
      </w:r>
      <w:r w:rsidR="0006011C" w:rsidRPr="00F82108">
        <w:rPr>
          <w:rFonts w:ascii="Calibri" w:eastAsia="Times New Roman" w:hAnsi="Calibri" w:cs="Calibri"/>
          <w:color w:val="0000FF"/>
          <w:sz w:val="24"/>
          <w:szCs w:val="24"/>
          <w:lang w:eastAsia="ko-KR"/>
        </w:rPr>
        <w:t xml:space="preserve">bone marrow cells is injected. </w:t>
      </w:r>
      <w:r w:rsidR="006540B4" w:rsidRPr="00F82108">
        <w:rPr>
          <w:rFonts w:ascii="Calibri" w:eastAsia="Times New Roman" w:hAnsi="Calibri" w:cs="Calibri"/>
          <w:color w:val="0000FF"/>
          <w:sz w:val="24"/>
          <w:szCs w:val="24"/>
          <w:lang w:eastAsia="ko-KR"/>
        </w:rPr>
        <w:t>To minimize these confounding effect</w:t>
      </w:r>
      <w:r w:rsidR="00E46828" w:rsidRPr="00F82108">
        <w:rPr>
          <w:rFonts w:ascii="Calibri" w:eastAsia="Times New Roman" w:hAnsi="Calibri" w:cs="Calibri"/>
          <w:color w:val="0000FF"/>
          <w:sz w:val="24"/>
          <w:szCs w:val="24"/>
          <w:lang w:eastAsia="ko-KR"/>
        </w:rPr>
        <w:t>s, CD45.1</w:t>
      </w:r>
      <w:r w:rsidR="00E46828" w:rsidRPr="00F82108">
        <w:rPr>
          <w:rFonts w:ascii="Calibri" w:eastAsia="Times New Roman" w:hAnsi="Calibri" w:cs="Calibri"/>
          <w:color w:val="0000FF"/>
          <w:sz w:val="24"/>
          <w:szCs w:val="24"/>
          <w:vertAlign w:val="superscript"/>
          <w:lang w:eastAsia="ko-KR"/>
        </w:rPr>
        <w:t xml:space="preserve">STEM </w:t>
      </w:r>
      <w:r w:rsidR="00E46828" w:rsidRPr="00F82108">
        <w:rPr>
          <w:rFonts w:ascii="Calibri" w:eastAsia="Times New Roman" w:hAnsi="Calibri" w:cs="Calibri"/>
          <w:color w:val="0000FF"/>
          <w:sz w:val="24"/>
          <w:szCs w:val="24"/>
          <w:lang w:eastAsia="ko-KR"/>
        </w:rPr>
        <w:t>(single targeted exon mutation) recipient mice that have shown functional equivalence to C57BL/6</w:t>
      </w:r>
      <w:r w:rsidR="00EB3E5E" w:rsidRPr="00F82108">
        <w:rPr>
          <w:rFonts w:ascii="Calibri" w:eastAsia="Times New Roman" w:hAnsi="Calibri" w:cs="Calibri"/>
          <w:color w:val="0000FF"/>
          <w:sz w:val="24"/>
          <w:szCs w:val="24"/>
          <w:lang w:eastAsia="ko-KR"/>
        </w:rPr>
        <w:t>N</w:t>
      </w:r>
      <w:r w:rsidR="00E46828" w:rsidRPr="00F82108">
        <w:rPr>
          <w:rFonts w:ascii="Calibri" w:eastAsia="Times New Roman" w:hAnsi="Calibri" w:cs="Calibri"/>
          <w:color w:val="0000FF"/>
          <w:sz w:val="24"/>
          <w:szCs w:val="24"/>
          <w:lang w:eastAsia="ko-KR"/>
        </w:rPr>
        <w:t xml:space="preserve"> mice can be considered</w:t>
      </w:r>
      <w:r w:rsidR="00090F2C" w:rsidRPr="00F82108">
        <w:rPr>
          <w:rFonts w:ascii="Calibri" w:eastAsia="Times New Roman" w:hAnsi="Calibri" w:cs="Calibri"/>
          <w:color w:val="0000FF"/>
          <w:sz w:val="24"/>
          <w:szCs w:val="24"/>
          <w:lang w:eastAsia="ko-KR"/>
        </w:rPr>
        <w:t>. (Francois E. Mercier et al.,)</w:t>
      </w:r>
    </w:p>
    <w:p w14:paraId="1519C3DF" w14:textId="77777777" w:rsidR="00B24779" w:rsidRDefault="00F82108" w:rsidP="008702CB">
      <w:pPr>
        <w:pStyle w:val="NormalWeb"/>
        <w:ind w:left="640" w:hanging="640"/>
        <w:jc w:val="both"/>
        <w:rPr>
          <w:sz w:val="24"/>
          <w:szCs w:val="24"/>
        </w:rPr>
      </w:pPr>
      <w:r>
        <w:rPr>
          <w:rFonts w:eastAsia="Times New Roman"/>
          <w:color w:val="0000FF"/>
          <w:sz w:val="24"/>
          <w:szCs w:val="24"/>
          <w:lang w:eastAsia="ko-KR"/>
        </w:rPr>
        <w:t xml:space="preserve">Ref) </w:t>
      </w:r>
      <w:r w:rsidR="000D7C54" w:rsidRPr="00F218E7">
        <w:rPr>
          <w:sz w:val="24"/>
          <w:szCs w:val="24"/>
        </w:rPr>
        <w:tab/>
      </w:r>
    </w:p>
    <w:p w14:paraId="1E287315" w14:textId="10D3A2A8" w:rsidR="00B24779" w:rsidRDefault="000D7C54" w:rsidP="00B24779">
      <w:pPr>
        <w:pStyle w:val="NormalWeb"/>
        <w:numPr>
          <w:ilvl w:val="0"/>
          <w:numId w:val="10"/>
        </w:numPr>
        <w:jc w:val="both"/>
        <w:rPr>
          <w:color w:val="0600FF"/>
          <w:sz w:val="24"/>
          <w:szCs w:val="24"/>
        </w:rPr>
      </w:pPr>
      <w:proofErr w:type="spellStart"/>
      <w:r w:rsidRPr="00F218E7">
        <w:rPr>
          <w:rFonts w:eastAsia="Times New Roman"/>
          <w:color w:val="0600FF"/>
          <w:sz w:val="24"/>
          <w:szCs w:val="24"/>
          <w:lang w:eastAsia="ko-KR"/>
        </w:rPr>
        <w:t>Waterstrat</w:t>
      </w:r>
      <w:proofErr w:type="spellEnd"/>
      <w:r w:rsidRPr="00F218E7">
        <w:rPr>
          <w:color w:val="0600FF"/>
          <w:sz w:val="24"/>
          <w:szCs w:val="24"/>
        </w:rPr>
        <w:t xml:space="preserve">, A., Liang, Y., </w:t>
      </w:r>
      <w:proofErr w:type="spellStart"/>
      <w:r w:rsidRPr="00F218E7">
        <w:rPr>
          <w:color w:val="0600FF"/>
          <w:sz w:val="24"/>
          <w:szCs w:val="24"/>
        </w:rPr>
        <w:t>Swiderski</w:t>
      </w:r>
      <w:proofErr w:type="spellEnd"/>
      <w:r w:rsidRPr="00F218E7">
        <w:rPr>
          <w:color w:val="0600FF"/>
          <w:sz w:val="24"/>
          <w:szCs w:val="24"/>
        </w:rPr>
        <w:t xml:space="preserve">, C.F., Shelton, B.J., Van </w:t>
      </w:r>
      <w:proofErr w:type="spellStart"/>
      <w:r w:rsidRPr="00F218E7">
        <w:rPr>
          <w:color w:val="0600FF"/>
          <w:sz w:val="24"/>
          <w:szCs w:val="24"/>
        </w:rPr>
        <w:t>Zant</w:t>
      </w:r>
      <w:proofErr w:type="spellEnd"/>
      <w:r w:rsidRPr="00F218E7">
        <w:rPr>
          <w:color w:val="0600FF"/>
          <w:sz w:val="24"/>
          <w:szCs w:val="24"/>
        </w:rPr>
        <w:t xml:space="preserve">, G. Congenic interval of CD45/Ly-5 congenic mice contains multiple genes that may influence hematopoietic stem cell engraftment. </w:t>
      </w:r>
      <w:r w:rsidRPr="00F218E7">
        <w:rPr>
          <w:i/>
          <w:iCs/>
          <w:color w:val="0600FF"/>
          <w:sz w:val="24"/>
          <w:szCs w:val="24"/>
        </w:rPr>
        <w:t>Blood</w:t>
      </w:r>
      <w:r w:rsidRPr="00F218E7">
        <w:rPr>
          <w:color w:val="0600FF"/>
          <w:sz w:val="24"/>
          <w:szCs w:val="24"/>
        </w:rPr>
        <w:t xml:space="preserve">. </w:t>
      </w:r>
      <w:r w:rsidRPr="00F218E7">
        <w:rPr>
          <w:b/>
          <w:bCs/>
          <w:color w:val="0600FF"/>
          <w:sz w:val="24"/>
          <w:szCs w:val="24"/>
        </w:rPr>
        <w:t>115</w:t>
      </w:r>
      <w:r w:rsidRPr="00F218E7">
        <w:rPr>
          <w:color w:val="0600FF"/>
          <w:sz w:val="24"/>
          <w:szCs w:val="24"/>
        </w:rPr>
        <w:t xml:space="preserve"> (2), 408–417, doi: 10.1182/blood-2008-03-143370 (2010).</w:t>
      </w:r>
    </w:p>
    <w:p w14:paraId="331FCA7F" w14:textId="66BDE5DE" w:rsidR="000D7C54" w:rsidRPr="00F218E7" w:rsidRDefault="000D7C54" w:rsidP="00B24779">
      <w:pPr>
        <w:pStyle w:val="NormalWeb"/>
        <w:numPr>
          <w:ilvl w:val="0"/>
          <w:numId w:val="10"/>
        </w:numPr>
        <w:jc w:val="both"/>
        <w:rPr>
          <w:color w:val="0600FF"/>
          <w:sz w:val="24"/>
          <w:szCs w:val="24"/>
        </w:rPr>
      </w:pPr>
      <w:r w:rsidRPr="00F218E7">
        <w:rPr>
          <w:color w:val="0600FF"/>
          <w:sz w:val="24"/>
          <w:szCs w:val="24"/>
        </w:rPr>
        <w:t xml:space="preserve"> Mercier, F.E., Sykes, D.B., </w:t>
      </w:r>
      <w:proofErr w:type="spellStart"/>
      <w:r w:rsidRPr="00F218E7">
        <w:rPr>
          <w:color w:val="0600FF"/>
          <w:sz w:val="24"/>
          <w:szCs w:val="24"/>
        </w:rPr>
        <w:t>Scadden</w:t>
      </w:r>
      <w:proofErr w:type="spellEnd"/>
      <w:r w:rsidRPr="00F218E7">
        <w:rPr>
          <w:color w:val="0600FF"/>
          <w:sz w:val="24"/>
          <w:szCs w:val="24"/>
        </w:rPr>
        <w:t xml:space="preserve">, D.T. Single targeted exon mutation creates a true congenic mouse for competitive hematopoietic stem cell transplantation: The C57BL/6-CD45.1STEM mouse. </w:t>
      </w:r>
      <w:r w:rsidRPr="00F218E7">
        <w:rPr>
          <w:i/>
          <w:iCs/>
          <w:color w:val="0600FF"/>
          <w:sz w:val="24"/>
          <w:szCs w:val="24"/>
        </w:rPr>
        <w:t>Stem Cell Reports</w:t>
      </w:r>
      <w:r w:rsidRPr="00F218E7">
        <w:rPr>
          <w:color w:val="0600FF"/>
          <w:sz w:val="24"/>
          <w:szCs w:val="24"/>
        </w:rPr>
        <w:t xml:space="preserve">. </w:t>
      </w:r>
      <w:r w:rsidRPr="00F218E7">
        <w:rPr>
          <w:b/>
          <w:bCs/>
          <w:color w:val="0600FF"/>
          <w:sz w:val="24"/>
          <w:szCs w:val="24"/>
        </w:rPr>
        <w:t>6</w:t>
      </w:r>
      <w:r w:rsidRPr="00F218E7">
        <w:rPr>
          <w:color w:val="0600FF"/>
          <w:sz w:val="24"/>
          <w:szCs w:val="24"/>
        </w:rPr>
        <w:t xml:space="preserve"> (6), 985–992, doi: 10.1016/j.stemcr.2016.04.010 (2016).</w:t>
      </w:r>
    </w:p>
    <w:p w14:paraId="7C0720AD" w14:textId="50E9D60D" w:rsidR="006540B4" w:rsidRDefault="006540B4" w:rsidP="00AE657C">
      <w:pPr>
        <w:spacing w:after="0" w:line="240" w:lineRule="auto"/>
        <w:jc w:val="both"/>
        <w:rPr>
          <w:rFonts w:ascii="Calibri" w:eastAsia="Times New Roman" w:hAnsi="Calibri" w:cs="Calibri"/>
          <w:color w:val="0000FF"/>
          <w:sz w:val="24"/>
          <w:szCs w:val="24"/>
          <w:lang w:eastAsia="ko-KR"/>
        </w:rPr>
      </w:pPr>
    </w:p>
    <w:p w14:paraId="544C7A03"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5. Consider including a diagram demonstrating the 0.5ml within 1.5ml microcentrifuge tube setup for isolating bone marrow by centrifugation.</w:t>
      </w:r>
    </w:p>
    <w:p w14:paraId="14F1AC45"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166A8B1E"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lastRenderedPageBreak/>
        <w:t>Response</w:t>
      </w:r>
      <w:r w:rsidRPr="009F15DC">
        <w:rPr>
          <w:rFonts w:asciiTheme="minorHAnsi" w:hAnsiTheme="minorHAnsi" w:cstheme="minorHAnsi"/>
          <w:sz w:val="24"/>
          <w:szCs w:val="24"/>
        </w:rPr>
        <w:t xml:space="preserve">: </w:t>
      </w:r>
    </w:p>
    <w:p w14:paraId="1067AC48" w14:textId="4406C7A7" w:rsidR="001B141B" w:rsidRDefault="001B141B" w:rsidP="009F15DC">
      <w:pPr>
        <w:pStyle w:val="NormalWeb"/>
        <w:spacing w:before="0" w:beforeAutospacing="0" w:after="0" w:afterAutospacing="0"/>
        <w:rPr>
          <w:rFonts w:asciiTheme="minorHAnsi" w:hAnsiTheme="minorHAnsi" w:cstheme="minorHAnsi"/>
          <w:sz w:val="24"/>
          <w:szCs w:val="24"/>
        </w:rPr>
      </w:pPr>
    </w:p>
    <w:p w14:paraId="532638B2" w14:textId="6FF18B6D" w:rsidR="00805052" w:rsidRPr="00805052" w:rsidRDefault="002A19B4" w:rsidP="002A19B4">
      <w:pPr>
        <w:pStyle w:val="NormalWeb"/>
        <w:spacing w:before="0" w:beforeAutospacing="0" w:after="0" w:afterAutospacing="0"/>
        <w:jc w:val="both"/>
        <w:rPr>
          <w:rFonts w:eastAsia="Times New Roman"/>
          <w:color w:val="0000FF"/>
          <w:sz w:val="24"/>
          <w:szCs w:val="24"/>
          <w:lang w:eastAsia="ko-KR"/>
        </w:rPr>
      </w:pPr>
      <w:r>
        <w:rPr>
          <w:rFonts w:eastAsia="Times New Roman"/>
          <w:color w:val="0000FF"/>
          <w:sz w:val="24"/>
          <w:szCs w:val="24"/>
          <w:lang w:eastAsia="ko-KR"/>
        </w:rPr>
        <w:t>We t</w:t>
      </w:r>
      <w:r w:rsidRPr="00805052">
        <w:rPr>
          <w:rFonts w:eastAsia="Times New Roman"/>
          <w:color w:val="0000FF"/>
          <w:sz w:val="24"/>
          <w:szCs w:val="24"/>
          <w:lang w:eastAsia="ko-KR"/>
        </w:rPr>
        <w:t xml:space="preserve">hank </w:t>
      </w:r>
      <w:r>
        <w:rPr>
          <w:rFonts w:eastAsia="Times New Roman"/>
          <w:color w:val="0000FF"/>
          <w:sz w:val="24"/>
          <w:szCs w:val="24"/>
          <w:lang w:eastAsia="ko-KR"/>
        </w:rPr>
        <w:t>the reviewer for their suggestion</w:t>
      </w:r>
      <w:r w:rsidRPr="00805052">
        <w:rPr>
          <w:rFonts w:eastAsia="Times New Roman"/>
          <w:color w:val="0000FF"/>
          <w:sz w:val="24"/>
          <w:szCs w:val="24"/>
          <w:lang w:eastAsia="ko-KR"/>
        </w:rPr>
        <w:t>.</w:t>
      </w:r>
      <w:r>
        <w:rPr>
          <w:rFonts w:eastAsia="Times New Roman"/>
          <w:color w:val="0000FF"/>
          <w:sz w:val="24"/>
          <w:szCs w:val="24"/>
          <w:lang w:eastAsia="ko-KR"/>
        </w:rPr>
        <w:t xml:space="preserve"> </w:t>
      </w:r>
      <w:r w:rsidR="00805052" w:rsidRPr="00805052">
        <w:rPr>
          <w:rFonts w:eastAsia="Times New Roman"/>
          <w:color w:val="0000FF"/>
          <w:sz w:val="24"/>
          <w:szCs w:val="24"/>
          <w:lang w:eastAsia="ko-KR"/>
        </w:rPr>
        <w:t>The setup for the 0.5</w:t>
      </w:r>
      <w:r w:rsidR="00805052">
        <w:rPr>
          <w:rFonts w:eastAsia="Times New Roman"/>
          <w:color w:val="0000FF"/>
          <w:sz w:val="24"/>
          <w:szCs w:val="24"/>
          <w:lang w:eastAsia="ko-KR"/>
        </w:rPr>
        <w:t xml:space="preserve"> </w:t>
      </w:r>
      <w:r w:rsidR="00805052" w:rsidRPr="00805052">
        <w:rPr>
          <w:rFonts w:eastAsia="Times New Roman"/>
          <w:color w:val="0000FF"/>
          <w:sz w:val="24"/>
          <w:szCs w:val="24"/>
          <w:lang w:eastAsia="ko-KR"/>
        </w:rPr>
        <w:t>mL and 1.5</w:t>
      </w:r>
      <w:r w:rsidR="00805052">
        <w:rPr>
          <w:rFonts w:eastAsia="Times New Roman"/>
          <w:color w:val="0000FF"/>
          <w:sz w:val="24"/>
          <w:szCs w:val="24"/>
          <w:lang w:eastAsia="ko-KR"/>
        </w:rPr>
        <w:t xml:space="preserve"> </w:t>
      </w:r>
      <w:r w:rsidR="00805052" w:rsidRPr="00805052">
        <w:rPr>
          <w:rFonts w:eastAsia="Times New Roman"/>
          <w:color w:val="0000FF"/>
          <w:sz w:val="24"/>
          <w:szCs w:val="24"/>
          <w:lang w:eastAsia="ko-KR"/>
        </w:rPr>
        <w:t xml:space="preserve">mL microcentrifuge tube will be shown in the </w:t>
      </w:r>
      <w:proofErr w:type="spellStart"/>
      <w:r w:rsidR="00805052" w:rsidRPr="00805052">
        <w:rPr>
          <w:rFonts w:eastAsia="Times New Roman"/>
          <w:color w:val="0000FF"/>
          <w:sz w:val="24"/>
          <w:szCs w:val="24"/>
          <w:lang w:eastAsia="ko-KR"/>
        </w:rPr>
        <w:t>JoVE</w:t>
      </w:r>
      <w:proofErr w:type="spellEnd"/>
      <w:r w:rsidR="00805052" w:rsidRPr="00805052">
        <w:rPr>
          <w:rFonts w:eastAsia="Times New Roman"/>
          <w:color w:val="0000FF"/>
          <w:sz w:val="24"/>
          <w:szCs w:val="24"/>
          <w:lang w:eastAsia="ko-KR"/>
        </w:rPr>
        <w:t xml:space="preserve"> video to provide better understanding.</w:t>
      </w:r>
    </w:p>
    <w:p w14:paraId="74490A57"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56A368DA" w14:textId="7490EE6F" w:rsidR="001B141B"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6. Please include flow cytometry gating schemes</w:t>
      </w:r>
    </w:p>
    <w:p w14:paraId="55FA4F22"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7EBAA051"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631F946B" w14:textId="56A403F3" w:rsidR="00AC2534" w:rsidRPr="00805052" w:rsidRDefault="00AC2534" w:rsidP="00AC2534">
      <w:pPr>
        <w:pStyle w:val="NormalWeb"/>
        <w:spacing w:after="0"/>
        <w:rPr>
          <w:rFonts w:eastAsia="Times New Roman"/>
          <w:color w:val="0000FF"/>
          <w:sz w:val="24"/>
          <w:szCs w:val="24"/>
          <w:lang w:eastAsia="ko-KR"/>
        </w:rPr>
      </w:pPr>
      <w:r w:rsidRPr="00805052">
        <w:rPr>
          <w:rFonts w:eastAsia="Times New Roman"/>
          <w:color w:val="0000FF"/>
          <w:sz w:val="24"/>
          <w:szCs w:val="24"/>
          <w:lang w:eastAsia="ko-KR"/>
        </w:rPr>
        <w:t xml:space="preserve">We added the following statement to </w:t>
      </w:r>
      <w:r w:rsidR="00225528" w:rsidRPr="00F32105">
        <w:rPr>
          <w:rFonts w:eastAsia="Times New Roman"/>
          <w:color w:val="0000FF"/>
          <w:sz w:val="24"/>
          <w:szCs w:val="24"/>
          <w:highlight w:val="yellow"/>
          <w:lang w:eastAsia="ko-KR"/>
        </w:rPr>
        <w:t>line 3</w:t>
      </w:r>
      <w:r w:rsidR="009625F1">
        <w:rPr>
          <w:rFonts w:eastAsia="Times New Roman"/>
          <w:color w:val="0000FF"/>
          <w:sz w:val="24"/>
          <w:szCs w:val="24"/>
          <w:highlight w:val="yellow"/>
          <w:lang w:eastAsia="ko-KR"/>
        </w:rPr>
        <w:t>41</w:t>
      </w:r>
      <w:r w:rsidR="00F32105" w:rsidRPr="00F32105">
        <w:rPr>
          <w:rFonts w:eastAsia="Times New Roman"/>
          <w:color w:val="0000FF"/>
          <w:sz w:val="24"/>
          <w:szCs w:val="24"/>
          <w:highlight w:val="yellow"/>
          <w:lang w:eastAsia="ko-KR"/>
        </w:rPr>
        <w:t>-3</w:t>
      </w:r>
      <w:r w:rsidR="009625F1" w:rsidRPr="008D3086">
        <w:rPr>
          <w:rFonts w:eastAsia="Times New Roman"/>
          <w:color w:val="0000FF"/>
          <w:sz w:val="24"/>
          <w:szCs w:val="24"/>
          <w:highlight w:val="yellow"/>
          <w:lang w:eastAsia="ko-KR"/>
        </w:rPr>
        <w:t>42</w:t>
      </w:r>
      <w:r w:rsidRPr="008D3086">
        <w:rPr>
          <w:rFonts w:eastAsia="Times New Roman"/>
          <w:color w:val="0000FF"/>
          <w:sz w:val="24"/>
          <w:szCs w:val="24"/>
          <w:highlight w:val="yellow"/>
          <w:lang w:eastAsia="ko-KR"/>
        </w:rPr>
        <w:t>.</w:t>
      </w:r>
      <w:r w:rsidRPr="00805052">
        <w:rPr>
          <w:rFonts w:eastAsia="Times New Roman"/>
          <w:color w:val="0000FF"/>
          <w:sz w:val="24"/>
          <w:szCs w:val="24"/>
          <w:lang w:eastAsia="ko-KR"/>
        </w:rPr>
        <w:t xml:space="preserve"> </w:t>
      </w:r>
    </w:p>
    <w:p w14:paraId="4D8DBDA3" w14:textId="5F73A84D" w:rsidR="00AC2534" w:rsidRPr="00805052" w:rsidRDefault="00AC2534" w:rsidP="00AC2534">
      <w:pPr>
        <w:pStyle w:val="NormalWeb"/>
        <w:spacing w:before="0" w:beforeAutospacing="0" w:after="0" w:afterAutospacing="0"/>
        <w:jc w:val="both"/>
        <w:rPr>
          <w:rFonts w:eastAsia="Times New Roman"/>
          <w:color w:val="0000FF"/>
          <w:sz w:val="24"/>
          <w:szCs w:val="24"/>
          <w:lang w:eastAsia="ko-KR"/>
        </w:rPr>
      </w:pPr>
      <w:r w:rsidRPr="00805052">
        <w:rPr>
          <w:rFonts w:eastAsia="Times New Roman"/>
          <w:color w:val="0000FF"/>
          <w:sz w:val="24"/>
          <w:szCs w:val="24"/>
          <w:lang w:eastAsia="ko-KR"/>
        </w:rPr>
        <w:t xml:space="preserve">“The flow cytometry gating strategies </w:t>
      </w:r>
      <w:r w:rsidR="002A19B4">
        <w:rPr>
          <w:rFonts w:eastAsia="Times New Roman"/>
          <w:color w:val="0000FF"/>
          <w:sz w:val="24"/>
          <w:szCs w:val="24"/>
          <w:lang w:eastAsia="ko-KR"/>
        </w:rPr>
        <w:t xml:space="preserve">that </w:t>
      </w:r>
      <w:r w:rsidRPr="00805052">
        <w:rPr>
          <w:rFonts w:eastAsia="Times New Roman"/>
          <w:color w:val="0000FF"/>
          <w:sz w:val="24"/>
          <w:szCs w:val="24"/>
          <w:lang w:eastAsia="ko-KR"/>
        </w:rPr>
        <w:t xml:space="preserve">were used </w:t>
      </w:r>
      <w:r w:rsidR="002A19B4">
        <w:rPr>
          <w:rFonts w:eastAsia="Times New Roman"/>
          <w:color w:val="0000FF"/>
          <w:sz w:val="24"/>
          <w:szCs w:val="24"/>
          <w:lang w:eastAsia="ko-KR"/>
        </w:rPr>
        <w:t>are</w:t>
      </w:r>
      <w:r w:rsidRPr="00805052">
        <w:rPr>
          <w:rFonts w:eastAsia="Times New Roman"/>
          <w:color w:val="0000FF"/>
          <w:sz w:val="24"/>
          <w:szCs w:val="24"/>
          <w:lang w:eastAsia="ko-KR"/>
        </w:rPr>
        <w:t xml:space="preserve"> described </w:t>
      </w:r>
      <w:r w:rsidR="002A19B4">
        <w:rPr>
          <w:rFonts w:eastAsia="Times New Roman"/>
          <w:color w:val="0000FF"/>
          <w:sz w:val="24"/>
          <w:szCs w:val="24"/>
          <w:lang w:eastAsia="ko-KR"/>
        </w:rPr>
        <w:t xml:space="preserve">previously </w:t>
      </w:r>
      <w:r w:rsidRPr="00805052">
        <w:rPr>
          <w:rFonts w:eastAsia="Times New Roman"/>
          <w:color w:val="0000FF"/>
          <w:sz w:val="24"/>
          <w:szCs w:val="24"/>
          <w:lang w:eastAsia="ko-KR"/>
        </w:rPr>
        <w:t xml:space="preserve">by </w:t>
      </w:r>
      <w:r w:rsidR="002A19B4">
        <w:rPr>
          <w:rFonts w:eastAsia="Times New Roman"/>
          <w:color w:val="0000FF"/>
          <w:sz w:val="24"/>
          <w:szCs w:val="24"/>
          <w:lang w:eastAsia="ko-KR"/>
        </w:rPr>
        <w:t>Wang</w:t>
      </w:r>
      <w:r w:rsidRPr="00805052">
        <w:rPr>
          <w:rFonts w:eastAsia="Times New Roman"/>
          <w:color w:val="0000FF"/>
          <w:sz w:val="24"/>
          <w:szCs w:val="24"/>
          <w:lang w:eastAsia="ko-KR"/>
        </w:rPr>
        <w:t xml:space="preserve"> et al.</w:t>
      </w:r>
      <w:r w:rsidRPr="00AC2534">
        <w:rPr>
          <w:rFonts w:eastAsia="Times New Roman"/>
          <w:color w:val="0000FF"/>
          <w:sz w:val="24"/>
          <w:szCs w:val="24"/>
          <w:vertAlign w:val="superscript"/>
          <w:lang w:eastAsia="ko-KR"/>
        </w:rPr>
        <w:t>9</w:t>
      </w:r>
      <w:r w:rsidRPr="00805052">
        <w:rPr>
          <w:rFonts w:eastAsia="Times New Roman"/>
          <w:color w:val="0000FF"/>
          <w:sz w:val="24"/>
          <w:szCs w:val="24"/>
          <w:lang w:eastAsia="ko-KR"/>
        </w:rPr>
        <w:t xml:space="preserve"> in Supplementary Figure1.”</w:t>
      </w:r>
    </w:p>
    <w:p w14:paraId="57038A87" w14:textId="77777777" w:rsidR="001B141B" w:rsidRPr="009F15DC" w:rsidRDefault="001B141B" w:rsidP="009F15DC">
      <w:pPr>
        <w:pStyle w:val="NormalWeb"/>
        <w:spacing w:before="0" w:beforeAutospacing="0" w:after="0" w:afterAutospacing="0"/>
        <w:rPr>
          <w:rFonts w:asciiTheme="minorHAnsi" w:hAnsiTheme="minorHAnsi" w:cstheme="minorHAnsi"/>
          <w:i/>
          <w:iCs/>
          <w:sz w:val="24"/>
          <w:szCs w:val="24"/>
        </w:rPr>
      </w:pPr>
    </w:p>
    <w:p w14:paraId="1B1A32A8" w14:textId="1977DF49" w:rsidR="001B141B"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Minor</w:t>
      </w:r>
      <w:r w:rsidRPr="009F15DC">
        <w:rPr>
          <w:rFonts w:asciiTheme="minorHAnsi" w:hAnsiTheme="minorHAnsi" w:cstheme="minorHAnsi"/>
          <w:i/>
          <w:iCs/>
          <w:sz w:val="24"/>
          <w:szCs w:val="24"/>
        </w:rPr>
        <w:br/>
        <w:t>7. Line 324 shielded *region*?</w:t>
      </w:r>
    </w:p>
    <w:p w14:paraId="26BDB6CF" w14:textId="571ADB05" w:rsidR="00AC2534" w:rsidRDefault="00AC2534" w:rsidP="009F15DC">
      <w:pPr>
        <w:pStyle w:val="NormalWeb"/>
        <w:spacing w:before="0" w:beforeAutospacing="0" w:after="0" w:afterAutospacing="0"/>
        <w:rPr>
          <w:rFonts w:asciiTheme="minorHAnsi" w:hAnsiTheme="minorHAnsi" w:cstheme="minorHAnsi"/>
          <w:i/>
          <w:iCs/>
          <w:sz w:val="24"/>
          <w:szCs w:val="24"/>
        </w:rPr>
      </w:pPr>
    </w:p>
    <w:p w14:paraId="03253456"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45556789"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21F459AD" w14:textId="65A5D108" w:rsidR="00AC2534" w:rsidRPr="00AC2534" w:rsidRDefault="002A19B4" w:rsidP="00AC2534">
      <w:pPr>
        <w:pStyle w:val="NormalWeb"/>
        <w:spacing w:before="0" w:beforeAutospacing="0" w:after="0" w:afterAutospacing="0"/>
        <w:jc w:val="both"/>
        <w:rPr>
          <w:rFonts w:eastAsia="Times New Roman"/>
          <w:color w:val="0000FF"/>
          <w:sz w:val="24"/>
          <w:szCs w:val="24"/>
          <w:lang w:eastAsia="ko-KR"/>
        </w:rPr>
      </w:pPr>
      <w:r>
        <w:rPr>
          <w:rFonts w:eastAsia="Times New Roman"/>
          <w:color w:val="0000FF"/>
          <w:sz w:val="24"/>
          <w:szCs w:val="24"/>
          <w:lang w:eastAsia="ko-KR"/>
        </w:rPr>
        <w:t>We have c</w:t>
      </w:r>
      <w:r w:rsidR="00AC2534" w:rsidRPr="00AC2534">
        <w:rPr>
          <w:rFonts w:eastAsia="Times New Roman"/>
          <w:color w:val="0000FF"/>
          <w:sz w:val="24"/>
          <w:szCs w:val="24"/>
          <w:lang w:eastAsia="ko-KR"/>
        </w:rPr>
        <w:t>orrected</w:t>
      </w:r>
      <w:r>
        <w:rPr>
          <w:rFonts w:eastAsia="Times New Roman"/>
          <w:color w:val="0000FF"/>
          <w:sz w:val="24"/>
          <w:szCs w:val="24"/>
          <w:lang w:eastAsia="ko-KR"/>
        </w:rPr>
        <w:t xml:space="preserve"> this error</w:t>
      </w:r>
      <w:r w:rsidR="00AC2534" w:rsidRPr="00AC2534">
        <w:rPr>
          <w:rFonts w:eastAsia="Times New Roman"/>
          <w:color w:val="0000FF"/>
          <w:sz w:val="24"/>
          <w:szCs w:val="24"/>
          <w:lang w:eastAsia="ko-KR"/>
        </w:rPr>
        <w:t>.</w:t>
      </w:r>
      <w:r w:rsidR="00EE14F2">
        <w:rPr>
          <w:rFonts w:eastAsia="Times New Roman"/>
          <w:color w:val="0000FF"/>
          <w:sz w:val="24"/>
          <w:szCs w:val="24"/>
          <w:lang w:eastAsia="ko-KR"/>
        </w:rPr>
        <w:t xml:space="preserve"> </w:t>
      </w:r>
      <w:r w:rsidR="00EE14F2" w:rsidRPr="00EE14F2">
        <w:rPr>
          <w:rFonts w:eastAsia="Times New Roman"/>
          <w:color w:val="0000FF"/>
          <w:sz w:val="24"/>
          <w:szCs w:val="24"/>
          <w:highlight w:val="yellow"/>
          <w:lang w:eastAsia="ko-KR"/>
        </w:rPr>
        <w:t>(Line 3</w:t>
      </w:r>
      <w:r w:rsidR="009625F1">
        <w:rPr>
          <w:rFonts w:eastAsia="Times New Roman"/>
          <w:color w:val="0000FF"/>
          <w:sz w:val="24"/>
          <w:szCs w:val="24"/>
          <w:highlight w:val="yellow"/>
          <w:lang w:eastAsia="ko-KR"/>
        </w:rPr>
        <w:t>54</w:t>
      </w:r>
      <w:r w:rsidR="00EE14F2" w:rsidRPr="00EE14F2">
        <w:rPr>
          <w:rFonts w:eastAsia="Times New Roman"/>
          <w:color w:val="0000FF"/>
          <w:sz w:val="24"/>
          <w:szCs w:val="24"/>
          <w:highlight w:val="yellow"/>
          <w:lang w:eastAsia="ko-KR"/>
        </w:rPr>
        <w:t>-35</w:t>
      </w:r>
      <w:r w:rsidR="009625F1">
        <w:rPr>
          <w:rFonts w:eastAsia="Times New Roman"/>
          <w:color w:val="0000FF"/>
          <w:sz w:val="24"/>
          <w:szCs w:val="24"/>
          <w:highlight w:val="yellow"/>
          <w:lang w:eastAsia="ko-KR"/>
        </w:rPr>
        <w:t>5</w:t>
      </w:r>
      <w:r w:rsidR="00EE14F2" w:rsidRPr="00EE14F2">
        <w:rPr>
          <w:rFonts w:eastAsia="Times New Roman"/>
          <w:color w:val="0000FF"/>
          <w:sz w:val="24"/>
          <w:szCs w:val="24"/>
          <w:highlight w:val="yellow"/>
          <w:lang w:eastAsia="ko-KR"/>
        </w:rPr>
        <w:t>)</w:t>
      </w:r>
      <w:r w:rsidR="00AC2534" w:rsidRPr="00AC2534">
        <w:rPr>
          <w:rFonts w:eastAsia="Times New Roman"/>
          <w:color w:val="0000FF"/>
          <w:sz w:val="24"/>
          <w:szCs w:val="24"/>
          <w:lang w:eastAsia="ko-KR"/>
        </w:rPr>
        <w:t xml:space="preserve"> “Recipient mouse bone marrow cells in shielded regions are also likely to have contributed to peripheral blood reconstitution…”</w:t>
      </w:r>
    </w:p>
    <w:p w14:paraId="7871D79F"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301724E3"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34D97B57" w14:textId="77777777" w:rsidR="009F15DC" w:rsidRPr="009F15DC" w:rsidRDefault="009F15DC" w:rsidP="009F15DC">
      <w:pPr>
        <w:spacing w:after="0" w:line="240" w:lineRule="auto"/>
        <w:rPr>
          <w:rFonts w:cstheme="minorHAnsi"/>
          <w:b/>
          <w:bCs/>
          <w:sz w:val="24"/>
          <w:szCs w:val="24"/>
        </w:rPr>
      </w:pPr>
      <w:r w:rsidRPr="009F15DC">
        <w:rPr>
          <w:rFonts w:cstheme="minorHAnsi"/>
          <w:b/>
          <w:bCs/>
          <w:sz w:val="24"/>
          <w:szCs w:val="24"/>
        </w:rPr>
        <w:br w:type="page"/>
      </w:r>
    </w:p>
    <w:p w14:paraId="4EAE314B" w14:textId="77777777" w:rsidR="009F15DC"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b/>
          <w:bCs/>
          <w:sz w:val="24"/>
          <w:szCs w:val="24"/>
        </w:rPr>
        <w:lastRenderedPageBreak/>
        <w:t>Reviewer #2:</w:t>
      </w:r>
    </w:p>
    <w:p w14:paraId="74C781B3" w14:textId="2190BA22" w:rsidR="009F15DC" w:rsidRDefault="009F15DC" w:rsidP="009F15DC">
      <w:pPr>
        <w:pStyle w:val="NormalWeb"/>
        <w:spacing w:before="0" w:beforeAutospacing="0" w:after="0" w:afterAutospacing="0"/>
        <w:rPr>
          <w:rFonts w:asciiTheme="minorHAnsi" w:hAnsiTheme="minorHAnsi" w:cstheme="minorHAnsi"/>
          <w:sz w:val="24"/>
          <w:szCs w:val="24"/>
        </w:rPr>
      </w:pPr>
    </w:p>
    <w:p w14:paraId="0EE75D9F" w14:textId="057C8E03" w:rsidR="006B0590" w:rsidRPr="00DB0AB0" w:rsidRDefault="00DB0AB0" w:rsidP="006B0590">
      <w:pPr>
        <w:pStyle w:val="NormalWeb"/>
        <w:spacing w:before="0" w:beforeAutospacing="0" w:after="0" w:afterAutospacing="0"/>
        <w:rPr>
          <w:rFonts w:asciiTheme="minorHAnsi" w:hAnsiTheme="minorHAnsi" w:cstheme="minorHAnsi"/>
          <w:i/>
          <w:iCs/>
          <w:sz w:val="24"/>
          <w:szCs w:val="24"/>
        </w:rPr>
      </w:pPr>
      <w:r w:rsidRPr="00DB0AB0">
        <w:rPr>
          <w:i/>
          <w:iCs/>
          <w:sz w:val="24"/>
          <w:szCs w:val="24"/>
        </w:rPr>
        <w:t>The protocol submitted by Eunbee Park et al. from the laboratory of Kenneth Walsh is of high relevance and has so far not being widely addressed in the field. Total body irradiation used for efficient transplantation and blood cell reconstitution by donor cells hampers accurate systemic studies on the impact of the transplanted cells on multiple organs due to a systemic damage. The authors here describe methods to either protect distinct parts of the recipients´ body by lead shielding or by preventing damaging conditioning regimes at all. They further compared the efficiency of blood cell reconstitution after lethal total body irradiation, partial shielding, and non-conditioning in peripheral blood and heart. The protocol is written in a very concise but easy-to-follow style, and many critical aspects of the protocol have been well discussed. This is a well-written, very useful and applicable description of various transplantation methods which will be of high interest to the field.</w:t>
      </w:r>
    </w:p>
    <w:p w14:paraId="5CFF5A93" w14:textId="77777777" w:rsidR="006B0590" w:rsidRDefault="006B0590" w:rsidP="006B0590">
      <w:pPr>
        <w:pStyle w:val="NormalWeb"/>
        <w:spacing w:before="0" w:beforeAutospacing="0" w:after="0" w:afterAutospacing="0"/>
        <w:rPr>
          <w:rFonts w:asciiTheme="minorHAnsi" w:hAnsiTheme="minorHAnsi" w:cstheme="minorHAnsi"/>
          <w:sz w:val="24"/>
          <w:szCs w:val="24"/>
        </w:rPr>
      </w:pPr>
    </w:p>
    <w:p w14:paraId="4B42B3FC" w14:textId="77777777" w:rsidR="006B0590" w:rsidRDefault="006B0590" w:rsidP="006B0590">
      <w:pPr>
        <w:pStyle w:val="NormalWeb"/>
        <w:spacing w:before="0" w:beforeAutospacing="0" w:after="0" w:afterAutospacing="0"/>
        <w:rPr>
          <w:rFonts w:asciiTheme="minorHAnsi" w:hAnsiTheme="minorHAnsi" w:cstheme="minorHAnsi"/>
          <w:sz w:val="24"/>
          <w:szCs w:val="24"/>
        </w:rPr>
      </w:pPr>
      <w:r w:rsidRPr="006B0590">
        <w:rPr>
          <w:rFonts w:asciiTheme="minorHAnsi" w:hAnsiTheme="minorHAnsi" w:cstheme="minorHAnsi"/>
          <w:sz w:val="24"/>
          <w:szCs w:val="24"/>
          <w:u w:val="single"/>
        </w:rPr>
        <w:t>Response</w:t>
      </w:r>
      <w:r>
        <w:rPr>
          <w:rFonts w:asciiTheme="minorHAnsi" w:hAnsiTheme="minorHAnsi" w:cstheme="minorHAnsi"/>
          <w:sz w:val="24"/>
          <w:szCs w:val="24"/>
        </w:rPr>
        <w:t>: We thank the reviewer for these positive comments.</w:t>
      </w:r>
    </w:p>
    <w:p w14:paraId="58FFAAAE" w14:textId="77777777" w:rsidR="006B0590" w:rsidRPr="009F15DC" w:rsidRDefault="006B0590" w:rsidP="006B0590">
      <w:pPr>
        <w:pStyle w:val="NormalWeb"/>
        <w:spacing w:before="0" w:beforeAutospacing="0" w:after="0" w:afterAutospacing="0"/>
        <w:rPr>
          <w:rFonts w:asciiTheme="minorHAnsi" w:hAnsiTheme="minorHAnsi" w:cstheme="minorHAnsi"/>
          <w:sz w:val="24"/>
          <w:szCs w:val="24"/>
        </w:rPr>
      </w:pPr>
    </w:p>
    <w:p w14:paraId="48415F07" w14:textId="77777777" w:rsidR="006B0590" w:rsidRPr="009F15DC" w:rsidRDefault="006B0590" w:rsidP="009F15DC">
      <w:pPr>
        <w:pStyle w:val="NormalWeb"/>
        <w:spacing w:before="0" w:beforeAutospacing="0" w:after="0" w:afterAutospacing="0"/>
        <w:rPr>
          <w:rFonts w:asciiTheme="minorHAnsi" w:hAnsiTheme="minorHAnsi" w:cstheme="minorHAnsi"/>
          <w:sz w:val="24"/>
          <w:szCs w:val="24"/>
        </w:rPr>
      </w:pPr>
    </w:p>
    <w:p w14:paraId="1CCF3567"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 How do the authors explain the differences of the donor cell contribution in the heart after thorax shielding and non-conditioning transplantation (Figure 2B and C)? It seems that non-conditioning would allow more donor WBCs (in proportion to the blood cell chimerism) to engraft in the heart than when applying partial shielding with high irradiation. The percentage of donor cell chimerism is hard to see due to the scale of the axis in Fig2C. The authors may split the axis scale for donor and recipient %, to zoom into the donor chimerism.</w:t>
      </w:r>
    </w:p>
    <w:p w14:paraId="54407B7F"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22686976" w14:textId="1D28C347" w:rsidR="00F47674"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3FD83384" w14:textId="77777777" w:rsidR="00F47674" w:rsidRDefault="00F47674" w:rsidP="009F15DC">
      <w:pPr>
        <w:pStyle w:val="NormalWeb"/>
        <w:spacing w:before="0" w:beforeAutospacing="0" w:after="0" w:afterAutospacing="0"/>
        <w:rPr>
          <w:rFonts w:asciiTheme="minorHAnsi" w:hAnsiTheme="minorHAnsi" w:cstheme="minorHAnsi"/>
          <w:sz w:val="24"/>
          <w:szCs w:val="24"/>
        </w:rPr>
      </w:pPr>
    </w:p>
    <w:p w14:paraId="5A02603E" w14:textId="30AD0E89" w:rsidR="00F47674" w:rsidRDefault="00BC4974" w:rsidP="00F47674">
      <w:pPr>
        <w:pStyle w:val="NormalWeb"/>
        <w:spacing w:before="0" w:beforeAutospacing="0" w:after="0" w:afterAutospacing="0"/>
        <w:jc w:val="both"/>
        <w:rPr>
          <w:color w:val="0000FF"/>
          <w:sz w:val="24"/>
          <w:szCs w:val="24"/>
        </w:rPr>
      </w:pPr>
      <w:r>
        <w:rPr>
          <w:color w:val="0000FF"/>
          <w:sz w:val="24"/>
          <w:szCs w:val="24"/>
        </w:rPr>
        <w:t>In the context of adoptive BMT, t</w:t>
      </w:r>
      <w:r w:rsidR="00E606B9" w:rsidRPr="00E606B9">
        <w:rPr>
          <w:color w:val="0000FF"/>
          <w:sz w:val="24"/>
          <w:szCs w:val="24"/>
        </w:rPr>
        <w:t>he donor cell contribution</w:t>
      </w:r>
      <w:r>
        <w:rPr>
          <w:color w:val="0000FF"/>
          <w:sz w:val="24"/>
          <w:szCs w:val="24"/>
        </w:rPr>
        <w:t>s</w:t>
      </w:r>
      <w:r w:rsidR="00E606B9" w:rsidRPr="00E606B9">
        <w:rPr>
          <w:color w:val="0000FF"/>
          <w:sz w:val="24"/>
          <w:szCs w:val="24"/>
        </w:rPr>
        <w:t xml:space="preserve"> in the blood and heart </w:t>
      </w:r>
      <w:r>
        <w:rPr>
          <w:color w:val="0000FF"/>
          <w:sz w:val="24"/>
          <w:szCs w:val="24"/>
        </w:rPr>
        <w:t>are</w:t>
      </w:r>
      <w:r w:rsidR="00E606B9" w:rsidRPr="00E606B9">
        <w:rPr>
          <w:color w:val="0000FF"/>
          <w:sz w:val="24"/>
          <w:szCs w:val="24"/>
        </w:rPr>
        <w:t xml:space="preserve"> comparable</w:t>
      </w:r>
      <w:r>
        <w:rPr>
          <w:color w:val="0000FF"/>
          <w:sz w:val="24"/>
          <w:szCs w:val="24"/>
        </w:rPr>
        <w:t xml:space="preserve"> to those of </w:t>
      </w:r>
      <w:r w:rsidR="00E606B9" w:rsidRPr="00E606B9">
        <w:rPr>
          <w:color w:val="0000FF"/>
          <w:sz w:val="24"/>
          <w:szCs w:val="24"/>
        </w:rPr>
        <w:t xml:space="preserve">non-conditioned recipient mice. To </w:t>
      </w:r>
      <w:r>
        <w:rPr>
          <w:color w:val="0000FF"/>
          <w:sz w:val="24"/>
          <w:szCs w:val="24"/>
        </w:rPr>
        <w:t>aid the reader’s</w:t>
      </w:r>
      <w:r w:rsidR="00E606B9" w:rsidRPr="00E606B9">
        <w:rPr>
          <w:color w:val="0000FF"/>
          <w:sz w:val="24"/>
          <w:szCs w:val="24"/>
        </w:rPr>
        <w:t xml:space="preserve"> understanding, we </w:t>
      </w:r>
      <w:r>
        <w:rPr>
          <w:color w:val="0000FF"/>
          <w:sz w:val="24"/>
          <w:szCs w:val="24"/>
        </w:rPr>
        <w:t xml:space="preserve">have </w:t>
      </w:r>
      <w:r w:rsidR="00E606B9" w:rsidRPr="00E606B9">
        <w:rPr>
          <w:color w:val="0000FF"/>
          <w:sz w:val="24"/>
          <w:szCs w:val="24"/>
        </w:rPr>
        <w:t xml:space="preserve">changed the y-axis scale in Fig2C. In this model, the donor cells' engraftment </w:t>
      </w:r>
      <w:r>
        <w:rPr>
          <w:color w:val="0000FF"/>
          <w:sz w:val="24"/>
          <w:szCs w:val="24"/>
        </w:rPr>
        <w:t xml:space="preserve">in both blood and heart </w:t>
      </w:r>
      <w:r w:rsidR="00E606B9" w:rsidRPr="00E606B9">
        <w:rPr>
          <w:color w:val="0000FF"/>
          <w:sz w:val="24"/>
          <w:szCs w:val="24"/>
        </w:rPr>
        <w:t>is approximately 5% or less in each immune population 1-month post-transplantation.</w:t>
      </w:r>
    </w:p>
    <w:p w14:paraId="497D26F9" w14:textId="3C569533" w:rsidR="00F47674" w:rsidRDefault="00F47674" w:rsidP="009F15DC">
      <w:pPr>
        <w:pStyle w:val="NormalWeb"/>
        <w:spacing w:before="0" w:beforeAutospacing="0" w:after="0" w:afterAutospacing="0"/>
        <w:rPr>
          <w:color w:val="0000FF"/>
          <w:sz w:val="24"/>
          <w:szCs w:val="24"/>
        </w:rPr>
      </w:pPr>
    </w:p>
    <w:p w14:paraId="6A1FC6F1" w14:textId="2207D35A" w:rsidR="001B141B" w:rsidRPr="009F15DC" w:rsidRDefault="00F47674" w:rsidP="009F15DC">
      <w:pPr>
        <w:pStyle w:val="NormalWeb"/>
        <w:spacing w:before="0" w:beforeAutospacing="0" w:after="0" w:afterAutospacing="0"/>
        <w:rPr>
          <w:rFonts w:asciiTheme="minorHAnsi" w:hAnsiTheme="minorHAnsi" w:cstheme="minorHAnsi"/>
          <w:sz w:val="24"/>
          <w:szCs w:val="24"/>
        </w:rPr>
      </w:pPr>
      <w:r w:rsidRPr="00F47674">
        <w:rPr>
          <w:color w:val="0000FF"/>
          <w:sz w:val="24"/>
          <w:szCs w:val="24"/>
        </w:rPr>
        <w:t xml:space="preserve"> </w:t>
      </w:r>
    </w:p>
    <w:p w14:paraId="4CC225A1" w14:textId="77777777" w:rsidR="00CA79FE" w:rsidRDefault="00CA79FE" w:rsidP="004670B1">
      <w:pPr>
        <w:pStyle w:val="NormalWeb"/>
        <w:spacing w:before="0" w:beforeAutospacing="0" w:after="0" w:afterAutospacing="0"/>
        <w:jc w:val="both"/>
        <w:rPr>
          <w:rFonts w:eastAsia="Times New Roman"/>
          <w:color w:val="0000FF"/>
          <w:sz w:val="24"/>
          <w:szCs w:val="24"/>
          <w:highlight w:val="yellow"/>
          <w:lang w:eastAsia="ko-KR"/>
        </w:rPr>
      </w:pPr>
    </w:p>
    <w:p w14:paraId="552219E2" w14:textId="17D6E81F" w:rsidR="00F47674" w:rsidRDefault="00176E07" w:rsidP="009F15DC">
      <w:pPr>
        <w:pStyle w:val="NormalWeb"/>
        <w:spacing w:before="0" w:beforeAutospacing="0" w:after="0" w:afterAutospacing="0"/>
        <w:rPr>
          <w:rFonts w:asciiTheme="minorHAnsi" w:hAnsiTheme="minorHAnsi" w:cstheme="minorHAnsi"/>
          <w:i/>
          <w:iCs/>
          <w:sz w:val="24"/>
          <w:szCs w:val="24"/>
        </w:rPr>
      </w:pPr>
      <w:r w:rsidRPr="00176E07">
        <w:rPr>
          <w:rFonts w:asciiTheme="minorHAnsi" w:hAnsiTheme="minorHAnsi" w:cstheme="minorHAnsi"/>
          <w:i/>
          <w:iCs/>
          <w:noProof/>
          <w:sz w:val="24"/>
          <w:szCs w:val="24"/>
        </w:rPr>
        <w:lastRenderedPageBreak/>
        <w:drawing>
          <wp:inline distT="0" distB="0" distL="0" distR="0" wp14:anchorId="47BF394D" wp14:editId="14336ED1">
            <wp:extent cx="5943600" cy="41173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117340"/>
                    </a:xfrm>
                    <a:prstGeom prst="rect">
                      <a:avLst/>
                    </a:prstGeom>
                  </pic:spPr>
                </pic:pic>
              </a:graphicData>
            </a:graphic>
          </wp:inline>
        </w:drawing>
      </w:r>
    </w:p>
    <w:p w14:paraId="03D00FD4" w14:textId="33CF6120" w:rsidR="00B24779" w:rsidRDefault="00B24779" w:rsidP="00B24779">
      <w:pPr>
        <w:pStyle w:val="NormalWeb"/>
        <w:spacing w:before="0" w:beforeAutospacing="0" w:after="0" w:afterAutospacing="0"/>
        <w:jc w:val="both"/>
        <w:rPr>
          <w:rFonts w:asciiTheme="minorHAnsi" w:hAnsiTheme="minorHAnsi" w:cstheme="minorHAnsi"/>
          <w:color w:val="0600FF"/>
          <w:sz w:val="24"/>
          <w:szCs w:val="24"/>
        </w:rPr>
      </w:pPr>
    </w:p>
    <w:p w14:paraId="37479776" w14:textId="77777777" w:rsidR="00EE14F2" w:rsidRPr="009F15DC" w:rsidRDefault="00EE14F2" w:rsidP="00EE14F2">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 Along the same line, what happens in animals that have been transplanted after thorax shielding at a later time point (3 months after transplantation) concerning the contribution of myeloid cells in the heart? Do the authors have data on later time points as well? Will the resident recipient myeloid cells in the heart be replaced by newly produced donor cells?</w:t>
      </w:r>
    </w:p>
    <w:p w14:paraId="508A6953" w14:textId="77777777" w:rsidR="00EE14F2" w:rsidRPr="009F15DC" w:rsidRDefault="00EE14F2" w:rsidP="00EE14F2">
      <w:pPr>
        <w:pStyle w:val="NormalWeb"/>
        <w:spacing w:before="0" w:beforeAutospacing="0" w:after="0" w:afterAutospacing="0"/>
        <w:rPr>
          <w:rFonts w:asciiTheme="minorHAnsi" w:hAnsiTheme="minorHAnsi" w:cstheme="minorHAnsi"/>
          <w:sz w:val="24"/>
          <w:szCs w:val="24"/>
        </w:rPr>
      </w:pPr>
    </w:p>
    <w:p w14:paraId="68F77EB9" w14:textId="77777777" w:rsidR="00EE14F2" w:rsidRPr="009F15DC" w:rsidRDefault="00EE14F2" w:rsidP="00EE14F2">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79C57CC9" w14:textId="77777777" w:rsidR="00EE14F2" w:rsidRPr="009F15DC" w:rsidRDefault="00EE14F2" w:rsidP="00EE14F2">
      <w:pPr>
        <w:pStyle w:val="NormalWeb"/>
        <w:spacing w:before="0" w:beforeAutospacing="0" w:after="0" w:afterAutospacing="0"/>
        <w:rPr>
          <w:rFonts w:asciiTheme="minorHAnsi" w:hAnsiTheme="minorHAnsi" w:cstheme="minorHAnsi"/>
          <w:sz w:val="24"/>
          <w:szCs w:val="24"/>
        </w:rPr>
      </w:pPr>
    </w:p>
    <w:p w14:paraId="28511558" w14:textId="77777777" w:rsidR="00EE14F2" w:rsidRPr="006E7636" w:rsidRDefault="00EE14F2" w:rsidP="00EE14F2">
      <w:pPr>
        <w:pStyle w:val="NormalWeb"/>
        <w:spacing w:before="0" w:beforeAutospacing="0" w:after="0" w:afterAutospacing="0"/>
        <w:jc w:val="both"/>
        <w:rPr>
          <w:rFonts w:eastAsia="Times New Roman"/>
          <w:color w:val="0000FF"/>
          <w:sz w:val="24"/>
          <w:szCs w:val="24"/>
          <w:lang w:eastAsia="ko-KR"/>
        </w:rPr>
      </w:pPr>
      <w:r w:rsidRPr="006E7636">
        <w:rPr>
          <w:rFonts w:eastAsia="Times New Roman"/>
          <w:color w:val="0000FF"/>
          <w:sz w:val="24"/>
          <w:szCs w:val="24"/>
          <w:lang w:eastAsia="ko-KR"/>
        </w:rPr>
        <w:t>Thank you for this question. Although we do not have data for a later time point post-thorax shielded BMT, we assume that cardiac myeloid cells will be replaced by newly produced donor cells as these recipient mice age. We say this because even in the steady state, without cardiac injury or inflammation, cardiac myeloid cells are substituted by infiltrating monocyte-derived macrophages with age. (</w:t>
      </w:r>
      <w:proofErr w:type="spellStart"/>
      <w:r w:rsidRPr="006E7636">
        <w:rPr>
          <w:rFonts w:eastAsia="Times New Roman"/>
          <w:color w:val="0000FF"/>
          <w:sz w:val="24"/>
          <w:szCs w:val="24"/>
          <w:lang w:eastAsia="ko-KR"/>
        </w:rPr>
        <w:t>Molawi</w:t>
      </w:r>
      <w:proofErr w:type="spellEnd"/>
      <w:r w:rsidRPr="006E7636">
        <w:rPr>
          <w:rFonts w:eastAsia="Times New Roman"/>
          <w:color w:val="0000FF"/>
          <w:sz w:val="24"/>
          <w:szCs w:val="24"/>
          <w:lang w:eastAsia="ko-KR"/>
        </w:rPr>
        <w:t xml:space="preserve"> et al and Wang et al)</w:t>
      </w:r>
    </w:p>
    <w:p w14:paraId="35CDE7EF" w14:textId="77777777" w:rsidR="00EE14F2" w:rsidRDefault="00EE14F2" w:rsidP="00B24779">
      <w:pPr>
        <w:pStyle w:val="NormalWeb"/>
        <w:spacing w:before="0" w:beforeAutospacing="0" w:after="0" w:afterAutospacing="0"/>
        <w:jc w:val="both"/>
        <w:rPr>
          <w:rFonts w:asciiTheme="minorHAnsi" w:hAnsiTheme="minorHAnsi" w:cstheme="minorHAnsi"/>
          <w:color w:val="0600FF"/>
          <w:sz w:val="24"/>
          <w:szCs w:val="24"/>
        </w:rPr>
      </w:pPr>
    </w:p>
    <w:p w14:paraId="68CECDC2" w14:textId="2E634F8E" w:rsidR="00B24779" w:rsidRDefault="00B24779" w:rsidP="00B24779">
      <w:pPr>
        <w:pStyle w:val="NormalWeb"/>
        <w:spacing w:before="0" w:beforeAutospacing="0" w:after="0" w:afterAutospacing="0"/>
        <w:jc w:val="both"/>
        <w:rPr>
          <w:rFonts w:asciiTheme="minorHAnsi" w:hAnsiTheme="minorHAnsi" w:cstheme="minorHAnsi"/>
          <w:color w:val="0600FF"/>
          <w:sz w:val="24"/>
          <w:szCs w:val="24"/>
        </w:rPr>
      </w:pPr>
      <w:r>
        <w:rPr>
          <w:rFonts w:asciiTheme="minorHAnsi" w:hAnsiTheme="minorHAnsi" w:cstheme="minorHAnsi"/>
          <w:color w:val="0600FF"/>
          <w:sz w:val="24"/>
          <w:szCs w:val="24"/>
        </w:rPr>
        <w:t>Ref)</w:t>
      </w:r>
    </w:p>
    <w:p w14:paraId="2E09B05F" w14:textId="77777777" w:rsidR="00B24779" w:rsidRDefault="00B24779" w:rsidP="00B24779">
      <w:pPr>
        <w:pStyle w:val="NormalWeb"/>
        <w:spacing w:before="0" w:beforeAutospacing="0" w:after="0" w:afterAutospacing="0"/>
        <w:jc w:val="both"/>
        <w:rPr>
          <w:rFonts w:asciiTheme="minorHAnsi" w:hAnsiTheme="minorHAnsi" w:cstheme="minorHAnsi"/>
          <w:color w:val="0600FF"/>
          <w:sz w:val="24"/>
          <w:szCs w:val="24"/>
        </w:rPr>
      </w:pPr>
    </w:p>
    <w:p w14:paraId="506CC109" w14:textId="0445ED91" w:rsidR="006E7636" w:rsidRPr="006E7636" w:rsidRDefault="006E7636" w:rsidP="00B24779">
      <w:pPr>
        <w:pStyle w:val="NormalWeb"/>
        <w:numPr>
          <w:ilvl w:val="0"/>
          <w:numId w:val="9"/>
        </w:numPr>
        <w:spacing w:before="0" w:beforeAutospacing="0" w:after="0" w:afterAutospacing="0"/>
        <w:jc w:val="both"/>
        <w:rPr>
          <w:color w:val="0600FF"/>
          <w:sz w:val="24"/>
          <w:szCs w:val="24"/>
        </w:rPr>
      </w:pPr>
      <w:proofErr w:type="spellStart"/>
      <w:r w:rsidRPr="006E7636">
        <w:rPr>
          <w:color w:val="0600FF"/>
          <w:sz w:val="24"/>
          <w:szCs w:val="24"/>
        </w:rPr>
        <w:t>Molawi</w:t>
      </w:r>
      <w:proofErr w:type="spellEnd"/>
      <w:r w:rsidRPr="006E7636">
        <w:rPr>
          <w:color w:val="0600FF"/>
          <w:sz w:val="24"/>
          <w:szCs w:val="24"/>
        </w:rPr>
        <w:t>, K. et al. Progressive replacement of embryo-derived cardiac macrophages with age.</w:t>
      </w:r>
      <w:r w:rsidR="00B24779">
        <w:rPr>
          <w:color w:val="0600FF"/>
          <w:sz w:val="24"/>
          <w:szCs w:val="24"/>
        </w:rPr>
        <w:t xml:space="preserve"> </w:t>
      </w:r>
      <w:r w:rsidRPr="006E7636">
        <w:rPr>
          <w:color w:val="0600FF"/>
          <w:sz w:val="24"/>
          <w:szCs w:val="24"/>
        </w:rPr>
        <w:t>Journal of Experimental Medicine. 211 (11), 2151–2158, doi: 10.1084/jem.20140639 (2014).</w:t>
      </w:r>
    </w:p>
    <w:p w14:paraId="5994373C" w14:textId="26D23EB8" w:rsidR="006E7636" w:rsidRPr="006E7636" w:rsidRDefault="006E7636" w:rsidP="00B24779">
      <w:pPr>
        <w:pStyle w:val="NormalWeb"/>
        <w:numPr>
          <w:ilvl w:val="0"/>
          <w:numId w:val="9"/>
        </w:numPr>
        <w:spacing w:before="0" w:beforeAutospacing="0" w:after="0" w:afterAutospacing="0"/>
        <w:jc w:val="both"/>
        <w:rPr>
          <w:rFonts w:asciiTheme="minorHAnsi" w:hAnsiTheme="minorHAnsi" w:cstheme="minorHAnsi"/>
          <w:color w:val="0600FF"/>
          <w:sz w:val="24"/>
          <w:szCs w:val="24"/>
        </w:rPr>
      </w:pPr>
      <w:r w:rsidRPr="006E7636">
        <w:rPr>
          <w:color w:val="0600FF"/>
          <w:sz w:val="24"/>
          <w:szCs w:val="24"/>
        </w:rPr>
        <w:t xml:space="preserve">Wang, Y. </w:t>
      </w:r>
      <w:r w:rsidRPr="006E7636">
        <w:rPr>
          <w:i/>
          <w:iCs/>
          <w:color w:val="0600FF"/>
          <w:sz w:val="24"/>
          <w:szCs w:val="24"/>
        </w:rPr>
        <w:t>et al.</w:t>
      </w:r>
      <w:r w:rsidRPr="006E7636">
        <w:rPr>
          <w:color w:val="0600FF"/>
          <w:sz w:val="24"/>
          <w:szCs w:val="24"/>
        </w:rPr>
        <w:t xml:space="preserve"> Tet2-mediated clonal hematopoiesis in nonconditioned mice</w:t>
      </w:r>
      <w:r w:rsidR="00B24779">
        <w:rPr>
          <w:color w:val="0600FF"/>
          <w:sz w:val="24"/>
          <w:szCs w:val="24"/>
        </w:rPr>
        <w:t xml:space="preserve"> </w:t>
      </w:r>
      <w:r w:rsidRPr="006E7636">
        <w:rPr>
          <w:color w:val="0600FF"/>
          <w:sz w:val="24"/>
          <w:szCs w:val="24"/>
        </w:rPr>
        <w:t xml:space="preserve">accelerates age-associated cardiac dysfunction. </w:t>
      </w:r>
      <w:r w:rsidRPr="006E7636">
        <w:rPr>
          <w:i/>
          <w:iCs/>
          <w:color w:val="0600FF"/>
          <w:sz w:val="24"/>
          <w:szCs w:val="24"/>
        </w:rPr>
        <w:t>JCI Insight</w:t>
      </w:r>
      <w:r w:rsidRPr="006E7636">
        <w:rPr>
          <w:color w:val="0600FF"/>
          <w:sz w:val="24"/>
          <w:szCs w:val="24"/>
        </w:rPr>
        <w:t xml:space="preserve">. </w:t>
      </w:r>
      <w:r w:rsidRPr="006E7636">
        <w:rPr>
          <w:b/>
          <w:bCs/>
          <w:color w:val="0600FF"/>
          <w:sz w:val="24"/>
          <w:szCs w:val="24"/>
        </w:rPr>
        <w:t>5</w:t>
      </w:r>
      <w:r w:rsidRPr="006E7636">
        <w:rPr>
          <w:color w:val="0600FF"/>
          <w:sz w:val="24"/>
          <w:szCs w:val="24"/>
        </w:rPr>
        <w:t xml:space="preserve"> (6), doi: 10.1172/jci.insight.135204 (2020).</w:t>
      </w:r>
    </w:p>
    <w:p w14:paraId="204AD8FB" w14:textId="7D643EF6"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lastRenderedPageBreak/>
        <w:t>- Do the authors have data on Tet2-deficient donor cell engraftment in the heart after 3-4 months using the non-conditioned regimen? This would be particularly important for studies on clonal hematopoiesis and cardiovascular insults (e.g. recovery after infarct) to discriminate between the local contributing effects of mutated myeloid cells in the heart vs. a systemic effect.</w:t>
      </w:r>
    </w:p>
    <w:p w14:paraId="7272E61A"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3CF27A3E" w14:textId="26DE9A8C" w:rsidR="001B141B"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44DBBDC8" w14:textId="3D0C8217" w:rsidR="00585105" w:rsidRDefault="00585105" w:rsidP="009F15DC">
      <w:pPr>
        <w:pStyle w:val="NormalWeb"/>
        <w:spacing w:before="0" w:beforeAutospacing="0" w:after="0" w:afterAutospacing="0"/>
        <w:rPr>
          <w:rFonts w:asciiTheme="minorHAnsi" w:hAnsiTheme="minorHAnsi" w:cstheme="minorHAnsi"/>
          <w:sz w:val="24"/>
          <w:szCs w:val="24"/>
        </w:rPr>
      </w:pPr>
    </w:p>
    <w:p w14:paraId="3A9A5659" w14:textId="730A3D72" w:rsidR="00585105" w:rsidRPr="00585105" w:rsidRDefault="00585105" w:rsidP="00585105">
      <w:pPr>
        <w:jc w:val="both"/>
        <w:rPr>
          <w:rFonts w:ascii="Calibri" w:hAnsi="Calibri" w:cs="Calibri"/>
          <w:color w:val="0000FF"/>
          <w:sz w:val="24"/>
          <w:szCs w:val="24"/>
        </w:rPr>
      </w:pPr>
      <w:r w:rsidRPr="00585105">
        <w:rPr>
          <w:rFonts w:ascii="Calibri" w:hAnsi="Calibri" w:cs="Calibri"/>
          <w:color w:val="0000FF"/>
          <w:sz w:val="24"/>
          <w:szCs w:val="24"/>
        </w:rPr>
        <w:t xml:space="preserve">We did not include the data for analyzing the heart after 3-4 months </w:t>
      </w:r>
      <w:r w:rsidRPr="00C64C3E">
        <w:rPr>
          <w:rFonts w:ascii="Calibri" w:hAnsi="Calibri" w:cs="Calibri"/>
          <w:i/>
          <w:iCs/>
          <w:color w:val="0000FF"/>
          <w:sz w:val="24"/>
          <w:szCs w:val="24"/>
        </w:rPr>
        <w:t>Tet2</w:t>
      </w:r>
      <w:r w:rsidRPr="00585105">
        <w:rPr>
          <w:rFonts w:ascii="Calibri" w:hAnsi="Calibri" w:cs="Calibri"/>
          <w:color w:val="0000FF"/>
          <w:sz w:val="24"/>
          <w:szCs w:val="24"/>
        </w:rPr>
        <w:t xml:space="preserve">-deficient donor cell adoptive </w:t>
      </w:r>
      <w:r w:rsidR="00B24779">
        <w:rPr>
          <w:rFonts w:ascii="Calibri" w:hAnsi="Calibri" w:cs="Calibri"/>
          <w:color w:val="0000FF"/>
          <w:sz w:val="24"/>
          <w:szCs w:val="24"/>
        </w:rPr>
        <w:t>BMT</w:t>
      </w:r>
      <w:r w:rsidRPr="00585105">
        <w:rPr>
          <w:rFonts w:ascii="Calibri" w:hAnsi="Calibri" w:cs="Calibri"/>
          <w:color w:val="0000FF"/>
          <w:sz w:val="24"/>
          <w:szCs w:val="24"/>
        </w:rPr>
        <w:t xml:space="preserve"> to non-conditioned mice in this manuscript. However, </w:t>
      </w:r>
      <w:r w:rsidR="00113A8F">
        <w:rPr>
          <w:rFonts w:ascii="Calibri" w:hAnsi="Calibri" w:cs="Calibri"/>
          <w:color w:val="0000FF"/>
          <w:sz w:val="24"/>
          <w:szCs w:val="24"/>
        </w:rPr>
        <w:t>Wang</w:t>
      </w:r>
      <w:r w:rsidRPr="00585105">
        <w:rPr>
          <w:rFonts w:ascii="Calibri" w:hAnsi="Calibri" w:cs="Calibri"/>
          <w:color w:val="0000FF"/>
          <w:sz w:val="24"/>
          <w:szCs w:val="24"/>
        </w:rPr>
        <w:t xml:space="preserve"> et al.</w:t>
      </w:r>
      <w:r w:rsidR="00113A8F">
        <w:rPr>
          <w:rFonts w:ascii="Calibri" w:hAnsi="Calibri" w:cs="Calibri"/>
          <w:color w:val="0000FF"/>
          <w:sz w:val="24"/>
          <w:szCs w:val="24"/>
        </w:rPr>
        <w:t xml:space="preserve"> (2020)</w:t>
      </w:r>
      <w:r w:rsidRPr="00585105">
        <w:rPr>
          <w:rFonts w:ascii="Calibri" w:hAnsi="Calibri" w:cs="Calibri"/>
          <w:color w:val="0000FF"/>
          <w:sz w:val="24"/>
          <w:szCs w:val="24"/>
        </w:rPr>
        <w:t xml:space="preserve"> have shown an association between clonal hematopoiesis and cardiac tissue hematopoietic cell chimerism</w:t>
      </w:r>
      <w:r w:rsidR="007317FC" w:rsidRPr="00585105">
        <w:rPr>
          <w:rFonts w:ascii="Calibri" w:hAnsi="Calibri" w:cs="Calibri"/>
          <w:color w:val="0000FF"/>
          <w:sz w:val="24"/>
          <w:szCs w:val="24"/>
          <w:vertAlign w:val="superscript"/>
        </w:rPr>
        <w:t>9</w:t>
      </w:r>
      <w:r w:rsidRPr="00585105">
        <w:rPr>
          <w:rFonts w:ascii="Calibri" w:hAnsi="Calibri" w:cs="Calibri"/>
          <w:color w:val="0000FF"/>
          <w:sz w:val="24"/>
          <w:szCs w:val="24"/>
        </w:rPr>
        <w:t>. We have added the following paragraph to the discussion section.</w:t>
      </w:r>
      <w:r w:rsidR="007317FC">
        <w:rPr>
          <w:rFonts w:ascii="Calibri" w:hAnsi="Calibri" w:cs="Calibri"/>
          <w:color w:val="0000FF"/>
          <w:sz w:val="24"/>
          <w:szCs w:val="24"/>
        </w:rPr>
        <w:t xml:space="preserve"> </w:t>
      </w:r>
      <w:r w:rsidR="007317FC" w:rsidRPr="007317FC">
        <w:rPr>
          <w:rFonts w:ascii="Calibri" w:hAnsi="Calibri" w:cs="Calibri"/>
          <w:color w:val="0000FF"/>
          <w:sz w:val="24"/>
          <w:szCs w:val="24"/>
          <w:highlight w:val="yellow"/>
        </w:rPr>
        <w:t xml:space="preserve">(Line </w:t>
      </w:r>
      <w:r w:rsidR="009625F1">
        <w:rPr>
          <w:rFonts w:ascii="Calibri" w:hAnsi="Calibri" w:cs="Calibri"/>
          <w:color w:val="0000FF"/>
          <w:sz w:val="24"/>
          <w:szCs w:val="24"/>
          <w:highlight w:val="yellow"/>
        </w:rPr>
        <w:t>500</w:t>
      </w:r>
      <w:r w:rsidR="007317FC" w:rsidRPr="007317FC">
        <w:rPr>
          <w:rFonts w:ascii="Calibri" w:hAnsi="Calibri" w:cs="Calibri"/>
          <w:color w:val="0000FF"/>
          <w:sz w:val="24"/>
          <w:szCs w:val="24"/>
          <w:highlight w:val="yellow"/>
        </w:rPr>
        <w:t>-5</w:t>
      </w:r>
      <w:r w:rsidR="00992898">
        <w:rPr>
          <w:rFonts w:ascii="Calibri" w:hAnsi="Calibri" w:cs="Calibri"/>
          <w:color w:val="0000FF"/>
          <w:sz w:val="24"/>
          <w:szCs w:val="24"/>
          <w:highlight w:val="yellow"/>
        </w:rPr>
        <w:t>1</w:t>
      </w:r>
      <w:r w:rsidR="008D3086">
        <w:rPr>
          <w:rFonts w:ascii="Calibri" w:hAnsi="Calibri" w:cs="Calibri"/>
          <w:color w:val="0000FF"/>
          <w:sz w:val="24"/>
          <w:szCs w:val="24"/>
          <w:highlight w:val="yellow"/>
        </w:rPr>
        <w:t>4</w:t>
      </w:r>
      <w:r w:rsidR="007317FC" w:rsidRPr="007317FC">
        <w:rPr>
          <w:rFonts w:ascii="Calibri" w:hAnsi="Calibri" w:cs="Calibri"/>
          <w:color w:val="0000FF"/>
          <w:sz w:val="24"/>
          <w:szCs w:val="24"/>
          <w:highlight w:val="yellow"/>
        </w:rPr>
        <w:t>)</w:t>
      </w:r>
    </w:p>
    <w:p w14:paraId="2AFC8900" w14:textId="519C7CC5" w:rsidR="007E349F" w:rsidRPr="007E349F" w:rsidRDefault="007E349F" w:rsidP="007E349F">
      <w:pPr>
        <w:ind w:firstLineChars="150" w:firstLine="420"/>
        <w:jc w:val="both"/>
        <w:rPr>
          <w:rFonts w:ascii="Calibri" w:hAnsi="Calibri" w:cs="Calibri"/>
          <w:sz w:val="24"/>
          <w:szCs w:val="24"/>
          <w:shd w:val="clear" w:color="auto" w:fill="FFFFFF"/>
          <w:lang w:eastAsia="ja-JP"/>
        </w:rPr>
      </w:pPr>
      <w:r w:rsidRPr="007E349F">
        <w:rPr>
          <w:rFonts w:ascii="Calibri" w:eastAsia="Times New Roman" w:hAnsi="Calibri" w:cs="Calibri"/>
          <w:color w:val="0000FF"/>
          <w:sz w:val="28"/>
          <w:szCs w:val="28"/>
          <w:lang w:eastAsia="ko-KR"/>
        </w:rPr>
        <w:t>“</w:t>
      </w:r>
      <w:r w:rsidRPr="007E349F">
        <w:rPr>
          <w:rFonts w:ascii="Calibri" w:hAnsi="Calibri" w:cs="Calibri"/>
          <w:color w:val="112CFF"/>
          <w:sz w:val="24"/>
          <w:szCs w:val="24"/>
        </w:rPr>
        <w:t xml:space="preserve">The expansion of </w:t>
      </w:r>
      <w:r w:rsidRPr="007E349F">
        <w:rPr>
          <w:rFonts w:ascii="Calibri" w:hAnsi="Calibri" w:cs="Calibri"/>
          <w:i/>
          <w:iCs/>
          <w:color w:val="112CFF"/>
          <w:sz w:val="24"/>
          <w:szCs w:val="24"/>
        </w:rPr>
        <w:t>Tet2-deficient</w:t>
      </w:r>
      <w:r w:rsidRPr="007E349F">
        <w:rPr>
          <w:rFonts w:ascii="Calibri" w:hAnsi="Calibri" w:cs="Calibri"/>
          <w:color w:val="112CFF"/>
          <w:sz w:val="24"/>
          <w:szCs w:val="24"/>
        </w:rPr>
        <w:t xml:space="preserve"> cells has bee</w:t>
      </w:r>
      <w:r>
        <w:rPr>
          <w:rFonts w:ascii="Calibri" w:hAnsi="Calibri" w:cs="Calibri"/>
          <w:color w:val="112CFF"/>
          <w:sz w:val="24"/>
          <w:szCs w:val="24"/>
        </w:rPr>
        <w:t>n</w:t>
      </w:r>
      <w:r w:rsidRPr="007E349F">
        <w:rPr>
          <w:rFonts w:ascii="Calibri" w:hAnsi="Calibri" w:cs="Calibri"/>
          <w:color w:val="112CFF"/>
          <w:sz w:val="24"/>
          <w:szCs w:val="24"/>
        </w:rPr>
        <w:t xml:space="preserve"> observed not only in the peripheral blood but also in several other tissues, including bone marrow, liver, and kidney, with different dynamics of hematopoietic cell reconstitution</w:t>
      </w:r>
      <w:r w:rsidRPr="007E349F">
        <w:rPr>
          <w:rFonts w:ascii="Calibri" w:hAnsi="Calibri" w:cs="Calibri"/>
          <w:color w:val="112CFF"/>
          <w:sz w:val="24"/>
          <w:szCs w:val="24"/>
          <w:vertAlign w:val="superscript"/>
        </w:rPr>
        <w:t>9</w:t>
      </w:r>
      <w:r w:rsidRPr="007E349F">
        <w:rPr>
          <w:rFonts w:ascii="Calibri" w:hAnsi="Calibri" w:cs="Calibri"/>
          <w:color w:val="112CFF"/>
          <w:sz w:val="24"/>
          <w:szCs w:val="24"/>
        </w:rPr>
        <w:t xml:space="preserve">. For example, our lab’s previous published paper described the bone marrow cell chimerism of </w:t>
      </w:r>
      <w:r w:rsidRPr="007E349F">
        <w:rPr>
          <w:rFonts w:ascii="Calibri" w:hAnsi="Calibri" w:cs="Calibri"/>
          <w:i/>
          <w:iCs/>
          <w:color w:val="112CFF"/>
          <w:sz w:val="24"/>
          <w:szCs w:val="24"/>
        </w:rPr>
        <w:t xml:space="preserve">WT </w:t>
      </w:r>
      <w:r w:rsidRPr="007E349F">
        <w:rPr>
          <w:rFonts w:ascii="Calibri" w:hAnsi="Calibri" w:cs="Calibri"/>
          <w:color w:val="112CFF"/>
          <w:sz w:val="24"/>
          <w:szCs w:val="24"/>
        </w:rPr>
        <w:t xml:space="preserve">and </w:t>
      </w:r>
      <w:r w:rsidRPr="007E349F">
        <w:rPr>
          <w:rFonts w:ascii="Calibri" w:hAnsi="Calibri" w:cs="Calibri"/>
          <w:i/>
          <w:iCs/>
          <w:color w:val="112CFF"/>
          <w:sz w:val="24"/>
          <w:szCs w:val="24"/>
        </w:rPr>
        <w:t>Tet2-deficient</w:t>
      </w:r>
      <w:r w:rsidRPr="007E349F">
        <w:rPr>
          <w:rFonts w:ascii="Calibri" w:hAnsi="Calibri" w:cs="Calibri"/>
          <w:color w:val="112CFF"/>
          <w:sz w:val="24"/>
          <w:szCs w:val="24"/>
        </w:rPr>
        <w:t xml:space="preserve"> donor cells engrafted into CD45.1 recipient mice 8 months after adoptive BMT</w:t>
      </w:r>
      <w:r w:rsidRPr="007E349F">
        <w:rPr>
          <w:rFonts w:ascii="Calibri" w:hAnsi="Calibri" w:cs="Calibri"/>
          <w:color w:val="112CFF"/>
          <w:sz w:val="24"/>
          <w:szCs w:val="24"/>
          <w:vertAlign w:val="superscript"/>
        </w:rPr>
        <w:t>9</w:t>
      </w:r>
      <w:r w:rsidRPr="007E349F">
        <w:rPr>
          <w:rFonts w:ascii="Calibri" w:hAnsi="Calibri" w:cs="Calibri"/>
          <w:color w:val="112CFF"/>
          <w:sz w:val="24"/>
          <w:szCs w:val="24"/>
        </w:rPr>
        <w:t xml:space="preserve">. </w:t>
      </w:r>
      <w:r w:rsidRPr="007E349F">
        <w:rPr>
          <w:rFonts w:ascii="Calibri" w:hAnsi="Calibri" w:cs="Calibri"/>
          <w:i/>
          <w:iCs/>
          <w:color w:val="112CFF"/>
          <w:sz w:val="24"/>
          <w:szCs w:val="24"/>
        </w:rPr>
        <w:t>Tet2-deficient</w:t>
      </w:r>
      <w:r w:rsidRPr="007E349F">
        <w:rPr>
          <w:rFonts w:ascii="Calibri" w:hAnsi="Calibri" w:cs="Calibri"/>
          <w:color w:val="112CFF"/>
          <w:sz w:val="24"/>
          <w:szCs w:val="24"/>
        </w:rPr>
        <w:t xml:space="preserve"> donor cells transplanted into CD45.1 recipient mice have shown a competitive advantage over immature lineage</w:t>
      </w:r>
      <w:r w:rsidRPr="007E349F">
        <w:rPr>
          <w:rFonts w:ascii="Calibri" w:hAnsi="Calibri" w:cs="Calibri"/>
          <w:color w:val="112CFF"/>
          <w:sz w:val="24"/>
          <w:szCs w:val="24"/>
          <w:vertAlign w:val="superscript"/>
        </w:rPr>
        <w:t>–</w:t>
      </w:r>
      <w:r w:rsidRPr="007E349F">
        <w:rPr>
          <w:rFonts w:ascii="Calibri" w:hAnsi="Calibri" w:cs="Calibri"/>
          <w:color w:val="112CFF"/>
          <w:sz w:val="24"/>
          <w:szCs w:val="24"/>
        </w:rPr>
        <w:t>Sca1</w:t>
      </w:r>
      <w:r w:rsidRPr="007E349F">
        <w:rPr>
          <w:rFonts w:ascii="Calibri" w:hAnsi="Calibri" w:cs="Calibri"/>
          <w:color w:val="112CFF"/>
          <w:sz w:val="24"/>
          <w:szCs w:val="24"/>
          <w:vertAlign w:val="superscript"/>
        </w:rPr>
        <w:t>+</w:t>
      </w:r>
      <w:r w:rsidRPr="007E349F">
        <w:rPr>
          <w:rFonts w:ascii="Calibri" w:hAnsi="Calibri" w:cs="Calibri"/>
          <w:color w:val="112CFF"/>
          <w:sz w:val="24"/>
          <w:szCs w:val="24"/>
        </w:rPr>
        <w:t>c-Kit</w:t>
      </w:r>
      <w:r w:rsidRPr="007E349F">
        <w:rPr>
          <w:rFonts w:ascii="Calibri" w:hAnsi="Calibri" w:cs="Calibri"/>
          <w:color w:val="112CFF"/>
          <w:sz w:val="24"/>
          <w:szCs w:val="24"/>
          <w:vertAlign w:val="superscript"/>
        </w:rPr>
        <w:t>+</w:t>
      </w:r>
      <w:r w:rsidRPr="007E349F">
        <w:rPr>
          <w:rFonts w:ascii="Calibri" w:hAnsi="Calibri" w:cs="Calibri"/>
          <w:color w:val="112CFF"/>
          <w:sz w:val="24"/>
          <w:szCs w:val="24"/>
        </w:rPr>
        <w:t xml:space="preserve"> (LSK) cells, short-term and long-term HSC cells, and multipotent progenitors (MPPs) compared to that of </w:t>
      </w:r>
      <w:r w:rsidRPr="007E349F">
        <w:rPr>
          <w:rFonts w:ascii="Calibri" w:hAnsi="Calibri" w:cs="Calibri"/>
          <w:i/>
          <w:iCs/>
          <w:color w:val="112CFF"/>
          <w:sz w:val="24"/>
          <w:szCs w:val="24"/>
        </w:rPr>
        <w:t>WT</w:t>
      </w:r>
      <w:r w:rsidRPr="007E349F">
        <w:rPr>
          <w:rFonts w:ascii="Calibri" w:hAnsi="Calibri" w:cs="Calibri"/>
          <w:color w:val="112CFF"/>
          <w:sz w:val="24"/>
          <w:szCs w:val="24"/>
        </w:rPr>
        <w:t xml:space="preserve"> donor cells transplanted into the CD45.1 recipient mice. In addition, as </w:t>
      </w:r>
      <w:r w:rsidRPr="007E349F">
        <w:rPr>
          <w:rFonts w:ascii="Calibri" w:hAnsi="Calibri" w:cs="Calibri"/>
          <w:i/>
          <w:iCs/>
          <w:color w:val="112CFF"/>
          <w:sz w:val="24"/>
          <w:szCs w:val="24"/>
        </w:rPr>
        <w:t>Tet2</w:t>
      </w:r>
      <w:r w:rsidRPr="007E349F">
        <w:rPr>
          <w:rFonts w:ascii="Calibri" w:hAnsi="Calibri" w:cs="Calibri"/>
          <w:color w:val="112CFF"/>
          <w:sz w:val="24"/>
          <w:szCs w:val="24"/>
        </w:rPr>
        <w:t>-</w:t>
      </w:r>
      <w:r w:rsidRPr="007E349F">
        <w:rPr>
          <w:rFonts w:ascii="Calibri" w:hAnsi="Calibri" w:cs="Calibri"/>
          <w:i/>
          <w:iCs/>
          <w:color w:val="112CFF"/>
          <w:sz w:val="24"/>
          <w:szCs w:val="24"/>
        </w:rPr>
        <w:t>deficien</w:t>
      </w:r>
      <w:r w:rsidRPr="007E349F">
        <w:rPr>
          <w:rFonts w:ascii="Calibri" w:hAnsi="Calibri" w:cs="Calibri"/>
          <w:color w:val="112CFF"/>
          <w:sz w:val="24"/>
          <w:szCs w:val="24"/>
        </w:rPr>
        <w:t>t donor cell engrafted recipient mice, they develop an age-related cardiomyopathy phenotype without exogenous factors causing cardiac dysfunction, thereby recapitulating the effect of clonal hematopoiesis in a manner similar to that of aging humans. This observation was accompanied with increased degree of chimerism in cardiac neutrophils and Ly6C</w:t>
      </w:r>
      <w:r w:rsidRPr="007E349F">
        <w:rPr>
          <w:rFonts w:ascii="Calibri" w:hAnsi="Calibri" w:cs="Calibri"/>
          <w:color w:val="112CFF"/>
          <w:sz w:val="24"/>
          <w:szCs w:val="24"/>
          <w:vertAlign w:val="superscript"/>
        </w:rPr>
        <w:t>hi</w:t>
      </w:r>
      <w:r w:rsidRPr="007E349F">
        <w:rPr>
          <w:rFonts w:ascii="Calibri" w:hAnsi="Calibri" w:cs="Calibri"/>
          <w:color w:val="112CFF"/>
          <w:sz w:val="24"/>
          <w:szCs w:val="24"/>
        </w:rPr>
        <w:t xml:space="preserve"> monocytes. Collectively, this adoptive BMT regimen can be applied to future studies that could expand our understanding of the association between cardiovascular disease development and clonal hematopoiesis on a more advanced level.</w:t>
      </w:r>
      <w:r w:rsidRPr="007E349F">
        <w:rPr>
          <w:rFonts w:ascii="Calibri" w:eastAsia="Times New Roman" w:hAnsi="Calibri" w:cs="Calibri"/>
          <w:color w:val="0000FF"/>
          <w:sz w:val="28"/>
          <w:szCs w:val="28"/>
          <w:lang w:eastAsia="ko-KR"/>
        </w:rPr>
        <w:t xml:space="preserve">” </w:t>
      </w:r>
    </w:p>
    <w:p w14:paraId="48856B7B" w14:textId="77777777" w:rsidR="00401E76" w:rsidRDefault="00401E76" w:rsidP="00401E76">
      <w:pPr>
        <w:spacing w:after="0" w:line="240" w:lineRule="auto"/>
        <w:ind w:firstLine="720"/>
        <w:jc w:val="both"/>
        <w:rPr>
          <w:rFonts w:ascii="Calibri" w:eastAsia="Times New Roman" w:hAnsi="Calibri" w:cs="Calibri"/>
          <w:color w:val="0000FF"/>
          <w:sz w:val="24"/>
          <w:szCs w:val="24"/>
          <w:lang w:eastAsia="ko-KR"/>
        </w:rPr>
      </w:pPr>
    </w:p>
    <w:p w14:paraId="0D5AEB15" w14:textId="7B2C8555" w:rsidR="00F81ED3" w:rsidRDefault="00F81ED3" w:rsidP="00113A8F">
      <w:pPr>
        <w:spacing w:after="0" w:line="240" w:lineRule="auto"/>
        <w:jc w:val="both"/>
        <w:rPr>
          <w:rFonts w:ascii="Calibri" w:eastAsia="Times New Roman" w:hAnsi="Calibri" w:cs="Calibri"/>
          <w:color w:val="0000FF"/>
          <w:sz w:val="24"/>
          <w:szCs w:val="24"/>
          <w:lang w:eastAsia="ko-KR"/>
        </w:rPr>
      </w:pPr>
      <w:r>
        <w:rPr>
          <w:rFonts w:ascii="Calibri" w:eastAsia="Times New Roman" w:hAnsi="Calibri" w:cs="Calibri"/>
          <w:color w:val="0000FF"/>
          <w:sz w:val="24"/>
          <w:szCs w:val="24"/>
          <w:lang w:eastAsia="ko-KR"/>
        </w:rPr>
        <w:t xml:space="preserve">Ref) </w:t>
      </w:r>
    </w:p>
    <w:p w14:paraId="7604047D" w14:textId="132D1DEF" w:rsidR="00F81ED3" w:rsidRDefault="00F81ED3" w:rsidP="00113A8F">
      <w:pPr>
        <w:spacing w:after="0" w:line="240" w:lineRule="auto"/>
        <w:jc w:val="both"/>
        <w:rPr>
          <w:rFonts w:ascii="Calibri" w:eastAsia="Times New Roman" w:hAnsi="Calibri" w:cs="Calibri"/>
          <w:color w:val="0000FF"/>
          <w:sz w:val="24"/>
          <w:szCs w:val="24"/>
          <w:lang w:eastAsia="ko-KR"/>
        </w:rPr>
      </w:pPr>
    </w:p>
    <w:p w14:paraId="2EB219D2" w14:textId="77777777" w:rsidR="00F81ED3" w:rsidRPr="006E7636" w:rsidRDefault="00F81ED3" w:rsidP="00F81ED3">
      <w:pPr>
        <w:pStyle w:val="NormalWeb"/>
        <w:numPr>
          <w:ilvl w:val="0"/>
          <w:numId w:val="11"/>
        </w:numPr>
        <w:spacing w:before="0" w:beforeAutospacing="0" w:after="0" w:afterAutospacing="0"/>
        <w:jc w:val="both"/>
        <w:rPr>
          <w:rFonts w:asciiTheme="minorHAnsi" w:hAnsiTheme="minorHAnsi" w:cstheme="minorHAnsi"/>
          <w:color w:val="0600FF"/>
          <w:sz w:val="24"/>
          <w:szCs w:val="24"/>
        </w:rPr>
      </w:pPr>
      <w:r w:rsidRPr="006E7636">
        <w:rPr>
          <w:color w:val="0600FF"/>
          <w:sz w:val="24"/>
          <w:szCs w:val="24"/>
        </w:rPr>
        <w:t xml:space="preserve">Wang, Y. </w:t>
      </w:r>
      <w:r w:rsidRPr="006E7636">
        <w:rPr>
          <w:i/>
          <w:iCs/>
          <w:color w:val="0600FF"/>
          <w:sz w:val="24"/>
          <w:szCs w:val="24"/>
        </w:rPr>
        <w:t>et al.</w:t>
      </w:r>
      <w:r w:rsidRPr="006E7636">
        <w:rPr>
          <w:color w:val="0600FF"/>
          <w:sz w:val="24"/>
          <w:szCs w:val="24"/>
        </w:rPr>
        <w:t xml:space="preserve"> Tet2-mediated clonal hematopoiesis in nonconditioned mice</w:t>
      </w:r>
      <w:r>
        <w:rPr>
          <w:color w:val="0600FF"/>
          <w:sz w:val="24"/>
          <w:szCs w:val="24"/>
        </w:rPr>
        <w:t xml:space="preserve"> </w:t>
      </w:r>
      <w:r w:rsidRPr="006E7636">
        <w:rPr>
          <w:color w:val="0600FF"/>
          <w:sz w:val="24"/>
          <w:szCs w:val="24"/>
        </w:rPr>
        <w:t xml:space="preserve">accelerates age-associated cardiac dysfunction. </w:t>
      </w:r>
      <w:r w:rsidRPr="006E7636">
        <w:rPr>
          <w:i/>
          <w:iCs/>
          <w:color w:val="0600FF"/>
          <w:sz w:val="24"/>
          <w:szCs w:val="24"/>
        </w:rPr>
        <w:t>JCI Insight</w:t>
      </w:r>
      <w:r w:rsidRPr="006E7636">
        <w:rPr>
          <w:color w:val="0600FF"/>
          <w:sz w:val="24"/>
          <w:szCs w:val="24"/>
        </w:rPr>
        <w:t xml:space="preserve">. </w:t>
      </w:r>
      <w:r w:rsidRPr="006E7636">
        <w:rPr>
          <w:b/>
          <w:bCs/>
          <w:color w:val="0600FF"/>
          <w:sz w:val="24"/>
          <w:szCs w:val="24"/>
        </w:rPr>
        <w:t>5</w:t>
      </w:r>
      <w:r w:rsidRPr="006E7636">
        <w:rPr>
          <w:color w:val="0600FF"/>
          <w:sz w:val="24"/>
          <w:szCs w:val="24"/>
        </w:rPr>
        <w:t xml:space="preserve"> (6), doi: 10.1172/jci.insight.135204 (2020).</w:t>
      </w:r>
    </w:p>
    <w:p w14:paraId="44E20A4E" w14:textId="77777777" w:rsidR="00F81ED3" w:rsidRPr="00E3429C" w:rsidRDefault="00F81ED3" w:rsidP="00113A8F">
      <w:pPr>
        <w:spacing w:after="0" w:line="240" w:lineRule="auto"/>
        <w:jc w:val="both"/>
        <w:rPr>
          <w:rFonts w:ascii="Calibri" w:eastAsia="Times New Roman" w:hAnsi="Calibri" w:cs="Calibri"/>
          <w:color w:val="0000FF"/>
          <w:sz w:val="24"/>
          <w:szCs w:val="24"/>
          <w:lang w:eastAsia="ko-KR"/>
        </w:rPr>
      </w:pPr>
    </w:p>
    <w:p w14:paraId="1EA42E76"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015AC4D3"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 Do you have confirmed HSC engraftment and self-renewal in non-conditioned adoptive transfer regimens by applying secondary transplantations? These experiments go beyond the scope of the study, but if you have confirmed it experimentally, mention it in the text (not necessarily showing the data).</w:t>
      </w:r>
    </w:p>
    <w:p w14:paraId="64F127A9" w14:textId="77777777" w:rsidR="00336396" w:rsidRPr="009F15DC" w:rsidRDefault="00336396" w:rsidP="009F15DC">
      <w:pPr>
        <w:pStyle w:val="NormalWeb"/>
        <w:spacing w:before="0" w:beforeAutospacing="0" w:after="0" w:afterAutospacing="0"/>
        <w:rPr>
          <w:rFonts w:asciiTheme="minorHAnsi" w:hAnsiTheme="minorHAnsi" w:cstheme="minorHAnsi"/>
          <w:sz w:val="24"/>
          <w:szCs w:val="24"/>
        </w:rPr>
      </w:pPr>
    </w:p>
    <w:p w14:paraId="5CFC1569"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4DCE4675"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072962F2" w14:textId="3780DDBE" w:rsidR="00336396" w:rsidRDefault="00336396" w:rsidP="00336396">
      <w:pPr>
        <w:jc w:val="both"/>
        <w:rPr>
          <w:rFonts w:ascii="Calibri" w:hAnsi="Calibri" w:cs="Calibri"/>
          <w:color w:val="0000FF"/>
          <w:sz w:val="24"/>
          <w:szCs w:val="24"/>
        </w:rPr>
      </w:pPr>
      <w:r w:rsidRPr="00336396">
        <w:rPr>
          <w:rFonts w:ascii="Calibri" w:hAnsi="Calibri" w:cs="Calibri"/>
          <w:color w:val="0000FF"/>
          <w:sz w:val="24"/>
          <w:szCs w:val="24"/>
        </w:rPr>
        <w:lastRenderedPageBreak/>
        <w:t>This is an Interesting question. A previous study from another group</w:t>
      </w:r>
      <w:r w:rsidR="007317FC">
        <w:rPr>
          <w:rFonts w:ascii="Calibri" w:hAnsi="Calibri" w:cs="Calibri"/>
          <w:color w:val="0000FF"/>
          <w:sz w:val="24"/>
          <w:szCs w:val="24"/>
        </w:rPr>
        <w:t xml:space="preserve"> (Moran-</w:t>
      </w:r>
      <w:proofErr w:type="spellStart"/>
      <w:r w:rsidR="007317FC">
        <w:rPr>
          <w:rFonts w:ascii="Calibri" w:hAnsi="Calibri" w:cs="Calibri"/>
          <w:color w:val="0000FF"/>
          <w:sz w:val="24"/>
          <w:szCs w:val="24"/>
        </w:rPr>
        <w:t>Crusio</w:t>
      </w:r>
      <w:proofErr w:type="spellEnd"/>
      <w:r w:rsidR="007317FC">
        <w:rPr>
          <w:rFonts w:ascii="Calibri" w:hAnsi="Calibri" w:cs="Calibri"/>
          <w:color w:val="0000FF"/>
          <w:sz w:val="24"/>
          <w:szCs w:val="24"/>
        </w:rPr>
        <w:t xml:space="preserve"> et al., 2011) </w:t>
      </w:r>
      <w:r w:rsidRPr="00336396">
        <w:rPr>
          <w:rFonts w:ascii="Calibri" w:hAnsi="Calibri" w:cs="Calibri"/>
          <w:color w:val="0000FF"/>
          <w:sz w:val="24"/>
          <w:szCs w:val="24"/>
        </w:rPr>
        <w:t xml:space="preserve"> has shown that </w:t>
      </w:r>
      <w:r w:rsidRPr="00C64C3E">
        <w:rPr>
          <w:rFonts w:ascii="Calibri" w:hAnsi="Calibri" w:cs="Calibri"/>
          <w:i/>
          <w:iCs/>
          <w:color w:val="0000FF"/>
          <w:sz w:val="24"/>
          <w:szCs w:val="24"/>
        </w:rPr>
        <w:t>Tet2</w:t>
      </w:r>
      <w:r w:rsidRPr="00336396">
        <w:rPr>
          <w:rFonts w:ascii="Calibri" w:hAnsi="Calibri" w:cs="Calibri"/>
          <w:color w:val="0000FF"/>
          <w:sz w:val="24"/>
          <w:szCs w:val="24"/>
        </w:rPr>
        <w:t xml:space="preserve"> deficiency can increase the </w:t>
      </w:r>
      <w:proofErr w:type="spellStart"/>
      <w:r w:rsidRPr="00336396">
        <w:rPr>
          <w:rFonts w:ascii="Calibri" w:hAnsi="Calibri" w:cs="Calibri"/>
          <w:color w:val="0000FF"/>
          <w:sz w:val="24"/>
          <w:szCs w:val="24"/>
        </w:rPr>
        <w:t>replating</w:t>
      </w:r>
      <w:proofErr w:type="spellEnd"/>
      <w:r w:rsidRPr="00336396">
        <w:rPr>
          <w:rFonts w:ascii="Calibri" w:hAnsi="Calibri" w:cs="Calibri"/>
          <w:color w:val="0000FF"/>
          <w:sz w:val="24"/>
          <w:szCs w:val="24"/>
        </w:rPr>
        <w:t xml:space="preserve"> ability in </w:t>
      </w:r>
      <w:r w:rsidRPr="00336396">
        <w:rPr>
          <w:rFonts w:ascii="Calibri" w:hAnsi="Calibri" w:cs="Calibri"/>
          <w:i/>
          <w:iCs/>
          <w:color w:val="0000FF"/>
          <w:sz w:val="24"/>
          <w:szCs w:val="24"/>
        </w:rPr>
        <w:t>in vitro</w:t>
      </w:r>
      <w:r w:rsidRPr="00336396">
        <w:rPr>
          <w:rFonts w:ascii="Calibri" w:hAnsi="Calibri" w:cs="Calibri"/>
          <w:color w:val="0000FF"/>
          <w:sz w:val="24"/>
          <w:szCs w:val="24"/>
        </w:rPr>
        <w:t xml:space="preserve"> and loss of </w:t>
      </w:r>
      <w:r w:rsidRPr="00336396">
        <w:rPr>
          <w:rFonts w:ascii="Calibri" w:hAnsi="Calibri" w:cs="Calibri"/>
          <w:i/>
          <w:iCs/>
          <w:color w:val="0000FF"/>
          <w:sz w:val="24"/>
          <w:szCs w:val="24"/>
        </w:rPr>
        <w:t>Tet2,</w:t>
      </w:r>
      <w:r w:rsidRPr="00336396">
        <w:rPr>
          <w:rFonts w:ascii="Calibri" w:hAnsi="Calibri" w:cs="Calibri"/>
          <w:color w:val="0000FF"/>
          <w:sz w:val="24"/>
          <w:szCs w:val="24"/>
        </w:rPr>
        <w:t xml:space="preserve"> leading to increased self-renewal ability using competitive bone marrow transplantation (</w:t>
      </w:r>
      <w:r w:rsidRPr="00336396">
        <w:rPr>
          <w:rFonts w:ascii="Calibri" w:hAnsi="Calibri" w:cs="Calibri"/>
          <w:i/>
          <w:iCs/>
          <w:color w:val="0000FF"/>
          <w:sz w:val="24"/>
          <w:szCs w:val="24"/>
        </w:rPr>
        <w:t>Tet2</w:t>
      </w:r>
      <w:r w:rsidRPr="00195EAC">
        <w:rPr>
          <w:rFonts w:ascii="Calibri" w:hAnsi="Calibri" w:cs="Calibri"/>
          <w:color w:val="0000FF"/>
          <w:sz w:val="24"/>
          <w:szCs w:val="24"/>
          <w:vertAlign w:val="superscript"/>
        </w:rPr>
        <w:t>+/+</w:t>
      </w:r>
      <w:r w:rsidRPr="00336396">
        <w:rPr>
          <w:rFonts w:ascii="Calibri" w:hAnsi="Calibri" w:cs="Calibri"/>
          <w:color w:val="0000FF"/>
          <w:sz w:val="24"/>
          <w:szCs w:val="24"/>
        </w:rPr>
        <w:t xml:space="preserve"> CD45.2</w:t>
      </w:r>
      <w:r w:rsidR="00F81ED3" w:rsidRPr="00F81ED3">
        <w:rPr>
          <w:rFonts w:ascii="Calibri" w:hAnsi="Calibri" w:cs="Calibri"/>
          <w:color w:val="0000FF"/>
          <w:sz w:val="24"/>
          <w:szCs w:val="24"/>
          <w:vertAlign w:val="superscript"/>
        </w:rPr>
        <w:t>+</w:t>
      </w:r>
      <w:r w:rsidRPr="00336396">
        <w:rPr>
          <w:rFonts w:ascii="Calibri" w:hAnsi="Calibri" w:cs="Calibri"/>
          <w:color w:val="0000FF"/>
          <w:sz w:val="24"/>
          <w:szCs w:val="24"/>
        </w:rPr>
        <w:t>:</w:t>
      </w:r>
      <w:r w:rsidR="00195EAC">
        <w:rPr>
          <w:rFonts w:ascii="Calibri" w:hAnsi="Calibri" w:cs="Calibri"/>
          <w:color w:val="0000FF"/>
          <w:sz w:val="24"/>
          <w:szCs w:val="24"/>
        </w:rPr>
        <w:t xml:space="preserve"> </w:t>
      </w:r>
      <w:r w:rsidRPr="00336396">
        <w:rPr>
          <w:rFonts w:ascii="Calibri" w:hAnsi="Calibri" w:cs="Calibri"/>
          <w:i/>
          <w:color w:val="0000FF"/>
          <w:sz w:val="24"/>
          <w:szCs w:val="24"/>
        </w:rPr>
        <w:t>Tet2</w:t>
      </w:r>
      <w:r w:rsidRPr="00195EAC">
        <w:rPr>
          <w:rFonts w:ascii="Calibri" w:hAnsi="Calibri" w:cs="Calibri"/>
          <w:color w:val="0000FF"/>
          <w:sz w:val="24"/>
          <w:szCs w:val="24"/>
          <w:vertAlign w:val="superscript"/>
        </w:rPr>
        <w:t>-/-</w:t>
      </w:r>
      <w:r w:rsidRPr="00336396">
        <w:rPr>
          <w:rFonts w:ascii="Calibri" w:hAnsi="Calibri" w:cs="Calibri"/>
          <w:color w:val="0000FF"/>
          <w:sz w:val="24"/>
          <w:szCs w:val="24"/>
        </w:rPr>
        <w:t xml:space="preserve"> CD45.2</w:t>
      </w:r>
      <w:r w:rsidR="00F81ED3" w:rsidRPr="00F81ED3">
        <w:rPr>
          <w:rFonts w:ascii="Calibri" w:hAnsi="Calibri" w:cs="Calibri"/>
          <w:color w:val="0000FF"/>
          <w:sz w:val="24"/>
          <w:szCs w:val="24"/>
          <w:vertAlign w:val="superscript"/>
        </w:rPr>
        <w:t>+</w:t>
      </w:r>
      <w:r w:rsidRPr="00336396">
        <w:rPr>
          <w:rFonts w:ascii="Calibri" w:hAnsi="Calibri" w:cs="Calibri"/>
          <w:color w:val="0000FF"/>
          <w:sz w:val="24"/>
          <w:szCs w:val="24"/>
        </w:rPr>
        <w:t xml:space="preserve"> = 50:</w:t>
      </w:r>
      <w:r w:rsidR="00195EAC">
        <w:rPr>
          <w:rFonts w:ascii="Calibri" w:hAnsi="Calibri" w:cs="Calibri"/>
          <w:color w:val="0000FF"/>
          <w:sz w:val="24"/>
          <w:szCs w:val="24"/>
        </w:rPr>
        <w:t xml:space="preserve"> </w:t>
      </w:r>
      <w:r w:rsidRPr="00336396">
        <w:rPr>
          <w:rFonts w:ascii="Calibri" w:hAnsi="Calibri" w:cs="Calibri"/>
          <w:color w:val="0000FF"/>
          <w:sz w:val="24"/>
          <w:szCs w:val="24"/>
        </w:rPr>
        <w:t xml:space="preserve">50) into lethally irradiated recipient mice. </w:t>
      </w:r>
      <w:r w:rsidR="00D342CB" w:rsidRPr="00336396">
        <w:rPr>
          <w:rFonts w:ascii="Calibri" w:hAnsi="Calibri" w:cs="Calibri"/>
          <w:color w:val="0000FF"/>
          <w:sz w:val="24"/>
          <w:szCs w:val="24"/>
        </w:rPr>
        <w:t>Unfortunately</w:t>
      </w:r>
      <w:r w:rsidRPr="00336396">
        <w:rPr>
          <w:rFonts w:ascii="Calibri" w:hAnsi="Calibri" w:cs="Calibri"/>
          <w:color w:val="0000FF"/>
          <w:sz w:val="24"/>
          <w:szCs w:val="24"/>
        </w:rPr>
        <w:t xml:space="preserve">, we have not performed experiments confirming the HSC engraftment and self-renewal by doing secondary adoptive </w:t>
      </w:r>
      <w:r w:rsidR="00F81ED3">
        <w:rPr>
          <w:rFonts w:ascii="Calibri" w:hAnsi="Calibri" w:cs="Calibri"/>
          <w:color w:val="0000FF"/>
          <w:sz w:val="24"/>
          <w:szCs w:val="24"/>
        </w:rPr>
        <w:t>BMT</w:t>
      </w:r>
      <w:r w:rsidRPr="00336396">
        <w:rPr>
          <w:rFonts w:ascii="Calibri" w:hAnsi="Calibri" w:cs="Calibri"/>
          <w:color w:val="0000FF"/>
          <w:sz w:val="24"/>
          <w:szCs w:val="24"/>
        </w:rPr>
        <w:t xml:space="preserve"> with non-conditioned mice. However, it would be interesting to try those experiments in the future and determine whether first transplanted </w:t>
      </w:r>
      <w:r w:rsidRPr="00C64C3E">
        <w:rPr>
          <w:rFonts w:ascii="Calibri" w:hAnsi="Calibri" w:cs="Calibri"/>
          <w:i/>
          <w:iCs/>
          <w:color w:val="0000FF"/>
          <w:sz w:val="24"/>
          <w:szCs w:val="24"/>
        </w:rPr>
        <w:t>Tet2</w:t>
      </w:r>
      <w:r w:rsidR="00D342CB" w:rsidRPr="006E3A01">
        <w:rPr>
          <w:rFonts w:ascii="Calibri" w:hAnsi="Calibri" w:cs="Calibri"/>
          <w:i/>
          <w:iCs/>
          <w:color w:val="0000FF"/>
          <w:sz w:val="24"/>
          <w:szCs w:val="24"/>
        </w:rPr>
        <w:t>-deficient</w:t>
      </w:r>
      <w:r w:rsidRPr="00336396">
        <w:rPr>
          <w:rFonts w:ascii="Calibri" w:hAnsi="Calibri" w:cs="Calibri"/>
          <w:color w:val="0000FF"/>
          <w:sz w:val="24"/>
          <w:szCs w:val="24"/>
        </w:rPr>
        <w:t xml:space="preserve"> donor cells retain their self-renewal capability or even enhance their self-renewal capacity in the secondary transplanted mice as shown by </w:t>
      </w:r>
      <w:r w:rsidRPr="00336396">
        <w:rPr>
          <w:rFonts w:ascii="Calibri" w:hAnsi="Calibri" w:cs="Calibri"/>
          <w:i/>
          <w:iCs/>
          <w:color w:val="0000FF"/>
          <w:sz w:val="24"/>
          <w:szCs w:val="24"/>
        </w:rPr>
        <w:t>in vitro</w:t>
      </w:r>
      <w:r w:rsidRPr="00336396">
        <w:rPr>
          <w:rFonts w:ascii="Calibri" w:hAnsi="Calibri" w:cs="Calibri"/>
          <w:color w:val="0000FF"/>
          <w:sz w:val="24"/>
          <w:szCs w:val="24"/>
        </w:rPr>
        <w:t xml:space="preserve"> </w:t>
      </w:r>
      <w:r w:rsidR="00D342CB" w:rsidRPr="00336396">
        <w:rPr>
          <w:rFonts w:ascii="Calibri" w:hAnsi="Calibri" w:cs="Calibri"/>
          <w:color w:val="0000FF"/>
          <w:sz w:val="24"/>
          <w:szCs w:val="24"/>
        </w:rPr>
        <w:t>experiments</w:t>
      </w:r>
      <w:r w:rsidRPr="00336396">
        <w:rPr>
          <w:rFonts w:ascii="Calibri" w:hAnsi="Calibri" w:cs="Calibri"/>
          <w:color w:val="0000FF"/>
          <w:sz w:val="24"/>
          <w:szCs w:val="24"/>
        </w:rPr>
        <w:t xml:space="preserve">.  </w:t>
      </w:r>
    </w:p>
    <w:p w14:paraId="369C3255" w14:textId="7566060F" w:rsidR="007317FC" w:rsidRDefault="0052386A" w:rsidP="00336396">
      <w:pPr>
        <w:jc w:val="both"/>
        <w:rPr>
          <w:rFonts w:ascii="Calibri" w:hAnsi="Calibri" w:cs="Calibri"/>
          <w:color w:val="0000FF"/>
          <w:sz w:val="24"/>
          <w:szCs w:val="24"/>
        </w:rPr>
      </w:pPr>
      <w:r>
        <w:rPr>
          <w:rFonts w:ascii="Calibri" w:hAnsi="Calibri" w:cs="Calibri"/>
          <w:color w:val="0000FF"/>
          <w:sz w:val="24"/>
          <w:szCs w:val="24"/>
        </w:rPr>
        <w:t>Ref)</w:t>
      </w:r>
    </w:p>
    <w:p w14:paraId="60D2E675" w14:textId="77777777" w:rsidR="0052386A" w:rsidRPr="0052386A" w:rsidRDefault="0052386A" w:rsidP="0052386A">
      <w:pPr>
        <w:pStyle w:val="NormalWeb"/>
        <w:ind w:left="640" w:hanging="640"/>
        <w:jc w:val="both"/>
        <w:rPr>
          <w:color w:val="0600FF"/>
          <w:sz w:val="24"/>
          <w:szCs w:val="24"/>
        </w:rPr>
      </w:pPr>
      <w:r w:rsidRPr="0052386A">
        <w:rPr>
          <w:color w:val="0600FF"/>
          <w:sz w:val="24"/>
          <w:szCs w:val="24"/>
        </w:rPr>
        <w:t>1.</w:t>
      </w:r>
      <w:r w:rsidRPr="0052386A">
        <w:rPr>
          <w:color w:val="0600FF"/>
          <w:sz w:val="24"/>
          <w:szCs w:val="24"/>
        </w:rPr>
        <w:tab/>
        <w:t>Moran-</w:t>
      </w:r>
      <w:proofErr w:type="spellStart"/>
      <w:r w:rsidRPr="0052386A">
        <w:rPr>
          <w:color w:val="0600FF"/>
          <w:sz w:val="24"/>
          <w:szCs w:val="24"/>
        </w:rPr>
        <w:t>Crusio</w:t>
      </w:r>
      <w:proofErr w:type="spellEnd"/>
      <w:r w:rsidRPr="0052386A">
        <w:rPr>
          <w:color w:val="0600FF"/>
          <w:sz w:val="24"/>
          <w:szCs w:val="24"/>
        </w:rPr>
        <w:t xml:space="preserve">, K. </w:t>
      </w:r>
      <w:r w:rsidRPr="0052386A">
        <w:rPr>
          <w:i/>
          <w:iCs/>
          <w:color w:val="0600FF"/>
          <w:sz w:val="24"/>
          <w:szCs w:val="24"/>
        </w:rPr>
        <w:t>et al.</w:t>
      </w:r>
      <w:r w:rsidRPr="0052386A">
        <w:rPr>
          <w:color w:val="0600FF"/>
          <w:sz w:val="24"/>
          <w:szCs w:val="24"/>
        </w:rPr>
        <w:t xml:space="preserve"> Tet2 Loss Leads to Increased Hematopoietic Stem Cell Self-Renewal and Myeloid Transformation. </w:t>
      </w:r>
      <w:r w:rsidRPr="0052386A">
        <w:rPr>
          <w:i/>
          <w:iCs/>
          <w:color w:val="0600FF"/>
          <w:sz w:val="24"/>
          <w:szCs w:val="24"/>
        </w:rPr>
        <w:t>Cancer Cell</w:t>
      </w:r>
      <w:r w:rsidRPr="0052386A">
        <w:rPr>
          <w:color w:val="0600FF"/>
          <w:sz w:val="24"/>
          <w:szCs w:val="24"/>
        </w:rPr>
        <w:t xml:space="preserve">. </w:t>
      </w:r>
      <w:r w:rsidRPr="0052386A">
        <w:rPr>
          <w:b/>
          <w:bCs/>
          <w:color w:val="0600FF"/>
          <w:sz w:val="24"/>
          <w:szCs w:val="24"/>
        </w:rPr>
        <w:t>20</w:t>
      </w:r>
      <w:r w:rsidRPr="0052386A">
        <w:rPr>
          <w:color w:val="0600FF"/>
          <w:sz w:val="24"/>
          <w:szCs w:val="24"/>
        </w:rPr>
        <w:t xml:space="preserve"> (1), 11–24, doi: 10.1016/j.ccr.2011.06.001 (2011).</w:t>
      </w:r>
    </w:p>
    <w:p w14:paraId="326907E6"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 Please briefly include the information about the non-conditioned transplantation of Tet2-deficient cells in the main text (page 8, lines 332f) as you have described it in the legend of figure 3.</w:t>
      </w:r>
    </w:p>
    <w:p w14:paraId="0260E2B1"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59E55580"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4E0DE7FE" w14:textId="37076B01" w:rsidR="001B141B" w:rsidRDefault="001B141B" w:rsidP="009F15DC">
      <w:pPr>
        <w:pStyle w:val="NormalWeb"/>
        <w:spacing w:before="0" w:beforeAutospacing="0" w:after="0" w:afterAutospacing="0"/>
        <w:rPr>
          <w:rFonts w:asciiTheme="minorHAnsi" w:hAnsiTheme="minorHAnsi" w:cstheme="minorHAnsi"/>
          <w:sz w:val="24"/>
          <w:szCs w:val="24"/>
        </w:rPr>
      </w:pPr>
    </w:p>
    <w:p w14:paraId="32A0E918" w14:textId="645ED258" w:rsidR="003B5EEB" w:rsidRPr="003B5EEB" w:rsidRDefault="00A74D9F" w:rsidP="009F15DC">
      <w:pPr>
        <w:pStyle w:val="NormalWeb"/>
        <w:spacing w:before="0" w:beforeAutospacing="0" w:after="0" w:afterAutospacing="0"/>
        <w:rPr>
          <w:color w:val="0000FF"/>
          <w:sz w:val="24"/>
          <w:szCs w:val="24"/>
        </w:rPr>
      </w:pPr>
      <w:r>
        <w:rPr>
          <w:color w:val="0000FF"/>
          <w:sz w:val="24"/>
          <w:szCs w:val="24"/>
        </w:rPr>
        <w:t>To address this concern,</w:t>
      </w:r>
      <w:r w:rsidR="003B5EEB" w:rsidRPr="003B5EEB">
        <w:rPr>
          <w:color w:val="0000FF"/>
          <w:sz w:val="24"/>
          <w:szCs w:val="24"/>
        </w:rPr>
        <w:t xml:space="preserve"> </w:t>
      </w:r>
      <w:r>
        <w:rPr>
          <w:color w:val="0000FF"/>
          <w:sz w:val="24"/>
          <w:szCs w:val="24"/>
        </w:rPr>
        <w:t>w</w:t>
      </w:r>
      <w:r w:rsidR="003B5EEB" w:rsidRPr="003B5EEB">
        <w:rPr>
          <w:color w:val="0000FF"/>
          <w:sz w:val="24"/>
          <w:szCs w:val="24"/>
        </w:rPr>
        <w:t>e added the following information.</w:t>
      </w:r>
      <w:r w:rsidR="00225528">
        <w:rPr>
          <w:color w:val="0000FF"/>
          <w:sz w:val="24"/>
          <w:szCs w:val="24"/>
        </w:rPr>
        <w:t xml:space="preserve"> </w:t>
      </w:r>
      <w:r w:rsidR="00225528" w:rsidRPr="00D456A1">
        <w:rPr>
          <w:color w:val="0000FF"/>
          <w:sz w:val="24"/>
          <w:szCs w:val="24"/>
          <w:highlight w:val="yellow"/>
        </w:rPr>
        <w:t>(Line 3</w:t>
      </w:r>
      <w:r w:rsidR="009625F1">
        <w:rPr>
          <w:color w:val="0000FF"/>
          <w:sz w:val="24"/>
          <w:szCs w:val="24"/>
          <w:highlight w:val="yellow"/>
        </w:rPr>
        <w:t>61</w:t>
      </w:r>
      <w:r w:rsidR="00225528" w:rsidRPr="00D456A1">
        <w:rPr>
          <w:color w:val="0000FF"/>
          <w:sz w:val="24"/>
          <w:szCs w:val="24"/>
          <w:highlight w:val="yellow"/>
        </w:rPr>
        <w:t>-3</w:t>
      </w:r>
      <w:r w:rsidR="009625F1">
        <w:rPr>
          <w:color w:val="0000FF"/>
          <w:sz w:val="24"/>
          <w:szCs w:val="24"/>
          <w:highlight w:val="yellow"/>
        </w:rPr>
        <w:t>71</w:t>
      </w:r>
      <w:r w:rsidR="00225528" w:rsidRPr="00D456A1">
        <w:rPr>
          <w:color w:val="0000FF"/>
          <w:sz w:val="24"/>
          <w:szCs w:val="24"/>
          <w:highlight w:val="yellow"/>
        </w:rPr>
        <w:t>)</w:t>
      </w:r>
    </w:p>
    <w:p w14:paraId="2F9A28DD" w14:textId="77777777" w:rsidR="003B5EEB" w:rsidRDefault="003B5EEB" w:rsidP="009F15DC">
      <w:pPr>
        <w:pStyle w:val="NormalWeb"/>
        <w:spacing w:before="0" w:beforeAutospacing="0" w:after="0" w:afterAutospacing="0"/>
        <w:rPr>
          <w:rFonts w:asciiTheme="minorHAnsi" w:hAnsiTheme="minorHAnsi" w:cstheme="minorHAnsi"/>
          <w:sz w:val="24"/>
          <w:szCs w:val="24"/>
        </w:rPr>
      </w:pPr>
    </w:p>
    <w:p w14:paraId="45F9A562" w14:textId="4BA4F22B" w:rsidR="00F95089" w:rsidRDefault="00A74D9F" w:rsidP="00F95089">
      <w:pPr>
        <w:jc w:val="both"/>
        <w:rPr>
          <w:rFonts w:ascii="Calibri" w:hAnsi="Calibri" w:cs="Calibri"/>
          <w:color w:val="0000FF"/>
          <w:sz w:val="24"/>
          <w:szCs w:val="24"/>
        </w:rPr>
      </w:pPr>
      <w:r>
        <w:rPr>
          <w:rFonts w:ascii="Calibri" w:hAnsi="Calibri" w:cs="Calibri"/>
          <w:color w:val="0000FF"/>
          <w:sz w:val="24"/>
          <w:szCs w:val="24"/>
        </w:rPr>
        <w:t>“</w:t>
      </w:r>
      <w:r w:rsidR="003B5EEB" w:rsidRPr="003B5EEB">
        <w:rPr>
          <w:rFonts w:ascii="Calibri" w:hAnsi="Calibri" w:cs="Calibri"/>
          <w:color w:val="0000FF"/>
          <w:sz w:val="24"/>
          <w:szCs w:val="24"/>
        </w:rPr>
        <w:t xml:space="preserve">To illustrate how the adoptive </w:t>
      </w:r>
      <w:r w:rsidR="009A227C">
        <w:rPr>
          <w:rFonts w:ascii="Calibri" w:hAnsi="Calibri" w:cs="Calibri"/>
          <w:color w:val="0000FF"/>
          <w:sz w:val="24"/>
          <w:szCs w:val="24"/>
        </w:rPr>
        <w:t>BMT</w:t>
      </w:r>
      <w:r w:rsidR="003B5EEB" w:rsidRPr="003B5EEB">
        <w:rPr>
          <w:rFonts w:ascii="Calibri" w:hAnsi="Calibri" w:cs="Calibri"/>
          <w:color w:val="0000FF"/>
          <w:sz w:val="24"/>
          <w:szCs w:val="24"/>
        </w:rPr>
        <w:t xml:space="preserve"> model can be applied to the study of the CH model, CD45.2</w:t>
      </w:r>
      <w:r w:rsidR="003B5EEB" w:rsidRPr="003B5EEB">
        <w:rPr>
          <w:rFonts w:ascii="Calibri" w:hAnsi="Calibri" w:cs="Calibri"/>
          <w:color w:val="0000FF"/>
          <w:sz w:val="24"/>
          <w:szCs w:val="24"/>
          <w:vertAlign w:val="superscript"/>
        </w:rPr>
        <w:t>+</w:t>
      </w:r>
      <w:r w:rsidR="003B5EEB" w:rsidRPr="003B5EEB">
        <w:rPr>
          <w:rFonts w:ascii="Calibri" w:hAnsi="Calibri" w:cs="Calibri"/>
          <w:color w:val="0000FF"/>
          <w:sz w:val="24"/>
          <w:szCs w:val="24"/>
        </w:rPr>
        <w:t xml:space="preserve"> donor bone marrow cells (</w:t>
      </w:r>
      <w:r w:rsidR="003B5EEB" w:rsidRPr="00195EAC">
        <w:rPr>
          <w:rFonts w:ascii="Calibri" w:hAnsi="Calibri" w:cs="Calibri"/>
          <w:i/>
          <w:iCs/>
          <w:color w:val="0000FF"/>
          <w:sz w:val="24"/>
          <w:szCs w:val="24"/>
        </w:rPr>
        <w:t>WT</w:t>
      </w:r>
      <w:r w:rsidR="003B5EEB" w:rsidRPr="003B5EEB">
        <w:rPr>
          <w:rFonts w:ascii="Calibri" w:hAnsi="Calibri" w:cs="Calibri"/>
          <w:color w:val="0000FF"/>
          <w:sz w:val="24"/>
          <w:szCs w:val="24"/>
        </w:rPr>
        <w:t xml:space="preserve"> or </w:t>
      </w:r>
      <w:r w:rsidR="003B5EEB" w:rsidRPr="00C64C3E">
        <w:rPr>
          <w:rFonts w:ascii="Calibri" w:hAnsi="Calibri" w:cs="Calibri"/>
          <w:i/>
          <w:iCs/>
          <w:color w:val="0000FF"/>
          <w:sz w:val="24"/>
          <w:szCs w:val="24"/>
        </w:rPr>
        <w:t>Tet2</w:t>
      </w:r>
      <w:r w:rsidR="003B5EEB" w:rsidRPr="00195EAC">
        <w:rPr>
          <w:rFonts w:ascii="Calibri" w:hAnsi="Calibri" w:cs="Calibri"/>
          <w:color w:val="0000FF"/>
          <w:sz w:val="24"/>
          <w:szCs w:val="24"/>
          <w:vertAlign w:val="superscript"/>
        </w:rPr>
        <w:t>-/-</w:t>
      </w:r>
      <w:r w:rsidR="003B5EEB" w:rsidRPr="003B5EEB">
        <w:rPr>
          <w:rFonts w:ascii="Calibri" w:hAnsi="Calibri" w:cs="Calibri"/>
          <w:color w:val="0000FF"/>
          <w:sz w:val="24"/>
          <w:szCs w:val="24"/>
        </w:rPr>
        <w:t>) were transplanted into CD45.1</w:t>
      </w:r>
      <w:r w:rsidR="003B5EEB" w:rsidRPr="003B5EEB">
        <w:rPr>
          <w:rFonts w:ascii="Calibri" w:hAnsi="Calibri" w:cs="Calibri"/>
          <w:color w:val="0000FF"/>
          <w:sz w:val="24"/>
          <w:szCs w:val="24"/>
          <w:vertAlign w:val="superscript"/>
        </w:rPr>
        <w:t>+</w:t>
      </w:r>
      <w:r w:rsidR="003B5EEB" w:rsidRPr="003B5EEB">
        <w:rPr>
          <w:rFonts w:ascii="Calibri" w:hAnsi="Calibri" w:cs="Calibri"/>
          <w:color w:val="0000FF"/>
          <w:sz w:val="24"/>
          <w:szCs w:val="24"/>
        </w:rPr>
        <w:t xml:space="preserve"> recipient mice. Recipients without conditioning were transplanted with 5 × 10</w:t>
      </w:r>
      <w:r w:rsidR="003B5EEB" w:rsidRPr="003B5EEB">
        <w:rPr>
          <w:rFonts w:ascii="Calibri" w:hAnsi="Calibri" w:cs="Calibri"/>
          <w:color w:val="0000FF"/>
          <w:sz w:val="24"/>
          <w:szCs w:val="24"/>
          <w:vertAlign w:val="superscript"/>
        </w:rPr>
        <w:t>6</w:t>
      </w:r>
      <w:r w:rsidR="003B5EEB" w:rsidRPr="003B5EEB">
        <w:rPr>
          <w:rFonts w:ascii="Calibri" w:hAnsi="Calibri" w:cs="Calibri"/>
          <w:color w:val="0000FF"/>
          <w:sz w:val="24"/>
          <w:szCs w:val="24"/>
        </w:rPr>
        <w:t xml:space="preserve"> bone marrow cells each day for 3 consecutive days (for a total of 1.5 x 10</w:t>
      </w:r>
      <w:r w:rsidR="003B5EEB" w:rsidRPr="003B5EEB">
        <w:rPr>
          <w:rFonts w:ascii="Calibri" w:hAnsi="Calibri" w:cs="Calibri"/>
          <w:color w:val="0000FF"/>
          <w:sz w:val="24"/>
          <w:szCs w:val="24"/>
          <w:vertAlign w:val="superscript"/>
        </w:rPr>
        <w:t>7</w:t>
      </w:r>
      <w:r w:rsidR="003B5EEB" w:rsidRPr="003B5EEB">
        <w:rPr>
          <w:rFonts w:ascii="Calibri" w:hAnsi="Calibri" w:cs="Calibri"/>
          <w:color w:val="0000FF"/>
          <w:sz w:val="24"/>
          <w:szCs w:val="24"/>
        </w:rPr>
        <w:t xml:space="preserve">, n=5-6 per each group). Flow cytometric analysis of peripheral blood was performed 4, 8, 12, and 16 weeks post-transplantation. The </w:t>
      </w:r>
      <w:r w:rsidR="003B5EEB" w:rsidRPr="00C64C3E">
        <w:rPr>
          <w:rFonts w:ascii="Calibri" w:hAnsi="Calibri" w:cs="Calibri"/>
          <w:i/>
          <w:iCs/>
          <w:color w:val="0000FF"/>
          <w:sz w:val="24"/>
          <w:szCs w:val="24"/>
        </w:rPr>
        <w:t>Tet2</w:t>
      </w:r>
      <w:r w:rsidR="003B5EEB" w:rsidRPr="00195EAC">
        <w:rPr>
          <w:rFonts w:ascii="Calibri" w:hAnsi="Calibri" w:cs="Calibri"/>
          <w:i/>
          <w:iCs/>
          <w:color w:val="0000FF"/>
          <w:sz w:val="24"/>
          <w:szCs w:val="24"/>
        </w:rPr>
        <w:t>-deficient</w:t>
      </w:r>
      <w:r w:rsidR="003B5EEB" w:rsidRPr="003B5EEB">
        <w:rPr>
          <w:rFonts w:ascii="Calibri" w:hAnsi="Calibri" w:cs="Calibri"/>
          <w:color w:val="0000FF"/>
          <w:sz w:val="24"/>
          <w:szCs w:val="24"/>
        </w:rPr>
        <w:t xml:space="preserve"> donor cells conferred a competitive advantage and gradually expand over time; WBCs, monocytes, Ly6C</w:t>
      </w:r>
      <w:r w:rsidR="003B5EEB" w:rsidRPr="003B5EEB">
        <w:rPr>
          <w:rFonts w:ascii="Calibri" w:hAnsi="Calibri" w:cs="Calibri"/>
          <w:color w:val="0000FF"/>
          <w:sz w:val="24"/>
          <w:szCs w:val="24"/>
          <w:vertAlign w:val="superscript"/>
        </w:rPr>
        <w:t>hi</w:t>
      </w:r>
      <w:r w:rsidR="003B5EEB" w:rsidRPr="003B5EEB">
        <w:rPr>
          <w:rFonts w:ascii="Calibri" w:hAnsi="Calibri" w:cs="Calibri"/>
          <w:color w:val="0000FF"/>
          <w:sz w:val="24"/>
          <w:szCs w:val="24"/>
        </w:rPr>
        <w:t xml:space="preserve"> monocytes, neutrophils, T cells and B cells increased significantly over time. </w:t>
      </w:r>
      <w:r w:rsidR="00F95089" w:rsidRPr="00F95089">
        <w:rPr>
          <w:rFonts w:ascii="Calibri" w:hAnsi="Calibri" w:cs="Calibri"/>
          <w:color w:val="0000FF"/>
          <w:sz w:val="24"/>
          <w:szCs w:val="24"/>
        </w:rPr>
        <w:t>Compared to the Tet2-deficient donor cells engrafted into recipient mice, recipient mice engrafted with WT donor cells showed less significant clonal expansion of donor cells. (Figure 3) Consistent with the clinical paradigm of clonal hematopoiesis, the expansion of Tet2-deficient cells does not impact the absolute numbers of the various blood cell types</w:t>
      </w:r>
      <w:r w:rsidR="0052386A" w:rsidRPr="00F95089">
        <w:rPr>
          <w:rFonts w:ascii="Calibri" w:hAnsi="Calibri" w:cs="Calibri"/>
          <w:color w:val="0000FF"/>
          <w:sz w:val="24"/>
          <w:szCs w:val="24"/>
          <w:vertAlign w:val="superscript"/>
        </w:rPr>
        <w:t>9</w:t>
      </w:r>
      <w:r w:rsidR="00F95089" w:rsidRPr="00F95089">
        <w:rPr>
          <w:rFonts w:ascii="Calibri" w:hAnsi="Calibri" w:cs="Calibri"/>
          <w:color w:val="0000FF"/>
          <w:sz w:val="24"/>
          <w:szCs w:val="24"/>
        </w:rPr>
        <w:t>. (data not shown)</w:t>
      </w:r>
      <w:r w:rsidR="00F95089">
        <w:rPr>
          <w:rFonts w:ascii="Calibri" w:hAnsi="Calibri" w:cs="Calibri"/>
          <w:color w:val="0000FF"/>
          <w:sz w:val="24"/>
          <w:szCs w:val="24"/>
        </w:rPr>
        <w:t xml:space="preserve">. </w:t>
      </w:r>
    </w:p>
    <w:p w14:paraId="6E26D968" w14:textId="36F3E735" w:rsidR="001B141B" w:rsidRPr="00F95089" w:rsidRDefault="008D70B3" w:rsidP="00F95089">
      <w:pPr>
        <w:jc w:val="both"/>
        <w:rPr>
          <w:rFonts w:ascii="Calibri" w:hAnsi="Calibri" w:cs="Calibri"/>
          <w:color w:val="0000FF"/>
          <w:sz w:val="24"/>
          <w:szCs w:val="24"/>
        </w:rPr>
      </w:pPr>
      <w:r w:rsidRPr="009F15DC">
        <w:rPr>
          <w:rFonts w:cstheme="minorHAnsi"/>
          <w:sz w:val="24"/>
          <w:szCs w:val="24"/>
        </w:rPr>
        <w:t xml:space="preserve">- Page 8, line 335: "..the expansion of </w:t>
      </w:r>
      <w:r w:rsidRPr="00C64C3E">
        <w:rPr>
          <w:rFonts w:cstheme="minorHAnsi"/>
          <w:i/>
          <w:iCs/>
          <w:sz w:val="24"/>
          <w:szCs w:val="24"/>
        </w:rPr>
        <w:t>Tet2</w:t>
      </w:r>
      <w:r w:rsidRPr="009F15DC">
        <w:rPr>
          <w:rFonts w:cstheme="minorHAnsi"/>
          <w:sz w:val="24"/>
          <w:szCs w:val="24"/>
        </w:rPr>
        <w:t>-deficient CELLS does… cells is missing.</w:t>
      </w:r>
    </w:p>
    <w:p w14:paraId="2A01EB75" w14:textId="7D770178" w:rsidR="00A74D9F" w:rsidRDefault="00A74D9F" w:rsidP="00A74D9F">
      <w:pPr>
        <w:pStyle w:val="NormalWeb"/>
        <w:spacing w:before="0" w:beforeAutospacing="0" w:after="0" w:afterAutospacing="0"/>
        <w:rPr>
          <w:rFonts w:asciiTheme="minorHAnsi" w:hAnsiTheme="minorHAnsi" w:cstheme="minorHAnsi"/>
          <w:sz w:val="24"/>
          <w:szCs w:val="24"/>
        </w:rPr>
      </w:pPr>
      <w:r>
        <w:rPr>
          <w:color w:val="0000FF"/>
          <w:sz w:val="24"/>
          <w:szCs w:val="24"/>
        </w:rPr>
        <w:t xml:space="preserve">We apologize for this error. We have now corrected this. </w:t>
      </w:r>
      <w:r w:rsidR="0052386A" w:rsidRPr="00D456A1">
        <w:rPr>
          <w:color w:val="0000FF"/>
          <w:sz w:val="24"/>
          <w:szCs w:val="24"/>
          <w:highlight w:val="yellow"/>
        </w:rPr>
        <w:t>(Line 3</w:t>
      </w:r>
      <w:r w:rsidR="009625F1">
        <w:rPr>
          <w:color w:val="0000FF"/>
          <w:sz w:val="24"/>
          <w:szCs w:val="24"/>
          <w:highlight w:val="yellow"/>
        </w:rPr>
        <w:t>70</w:t>
      </w:r>
      <w:r w:rsidR="0052386A" w:rsidRPr="00D456A1">
        <w:rPr>
          <w:color w:val="0000FF"/>
          <w:sz w:val="24"/>
          <w:szCs w:val="24"/>
          <w:highlight w:val="yellow"/>
        </w:rPr>
        <w:t>-3</w:t>
      </w:r>
      <w:r w:rsidR="009625F1">
        <w:rPr>
          <w:color w:val="0000FF"/>
          <w:sz w:val="24"/>
          <w:szCs w:val="24"/>
          <w:highlight w:val="yellow"/>
        </w:rPr>
        <w:t>71</w:t>
      </w:r>
      <w:r w:rsidR="0052386A" w:rsidRPr="00D456A1">
        <w:rPr>
          <w:color w:val="0000FF"/>
          <w:sz w:val="24"/>
          <w:szCs w:val="24"/>
          <w:highlight w:val="yellow"/>
        </w:rPr>
        <w:t>)</w:t>
      </w:r>
    </w:p>
    <w:p w14:paraId="43A825E5" w14:textId="77777777" w:rsidR="003B5EEB" w:rsidRPr="009F15DC" w:rsidRDefault="003B5EEB" w:rsidP="009F15DC">
      <w:pPr>
        <w:pStyle w:val="NormalWeb"/>
        <w:spacing w:before="0" w:beforeAutospacing="0" w:after="0" w:afterAutospacing="0"/>
        <w:rPr>
          <w:rFonts w:asciiTheme="minorHAnsi" w:hAnsiTheme="minorHAnsi" w:cstheme="minorHAnsi"/>
          <w:sz w:val="24"/>
          <w:szCs w:val="24"/>
        </w:rPr>
      </w:pPr>
    </w:p>
    <w:p w14:paraId="406BA521"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7CAAC18B"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0E0D2DEB" w14:textId="77777777" w:rsidR="001B141B"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rPr>
        <w:t>- The y-axis legend in Figure 2 is missing (%)</w:t>
      </w:r>
    </w:p>
    <w:p w14:paraId="7787922C" w14:textId="77777777" w:rsidR="009F15DC"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lastRenderedPageBreak/>
        <w:t>Response</w:t>
      </w:r>
      <w:r w:rsidRPr="009F15DC">
        <w:rPr>
          <w:rFonts w:asciiTheme="minorHAnsi" w:hAnsiTheme="minorHAnsi" w:cstheme="minorHAnsi"/>
          <w:sz w:val="24"/>
          <w:szCs w:val="24"/>
        </w:rPr>
        <w:t xml:space="preserve">: </w:t>
      </w:r>
    </w:p>
    <w:p w14:paraId="0B4698D8" w14:textId="77777777" w:rsidR="003B5EEB" w:rsidRDefault="003B5EEB" w:rsidP="009F15DC">
      <w:pPr>
        <w:pStyle w:val="NormalWeb"/>
        <w:spacing w:before="0" w:beforeAutospacing="0" w:after="0" w:afterAutospacing="0"/>
        <w:rPr>
          <w:rFonts w:asciiTheme="minorHAnsi" w:hAnsiTheme="minorHAnsi" w:cstheme="minorHAnsi"/>
          <w:b/>
          <w:bCs/>
          <w:sz w:val="24"/>
          <w:szCs w:val="24"/>
        </w:rPr>
      </w:pPr>
    </w:p>
    <w:p w14:paraId="2E62447A" w14:textId="41041BCA" w:rsidR="003B5EEB" w:rsidRDefault="003B5EEB" w:rsidP="003B5EEB">
      <w:pPr>
        <w:pStyle w:val="NormalWeb"/>
        <w:spacing w:before="0" w:beforeAutospacing="0" w:after="0" w:afterAutospacing="0"/>
        <w:rPr>
          <w:color w:val="0000FF"/>
          <w:sz w:val="24"/>
          <w:szCs w:val="24"/>
        </w:rPr>
      </w:pPr>
      <w:r>
        <w:rPr>
          <w:color w:val="0000FF"/>
          <w:sz w:val="24"/>
          <w:szCs w:val="24"/>
        </w:rPr>
        <w:t>Corrected.</w:t>
      </w:r>
    </w:p>
    <w:p w14:paraId="55AAF27E" w14:textId="77777777" w:rsidR="00992898" w:rsidRDefault="00992898" w:rsidP="003B5EEB">
      <w:pPr>
        <w:pStyle w:val="NormalWeb"/>
        <w:spacing w:before="0" w:beforeAutospacing="0" w:after="0" w:afterAutospacing="0"/>
        <w:rPr>
          <w:rFonts w:asciiTheme="minorHAnsi" w:hAnsiTheme="minorHAnsi" w:cstheme="minorHAnsi"/>
          <w:sz w:val="24"/>
          <w:szCs w:val="24"/>
        </w:rPr>
      </w:pPr>
    </w:p>
    <w:p w14:paraId="2856D3AD" w14:textId="6AB1484C" w:rsidR="009F15DC" w:rsidRPr="009F15DC" w:rsidRDefault="00992898" w:rsidP="009F15DC">
      <w:pPr>
        <w:pStyle w:val="NormalWeb"/>
        <w:spacing w:before="0" w:beforeAutospacing="0" w:after="0" w:afterAutospacing="0"/>
        <w:rPr>
          <w:rFonts w:asciiTheme="minorHAnsi" w:hAnsiTheme="minorHAnsi" w:cstheme="minorHAnsi"/>
          <w:sz w:val="24"/>
          <w:szCs w:val="24"/>
        </w:rPr>
      </w:pPr>
      <w:r w:rsidRPr="00176E07">
        <w:rPr>
          <w:rFonts w:asciiTheme="minorHAnsi" w:hAnsiTheme="minorHAnsi" w:cstheme="minorHAnsi"/>
          <w:i/>
          <w:iCs/>
          <w:noProof/>
          <w:sz w:val="24"/>
          <w:szCs w:val="24"/>
        </w:rPr>
        <w:drawing>
          <wp:inline distT="0" distB="0" distL="0" distR="0" wp14:anchorId="2E2F8D3D" wp14:editId="56561F85">
            <wp:extent cx="5943600" cy="41173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117340"/>
                    </a:xfrm>
                    <a:prstGeom prst="rect">
                      <a:avLst/>
                    </a:prstGeom>
                  </pic:spPr>
                </pic:pic>
              </a:graphicData>
            </a:graphic>
          </wp:inline>
        </w:drawing>
      </w:r>
      <w:r w:rsidR="009F15DC" w:rsidRPr="009F15DC">
        <w:rPr>
          <w:rFonts w:asciiTheme="minorHAnsi" w:hAnsiTheme="minorHAnsi" w:cstheme="minorHAnsi"/>
          <w:b/>
          <w:bCs/>
          <w:sz w:val="24"/>
          <w:szCs w:val="24"/>
        </w:rPr>
        <w:br w:type="page"/>
      </w:r>
    </w:p>
    <w:p w14:paraId="4B708D9C" w14:textId="45820717" w:rsidR="001B141B"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b/>
          <w:bCs/>
          <w:sz w:val="24"/>
          <w:szCs w:val="24"/>
        </w:rPr>
        <w:lastRenderedPageBreak/>
        <w:t>Reviewer #3:</w:t>
      </w:r>
    </w:p>
    <w:p w14:paraId="3DC0EA0D" w14:textId="37F9886E" w:rsidR="001B141B" w:rsidRDefault="001B141B" w:rsidP="009F15DC">
      <w:pPr>
        <w:pStyle w:val="NormalWeb"/>
        <w:spacing w:before="0" w:beforeAutospacing="0" w:after="0" w:afterAutospacing="0"/>
        <w:rPr>
          <w:rFonts w:asciiTheme="minorHAnsi" w:hAnsiTheme="minorHAnsi" w:cstheme="minorHAnsi"/>
          <w:sz w:val="24"/>
          <w:szCs w:val="24"/>
        </w:rPr>
      </w:pPr>
    </w:p>
    <w:p w14:paraId="224CDCDC" w14:textId="14805F71" w:rsidR="00DB0AB0" w:rsidRPr="00B058C5" w:rsidRDefault="00B058C5" w:rsidP="00DB0AB0">
      <w:pPr>
        <w:pStyle w:val="NormalWeb"/>
        <w:spacing w:before="0" w:beforeAutospacing="0" w:after="0" w:afterAutospacing="0"/>
        <w:rPr>
          <w:rFonts w:asciiTheme="minorHAnsi" w:hAnsiTheme="minorHAnsi" w:cstheme="minorHAnsi"/>
          <w:i/>
          <w:iCs/>
          <w:sz w:val="24"/>
          <w:szCs w:val="24"/>
        </w:rPr>
      </w:pPr>
      <w:r w:rsidRPr="00B058C5">
        <w:rPr>
          <w:i/>
          <w:iCs/>
          <w:sz w:val="24"/>
          <w:szCs w:val="24"/>
        </w:rPr>
        <w:t>The manuscript by Park et al., describes three bone marrow transplant methods to investigate how clonal hematopoiesis contributes to cardiovascular disease. The authors provide step by step protocols how to irradiate mice and perform bone marrow transplant and show the strength and the limitation of each procedure. The partially shielded irradiation and non-conditioned adoptive transplant show physiological advantages that are similar to in human cardiovascular disease compared to total body irradiation. Employing this approach in cardiovascular disease models led to successful demonstration of the effect of clonal hematopoiesis in cardiac dysfunction.</w:t>
      </w:r>
    </w:p>
    <w:p w14:paraId="7FA6733C" w14:textId="77777777" w:rsidR="00DB0AB0" w:rsidRDefault="00DB0AB0" w:rsidP="00DB0AB0">
      <w:pPr>
        <w:pStyle w:val="NormalWeb"/>
        <w:spacing w:before="0" w:beforeAutospacing="0" w:after="0" w:afterAutospacing="0"/>
        <w:rPr>
          <w:rFonts w:asciiTheme="minorHAnsi" w:hAnsiTheme="minorHAnsi" w:cstheme="minorHAnsi"/>
          <w:sz w:val="24"/>
          <w:szCs w:val="24"/>
        </w:rPr>
      </w:pPr>
    </w:p>
    <w:p w14:paraId="79C1B0B8" w14:textId="77777777" w:rsidR="00DB0AB0" w:rsidRDefault="00DB0AB0" w:rsidP="00DB0AB0">
      <w:pPr>
        <w:pStyle w:val="NormalWeb"/>
        <w:spacing w:before="0" w:beforeAutospacing="0" w:after="0" w:afterAutospacing="0"/>
        <w:rPr>
          <w:rFonts w:asciiTheme="minorHAnsi" w:hAnsiTheme="minorHAnsi" w:cstheme="minorHAnsi"/>
          <w:sz w:val="24"/>
          <w:szCs w:val="24"/>
        </w:rPr>
      </w:pPr>
      <w:r w:rsidRPr="006B0590">
        <w:rPr>
          <w:rFonts w:asciiTheme="minorHAnsi" w:hAnsiTheme="minorHAnsi" w:cstheme="minorHAnsi"/>
          <w:sz w:val="24"/>
          <w:szCs w:val="24"/>
          <w:u w:val="single"/>
        </w:rPr>
        <w:t>Response</w:t>
      </w:r>
      <w:r>
        <w:rPr>
          <w:rFonts w:asciiTheme="minorHAnsi" w:hAnsiTheme="minorHAnsi" w:cstheme="minorHAnsi"/>
          <w:sz w:val="24"/>
          <w:szCs w:val="24"/>
        </w:rPr>
        <w:t>: We thank the reviewer for these positive comments.</w:t>
      </w:r>
    </w:p>
    <w:p w14:paraId="16A58A04" w14:textId="77777777" w:rsidR="00DB0AB0" w:rsidRPr="009F15DC" w:rsidRDefault="00DB0AB0" w:rsidP="00DB0AB0">
      <w:pPr>
        <w:pStyle w:val="NormalWeb"/>
        <w:spacing w:before="0" w:beforeAutospacing="0" w:after="0" w:afterAutospacing="0"/>
        <w:rPr>
          <w:rFonts w:asciiTheme="minorHAnsi" w:hAnsiTheme="minorHAnsi" w:cstheme="minorHAnsi"/>
          <w:sz w:val="24"/>
          <w:szCs w:val="24"/>
        </w:rPr>
      </w:pPr>
    </w:p>
    <w:p w14:paraId="67AC8900" w14:textId="77777777" w:rsidR="00DB0AB0" w:rsidRPr="009F15DC" w:rsidRDefault="00DB0AB0" w:rsidP="00DB0AB0">
      <w:pPr>
        <w:pStyle w:val="NormalWeb"/>
        <w:spacing w:before="0" w:beforeAutospacing="0" w:after="0" w:afterAutospacing="0"/>
        <w:rPr>
          <w:rFonts w:asciiTheme="minorHAnsi" w:hAnsiTheme="minorHAnsi" w:cstheme="minorHAnsi"/>
          <w:sz w:val="24"/>
          <w:szCs w:val="24"/>
        </w:rPr>
      </w:pPr>
    </w:p>
    <w:p w14:paraId="6FC4C580"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Major Concerns:</w:t>
      </w:r>
    </w:p>
    <w:p w14:paraId="095C38A8" w14:textId="6AD9B9B5"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-In Protocol section 4, there was not a red blood cell lysis step which is a standard procedure to process bone marrow samples. The authors' prior study included this step in the method section. If red blood cell lysis buffer is not used, the authors should provide their rationales avoiding red blood cell lysis step.</w:t>
      </w:r>
    </w:p>
    <w:p w14:paraId="31F644A6"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4FB44FF2"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536BE73B" w14:textId="0DB5A156" w:rsidR="001B141B" w:rsidRDefault="001B141B" w:rsidP="009F15DC">
      <w:pPr>
        <w:pStyle w:val="NormalWeb"/>
        <w:spacing w:before="0" w:beforeAutospacing="0" w:after="0" w:afterAutospacing="0"/>
        <w:rPr>
          <w:rFonts w:asciiTheme="minorHAnsi" w:hAnsiTheme="minorHAnsi" w:cstheme="minorHAnsi"/>
          <w:sz w:val="24"/>
          <w:szCs w:val="24"/>
        </w:rPr>
      </w:pPr>
    </w:p>
    <w:p w14:paraId="18E3EE61" w14:textId="1D1BD57E" w:rsidR="003B5EEB" w:rsidRPr="003B5EEB" w:rsidRDefault="003B5EEB" w:rsidP="003B5EEB">
      <w:pPr>
        <w:jc w:val="both"/>
        <w:rPr>
          <w:rFonts w:ascii="Calibri" w:hAnsi="Calibri" w:cs="Calibri"/>
          <w:color w:val="0000FF"/>
          <w:sz w:val="24"/>
          <w:szCs w:val="24"/>
        </w:rPr>
      </w:pPr>
      <w:r w:rsidRPr="003B5EEB">
        <w:rPr>
          <w:rFonts w:ascii="Calibri" w:hAnsi="Calibri" w:cs="Calibri"/>
          <w:color w:val="0000FF"/>
          <w:sz w:val="24"/>
          <w:szCs w:val="24"/>
        </w:rPr>
        <w:t xml:space="preserve">In our previous study, red blood cell (RBC) lysis was performed on bone marrow cells for the purpose of flow cytometry analysis. </w:t>
      </w:r>
      <w:r w:rsidR="00A74D9F">
        <w:rPr>
          <w:rFonts w:ascii="Calibri" w:hAnsi="Calibri" w:cs="Calibri"/>
          <w:color w:val="0000FF"/>
          <w:sz w:val="24"/>
          <w:szCs w:val="24"/>
        </w:rPr>
        <w:t>However, for transplantation, we do not routinely perform RBC lysis. T</w:t>
      </w:r>
      <w:r w:rsidRPr="003B5EEB">
        <w:rPr>
          <w:rFonts w:ascii="Calibri" w:hAnsi="Calibri" w:cs="Calibri"/>
          <w:color w:val="0000FF"/>
          <w:sz w:val="24"/>
          <w:szCs w:val="24"/>
        </w:rPr>
        <w:t>he steps involved in red blood cell lysing can cause</w:t>
      </w:r>
      <w:r w:rsidR="00A74D9F">
        <w:rPr>
          <w:rFonts w:ascii="Calibri" w:hAnsi="Calibri" w:cs="Calibri"/>
          <w:color w:val="0000FF"/>
          <w:sz w:val="24"/>
          <w:szCs w:val="24"/>
        </w:rPr>
        <w:t xml:space="preserve"> some</w:t>
      </w:r>
      <w:r w:rsidRPr="003B5EEB">
        <w:rPr>
          <w:rFonts w:ascii="Calibri" w:hAnsi="Calibri" w:cs="Calibri"/>
          <w:color w:val="0000FF"/>
          <w:sz w:val="24"/>
          <w:szCs w:val="24"/>
        </w:rPr>
        <w:t xml:space="preserve"> loss of leukocytes and interfere with the integrity and number of hematopoietic cells.</w:t>
      </w:r>
      <w:r w:rsidR="00A33E64">
        <w:rPr>
          <w:rFonts w:ascii="Calibri" w:hAnsi="Calibri" w:cs="Calibri"/>
          <w:color w:val="0000FF"/>
          <w:sz w:val="24"/>
          <w:szCs w:val="24"/>
        </w:rPr>
        <w:t xml:space="preserve"> In order to </w:t>
      </w:r>
      <w:r w:rsidR="00A74D9F">
        <w:rPr>
          <w:rFonts w:ascii="Calibri" w:hAnsi="Calibri" w:cs="Calibri"/>
          <w:color w:val="0000FF"/>
          <w:sz w:val="24"/>
          <w:szCs w:val="24"/>
        </w:rPr>
        <w:t xml:space="preserve">transplant intact bone marrow </w:t>
      </w:r>
      <w:r w:rsidR="009B1D7B">
        <w:rPr>
          <w:rFonts w:ascii="Calibri" w:hAnsi="Calibri" w:cs="Calibri"/>
          <w:color w:val="0000FF"/>
          <w:sz w:val="24"/>
          <w:szCs w:val="24"/>
        </w:rPr>
        <w:t>cells,</w:t>
      </w:r>
      <w:r w:rsidR="00A74D9F">
        <w:rPr>
          <w:rFonts w:ascii="Calibri" w:hAnsi="Calibri" w:cs="Calibri"/>
          <w:color w:val="0000FF"/>
          <w:sz w:val="24"/>
          <w:szCs w:val="24"/>
        </w:rPr>
        <w:t xml:space="preserve"> we do not perform RBC lysis. </w:t>
      </w:r>
      <w:r w:rsidR="00D7063F">
        <w:rPr>
          <w:rFonts w:ascii="Calibri" w:hAnsi="Calibri" w:cs="Calibri"/>
          <w:color w:val="0000FF"/>
          <w:sz w:val="24"/>
          <w:szCs w:val="24"/>
        </w:rPr>
        <w:t xml:space="preserve"> </w:t>
      </w:r>
    </w:p>
    <w:p w14:paraId="0BFB0DE1" w14:textId="77777777" w:rsidR="003B5EEB" w:rsidRPr="009F15DC" w:rsidRDefault="003B5EEB" w:rsidP="009F15DC">
      <w:pPr>
        <w:pStyle w:val="NormalWeb"/>
        <w:spacing w:before="0" w:beforeAutospacing="0" w:after="0" w:afterAutospacing="0"/>
        <w:rPr>
          <w:rFonts w:asciiTheme="minorHAnsi" w:hAnsiTheme="minorHAnsi" w:cstheme="minorHAnsi"/>
          <w:sz w:val="24"/>
          <w:szCs w:val="24"/>
        </w:rPr>
      </w:pPr>
    </w:p>
    <w:p w14:paraId="61FED3A7"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-Authors described adoptive transfer of bone marrow to non-conditioned mice would be better suited in studying clonal hematopoiesis in cardiovascular disease but there no data provided in Fig 3 that showed engraftment and clonal expansion of Tet2-deficient cells. Authors should provide figures showing successful engraftment/localization and clonal expansion of Tet2-deficiant cells using adoptive transfer of bone marrow to non-conditioned mice in heart as well since Fig 2 is generated with WT background mice.</w:t>
      </w:r>
    </w:p>
    <w:p w14:paraId="080AA93A"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1C0ADDB4"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67E80EBE" w14:textId="5DFA5563" w:rsidR="001B141B" w:rsidRDefault="001B141B" w:rsidP="009F15DC">
      <w:pPr>
        <w:pStyle w:val="NormalWeb"/>
        <w:spacing w:before="0" w:beforeAutospacing="0" w:after="0" w:afterAutospacing="0"/>
        <w:rPr>
          <w:rFonts w:asciiTheme="minorHAnsi" w:hAnsiTheme="minorHAnsi" w:cstheme="minorHAnsi"/>
          <w:sz w:val="24"/>
          <w:szCs w:val="24"/>
        </w:rPr>
      </w:pPr>
    </w:p>
    <w:p w14:paraId="66E45581" w14:textId="27364B76" w:rsidR="003B0A38" w:rsidRDefault="007E349F" w:rsidP="00E360BF">
      <w:pPr>
        <w:jc w:val="both"/>
        <w:rPr>
          <w:rFonts w:ascii="Calibri" w:hAnsi="Calibri" w:cs="Calibri"/>
          <w:color w:val="0000FF"/>
          <w:sz w:val="24"/>
          <w:szCs w:val="24"/>
          <w:highlight w:val="yellow"/>
        </w:rPr>
      </w:pPr>
      <w:r w:rsidRPr="007E349F">
        <w:rPr>
          <w:rFonts w:ascii="Calibri" w:hAnsi="Calibri" w:cs="Calibri"/>
          <w:color w:val="0000FF"/>
          <w:sz w:val="24"/>
          <w:szCs w:val="24"/>
        </w:rPr>
        <w:t>The reader is referred to Figure 3 that documents the time-dependent expansion of mutant cells in various peripheral blood cell types and our paper of Wang et al.</w:t>
      </w:r>
      <w:r w:rsidRPr="007E349F">
        <w:rPr>
          <w:rFonts w:ascii="Calibri" w:hAnsi="Calibri" w:cs="Calibri"/>
          <w:color w:val="0000FF"/>
          <w:sz w:val="24"/>
          <w:szCs w:val="24"/>
          <w:vertAlign w:val="superscript"/>
        </w:rPr>
        <w:t>9</w:t>
      </w:r>
      <w:r w:rsidRPr="007E349F">
        <w:rPr>
          <w:rFonts w:ascii="Calibri" w:hAnsi="Calibri" w:cs="Calibri"/>
          <w:color w:val="0000FF"/>
          <w:sz w:val="24"/>
          <w:szCs w:val="24"/>
        </w:rPr>
        <w:t xml:space="preserve"> that documents the engraftment of donor cells to hematopoietic stem cells, long-term and short-term HSC, multipotent progenitors following adoptive </w:t>
      </w:r>
      <w:r>
        <w:rPr>
          <w:rFonts w:ascii="Calibri" w:hAnsi="Calibri" w:cs="Calibri"/>
          <w:color w:val="0000FF"/>
          <w:sz w:val="24"/>
          <w:szCs w:val="24"/>
        </w:rPr>
        <w:t>BMT</w:t>
      </w:r>
      <w:r w:rsidRPr="007E349F">
        <w:rPr>
          <w:rFonts w:ascii="Calibri" w:hAnsi="Calibri" w:cs="Calibri"/>
          <w:color w:val="0000FF"/>
          <w:sz w:val="24"/>
          <w:szCs w:val="24"/>
        </w:rPr>
        <w:t>.</w:t>
      </w:r>
    </w:p>
    <w:p w14:paraId="6DD5CCF3" w14:textId="6126B799" w:rsidR="00384307" w:rsidRPr="00585105" w:rsidRDefault="00384307" w:rsidP="00384307">
      <w:pPr>
        <w:ind w:firstLine="720"/>
        <w:jc w:val="both"/>
        <w:rPr>
          <w:rFonts w:ascii="Calibri" w:hAnsi="Calibri" w:cs="Calibri"/>
          <w:color w:val="0000FF"/>
          <w:sz w:val="24"/>
          <w:szCs w:val="24"/>
        </w:rPr>
      </w:pPr>
      <w:r>
        <w:rPr>
          <w:rFonts w:ascii="Calibri" w:hAnsi="Calibri" w:cs="Calibri"/>
          <w:color w:val="0000FF"/>
          <w:sz w:val="24"/>
          <w:szCs w:val="24"/>
        </w:rPr>
        <w:lastRenderedPageBreak/>
        <w:t>In addition, w</w:t>
      </w:r>
      <w:r w:rsidRPr="00585105">
        <w:rPr>
          <w:rFonts w:ascii="Calibri" w:hAnsi="Calibri" w:cs="Calibri"/>
          <w:color w:val="0000FF"/>
          <w:sz w:val="24"/>
          <w:szCs w:val="24"/>
        </w:rPr>
        <w:t xml:space="preserve">e did not include the data for analyzing the heart </w:t>
      </w:r>
      <w:r>
        <w:rPr>
          <w:rFonts w:ascii="Calibri" w:hAnsi="Calibri" w:cs="Calibri"/>
          <w:color w:val="0000FF"/>
          <w:sz w:val="24"/>
          <w:szCs w:val="24"/>
        </w:rPr>
        <w:t>at later time points for</w:t>
      </w:r>
      <w:r w:rsidRPr="00585105">
        <w:rPr>
          <w:rFonts w:ascii="Calibri" w:hAnsi="Calibri" w:cs="Calibri"/>
          <w:color w:val="0000FF"/>
          <w:sz w:val="24"/>
          <w:szCs w:val="24"/>
        </w:rPr>
        <w:t xml:space="preserve"> </w:t>
      </w:r>
      <w:r w:rsidRPr="00401E76">
        <w:rPr>
          <w:rFonts w:ascii="Calibri" w:hAnsi="Calibri" w:cs="Calibri"/>
          <w:color w:val="0000FF"/>
          <w:sz w:val="24"/>
          <w:szCs w:val="24"/>
        </w:rPr>
        <w:t>Tet2-deficient</w:t>
      </w:r>
      <w:r w:rsidRPr="00585105">
        <w:rPr>
          <w:rFonts w:ascii="Calibri" w:hAnsi="Calibri" w:cs="Calibri"/>
          <w:color w:val="0000FF"/>
          <w:sz w:val="24"/>
          <w:szCs w:val="24"/>
        </w:rPr>
        <w:t xml:space="preserve"> donor cell adoptive </w:t>
      </w:r>
      <w:r w:rsidR="00401E76">
        <w:rPr>
          <w:rFonts w:ascii="Calibri" w:hAnsi="Calibri" w:cs="Calibri"/>
          <w:color w:val="0000FF"/>
          <w:sz w:val="24"/>
          <w:szCs w:val="24"/>
        </w:rPr>
        <w:t>BMT</w:t>
      </w:r>
      <w:r w:rsidRPr="00585105">
        <w:rPr>
          <w:rFonts w:ascii="Calibri" w:hAnsi="Calibri" w:cs="Calibri"/>
          <w:color w:val="0000FF"/>
          <w:sz w:val="24"/>
          <w:szCs w:val="24"/>
        </w:rPr>
        <w:t xml:space="preserve"> to non-conditioned mice in this manuscript. However, </w:t>
      </w:r>
      <w:r w:rsidR="00C95D9B">
        <w:rPr>
          <w:rFonts w:ascii="Calibri" w:hAnsi="Calibri" w:cs="Calibri"/>
          <w:color w:val="0000FF"/>
          <w:sz w:val="24"/>
          <w:szCs w:val="24"/>
        </w:rPr>
        <w:t>Wang</w:t>
      </w:r>
      <w:r w:rsidRPr="00585105">
        <w:rPr>
          <w:rFonts w:ascii="Calibri" w:hAnsi="Calibri" w:cs="Calibri"/>
          <w:color w:val="0000FF"/>
          <w:sz w:val="24"/>
          <w:szCs w:val="24"/>
        </w:rPr>
        <w:t xml:space="preserve"> et al.</w:t>
      </w:r>
      <w:r w:rsidR="00C95D9B">
        <w:rPr>
          <w:rFonts w:ascii="Calibri" w:hAnsi="Calibri" w:cs="Calibri"/>
          <w:color w:val="0000FF"/>
          <w:sz w:val="24"/>
          <w:szCs w:val="24"/>
        </w:rPr>
        <w:t xml:space="preserve"> (2020)</w:t>
      </w:r>
      <w:r w:rsidRPr="00585105">
        <w:rPr>
          <w:rFonts w:ascii="Calibri" w:hAnsi="Calibri" w:cs="Calibri"/>
          <w:color w:val="0000FF"/>
          <w:sz w:val="24"/>
          <w:szCs w:val="24"/>
        </w:rPr>
        <w:t xml:space="preserve"> have shown an association between clonal hematopoiesis and cardiac tissue hematopoietic cell chimerism.</w:t>
      </w:r>
      <w:r w:rsidR="00401E76">
        <w:rPr>
          <w:rFonts w:ascii="Calibri" w:hAnsi="Calibri" w:cs="Calibri"/>
          <w:color w:val="0000FF"/>
          <w:sz w:val="24"/>
          <w:szCs w:val="24"/>
          <w:vertAlign w:val="superscript"/>
        </w:rPr>
        <w:t xml:space="preserve"> </w:t>
      </w:r>
      <w:r w:rsidRPr="00585105">
        <w:rPr>
          <w:rFonts w:ascii="Calibri" w:hAnsi="Calibri" w:cs="Calibri"/>
          <w:color w:val="0000FF"/>
          <w:sz w:val="24"/>
          <w:szCs w:val="24"/>
        </w:rPr>
        <w:t>We have added the following paragraph to the discussion section.</w:t>
      </w:r>
      <w:r w:rsidR="00055BC7">
        <w:rPr>
          <w:rFonts w:ascii="Calibri" w:hAnsi="Calibri" w:cs="Calibri"/>
          <w:color w:val="0000FF"/>
          <w:sz w:val="24"/>
          <w:szCs w:val="24"/>
        </w:rPr>
        <w:t xml:space="preserve"> </w:t>
      </w:r>
      <w:r w:rsidR="00055BC7" w:rsidRPr="007317FC">
        <w:rPr>
          <w:rFonts w:ascii="Calibri" w:hAnsi="Calibri" w:cs="Calibri"/>
          <w:color w:val="0000FF"/>
          <w:sz w:val="24"/>
          <w:szCs w:val="24"/>
          <w:highlight w:val="yellow"/>
        </w:rPr>
        <w:t xml:space="preserve">(Line </w:t>
      </w:r>
      <w:r w:rsidR="009625F1">
        <w:rPr>
          <w:rFonts w:ascii="Calibri" w:hAnsi="Calibri" w:cs="Calibri"/>
          <w:color w:val="0000FF"/>
          <w:sz w:val="24"/>
          <w:szCs w:val="24"/>
          <w:highlight w:val="yellow"/>
        </w:rPr>
        <w:t>500</w:t>
      </w:r>
      <w:r w:rsidR="00055BC7" w:rsidRPr="007317FC">
        <w:rPr>
          <w:rFonts w:ascii="Calibri" w:hAnsi="Calibri" w:cs="Calibri"/>
          <w:color w:val="0000FF"/>
          <w:sz w:val="24"/>
          <w:szCs w:val="24"/>
          <w:highlight w:val="yellow"/>
        </w:rPr>
        <w:t>-5</w:t>
      </w:r>
      <w:r w:rsidR="00992898">
        <w:rPr>
          <w:rFonts w:ascii="Calibri" w:hAnsi="Calibri" w:cs="Calibri"/>
          <w:color w:val="0000FF"/>
          <w:sz w:val="24"/>
          <w:szCs w:val="24"/>
          <w:highlight w:val="yellow"/>
        </w:rPr>
        <w:t>1</w:t>
      </w:r>
      <w:r w:rsidR="008D3086">
        <w:rPr>
          <w:rFonts w:ascii="Calibri" w:hAnsi="Calibri" w:cs="Calibri"/>
          <w:color w:val="0000FF"/>
          <w:sz w:val="24"/>
          <w:szCs w:val="24"/>
          <w:highlight w:val="yellow"/>
        </w:rPr>
        <w:t>4</w:t>
      </w:r>
      <w:r w:rsidR="00055BC7" w:rsidRPr="007317FC">
        <w:rPr>
          <w:rFonts w:ascii="Calibri" w:hAnsi="Calibri" w:cs="Calibri"/>
          <w:color w:val="0000FF"/>
          <w:sz w:val="24"/>
          <w:szCs w:val="24"/>
          <w:highlight w:val="yellow"/>
        </w:rPr>
        <w:t>)</w:t>
      </w:r>
    </w:p>
    <w:p w14:paraId="471C380A" w14:textId="3117C726" w:rsidR="007E349F" w:rsidRPr="007E349F" w:rsidRDefault="00EE5316" w:rsidP="007E349F">
      <w:pPr>
        <w:ind w:firstLineChars="150" w:firstLine="360"/>
        <w:jc w:val="both"/>
        <w:rPr>
          <w:rFonts w:ascii="Calibri" w:hAnsi="Calibri" w:cs="Calibri"/>
          <w:sz w:val="24"/>
          <w:szCs w:val="24"/>
          <w:shd w:val="clear" w:color="auto" w:fill="FFFFFF"/>
          <w:lang w:eastAsia="ja-JP"/>
        </w:rPr>
      </w:pPr>
      <w:r>
        <w:rPr>
          <w:rFonts w:ascii="Calibri" w:eastAsia="Times New Roman" w:hAnsi="Calibri" w:cs="Calibri"/>
          <w:color w:val="0000FF"/>
          <w:sz w:val="24"/>
          <w:szCs w:val="24"/>
          <w:lang w:eastAsia="ko-KR"/>
        </w:rPr>
        <w:t xml:space="preserve"> </w:t>
      </w:r>
      <w:r w:rsidR="007E349F" w:rsidRPr="007E349F">
        <w:rPr>
          <w:rFonts w:ascii="Calibri" w:eastAsia="Times New Roman" w:hAnsi="Calibri" w:cs="Calibri"/>
          <w:color w:val="0000FF"/>
          <w:sz w:val="28"/>
          <w:szCs w:val="28"/>
          <w:lang w:eastAsia="ko-KR"/>
        </w:rPr>
        <w:t>“</w:t>
      </w:r>
      <w:r w:rsidR="007E349F" w:rsidRPr="007E349F">
        <w:rPr>
          <w:rFonts w:ascii="Calibri" w:hAnsi="Calibri" w:cs="Calibri"/>
          <w:color w:val="112CFF"/>
          <w:sz w:val="24"/>
          <w:szCs w:val="24"/>
        </w:rPr>
        <w:t xml:space="preserve">The expansion of </w:t>
      </w:r>
      <w:r w:rsidR="007E349F" w:rsidRPr="007E349F">
        <w:rPr>
          <w:rFonts w:ascii="Calibri" w:hAnsi="Calibri" w:cs="Calibri"/>
          <w:i/>
          <w:iCs/>
          <w:color w:val="112CFF"/>
          <w:sz w:val="24"/>
          <w:szCs w:val="24"/>
        </w:rPr>
        <w:t>Tet2-deficient</w:t>
      </w:r>
      <w:r w:rsidR="007E349F" w:rsidRPr="007E349F">
        <w:rPr>
          <w:rFonts w:ascii="Calibri" w:hAnsi="Calibri" w:cs="Calibri"/>
          <w:color w:val="112CFF"/>
          <w:sz w:val="24"/>
          <w:szCs w:val="24"/>
        </w:rPr>
        <w:t xml:space="preserve"> cells has bee</w:t>
      </w:r>
      <w:r w:rsidR="007E349F">
        <w:rPr>
          <w:rFonts w:ascii="Calibri" w:hAnsi="Calibri" w:cs="Calibri"/>
          <w:color w:val="112CFF"/>
          <w:sz w:val="24"/>
          <w:szCs w:val="24"/>
        </w:rPr>
        <w:t>n</w:t>
      </w:r>
      <w:r w:rsidR="007E349F" w:rsidRPr="007E349F">
        <w:rPr>
          <w:rFonts w:ascii="Calibri" w:hAnsi="Calibri" w:cs="Calibri"/>
          <w:color w:val="112CFF"/>
          <w:sz w:val="24"/>
          <w:szCs w:val="24"/>
        </w:rPr>
        <w:t xml:space="preserve"> observed not only in the peripheral blood but also in several other tissues, including bone marrow, liver, and kidney, with different dynamics of hematopoietic cell reconstitution</w:t>
      </w:r>
      <w:r w:rsidR="007E349F" w:rsidRPr="007E349F">
        <w:rPr>
          <w:rFonts w:ascii="Calibri" w:hAnsi="Calibri" w:cs="Calibri"/>
          <w:color w:val="112CFF"/>
          <w:sz w:val="24"/>
          <w:szCs w:val="24"/>
          <w:vertAlign w:val="superscript"/>
        </w:rPr>
        <w:t>9</w:t>
      </w:r>
      <w:r w:rsidR="007E349F" w:rsidRPr="007E349F">
        <w:rPr>
          <w:rFonts w:ascii="Calibri" w:hAnsi="Calibri" w:cs="Calibri"/>
          <w:color w:val="112CFF"/>
          <w:sz w:val="24"/>
          <w:szCs w:val="24"/>
        </w:rPr>
        <w:t xml:space="preserve">. For example, our lab’s previous published paper described the bone marrow cell chimerism of </w:t>
      </w:r>
      <w:r w:rsidR="007E349F" w:rsidRPr="007E349F">
        <w:rPr>
          <w:rFonts w:ascii="Calibri" w:hAnsi="Calibri" w:cs="Calibri"/>
          <w:i/>
          <w:iCs/>
          <w:color w:val="112CFF"/>
          <w:sz w:val="24"/>
          <w:szCs w:val="24"/>
        </w:rPr>
        <w:t xml:space="preserve">WT </w:t>
      </w:r>
      <w:r w:rsidR="007E349F" w:rsidRPr="007E349F">
        <w:rPr>
          <w:rFonts w:ascii="Calibri" w:hAnsi="Calibri" w:cs="Calibri"/>
          <w:color w:val="112CFF"/>
          <w:sz w:val="24"/>
          <w:szCs w:val="24"/>
        </w:rPr>
        <w:t xml:space="preserve">and </w:t>
      </w:r>
      <w:r w:rsidR="007E349F" w:rsidRPr="007E349F">
        <w:rPr>
          <w:rFonts w:ascii="Calibri" w:hAnsi="Calibri" w:cs="Calibri"/>
          <w:i/>
          <w:iCs/>
          <w:color w:val="112CFF"/>
          <w:sz w:val="24"/>
          <w:szCs w:val="24"/>
        </w:rPr>
        <w:t>Tet2-deficient</w:t>
      </w:r>
      <w:r w:rsidR="007E349F" w:rsidRPr="007E349F">
        <w:rPr>
          <w:rFonts w:ascii="Calibri" w:hAnsi="Calibri" w:cs="Calibri"/>
          <w:color w:val="112CFF"/>
          <w:sz w:val="24"/>
          <w:szCs w:val="24"/>
        </w:rPr>
        <w:t xml:space="preserve"> donor cells engrafted into CD45.1 recipient mice 8 months after adoptive BMT</w:t>
      </w:r>
      <w:r w:rsidR="007E349F" w:rsidRPr="007E349F">
        <w:rPr>
          <w:rFonts w:ascii="Calibri" w:hAnsi="Calibri" w:cs="Calibri"/>
          <w:color w:val="112CFF"/>
          <w:sz w:val="24"/>
          <w:szCs w:val="24"/>
          <w:vertAlign w:val="superscript"/>
        </w:rPr>
        <w:t>9</w:t>
      </w:r>
      <w:r w:rsidR="007E349F" w:rsidRPr="007E349F">
        <w:rPr>
          <w:rFonts w:ascii="Calibri" w:hAnsi="Calibri" w:cs="Calibri"/>
          <w:color w:val="112CFF"/>
          <w:sz w:val="24"/>
          <w:szCs w:val="24"/>
        </w:rPr>
        <w:t xml:space="preserve">. </w:t>
      </w:r>
      <w:r w:rsidR="007E349F" w:rsidRPr="007E349F">
        <w:rPr>
          <w:rFonts w:ascii="Calibri" w:hAnsi="Calibri" w:cs="Calibri"/>
          <w:i/>
          <w:iCs/>
          <w:color w:val="112CFF"/>
          <w:sz w:val="24"/>
          <w:szCs w:val="24"/>
        </w:rPr>
        <w:t>Tet2-deficient</w:t>
      </w:r>
      <w:r w:rsidR="007E349F" w:rsidRPr="007E349F">
        <w:rPr>
          <w:rFonts w:ascii="Calibri" w:hAnsi="Calibri" w:cs="Calibri"/>
          <w:color w:val="112CFF"/>
          <w:sz w:val="24"/>
          <w:szCs w:val="24"/>
        </w:rPr>
        <w:t xml:space="preserve"> donor cells transplanted into CD45.1 recipient mice have shown a competitive advantage over immature lineage</w:t>
      </w:r>
      <w:r w:rsidR="007E349F" w:rsidRPr="007E349F">
        <w:rPr>
          <w:rFonts w:ascii="Calibri" w:hAnsi="Calibri" w:cs="Calibri"/>
          <w:color w:val="112CFF"/>
          <w:sz w:val="24"/>
          <w:szCs w:val="24"/>
          <w:vertAlign w:val="superscript"/>
        </w:rPr>
        <w:t>–</w:t>
      </w:r>
      <w:r w:rsidR="007E349F" w:rsidRPr="007E349F">
        <w:rPr>
          <w:rFonts w:ascii="Calibri" w:hAnsi="Calibri" w:cs="Calibri"/>
          <w:color w:val="112CFF"/>
          <w:sz w:val="24"/>
          <w:szCs w:val="24"/>
        </w:rPr>
        <w:t>Sca1</w:t>
      </w:r>
      <w:r w:rsidR="007E349F" w:rsidRPr="007E349F">
        <w:rPr>
          <w:rFonts w:ascii="Calibri" w:hAnsi="Calibri" w:cs="Calibri"/>
          <w:color w:val="112CFF"/>
          <w:sz w:val="24"/>
          <w:szCs w:val="24"/>
          <w:vertAlign w:val="superscript"/>
        </w:rPr>
        <w:t>+</w:t>
      </w:r>
      <w:r w:rsidR="007E349F" w:rsidRPr="007E349F">
        <w:rPr>
          <w:rFonts w:ascii="Calibri" w:hAnsi="Calibri" w:cs="Calibri"/>
          <w:color w:val="112CFF"/>
          <w:sz w:val="24"/>
          <w:szCs w:val="24"/>
        </w:rPr>
        <w:t>c-Kit</w:t>
      </w:r>
      <w:r w:rsidR="007E349F" w:rsidRPr="007E349F">
        <w:rPr>
          <w:rFonts w:ascii="Calibri" w:hAnsi="Calibri" w:cs="Calibri"/>
          <w:color w:val="112CFF"/>
          <w:sz w:val="24"/>
          <w:szCs w:val="24"/>
          <w:vertAlign w:val="superscript"/>
        </w:rPr>
        <w:t>+</w:t>
      </w:r>
      <w:r w:rsidR="007E349F" w:rsidRPr="007E349F">
        <w:rPr>
          <w:rFonts w:ascii="Calibri" w:hAnsi="Calibri" w:cs="Calibri"/>
          <w:color w:val="112CFF"/>
          <w:sz w:val="24"/>
          <w:szCs w:val="24"/>
        </w:rPr>
        <w:t xml:space="preserve"> (LSK) cells, short-term and long-term HSC cells, and multipotent progenitors (MPPs) compared to that of </w:t>
      </w:r>
      <w:r w:rsidR="007E349F" w:rsidRPr="007E349F">
        <w:rPr>
          <w:rFonts w:ascii="Calibri" w:hAnsi="Calibri" w:cs="Calibri"/>
          <w:i/>
          <w:iCs/>
          <w:color w:val="112CFF"/>
          <w:sz w:val="24"/>
          <w:szCs w:val="24"/>
        </w:rPr>
        <w:t>WT</w:t>
      </w:r>
      <w:r w:rsidR="007E349F" w:rsidRPr="007E349F">
        <w:rPr>
          <w:rFonts w:ascii="Calibri" w:hAnsi="Calibri" w:cs="Calibri"/>
          <w:color w:val="112CFF"/>
          <w:sz w:val="24"/>
          <w:szCs w:val="24"/>
        </w:rPr>
        <w:t xml:space="preserve"> donor cells transplanted into the CD45.1 recipient mice. In addition, as </w:t>
      </w:r>
      <w:r w:rsidR="007E349F" w:rsidRPr="007E349F">
        <w:rPr>
          <w:rFonts w:ascii="Calibri" w:hAnsi="Calibri" w:cs="Calibri"/>
          <w:i/>
          <w:iCs/>
          <w:color w:val="112CFF"/>
          <w:sz w:val="24"/>
          <w:szCs w:val="24"/>
        </w:rPr>
        <w:t>Tet2</w:t>
      </w:r>
      <w:r w:rsidR="007E349F" w:rsidRPr="007E349F">
        <w:rPr>
          <w:rFonts w:ascii="Calibri" w:hAnsi="Calibri" w:cs="Calibri"/>
          <w:color w:val="112CFF"/>
          <w:sz w:val="24"/>
          <w:szCs w:val="24"/>
        </w:rPr>
        <w:t>-</w:t>
      </w:r>
      <w:r w:rsidR="007E349F" w:rsidRPr="007E349F">
        <w:rPr>
          <w:rFonts w:ascii="Calibri" w:hAnsi="Calibri" w:cs="Calibri"/>
          <w:i/>
          <w:iCs/>
          <w:color w:val="112CFF"/>
          <w:sz w:val="24"/>
          <w:szCs w:val="24"/>
        </w:rPr>
        <w:t>deficien</w:t>
      </w:r>
      <w:r w:rsidR="007E349F" w:rsidRPr="007E349F">
        <w:rPr>
          <w:rFonts w:ascii="Calibri" w:hAnsi="Calibri" w:cs="Calibri"/>
          <w:color w:val="112CFF"/>
          <w:sz w:val="24"/>
          <w:szCs w:val="24"/>
        </w:rPr>
        <w:t>t donor cell engrafted recipient mice, they develop an age-related cardiomyopathy phenotype without exogenous factors causing cardiac dysfunction, thereby recapitulating the effect of clonal hematopoiesis in a manner similar to that of aging humans. This observation was accompanied with increased degree of chimerism in cardiac neutrophils and Ly6C</w:t>
      </w:r>
      <w:r w:rsidR="007E349F" w:rsidRPr="007E349F">
        <w:rPr>
          <w:rFonts w:ascii="Calibri" w:hAnsi="Calibri" w:cs="Calibri"/>
          <w:color w:val="112CFF"/>
          <w:sz w:val="24"/>
          <w:szCs w:val="24"/>
          <w:vertAlign w:val="superscript"/>
        </w:rPr>
        <w:t>hi</w:t>
      </w:r>
      <w:r w:rsidR="007E349F" w:rsidRPr="007E349F">
        <w:rPr>
          <w:rFonts w:ascii="Calibri" w:hAnsi="Calibri" w:cs="Calibri"/>
          <w:color w:val="112CFF"/>
          <w:sz w:val="24"/>
          <w:szCs w:val="24"/>
        </w:rPr>
        <w:t xml:space="preserve"> monocytes. Collectively, this adoptive BMT regimen can be applied to future studies that could expand our understanding of the association between cardiovascular disease development and clonal hematopoiesis on a more advanced level.</w:t>
      </w:r>
      <w:r w:rsidR="007E349F" w:rsidRPr="007E349F">
        <w:rPr>
          <w:rFonts w:ascii="Calibri" w:eastAsia="Times New Roman" w:hAnsi="Calibri" w:cs="Calibri"/>
          <w:color w:val="0000FF"/>
          <w:sz w:val="28"/>
          <w:szCs w:val="28"/>
          <w:lang w:eastAsia="ko-KR"/>
        </w:rPr>
        <w:t xml:space="preserve">” </w:t>
      </w:r>
    </w:p>
    <w:p w14:paraId="38F5530B" w14:textId="209EBBE4" w:rsidR="00EE5316" w:rsidRDefault="00EE5316" w:rsidP="00EE5316">
      <w:pPr>
        <w:spacing w:after="0" w:line="240" w:lineRule="auto"/>
        <w:ind w:firstLine="720"/>
        <w:jc w:val="both"/>
        <w:rPr>
          <w:rFonts w:ascii="Calibri" w:eastAsia="Times New Roman" w:hAnsi="Calibri" w:cs="Calibri"/>
          <w:color w:val="0000FF"/>
          <w:sz w:val="24"/>
          <w:szCs w:val="24"/>
          <w:lang w:eastAsia="ko-KR"/>
        </w:rPr>
      </w:pPr>
    </w:p>
    <w:p w14:paraId="740DB434" w14:textId="77777777" w:rsidR="00E360BF" w:rsidRPr="00E3429C" w:rsidRDefault="00E360BF" w:rsidP="00E360BF">
      <w:pPr>
        <w:spacing w:after="0" w:line="240" w:lineRule="auto"/>
        <w:jc w:val="both"/>
        <w:rPr>
          <w:rFonts w:ascii="Calibri" w:eastAsia="Times New Roman" w:hAnsi="Calibri" w:cs="Calibri"/>
          <w:color w:val="0000FF"/>
          <w:sz w:val="24"/>
          <w:szCs w:val="24"/>
          <w:lang w:eastAsia="ko-KR"/>
        </w:rPr>
      </w:pPr>
    </w:p>
    <w:p w14:paraId="472C6077"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Minor Concerns:</w:t>
      </w:r>
    </w:p>
    <w:p w14:paraId="0A745FEA" w14:textId="210A1893"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 xml:space="preserve">-In Protocol section 3, authors used 2 femurs, 2 tibias, and 2 </w:t>
      </w:r>
      <w:proofErr w:type="spellStart"/>
      <w:r w:rsidRPr="009F15DC">
        <w:rPr>
          <w:rFonts w:asciiTheme="minorHAnsi" w:hAnsiTheme="minorHAnsi" w:cstheme="minorHAnsi"/>
          <w:i/>
          <w:iCs/>
          <w:sz w:val="24"/>
          <w:szCs w:val="24"/>
        </w:rPr>
        <w:t>humeri</w:t>
      </w:r>
      <w:proofErr w:type="spellEnd"/>
      <w:r w:rsidRPr="009F15DC">
        <w:rPr>
          <w:rFonts w:asciiTheme="minorHAnsi" w:hAnsiTheme="minorHAnsi" w:cstheme="minorHAnsi"/>
          <w:i/>
          <w:iCs/>
          <w:sz w:val="24"/>
          <w:szCs w:val="24"/>
        </w:rPr>
        <w:t xml:space="preserve">. It would be helpful to add a note that it is possible to get more bone marrow cells from hip bones (you can use the same procedure as for femur, tibia, and </w:t>
      </w:r>
      <w:proofErr w:type="spellStart"/>
      <w:r w:rsidRPr="009F15DC">
        <w:rPr>
          <w:rFonts w:asciiTheme="minorHAnsi" w:hAnsiTheme="minorHAnsi" w:cstheme="minorHAnsi"/>
          <w:i/>
          <w:iCs/>
          <w:sz w:val="24"/>
          <w:szCs w:val="24"/>
        </w:rPr>
        <w:t>humer</w:t>
      </w:r>
      <w:r w:rsidR="009F15DC" w:rsidRPr="009F15DC">
        <w:rPr>
          <w:rFonts w:asciiTheme="minorHAnsi" w:hAnsiTheme="minorHAnsi" w:cstheme="minorHAnsi"/>
          <w:i/>
          <w:iCs/>
          <w:sz w:val="24"/>
          <w:szCs w:val="24"/>
        </w:rPr>
        <w:t>i</w:t>
      </w:r>
      <w:proofErr w:type="spellEnd"/>
      <w:r w:rsidRPr="009F15DC">
        <w:rPr>
          <w:rFonts w:asciiTheme="minorHAnsi" w:hAnsiTheme="minorHAnsi" w:cstheme="minorHAnsi"/>
          <w:i/>
          <w:iCs/>
          <w:sz w:val="24"/>
          <w:szCs w:val="24"/>
        </w:rPr>
        <w:t>) and spines (using mortar and pestle).</w:t>
      </w:r>
    </w:p>
    <w:p w14:paraId="2D904B15"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139D2B84"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0F9B13FD" w14:textId="40B3C6ED" w:rsidR="001B141B" w:rsidRDefault="001B141B" w:rsidP="009F15DC">
      <w:pPr>
        <w:pStyle w:val="NormalWeb"/>
        <w:spacing w:before="0" w:beforeAutospacing="0" w:after="0" w:afterAutospacing="0"/>
        <w:rPr>
          <w:rFonts w:asciiTheme="minorHAnsi" w:hAnsiTheme="minorHAnsi" w:cstheme="minorHAnsi"/>
          <w:sz w:val="24"/>
          <w:szCs w:val="24"/>
        </w:rPr>
      </w:pPr>
    </w:p>
    <w:p w14:paraId="08676D23" w14:textId="14120C9B" w:rsidR="00E74AE5" w:rsidRDefault="00E74AE5" w:rsidP="008834EC">
      <w:pPr>
        <w:rPr>
          <w:rFonts w:ascii="Calibri" w:hAnsi="Calibri" w:cs="Calibri"/>
          <w:color w:val="0000FF"/>
          <w:sz w:val="24"/>
          <w:szCs w:val="24"/>
        </w:rPr>
      </w:pPr>
      <w:r>
        <w:rPr>
          <w:rFonts w:ascii="Calibri" w:hAnsi="Calibri" w:cs="Calibri"/>
          <w:color w:val="0000FF"/>
          <w:sz w:val="24"/>
          <w:szCs w:val="24"/>
        </w:rPr>
        <w:t>Added.</w:t>
      </w:r>
      <w:r w:rsidR="00225528">
        <w:rPr>
          <w:rFonts w:ascii="Calibri" w:hAnsi="Calibri" w:cs="Calibri"/>
          <w:color w:val="0000FF"/>
          <w:sz w:val="24"/>
          <w:szCs w:val="24"/>
        </w:rPr>
        <w:t xml:space="preserve"> </w:t>
      </w:r>
      <w:r w:rsidR="00225528" w:rsidRPr="00055BC7">
        <w:rPr>
          <w:rFonts w:ascii="Calibri" w:hAnsi="Calibri" w:cs="Calibri"/>
          <w:color w:val="0000FF"/>
          <w:sz w:val="24"/>
          <w:szCs w:val="24"/>
          <w:highlight w:val="yellow"/>
        </w:rPr>
        <w:t>(line 2</w:t>
      </w:r>
      <w:r w:rsidR="009625F1">
        <w:rPr>
          <w:rFonts w:ascii="Calibri" w:hAnsi="Calibri" w:cs="Calibri"/>
          <w:color w:val="0000FF"/>
          <w:sz w:val="24"/>
          <w:szCs w:val="24"/>
          <w:highlight w:val="yellow"/>
        </w:rPr>
        <w:t>41</w:t>
      </w:r>
      <w:r w:rsidR="00055BC7" w:rsidRPr="00055BC7">
        <w:rPr>
          <w:rFonts w:ascii="Calibri" w:hAnsi="Calibri" w:cs="Calibri"/>
          <w:color w:val="0000FF"/>
          <w:sz w:val="24"/>
          <w:szCs w:val="24"/>
          <w:highlight w:val="yellow"/>
        </w:rPr>
        <w:t>-24</w:t>
      </w:r>
      <w:r w:rsidR="009625F1">
        <w:rPr>
          <w:rFonts w:ascii="Calibri" w:hAnsi="Calibri" w:cs="Calibri"/>
          <w:color w:val="0000FF"/>
          <w:sz w:val="24"/>
          <w:szCs w:val="24"/>
          <w:highlight w:val="yellow"/>
        </w:rPr>
        <w:t>3</w:t>
      </w:r>
      <w:r w:rsidR="00225528" w:rsidRPr="00055BC7">
        <w:rPr>
          <w:rFonts w:ascii="Calibri" w:hAnsi="Calibri" w:cs="Calibri"/>
          <w:color w:val="0000FF"/>
          <w:sz w:val="24"/>
          <w:szCs w:val="24"/>
          <w:highlight w:val="yellow"/>
        </w:rPr>
        <w:t>)</w:t>
      </w:r>
    </w:p>
    <w:p w14:paraId="6B2139A2" w14:textId="1374F1A8" w:rsidR="008834EC" w:rsidRPr="008834EC" w:rsidRDefault="008834EC" w:rsidP="008834EC">
      <w:pPr>
        <w:rPr>
          <w:rFonts w:ascii="Calibri" w:hAnsi="Calibri" w:cs="Calibri"/>
          <w:color w:val="0000FF"/>
          <w:sz w:val="24"/>
          <w:szCs w:val="24"/>
        </w:rPr>
      </w:pPr>
      <w:r w:rsidRPr="008834EC">
        <w:rPr>
          <w:rFonts w:ascii="Calibri" w:hAnsi="Calibri" w:cs="Calibri"/>
          <w:color w:val="0000FF"/>
          <w:sz w:val="24"/>
          <w:szCs w:val="24"/>
        </w:rPr>
        <w:t xml:space="preserve">Note: Hip bones and spine bones can be collected in addition to femur, tibia and </w:t>
      </w:r>
      <w:proofErr w:type="spellStart"/>
      <w:r w:rsidRPr="008834EC">
        <w:rPr>
          <w:rFonts w:ascii="Calibri" w:hAnsi="Calibri" w:cs="Calibri"/>
          <w:color w:val="0000FF"/>
          <w:sz w:val="24"/>
          <w:szCs w:val="24"/>
        </w:rPr>
        <w:t>humerus</w:t>
      </w:r>
      <w:proofErr w:type="spellEnd"/>
      <w:r w:rsidRPr="008834EC">
        <w:rPr>
          <w:rFonts w:ascii="Calibri" w:hAnsi="Calibri" w:cs="Calibri"/>
          <w:color w:val="0000FF"/>
          <w:sz w:val="24"/>
          <w:szCs w:val="24"/>
        </w:rPr>
        <w:t xml:space="preserve">. To collect spine bones, mortar and pestle can be used to crush bones into pieces and harvest the bone marrow cells. </w:t>
      </w:r>
    </w:p>
    <w:p w14:paraId="4BE3542E" w14:textId="77777777" w:rsidR="008834EC" w:rsidRPr="009F15DC" w:rsidRDefault="008834EC" w:rsidP="009F15DC">
      <w:pPr>
        <w:pStyle w:val="NormalWeb"/>
        <w:spacing w:before="0" w:beforeAutospacing="0" w:after="0" w:afterAutospacing="0"/>
        <w:rPr>
          <w:rFonts w:asciiTheme="minorHAnsi" w:hAnsiTheme="minorHAnsi" w:cstheme="minorHAnsi"/>
          <w:sz w:val="24"/>
          <w:szCs w:val="24"/>
        </w:rPr>
      </w:pPr>
    </w:p>
    <w:p w14:paraId="604ECAEB" w14:textId="056D14B5" w:rsidR="001B141B"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 xml:space="preserve">-In Protocol section 5, it would be helpful to note alternative routes of cell transfer. Tail vain intravenous injection and </w:t>
      </w:r>
      <w:proofErr w:type="spellStart"/>
      <w:r w:rsidRPr="009F15DC">
        <w:rPr>
          <w:rFonts w:asciiTheme="minorHAnsi" w:hAnsiTheme="minorHAnsi" w:cstheme="minorHAnsi"/>
          <w:i/>
          <w:iCs/>
          <w:sz w:val="24"/>
          <w:szCs w:val="24"/>
        </w:rPr>
        <w:t>intrafemural</w:t>
      </w:r>
      <w:proofErr w:type="spellEnd"/>
      <w:r w:rsidRPr="009F15DC">
        <w:rPr>
          <w:rFonts w:asciiTheme="minorHAnsi" w:hAnsiTheme="minorHAnsi" w:cstheme="minorHAnsi"/>
          <w:i/>
          <w:iCs/>
          <w:sz w:val="24"/>
          <w:szCs w:val="24"/>
        </w:rPr>
        <w:t xml:space="preserve"> injection can be mentioned.</w:t>
      </w:r>
    </w:p>
    <w:p w14:paraId="44C01C7A" w14:textId="19113B0E" w:rsidR="00E74AE5" w:rsidRDefault="00E74AE5" w:rsidP="009F15DC">
      <w:pPr>
        <w:pStyle w:val="NormalWeb"/>
        <w:spacing w:before="0" w:beforeAutospacing="0" w:after="0" w:afterAutospacing="0"/>
        <w:rPr>
          <w:rFonts w:asciiTheme="minorHAnsi" w:hAnsiTheme="minorHAnsi" w:cstheme="minorHAnsi"/>
          <w:i/>
          <w:iCs/>
          <w:sz w:val="24"/>
          <w:szCs w:val="24"/>
        </w:rPr>
      </w:pPr>
    </w:p>
    <w:p w14:paraId="49CB7AA1"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1E2C437D"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2325D373"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56B69917" w14:textId="224614A4" w:rsidR="00225528" w:rsidRDefault="00225528" w:rsidP="00225528">
      <w:pPr>
        <w:rPr>
          <w:rFonts w:ascii="Calibri" w:hAnsi="Calibri" w:cs="Calibri"/>
          <w:color w:val="0000FF"/>
          <w:sz w:val="24"/>
          <w:szCs w:val="24"/>
        </w:rPr>
      </w:pPr>
      <w:r>
        <w:rPr>
          <w:rFonts w:ascii="Calibri" w:hAnsi="Calibri" w:cs="Calibri"/>
          <w:color w:val="0000FF"/>
          <w:sz w:val="24"/>
          <w:szCs w:val="24"/>
        </w:rPr>
        <w:t xml:space="preserve">Added. </w:t>
      </w:r>
      <w:r w:rsidRPr="00055BC7">
        <w:rPr>
          <w:rFonts w:ascii="Calibri" w:hAnsi="Calibri" w:cs="Calibri"/>
          <w:color w:val="0000FF"/>
          <w:sz w:val="24"/>
          <w:szCs w:val="24"/>
          <w:highlight w:val="yellow"/>
        </w:rPr>
        <w:t>(line 3</w:t>
      </w:r>
      <w:r w:rsidR="00055BC7" w:rsidRPr="00055BC7">
        <w:rPr>
          <w:rFonts w:ascii="Calibri" w:hAnsi="Calibri" w:cs="Calibri"/>
          <w:color w:val="0000FF"/>
          <w:sz w:val="24"/>
          <w:szCs w:val="24"/>
          <w:highlight w:val="yellow"/>
        </w:rPr>
        <w:t>1</w:t>
      </w:r>
      <w:r w:rsidR="00175CB2">
        <w:rPr>
          <w:rFonts w:ascii="Calibri" w:hAnsi="Calibri" w:cs="Calibri"/>
          <w:color w:val="0000FF"/>
          <w:sz w:val="24"/>
          <w:szCs w:val="24"/>
          <w:highlight w:val="yellow"/>
        </w:rPr>
        <w:t>3</w:t>
      </w:r>
      <w:r w:rsidR="00055BC7" w:rsidRPr="00055BC7">
        <w:rPr>
          <w:rFonts w:ascii="Calibri" w:hAnsi="Calibri" w:cs="Calibri"/>
          <w:color w:val="0000FF"/>
          <w:sz w:val="24"/>
          <w:szCs w:val="24"/>
          <w:highlight w:val="yellow"/>
        </w:rPr>
        <w:t>-31</w:t>
      </w:r>
      <w:r w:rsidR="00175CB2">
        <w:rPr>
          <w:rFonts w:ascii="Calibri" w:hAnsi="Calibri" w:cs="Calibri"/>
          <w:color w:val="0000FF"/>
          <w:sz w:val="24"/>
          <w:szCs w:val="24"/>
          <w:highlight w:val="yellow"/>
        </w:rPr>
        <w:t>5</w:t>
      </w:r>
      <w:r w:rsidRPr="00055BC7">
        <w:rPr>
          <w:rFonts w:ascii="Calibri" w:hAnsi="Calibri" w:cs="Calibri"/>
          <w:color w:val="0000FF"/>
          <w:sz w:val="24"/>
          <w:szCs w:val="24"/>
          <w:highlight w:val="yellow"/>
        </w:rPr>
        <w:t>)</w:t>
      </w:r>
    </w:p>
    <w:p w14:paraId="40DB304D" w14:textId="719AA36A" w:rsidR="00E74AE5" w:rsidRPr="00E74AE5" w:rsidRDefault="00E74AE5" w:rsidP="00E74AE5">
      <w:pPr>
        <w:jc w:val="both"/>
        <w:rPr>
          <w:rFonts w:ascii="Calibri" w:hAnsi="Calibri" w:cs="Calibri"/>
          <w:color w:val="0000FF"/>
          <w:sz w:val="24"/>
          <w:szCs w:val="24"/>
        </w:rPr>
      </w:pPr>
      <w:r w:rsidRPr="00E74AE5">
        <w:rPr>
          <w:rFonts w:ascii="Calibri" w:hAnsi="Calibri" w:cs="Calibri"/>
          <w:color w:val="0000FF"/>
          <w:sz w:val="24"/>
          <w:szCs w:val="24"/>
        </w:rPr>
        <w:t>Note: As an alternative, delivery of the donor cells can be performed by</w:t>
      </w:r>
      <w:r w:rsidR="009B1D7B">
        <w:rPr>
          <w:rFonts w:ascii="Calibri" w:hAnsi="Calibri" w:cs="Calibri"/>
          <w:color w:val="0000FF"/>
          <w:sz w:val="24"/>
          <w:szCs w:val="24"/>
        </w:rPr>
        <w:t xml:space="preserve"> tail vein</w:t>
      </w:r>
      <w:r w:rsidRPr="00E74AE5">
        <w:rPr>
          <w:rFonts w:ascii="Calibri" w:hAnsi="Calibri" w:cs="Calibri"/>
          <w:color w:val="0000FF"/>
          <w:sz w:val="24"/>
          <w:szCs w:val="24"/>
        </w:rPr>
        <w:t xml:space="preserve"> intravenous injection </w:t>
      </w:r>
      <w:r w:rsidR="00055BC7">
        <w:rPr>
          <w:rFonts w:ascii="Calibri" w:hAnsi="Calibri" w:cs="Calibri"/>
          <w:color w:val="0000FF"/>
          <w:sz w:val="24"/>
          <w:szCs w:val="24"/>
        </w:rPr>
        <w:t xml:space="preserve">or </w:t>
      </w:r>
      <w:r w:rsidR="009B1D7B" w:rsidRPr="009B1D7B">
        <w:rPr>
          <w:rFonts w:ascii="Calibri" w:hAnsi="Calibri" w:cs="Calibri"/>
          <w:color w:val="0000FF"/>
          <w:sz w:val="24"/>
          <w:szCs w:val="24"/>
        </w:rPr>
        <w:t>femoral intramedullary injectio</w:t>
      </w:r>
      <w:r w:rsidR="009B1D7B">
        <w:rPr>
          <w:rFonts w:ascii="Calibri" w:hAnsi="Calibri" w:cs="Calibri"/>
          <w:color w:val="0000FF"/>
          <w:sz w:val="24"/>
          <w:szCs w:val="24"/>
        </w:rPr>
        <w:t>n</w:t>
      </w:r>
      <w:r w:rsidRPr="00E74AE5">
        <w:rPr>
          <w:rFonts w:ascii="Calibri" w:hAnsi="Calibri" w:cs="Calibri"/>
          <w:color w:val="0000FF"/>
          <w:sz w:val="24"/>
          <w:szCs w:val="24"/>
        </w:rPr>
        <w:t>, with a maximum volume of 0.2 mL</w:t>
      </w:r>
      <w:r w:rsidR="009B1D7B">
        <w:rPr>
          <w:rFonts w:ascii="Calibri" w:hAnsi="Calibri" w:cs="Calibri"/>
          <w:color w:val="0000FF"/>
          <w:sz w:val="24"/>
          <w:szCs w:val="24"/>
        </w:rPr>
        <w:t xml:space="preserve"> and 25 </w:t>
      </w:r>
      <w:proofErr w:type="spellStart"/>
      <w:r w:rsidR="00C70F2A" w:rsidRPr="00C70F2A">
        <w:rPr>
          <w:rFonts w:ascii="Calibri" w:hAnsi="Calibri" w:cs="Calibri"/>
          <w:color w:val="0000FF"/>
          <w:sz w:val="24"/>
          <w:szCs w:val="24"/>
        </w:rPr>
        <w:t>μ</w:t>
      </w:r>
      <w:r w:rsidR="00C70F2A">
        <w:rPr>
          <w:rFonts w:ascii="Calibri" w:hAnsi="Calibri" w:cs="Calibri"/>
          <w:color w:val="0000FF"/>
          <w:sz w:val="24"/>
          <w:szCs w:val="24"/>
        </w:rPr>
        <w:t>L</w:t>
      </w:r>
      <w:proofErr w:type="spellEnd"/>
      <w:r w:rsidR="00C70F2A">
        <w:rPr>
          <w:rFonts w:ascii="Calibri" w:hAnsi="Calibri" w:cs="Calibri"/>
          <w:color w:val="0000FF"/>
          <w:sz w:val="24"/>
          <w:szCs w:val="24"/>
        </w:rPr>
        <w:t>, respectively</w:t>
      </w:r>
      <w:r w:rsidRPr="00E74AE5">
        <w:rPr>
          <w:rFonts w:ascii="Calibri" w:hAnsi="Calibri" w:cs="Calibri"/>
          <w:color w:val="0000FF"/>
          <w:sz w:val="24"/>
          <w:szCs w:val="24"/>
        </w:rPr>
        <w:t xml:space="preserve">. </w:t>
      </w:r>
    </w:p>
    <w:p w14:paraId="7D2DAFBA"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2A67378E"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-In the Representative Results, at the last paragraph, the authors reference that the expansion of Tet2-deficiant does not impact the absolute numbers of the various blood cell types. In fact, there are significant changes in absolute number of cell population in peripheral blood in the referenced manuscript. To clarify this statement, the authors should specify "in cardiac immune cells".</w:t>
      </w:r>
    </w:p>
    <w:p w14:paraId="54CAFE01"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0A7F47C8"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4FF167D9"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100A8ABA" w14:textId="32F51F80" w:rsidR="00E74AE5" w:rsidRPr="00E74AE5" w:rsidRDefault="00E74AE5" w:rsidP="00E74AE5">
      <w:pPr>
        <w:jc w:val="both"/>
        <w:rPr>
          <w:rFonts w:ascii="Calibri" w:hAnsi="Calibri" w:cs="Calibri"/>
          <w:color w:val="0000FF"/>
          <w:sz w:val="24"/>
          <w:szCs w:val="24"/>
        </w:rPr>
      </w:pPr>
      <w:r w:rsidRPr="00EE5316">
        <w:rPr>
          <w:rFonts w:ascii="Calibri" w:hAnsi="Calibri" w:cs="Calibri"/>
          <w:color w:val="0000FF"/>
          <w:sz w:val="24"/>
          <w:szCs w:val="24"/>
        </w:rPr>
        <w:t>The absolute number</w:t>
      </w:r>
      <w:r w:rsidR="002F1D72" w:rsidRPr="00EE5316">
        <w:rPr>
          <w:rFonts w:ascii="Calibri" w:hAnsi="Calibri" w:cs="Calibri"/>
          <w:color w:val="0000FF"/>
          <w:sz w:val="24"/>
          <w:szCs w:val="24"/>
        </w:rPr>
        <w:t>s</w:t>
      </w:r>
      <w:r w:rsidRPr="00EE5316">
        <w:rPr>
          <w:rFonts w:ascii="Calibri" w:hAnsi="Calibri" w:cs="Calibri"/>
          <w:color w:val="0000FF"/>
          <w:sz w:val="24"/>
          <w:szCs w:val="24"/>
        </w:rPr>
        <w:t xml:space="preserve"> of </w:t>
      </w:r>
      <w:r w:rsidR="002F1D72" w:rsidRPr="00EE5316">
        <w:rPr>
          <w:rFonts w:ascii="Calibri" w:hAnsi="Calibri" w:cs="Calibri"/>
          <w:color w:val="0000FF"/>
          <w:sz w:val="24"/>
          <w:szCs w:val="24"/>
        </w:rPr>
        <w:t xml:space="preserve">the various </w:t>
      </w:r>
      <w:r w:rsidRPr="00EE5316">
        <w:rPr>
          <w:rFonts w:ascii="Calibri" w:hAnsi="Calibri" w:cs="Calibri"/>
          <w:color w:val="0000FF"/>
          <w:sz w:val="24"/>
          <w:szCs w:val="24"/>
        </w:rPr>
        <w:t>immune cell population</w:t>
      </w:r>
      <w:r w:rsidR="002F1D72" w:rsidRPr="00EE5316">
        <w:rPr>
          <w:rFonts w:ascii="Calibri" w:hAnsi="Calibri" w:cs="Calibri"/>
          <w:color w:val="0000FF"/>
          <w:sz w:val="24"/>
          <w:szCs w:val="24"/>
        </w:rPr>
        <w:t xml:space="preserve">s in </w:t>
      </w:r>
      <w:r w:rsidR="007E349F">
        <w:rPr>
          <w:rFonts w:ascii="Calibri" w:hAnsi="Calibri" w:cs="Calibri"/>
          <w:color w:val="0000FF"/>
          <w:sz w:val="24"/>
          <w:szCs w:val="24"/>
        </w:rPr>
        <w:t xml:space="preserve">both cardiac and </w:t>
      </w:r>
      <w:r w:rsidR="002F1D72" w:rsidRPr="00EE5316">
        <w:rPr>
          <w:rFonts w:ascii="Calibri" w:hAnsi="Calibri" w:cs="Calibri"/>
          <w:color w:val="0000FF"/>
          <w:sz w:val="24"/>
          <w:szCs w:val="24"/>
        </w:rPr>
        <w:t>peripheral blood d</w:t>
      </w:r>
      <w:r w:rsidR="007E349F">
        <w:rPr>
          <w:rFonts w:ascii="Calibri" w:hAnsi="Calibri" w:cs="Calibri"/>
          <w:color w:val="0000FF"/>
          <w:sz w:val="24"/>
          <w:szCs w:val="24"/>
        </w:rPr>
        <w:t>oes not display</w:t>
      </w:r>
      <w:r w:rsidR="002F1D72" w:rsidRPr="00EE5316">
        <w:rPr>
          <w:rFonts w:ascii="Calibri" w:hAnsi="Calibri" w:cs="Calibri"/>
          <w:color w:val="0000FF"/>
          <w:sz w:val="24"/>
          <w:szCs w:val="24"/>
        </w:rPr>
        <w:t xml:space="preserve"> </w:t>
      </w:r>
      <w:r w:rsidR="00543332" w:rsidRPr="00EE5316">
        <w:rPr>
          <w:rFonts w:ascii="Calibri" w:hAnsi="Calibri" w:cs="Calibri"/>
          <w:color w:val="0000FF"/>
          <w:sz w:val="24"/>
          <w:szCs w:val="24"/>
        </w:rPr>
        <w:t>statistically significant difference</w:t>
      </w:r>
      <w:r w:rsidR="002F1D72" w:rsidRPr="00EE5316">
        <w:rPr>
          <w:rFonts w:ascii="Calibri" w:hAnsi="Calibri" w:cs="Calibri"/>
          <w:color w:val="0000FF"/>
          <w:sz w:val="24"/>
          <w:szCs w:val="24"/>
        </w:rPr>
        <w:t>s</w:t>
      </w:r>
      <w:r w:rsidRPr="00EE5316">
        <w:rPr>
          <w:rFonts w:ascii="Calibri" w:hAnsi="Calibri" w:cs="Calibri"/>
          <w:color w:val="0000FF"/>
          <w:sz w:val="24"/>
          <w:szCs w:val="24"/>
        </w:rPr>
        <w:t xml:space="preserve"> </w:t>
      </w:r>
      <w:r w:rsidR="007E349F">
        <w:rPr>
          <w:rFonts w:ascii="Calibri" w:hAnsi="Calibri" w:cs="Calibri"/>
          <w:color w:val="0000FF"/>
          <w:sz w:val="24"/>
          <w:szCs w:val="24"/>
        </w:rPr>
        <w:t>in these models</w:t>
      </w:r>
      <w:r w:rsidRPr="00EE5316">
        <w:rPr>
          <w:rFonts w:ascii="Calibri" w:hAnsi="Calibri" w:cs="Calibri"/>
          <w:color w:val="0000FF"/>
          <w:sz w:val="24"/>
          <w:szCs w:val="24"/>
        </w:rPr>
        <w:t>. While</w:t>
      </w:r>
      <w:r w:rsidRPr="00C95D9B">
        <w:rPr>
          <w:rFonts w:ascii="Calibri" w:hAnsi="Calibri" w:cs="Calibri"/>
          <w:color w:val="0000FF"/>
          <w:sz w:val="24"/>
          <w:szCs w:val="24"/>
        </w:rPr>
        <w:t xml:space="preserve"> the absolute number of </w:t>
      </w:r>
      <w:r w:rsidR="007E349F">
        <w:rPr>
          <w:rFonts w:ascii="Calibri" w:hAnsi="Calibri" w:cs="Calibri"/>
          <w:color w:val="0000FF"/>
          <w:sz w:val="24"/>
          <w:szCs w:val="24"/>
        </w:rPr>
        <w:t xml:space="preserve">mutant </w:t>
      </w:r>
      <w:r w:rsidRPr="00C95D9B">
        <w:rPr>
          <w:rFonts w:ascii="Calibri" w:hAnsi="Calibri" w:cs="Calibri"/>
          <w:color w:val="0000FF"/>
          <w:sz w:val="24"/>
          <w:szCs w:val="24"/>
        </w:rPr>
        <w:t xml:space="preserve">immune cells from the </w:t>
      </w:r>
      <w:r w:rsidRPr="0020543D">
        <w:rPr>
          <w:rFonts w:ascii="Calibri" w:hAnsi="Calibri" w:cs="Calibri"/>
          <w:i/>
          <w:iCs/>
          <w:color w:val="0000FF"/>
          <w:sz w:val="24"/>
          <w:szCs w:val="24"/>
        </w:rPr>
        <w:t>Tet2-deficient</w:t>
      </w:r>
      <w:r w:rsidRPr="00C95D9B">
        <w:rPr>
          <w:rFonts w:ascii="Calibri" w:hAnsi="Calibri" w:cs="Calibri"/>
          <w:color w:val="0000FF"/>
          <w:sz w:val="24"/>
          <w:szCs w:val="24"/>
        </w:rPr>
        <w:t xml:space="preserve"> donor bone marrow cells increases over time, the total absolute number, which is the combined absolute number of recipient and donor cells, does not change.</w:t>
      </w:r>
      <w:r w:rsidRPr="00E74AE5">
        <w:rPr>
          <w:rFonts w:ascii="Calibri" w:hAnsi="Calibri" w:cs="Calibri"/>
          <w:color w:val="0000FF"/>
          <w:sz w:val="24"/>
          <w:szCs w:val="24"/>
        </w:rPr>
        <w:t xml:space="preserve"> </w:t>
      </w:r>
      <w:r w:rsidR="007E349F">
        <w:rPr>
          <w:rFonts w:ascii="Calibri" w:hAnsi="Calibri" w:cs="Calibri"/>
          <w:color w:val="0000FF"/>
          <w:sz w:val="24"/>
          <w:szCs w:val="24"/>
        </w:rPr>
        <w:t>T</w:t>
      </w:r>
      <w:r w:rsidR="007E349F" w:rsidRPr="007E349F">
        <w:rPr>
          <w:rFonts w:ascii="Calibri" w:hAnsi="Calibri" w:cs="Calibri"/>
          <w:color w:val="0000FF"/>
          <w:sz w:val="24"/>
          <w:szCs w:val="24"/>
        </w:rPr>
        <w:t>hus, these models are consistent with the clinical paradigm of clonal hematopoiesis in which the mutant clone expands, but the absolute number of immune cells does not change.</w:t>
      </w:r>
    </w:p>
    <w:p w14:paraId="7B29BF67"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6DA215AA" w14:textId="77777777" w:rsidR="009F15DC" w:rsidRPr="009F15DC" w:rsidRDefault="009F15DC" w:rsidP="009F15DC">
      <w:pPr>
        <w:spacing w:after="0" w:line="240" w:lineRule="auto"/>
        <w:rPr>
          <w:rFonts w:cstheme="minorHAnsi"/>
          <w:b/>
          <w:bCs/>
          <w:sz w:val="24"/>
          <w:szCs w:val="24"/>
        </w:rPr>
      </w:pPr>
      <w:r w:rsidRPr="009F15DC">
        <w:rPr>
          <w:rFonts w:cstheme="minorHAnsi"/>
          <w:b/>
          <w:bCs/>
          <w:sz w:val="24"/>
          <w:szCs w:val="24"/>
        </w:rPr>
        <w:br w:type="page"/>
      </w:r>
    </w:p>
    <w:p w14:paraId="0B495076" w14:textId="1B5D841D" w:rsidR="001B141B" w:rsidRPr="009F15DC" w:rsidRDefault="008D70B3"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b/>
          <w:bCs/>
          <w:sz w:val="24"/>
          <w:szCs w:val="24"/>
        </w:rPr>
        <w:lastRenderedPageBreak/>
        <w:t xml:space="preserve">Reviewer #4: </w:t>
      </w:r>
    </w:p>
    <w:p w14:paraId="25A57C41" w14:textId="003C062A" w:rsidR="001B141B" w:rsidRDefault="001B141B" w:rsidP="009F15DC">
      <w:pPr>
        <w:pStyle w:val="NormalWeb"/>
        <w:spacing w:before="0" w:beforeAutospacing="0" w:after="0" w:afterAutospacing="0"/>
        <w:rPr>
          <w:rFonts w:asciiTheme="minorHAnsi" w:hAnsiTheme="minorHAnsi" w:cstheme="minorHAnsi"/>
          <w:sz w:val="24"/>
          <w:szCs w:val="24"/>
        </w:rPr>
      </w:pPr>
    </w:p>
    <w:p w14:paraId="19C53248" w14:textId="38B3AC4A" w:rsidR="002E3C74" w:rsidRPr="002E3C74" w:rsidRDefault="002E3C74" w:rsidP="009F15DC">
      <w:pPr>
        <w:pStyle w:val="NormalWeb"/>
        <w:spacing w:before="0" w:beforeAutospacing="0" w:after="0" w:afterAutospacing="0"/>
        <w:rPr>
          <w:rFonts w:asciiTheme="minorHAnsi" w:hAnsiTheme="minorHAnsi" w:cstheme="minorHAnsi"/>
          <w:i/>
          <w:iCs/>
          <w:sz w:val="24"/>
          <w:szCs w:val="24"/>
        </w:rPr>
      </w:pPr>
      <w:r w:rsidRPr="002E3C74">
        <w:rPr>
          <w:i/>
          <w:iCs/>
        </w:rPr>
        <w:t>Park et al clearly describe commonly used and less commonly used BMT techniques to assess re-population potential of murine bone marrow from genotypes relevant to studying clonal hematopoiesis (CH), and their potential effects (in terms of immune cell presence) on a few specific organs. As studies of CH emerge that focus on specific organ systems, this protocol provides ideas and data on which method variant may be most beneficial for a specific site or research question. The experimental steps are described in sufficient detail, and the figures provided are practical.</w:t>
      </w:r>
    </w:p>
    <w:p w14:paraId="325E5AB6" w14:textId="77777777" w:rsidR="00B058C5" w:rsidRDefault="00B058C5" w:rsidP="00B058C5">
      <w:pPr>
        <w:pStyle w:val="NormalWeb"/>
        <w:spacing w:before="0" w:beforeAutospacing="0" w:after="0" w:afterAutospacing="0"/>
        <w:rPr>
          <w:rFonts w:asciiTheme="minorHAnsi" w:hAnsiTheme="minorHAnsi" w:cstheme="minorHAnsi"/>
          <w:sz w:val="24"/>
          <w:szCs w:val="24"/>
        </w:rPr>
      </w:pPr>
    </w:p>
    <w:p w14:paraId="68CABD93" w14:textId="77777777" w:rsidR="00B058C5" w:rsidRDefault="00B058C5" w:rsidP="00B058C5">
      <w:pPr>
        <w:pStyle w:val="NormalWeb"/>
        <w:spacing w:before="0" w:beforeAutospacing="0" w:after="0" w:afterAutospacing="0"/>
        <w:rPr>
          <w:rFonts w:asciiTheme="minorHAnsi" w:hAnsiTheme="minorHAnsi" w:cstheme="minorHAnsi"/>
          <w:sz w:val="24"/>
          <w:szCs w:val="24"/>
        </w:rPr>
      </w:pPr>
      <w:r w:rsidRPr="006B0590">
        <w:rPr>
          <w:rFonts w:asciiTheme="minorHAnsi" w:hAnsiTheme="minorHAnsi" w:cstheme="minorHAnsi"/>
          <w:sz w:val="24"/>
          <w:szCs w:val="24"/>
          <w:u w:val="single"/>
        </w:rPr>
        <w:t>Response</w:t>
      </w:r>
      <w:r>
        <w:rPr>
          <w:rFonts w:asciiTheme="minorHAnsi" w:hAnsiTheme="minorHAnsi" w:cstheme="minorHAnsi"/>
          <w:sz w:val="24"/>
          <w:szCs w:val="24"/>
        </w:rPr>
        <w:t xml:space="preserve">: </w:t>
      </w:r>
      <w:r w:rsidRPr="0059016F">
        <w:rPr>
          <w:color w:val="0000FF"/>
          <w:sz w:val="24"/>
          <w:szCs w:val="24"/>
        </w:rPr>
        <w:t>We thank the reviewer for these positive comments.</w:t>
      </w:r>
    </w:p>
    <w:p w14:paraId="44D798DA" w14:textId="77777777" w:rsidR="00B058C5" w:rsidRPr="009F15DC" w:rsidRDefault="00B058C5" w:rsidP="00B058C5">
      <w:pPr>
        <w:pStyle w:val="NormalWeb"/>
        <w:spacing w:before="0" w:beforeAutospacing="0" w:after="0" w:afterAutospacing="0"/>
        <w:rPr>
          <w:rFonts w:asciiTheme="minorHAnsi" w:hAnsiTheme="minorHAnsi" w:cstheme="minorHAnsi"/>
          <w:sz w:val="24"/>
          <w:szCs w:val="24"/>
        </w:rPr>
      </w:pPr>
    </w:p>
    <w:p w14:paraId="1E0FC4FB" w14:textId="77777777" w:rsidR="00B058C5" w:rsidRPr="009F15DC" w:rsidRDefault="00B058C5" w:rsidP="00B058C5">
      <w:pPr>
        <w:pStyle w:val="NormalWeb"/>
        <w:spacing w:before="0" w:beforeAutospacing="0" w:after="0" w:afterAutospacing="0"/>
        <w:rPr>
          <w:rFonts w:asciiTheme="minorHAnsi" w:hAnsiTheme="minorHAnsi" w:cstheme="minorHAnsi"/>
          <w:sz w:val="24"/>
          <w:szCs w:val="24"/>
        </w:rPr>
      </w:pPr>
    </w:p>
    <w:p w14:paraId="64C44F9E" w14:textId="70FBB042"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Major Concerns:</w:t>
      </w:r>
      <w:r w:rsidR="001B141B" w:rsidRPr="009F15DC">
        <w:rPr>
          <w:rFonts w:asciiTheme="minorHAnsi" w:hAnsiTheme="minorHAnsi" w:cstheme="minorHAnsi"/>
          <w:i/>
          <w:iCs/>
          <w:sz w:val="24"/>
          <w:szCs w:val="24"/>
        </w:rPr>
        <w:t xml:space="preserve"> </w:t>
      </w:r>
      <w:r w:rsidRPr="009F15DC">
        <w:rPr>
          <w:rFonts w:asciiTheme="minorHAnsi" w:hAnsiTheme="minorHAnsi" w:cstheme="minorHAnsi"/>
          <w:i/>
          <w:iCs/>
          <w:sz w:val="24"/>
          <w:szCs w:val="24"/>
        </w:rPr>
        <w:t>None</w:t>
      </w:r>
    </w:p>
    <w:p w14:paraId="611C24DB" w14:textId="77777777" w:rsidR="001B141B" w:rsidRPr="009F15DC" w:rsidRDefault="001B141B" w:rsidP="009F15DC">
      <w:pPr>
        <w:pStyle w:val="NormalWeb"/>
        <w:spacing w:before="0" w:beforeAutospacing="0" w:after="0" w:afterAutospacing="0"/>
        <w:rPr>
          <w:rFonts w:asciiTheme="minorHAnsi" w:hAnsiTheme="minorHAnsi" w:cstheme="minorHAnsi"/>
          <w:i/>
          <w:iCs/>
          <w:sz w:val="24"/>
          <w:szCs w:val="24"/>
        </w:rPr>
      </w:pPr>
    </w:p>
    <w:p w14:paraId="74B43082"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Minor Concerns:</w:t>
      </w:r>
    </w:p>
    <w:p w14:paraId="2E42A076"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Lines 124 &amp; 488: "Diet gel" is an incorrect term, as it is a specific product (e.g. "DietGel Recovery, DietGel Boost"). "Nutritional/hydration gel" is a more generic term for this. Please use the specific product name or the general product descriptor name.</w:t>
      </w:r>
    </w:p>
    <w:p w14:paraId="4D12AA22"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6015ADF8"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3ABFF835"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71A1DF6B" w14:textId="463EF1BF" w:rsidR="001B141B" w:rsidRPr="009F15DC" w:rsidRDefault="00F44525" w:rsidP="00F44525">
      <w:pPr>
        <w:pStyle w:val="NormalWeb"/>
        <w:spacing w:before="0" w:beforeAutospacing="0" w:after="0" w:afterAutospacing="0"/>
        <w:rPr>
          <w:rFonts w:asciiTheme="minorHAnsi" w:hAnsiTheme="minorHAnsi" w:cstheme="minorHAnsi"/>
          <w:sz w:val="24"/>
          <w:szCs w:val="24"/>
        </w:rPr>
      </w:pPr>
      <w:r w:rsidRPr="00F44525">
        <w:rPr>
          <w:color w:val="0000FF"/>
          <w:sz w:val="24"/>
          <w:szCs w:val="24"/>
        </w:rPr>
        <w:t>Corrected. In all cases, the term “Diet gel” was changed to “Nutritional/hydration gel”.</w:t>
      </w:r>
      <w:r w:rsidR="00A57C3F">
        <w:rPr>
          <w:color w:val="0000FF"/>
          <w:sz w:val="24"/>
          <w:szCs w:val="24"/>
        </w:rPr>
        <w:t xml:space="preserve"> </w:t>
      </w:r>
      <w:r w:rsidR="00A57C3F" w:rsidRPr="00A57C3F">
        <w:rPr>
          <w:color w:val="0000FF"/>
          <w:sz w:val="24"/>
          <w:szCs w:val="24"/>
          <w:highlight w:val="yellow"/>
        </w:rPr>
        <w:t>(Line 123, 5</w:t>
      </w:r>
      <w:r w:rsidR="00982761">
        <w:rPr>
          <w:color w:val="0000FF"/>
          <w:sz w:val="24"/>
          <w:szCs w:val="24"/>
          <w:highlight w:val="yellow"/>
        </w:rPr>
        <w:t>9</w:t>
      </w:r>
      <w:r w:rsidR="00175CB2">
        <w:rPr>
          <w:color w:val="0000FF"/>
          <w:sz w:val="24"/>
          <w:szCs w:val="24"/>
          <w:highlight w:val="yellow"/>
        </w:rPr>
        <w:t>3</w:t>
      </w:r>
      <w:r w:rsidR="00A57C3F" w:rsidRPr="00A57C3F">
        <w:rPr>
          <w:color w:val="0000FF"/>
          <w:sz w:val="24"/>
          <w:szCs w:val="24"/>
          <w:highlight w:val="yellow"/>
        </w:rPr>
        <w:t>)</w:t>
      </w:r>
      <w:r w:rsidRPr="00EC1125">
        <w:rPr>
          <w:color w:val="000000"/>
        </w:rPr>
        <w:br/>
      </w:r>
    </w:p>
    <w:p w14:paraId="32F0F101"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135-6: The correct term for a radiation dose to be "split into" smaller doses is "fractionated". Perhaps using "recipient mice receive a total lethal radiation dose of 11 Gy in two 5.5 Gy fractions separated by a 4-24 h interval" will be most accurate and broadly understandable by readers. Similarly on line 138 &amp; 182 etc., a dose would be a "fraction".</w:t>
      </w:r>
    </w:p>
    <w:p w14:paraId="605A8E1A"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0D0A5404"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6045C563" w14:textId="20993434" w:rsidR="001B141B" w:rsidRDefault="001B141B" w:rsidP="009F15DC">
      <w:pPr>
        <w:pStyle w:val="NormalWeb"/>
        <w:spacing w:before="0" w:beforeAutospacing="0" w:after="0" w:afterAutospacing="0"/>
        <w:rPr>
          <w:rFonts w:asciiTheme="minorHAnsi" w:hAnsiTheme="minorHAnsi" w:cstheme="minorHAnsi"/>
          <w:sz w:val="24"/>
          <w:szCs w:val="24"/>
        </w:rPr>
      </w:pPr>
    </w:p>
    <w:p w14:paraId="7A47B8EE" w14:textId="21041D41" w:rsidR="00AA0254" w:rsidRDefault="00F44525" w:rsidP="0059016F">
      <w:pPr>
        <w:pStyle w:val="NormalWeb"/>
        <w:spacing w:before="0" w:beforeAutospacing="0" w:after="0" w:afterAutospacing="0"/>
        <w:jc w:val="both"/>
        <w:rPr>
          <w:color w:val="0000FF"/>
          <w:sz w:val="24"/>
          <w:szCs w:val="24"/>
        </w:rPr>
      </w:pPr>
      <w:r w:rsidRPr="00F44525">
        <w:rPr>
          <w:color w:val="0000FF"/>
          <w:sz w:val="24"/>
          <w:szCs w:val="24"/>
        </w:rPr>
        <w:t xml:space="preserve">Thank you for your suggestion. </w:t>
      </w:r>
      <w:r w:rsidR="00D0299A">
        <w:rPr>
          <w:color w:val="0000FF"/>
          <w:sz w:val="24"/>
          <w:szCs w:val="24"/>
        </w:rPr>
        <w:t>We c</w:t>
      </w:r>
      <w:r w:rsidR="00AA0254">
        <w:rPr>
          <w:color w:val="0000FF"/>
          <w:sz w:val="24"/>
          <w:szCs w:val="24"/>
        </w:rPr>
        <w:t xml:space="preserve">orrected the sentence and </w:t>
      </w:r>
      <w:r w:rsidRPr="00F44525">
        <w:rPr>
          <w:color w:val="0000FF"/>
          <w:sz w:val="24"/>
          <w:szCs w:val="24"/>
        </w:rPr>
        <w:t xml:space="preserve">changed the term “dose” to “fraction” in the manuscript.  </w:t>
      </w:r>
      <w:r w:rsidR="00A57C3F" w:rsidRPr="00952891">
        <w:rPr>
          <w:color w:val="0000FF"/>
          <w:sz w:val="24"/>
          <w:szCs w:val="24"/>
          <w:highlight w:val="yellow"/>
        </w:rPr>
        <w:t>(Line 138, 141, 199, 202, 33</w:t>
      </w:r>
      <w:r w:rsidR="00175CB2">
        <w:rPr>
          <w:color w:val="0000FF"/>
          <w:sz w:val="24"/>
          <w:szCs w:val="24"/>
          <w:highlight w:val="yellow"/>
        </w:rPr>
        <w:t>7</w:t>
      </w:r>
      <w:r w:rsidR="00A57C3F" w:rsidRPr="00952891">
        <w:rPr>
          <w:color w:val="0000FF"/>
          <w:sz w:val="24"/>
          <w:szCs w:val="24"/>
          <w:highlight w:val="yellow"/>
        </w:rPr>
        <w:t>, 34</w:t>
      </w:r>
      <w:r w:rsidR="00175CB2">
        <w:rPr>
          <w:color w:val="0000FF"/>
          <w:sz w:val="24"/>
          <w:szCs w:val="24"/>
          <w:highlight w:val="yellow"/>
        </w:rPr>
        <w:t>4</w:t>
      </w:r>
      <w:r w:rsidR="00A57C3F" w:rsidRPr="00952891">
        <w:rPr>
          <w:color w:val="0000FF"/>
          <w:sz w:val="24"/>
          <w:szCs w:val="24"/>
          <w:highlight w:val="yellow"/>
        </w:rPr>
        <w:t>, 3</w:t>
      </w:r>
      <w:r w:rsidR="00175CB2">
        <w:rPr>
          <w:color w:val="0000FF"/>
          <w:sz w:val="24"/>
          <w:szCs w:val="24"/>
          <w:highlight w:val="yellow"/>
        </w:rPr>
        <w:t>51</w:t>
      </w:r>
      <w:r w:rsidR="00A57C3F" w:rsidRPr="00952891">
        <w:rPr>
          <w:color w:val="0000FF"/>
          <w:sz w:val="24"/>
          <w:szCs w:val="24"/>
          <w:highlight w:val="yellow"/>
        </w:rPr>
        <w:t xml:space="preserve">, </w:t>
      </w:r>
      <w:r w:rsidR="00175CB2">
        <w:rPr>
          <w:color w:val="0000FF"/>
          <w:sz w:val="24"/>
          <w:szCs w:val="24"/>
          <w:highlight w:val="yellow"/>
        </w:rPr>
        <w:t>402</w:t>
      </w:r>
      <w:r w:rsidR="00A57C3F" w:rsidRPr="00952891">
        <w:rPr>
          <w:color w:val="0000FF"/>
          <w:sz w:val="24"/>
          <w:szCs w:val="24"/>
          <w:highlight w:val="yellow"/>
        </w:rPr>
        <w:t>, 40</w:t>
      </w:r>
      <w:r w:rsidR="00175CB2">
        <w:rPr>
          <w:color w:val="0000FF"/>
          <w:sz w:val="24"/>
          <w:szCs w:val="24"/>
          <w:highlight w:val="yellow"/>
        </w:rPr>
        <w:t>3</w:t>
      </w:r>
      <w:r w:rsidR="00A57C3F" w:rsidRPr="00952891">
        <w:rPr>
          <w:color w:val="0000FF"/>
          <w:sz w:val="24"/>
          <w:szCs w:val="24"/>
          <w:highlight w:val="yellow"/>
        </w:rPr>
        <w:t xml:space="preserve">, </w:t>
      </w:r>
      <w:r w:rsidR="00982761">
        <w:rPr>
          <w:color w:val="0000FF"/>
          <w:sz w:val="24"/>
          <w:szCs w:val="24"/>
          <w:highlight w:val="yellow"/>
        </w:rPr>
        <w:t>42</w:t>
      </w:r>
      <w:r w:rsidR="00175CB2">
        <w:rPr>
          <w:color w:val="0000FF"/>
          <w:sz w:val="24"/>
          <w:szCs w:val="24"/>
          <w:highlight w:val="yellow"/>
        </w:rPr>
        <w:t>7</w:t>
      </w:r>
      <w:r w:rsidR="00982761">
        <w:rPr>
          <w:color w:val="0000FF"/>
          <w:sz w:val="24"/>
          <w:szCs w:val="24"/>
          <w:highlight w:val="yellow"/>
        </w:rPr>
        <w:t xml:space="preserve">, </w:t>
      </w:r>
      <w:r w:rsidR="00952891" w:rsidRPr="00952891">
        <w:rPr>
          <w:color w:val="0000FF"/>
          <w:sz w:val="24"/>
          <w:szCs w:val="24"/>
          <w:highlight w:val="yellow"/>
        </w:rPr>
        <w:t>5</w:t>
      </w:r>
      <w:r w:rsidR="00982761">
        <w:rPr>
          <w:color w:val="0000FF"/>
          <w:sz w:val="24"/>
          <w:szCs w:val="24"/>
          <w:highlight w:val="yellow"/>
        </w:rPr>
        <w:t>6</w:t>
      </w:r>
      <w:r w:rsidR="00861B0C">
        <w:rPr>
          <w:color w:val="0000FF"/>
          <w:sz w:val="24"/>
          <w:szCs w:val="24"/>
          <w:highlight w:val="yellow"/>
        </w:rPr>
        <w:t>3</w:t>
      </w:r>
      <w:r w:rsidR="00952891" w:rsidRPr="00952891">
        <w:rPr>
          <w:color w:val="0000FF"/>
          <w:sz w:val="24"/>
          <w:szCs w:val="24"/>
          <w:highlight w:val="yellow"/>
        </w:rPr>
        <w:t xml:space="preserve">, </w:t>
      </w:r>
      <w:r w:rsidR="00861B0C">
        <w:rPr>
          <w:color w:val="0000FF"/>
          <w:sz w:val="24"/>
          <w:szCs w:val="24"/>
          <w:highlight w:val="yellow"/>
        </w:rPr>
        <w:t xml:space="preserve">564, </w:t>
      </w:r>
      <w:r w:rsidR="00952891" w:rsidRPr="00952891">
        <w:rPr>
          <w:color w:val="0000FF"/>
          <w:sz w:val="24"/>
          <w:szCs w:val="24"/>
          <w:highlight w:val="yellow"/>
        </w:rPr>
        <w:t>5</w:t>
      </w:r>
      <w:r w:rsidR="00982761">
        <w:rPr>
          <w:color w:val="0000FF"/>
          <w:sz w:val="24"/>
          <w:szCs w:val="24"/>
          <w:highlight w:val="yellow"/>
        </w:rPr>
        <w:t>6</w:t>
      </w:r>
      <w:r w:rsidR="00861B0C">
        <w:rPr>
          <w:color w:val="0000FF"/>
          <w:sz w:val="24"/>
          <w:szCs w:val="24"/>
          <w:highlight w:val="yellow"/>
        </w:rPr>
        <w:t>7</w:t>
      </w:r>
      <w:r w:rsidR="00952891" w:rsidRPr="00952891">
        <w:rPr>
          <w:color w:val="0000FF"/>
          <w:sz w:val="24"/>
          <w:szCs w:val="24"/>
          <w:highlight w:val="yellow"/>
        </w:rPr>
        <w:t>, 5</w:t>
      </w:r>
      <w:r w:rsidR="00175CB2">
        <w:rPr>
          <w:color w:val="0000FF"/>
          <w:sz w:val="24"/>
          <w:szCs w:val="24"/>
          <w:highlight w:val="yellow"/>
        </w:rPr>
        <w:t>7</w:t>
      </w:r>
      <w:r w:rsidR="00861B0C">
        <w:rPr>
          <w:color w:val="0000FF"/>
          <w:sz w:val="24"/>
          <w:szCs w:val="24"/>
          <w:highlight w:val="yellow"/>
        </w:rPr>
        <w:t>0</w:t>
      </w:r>
      <w:r w:rsidR="00952891" w:rsidRPr="00952891">
        <w:rPr>
          <w:color w:val="0000FF"/>
          <w:sz w:val="24"/>
          <w:szCs w:val="24"/>
          <w:highlight w:val="yellow"/>
        </w:rPr>
        <w:t>)</w:t>
      </w:r>
    </w:p>
    <w:p w14:paraId="3864F40C" w14:textId="2C8E6B70" w:rsidR="001B141B" w:rsidRPr="009F15DC" w:rsidRDefault="00F44525" w:rsidP="00AA0254">
      <w:pPr>
        <w:pStyle w:val="NormalWeb"/>
        <w:spacing w:before="0" w:beforeAutospacing="0" w:after="0" w:afterAutospacing="0"/>
        <w:jc w:val="both"/>
        <w:rPr>
          <w:rFonts w:asciiTheme="minorHAnsi" w:hAnsiTheme="minorHAnsi" w:cstheme="minorHAnsi"/>
          <w:i/>
          <w:iCs/>
          <w:sz w:val="24"/>
          <w:szCs w:val="24"/>
        </w:rPr>
      </w:pPr>
      <w:r w:rsidRPr="00F44525">
        <w:rPr>
          <w:color w:val="000000"/>
          <w:sz w:val="24"/>
          <w:szCs w:val="24"/>
        </w:rPr>
        <w:br/>
      </w:r>
      <w:r w:rsidR="008D70B3" w:rsidRPr="009F15DC">
        <w:rPr>
          <w:rFonts w:asciiTheme="minorHAnsi" w:hAnsiTheme="minorHAnsi" w:cstheme="minorHAnsi"/>
          <w:i/>
          <w:iCs/>
          <w:sz w:val="24"/>
          <w:szCs w:val="24"/>
        </w:rPr>
        <w:t>184: Or under red heat lamps (or if not, why not)</w:t>
      </w:r>
    </w:p>
    <w:p w14:paraId="13F353A4" w14:textId="7473D669" w:rsidR="001B141B" w:rsidRDefault="001B141B" w:rsidP="009F15DC">
      <w:pPr>
        <w:pStyle w:val="NormalWeb"/>
        <w:spacing w:before="0" w:beforeAutospacing="0" w:after="0" w:afterAutospacing="0"/>
        <w:rPr>
          <w:rFonts w:asciiTheme="minorHAnsi" w:hAnsiTheme="minorHAnsi" w:cstheme="minorHAnsi"/>
          <w:sz w:val="24"/>
          <w:szCs w:val="24"/>
        </w:rPr>
      </w:pPr>
    </w:p>
    <w:p w14:paraId="78DC87E7"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3F569424"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3F44698B" w14:textId="227C1812" w:rsidR="00F44525" w:rsidRPr="00F44525" w:rsidRDefault="00F44525" w:rsidP="00F44525">
      <w:pPr>
        <w:rPr>
          <w:rFonts w:ascii="Calibri" w:hAnsi="Calibri" w:cs="Calibri"/>
          <w:color w:val="0000FF"/>
          <w:sz w:val="24"/>
          <w:szCs w:val="24"/>
        </w:rPr>
      </w:pPr>
      <w:r w:rsidRPr="00F44525">
        <w:rPr>
          <w:rFonts w:ascii="Calibri" w:hAnsi="Calibri" w:cs="Calibri"/>
          <w:color w:val="0000FF"/>
          <w:sz w:val="24"/>
          <w:szCs w:val="24"/>
        </w:rPr>
        <w:t>The sentence has been modified as follows:</w:t>
      </w:r>
      <w:r w:rsidR="00F71B22">
        <w:rPr>
          <w:rFonts w:ascii="Calibri" w:hAnsi="Calibri" w:cs="Calibri"/>
          <w:color w:val="0000FF"/>
          <w:sz w:val="24"/>
          <w:szCs w:val="24"/>
        </w:rPr>
        <w:t xml:space="preserve"> </w:t>
      </w:r>
      <w:r w:rsidR="00F71B22" w:rsidRPr="00F71B22">
        <w:rPr>
          <w:rFonts w:ascii="Calibri" w:hAnsi="Calibri" w:cs="Calibri"/>
          <w:color w:val="0000FF"/>
          <w:sz w:val="24"/>
          <w:szCs w:val="24"/>
          <w:highlight w:val="yellow"/>
        </w:rPr>
        <w:t>(</w:t>
      </w:r>
      <w:r w:rsidR="00F71B22" w:rsidRPr="00F71B22">
        <w:rPr>
          <w:color w:val="0000FF"/>
          <w:sz w:val="24"/>
          <w:szCs w:val="24"/>
          <w:highlight w:val="yellow"/>
        </w:rPr>
        <w:t>L</w:t>
      </w:r>
      <w:r w:rsidR="00F71B22" w:rsidRPr="00952891">
        <w:rPr>
          <w:color w:val="0000FF"/>
          <w:sz w:val="24"/>
          <w:szCs w:val="24"/>
          <w:highlight w:val="yellow"/>
        </w:rPr>
        <w:t xml:space="preserve">ine </w:t>
      </w:r>
      <w:r w:rsidR="00F71B22">
        <w:rPr>
          <w:color w:val="0000FF"/>
          <w:sz w:val="24"/>
          <w:szCs w:val="24"/>
          <w:highlight w:val="yellow"/>
        </w:rPr>
        <w:t>2</w:t>
      </w:r>
      <w:r w:rsidR="00AE4868">
        <w:rPr>
          <w:color w:val="0000FF"/>
          <w:sz w:val="24"/>
          <w:szCs w:val="24"/>
          <w:highlight w:val="yellow"/>
        </w:rPr>
        <w:t>02</w:t>
      </w:r>
      <w:r w:rsidR="00F71B22">
        <w:rPr>
          <w:color w:val="0000FF"/>
          <w:sz w:val="24"/>
          <w:szCs w:val="24"/>
          <w:highlight w:val="yellow"/>
        </w:rPr>
        <w:t>-2</w:t>
      </w:r>
      <w:r w:rsidR="00AE4868">
        <w:rPr>
          <w:color w:val="0000FF"/>
          <w:sz w:val="24"/>
          <w:szCs w:val="24"/>
          <w:highlight w:val="yellow"/>
        </w:rPr>
        <w:t>06</w:t>
      </w:r>
      <w:r w:rsidR="00F71B22">
        <w:rPr>
          <w:color w:val="0000FF"/>
          <w:sz w:val="24"/>
          <w:szCs w:val="24"/>
          <w:highlight w:val="yellow"/>
        </w:rPr>
        <w:t>)</w:t>
      </w:r>
    </w:p>
    <w:p w14:paraId="18AF3042" w14:textId="77777777" w:rsidR="00F71B22" w:rsidRDefault="00F71B22" w:rsidP="00F71B22">
      <w:pPr>
        <w:pStyle w:val="NormalWeb"/>
        <w:spacing w:after="0"/>
        <w:rPr>
          <w:color w:val="0000FF"/>
          <w:sz w:val="24"/>
          <w:szCs w:val="24"/>
        </w:rPr>
      </w:pPr>
      <w:r w:rsidRPr="00F71B22">
        <w:rPr>
          <w:color w:val="0000FF"/>
          <w:sz w:val="24"/>
          <w:szCs w:val="24"/>
        </w:rPr>
        <w:t xml:space="preserve">2.2.5. After each irradiation fraction, place the cages with anesthetized mice on heated mats or under red heat lamps to prevent hypothermia and aid in the recovery from anesthesia. </w:t>
      </w:r>
    </w:p>
    <w:p w14:paraId="5FA75850" w14:textId="77777777" w:rsidR="00982761" w:rsidRDefault="00982761" w:rsidP="00F71B22">
      <w:pPr>
        <w:pStyle w:val="NormalWeb"/>
        <w:spacing w:after="0"/>
        <w:rPr>
          <w:color w:val="0000FF"/>
          <w:sz w:val="24"/>
          <w:szCs w:val="24"/>
        </w:rPr>
      </w:pPr>
    </w:p>
    <w:p w14:paraId="777E0037" w14:textId="1E45324C" w:rsidR="001B141B" w:rsidRDefault="00F71B22" w:rsidP="00F71B22">
      <w:pPr>
        <w:pStyle w:val="NormalWeb"/>
        <w:spacing w:after="0"/>
        <w:rPr>
          <w:color w:val="0000FF"/>
          <w:sz w:val="24"/>
          <w:szCs w:val="24"/>
        </w:rPr>
      </w:pPr>
      <w:r w:rsidRPr="00F71B22">
        <w:rPr>
          <w:color w:val="0000FF"/>
          <w:sz w:val="24"/>
          <w:szCs w:val="24"/>
        </w:rPr>
        <w:t>Note: Caution must be taken to not overheat the anesthetized mouse when using a lamp since they cannot escape the heat.</w:t>
      </w:r>
    </w:p>
    <w:p w14:paraId="2E10C4D4" w14:textId="77777777" w:rsidR="00F71B22" w:rsidRPr="009F15DC" w:rsidRDefault="00F71B22" w:rsidP="00F71B22">
      <w:pPr>
        <w:pStyle w:val="NormalWeb"/>
        <w:spacing w:before="0" w:beforeAutospacing="0" w:after="0" w:afterAutospacing="0"/>
        <w:rPr>
          <w:rFonts w:asciiTheme="minorHAnsi" w:hAnsiTheme="minorHAnsi" w:cstheme="minorHAnsi"/>
          <w:sz w:val="24"/>
          <w:szCs w:val="24"/>
        </w:rPr>
      </w:pPr>
    </w:p>
    <w:p w14:paraId="12E65AA3"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229: Additional note authors should consider adding: Instead of steps 4.1-4.4, bone marrow cell isolation may also be performed by flushing out the marrow by inserting a 23 G needle and syringe at one of the cut ends of the bones, or by crushing bones with a mortar and pestle.</w:t>
      </w:r>
    </w:p>
    <w:p w14:paraId="2A2FC834"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06203415"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1C7ABE28"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6622C087" w14:textId="28C1A6F4" w:rsidR="00F44525" w:rsidRPr="00F44525" w:rsidRDefault="00F44525" w:rsidP="00F44525">
      <w:pPr>
        <w:rPr>
          <w:rFonts w:ascii="Calibri" w:hAnsi="Calibri" w:cs="Calibri"/>
          <w:color w:val="0000FF"/>
          <w:sz w:val="24"/>
          <w:szCs w:val="24"/>
        </w:rPr>
      </w:pPr>
      <w:r w:rsidRPr="00F44525">
        <w:rPr>
          <w:rFonts w:ascii="Calibri" w:hAnsi="Calibri" w:cs="Calibri"/>
          <w:color w:val="0000FF"/>
          <w:sz w:val="24"/>
          <w:szCs w:val="24"/>
        </w:rPr>
        <w:t xml:space="preserve">We added the following statement </w:t>
      </w:r>
      <w:r w:rsidR="00634902" w:rsidRPr="004846BF">
        <w:rPr>
          <w:rFonts w:ascii="Calibri" w:hAnsi="Calibri" w:cs="Calibri"/>
          <w:color w:val="0000FF"/>
          <w:sz w:val="24"/>
          <w:szCs w:val="24"/>
          <w:highlight w:val="yellow"/>
        </w:rPr>
        <w:t>(</w:t>
      </w:r>
      <w:r w:rsidR="00DF2B79" w:rsidRPr="004846BF">
        <w:rPr>
          <w:rFonts w:ascii="Calibri" w:hAnsi="Calibri" w:cs="Calibri"/>
          <w:color w:val="0000FF"/>
          <w:sz w:val="24"/>
          <w:szCs w:val="24"/>
          <w:highlight w:val="yellow"/>
        </w:rPr>
        <w:t>line 2</w:t>
      </w:r>
      <w:r w:rsidR="004846BF" w:rsidRPr="004846BF">
        <w:rPr>
          <w:rFonts w:ascii="Calibri" w:hAnsi="Calibri" w:cs="Calibri"/>
          <w:color w:val="0000FF"/>
          <w:sz w:val="24"/>
          <w:szCs w:val="24"/>
          <w:highlight w:val="yellow"/>
        </w:rPr>
        <w:t>41-243</w:t>
      </w:r>
      <w:r w:rsidR="00634902" w:rsidRPr="004846BF">
        <w:rPr>
          <w:rFonts w:ascii="Calibri" w:hAnsi="Calibri" w:cs="Calibri"/>
          <w:color w:val="0000FF"/>
          <w:sz w:val="24"/>
          <w:szCs w:val="24"/>
          <w:highlight w:val="yellow"/>
        </w:rPr>
        <w:t>)</w:t>
      </w:r>
      <w:r w:rsidR="00634902">
        <w:rPr>
          <w:rFonts w:ascii="Calibri" w:hAnsi="Calibri" w:cs="Calibri"/>
          <w:color w:val="0000FF"/>
          <w:sz w:val="24"/>
          <w:szCs w:val="24"/>
        </w:rPr>
        <w:t xml:space="preserve"> </w:t>
      </w:r>
      <w:r w:rsidRPr="00F44525">
        <w:rPr>
          <w:rFonts w:ascii="Calibri" w:hAnsi="Calibri" w:cs="Calibri"/>
          <w:color w:val="0000FF"/>
          <w:sz w:val="24"/>
          <w:szCs w:val="24"/>
        </w:rPr>
        <w:t>according to your suggestion.</w:t>
      </w:r>
    </w:p>
    <w:p w14:paraId="7CE81D95" w14:textId="77777777" w:rsidR="00F44525" w:rsidRPr="00F44525" w:rsidRDefault="00F44525" w:rsidP="00F44525">
      <w:pPr>
        <w:rPr>
          <w:rFonts w:ascii="Calibri" w:hAnsi="Calibri" w:cs="Calibri"/>
          <w:color w:val="0000FF"/>
          <w:sz w:val="24"/>
          <w:szCs w:val="24"/>
        </w:rPr>
      </w:pPr>
      <w:r w:rsidRPr="00F44525">
        <w:rPr>
          <w:rFonts w:ascii="Calibri" w:hAnsi="Calibri" w:cs="Calibri"/>
          <w:color w:val="0000FF"/>
          <w:sz w:val="24"/>
          <w:szCs w:val="24"/>
        </w:rPr>
        <w:t xml:space="preserve">“Note: Hip bones and spine bones can be collected in addition to femur, tibia and </w:t>
      </w:r>
      <w:proofErr w:type="spellStart"/>
      <w:r w:rsidRPr="00F44525">
        <w:rPr>
          <w:rFonts w:ascii="Calibri" w:hAnsi="Calibri" w:cs="Calibri"/>
          <w:color w:val="0000FF"/>
          <w:sz w:val="24"/>
          <w:szCs w:val="24"/>
        </w:rPr>
        <w:t>humerus</w:t>
      </w:r>
      <w:proofErr w:type="spellEnd"/>
      <w:r w:rsidRPr="00F44525">
        <w:rPr>
          <w:rFonts w:ascii="Calibri" w:hAnsi="Calibri" w:cs="Calibri"/>
          <w:color w:val="0000FF"/>
          <w:sz w:val="24"/>
          <w:szCs w:val="24"/>
        </w:rPr>
        <w:t>. To collect spine bones, mortar and pestle can be used to crush bones into pieces and harvest the bone marrow cells.”</w:t>
      </w:r>
    </w:p>
    <w:p w14:paraId="2BDDC4AC"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584A560E" w14:textId="27B03B90" w:rsidR="001B141B"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Section 2.2: Please give specific make and model of the Cesium and X-ray irradiators</w:t>
      </w:r>
    </w:p>
    <w:p w14:paraId="2EE9B883" w14:textId="57585214" w:rsidR="0059016F" w:rsidRDefault="0059016F" w:rsidP="009F15DC">
      <w:pPr>
        <w:pStyle w:val="NormalWeb"/>
        <w:spacing w:before="0" w:beforeAutospacing="0" w:after="0" w:afterAutospacing="0"/>
        <w:rPr>
          <w:rFonts w:asciiTheme="minorHAnsi" w:hAnsiTheme="minorHAnsi" w:cstheme="minorHAnsi"/>
          <w:i/>
          <w:iCs/>
          <w:sz w:val="24"/>
          <w:szCs w:val="24"/>
        </w:rPr>
      </w:pPr>
    </w:p>
    <w:p w14:paraId="43E4D236" w14:textId="77777777" w:rsidR="0059016F" w:rsidRPr="009F15DC" w:rsidRDefault="0059016F" w:rsidP="0059016F">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3F6988E4" w14:textId="4EB563E6" w:rsidR="00F44525" w:rsidRDefault="00F44525" w:rsidP="009F15DC">
      <w:pPr>
        <w:pStyle w:val="NormalWeb"/>
        <w:spacing w:before="0" w:beforeAutospacing="0" w:after="0" w:afterAutospacing="0"/>
        <w:rPr>
          <w:rFonts w:asciiTheme="minorHAnsi" w:hAnsiTheme="minorHAnsi" w:cstheme="minorHAnsi"/>
          <w:i/>
          <w:iCs/>
          <w:sz w:val="24"/>
          <w:szCs w:val="24"/>
        </w:rPr>
      </w:pPr>
    </w:p>
    <w:p w14:paraId="1FC65CED" w14:textId="3CF0C5BA" w:rsidR="00F44525" w:rsidRDefault="00F44525" w:rsidP="009F15DC">
      <w:pPr>
        <w:pStyle w:val="NormalWeb"/>
        <w:spacing w:before="0" w:beforeAutospacing="0" w:after="0" w:afterAutospacing="0"/>
        <w:rPr>
          <w:color w:val="0000FF"/>
          <w:sz w:val="24"/>
          <w:szCs w:val="24"/>
        </w:rPr>
      </w:pPr>
      <w:r w:rsidRPr="00F44525">
        <w:rPr>
          <w:color w:val="0000FF"/>
          <w:sz w:val="24"/>
          <w:szCs w:val="24"/>
        </w:rPr>
        <w:t xml:space="preserve">We added </w:t>
      </w:r>
      <w:r>
        <w:rPr>
          <w:color w:val="0000FF"/>
          <w:sz w:val="24"/>
          <w:szCs w:val="24"/>
        </w:rPr>
        <w:t>to the material section.</w:t>
      </w:r>
    </w:p>
    <w:p w14:paraId="2699ABD6" w14:textId="551E8C10" w:rsidR="00F44525" w:rsidRPr="009F15DC" w:rsidRDefault="00F44525" w:rsidP="009F15DC">
      <w:pPr>
        <w:pStyle w:val="NormalWeb"/>
        <w:spacing w:before="0" w:beforeAutospacing="0" w:after="0" w:afterAutospacing="0"/>
        <w:rPr>
          <w:rFonts w:asciiTheme="minorHAnsi" w:hAnsiTheme="minorHAnsi" w:cstheme="minorHAnsi"/>
          <w:i/>
          <w:iCs/>
          <w:sz w:val="24"/>
          <w:szCs w:val="24"/>
        </w:rPr>
      </w:pPr>
    </w:p>
    <w:p w14:paraId="36D4436F" w14:textId="47CBB9E7" w:rsidR="001B141B" w:rsidRPr="009F15DC" w:rsidRDefault="005A17DF" w:rsidP="009F15DC">
      <w:pPr>
        <w:pStyle w:val="NormalWeb"/>
        <w:spacing w:before="0" w:beforeAutospacing="0" w:after="0" w:afterAutospacing="0"/>
        <w:rPr>
          <w:rFonts w:asciiTheme="minorHAnsi" w:hAnsiTheme="minorHAnsi" w:cstheme="minorHAnsi"/>
          <w:sz w:val="24"/>
          <w:szCs w:val="24"/>
        </w:rPr>
      </w:pPr>
      <w:r w:rsidRPr="005A17DF">
        <w:rPr>
          <w:rFonts w:asciiTheme="minorHAnsi" w:hAnsiTheme="minorHAnsi" w:cstheme="minorHAnsi"/>
          <w:noProof/>
          <w:sz w:val="24"/>
          <w:szCs w:val="24"/>
        </w:rPr>
        <w:drawing>
          <wp:inline distT="0" distB="0" distL="0" distR="0" wp14:anchorId="6DA7BA2B" wp14:editId="56B76806">
            <wp:extent cx="5943600" cy="363156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631565"/>
                    </a:xfrm>
                    <a:prstGeom prst="rect">
                      <a:avLst/>
                    </a:prstGeom>
                  </pic:spPr>
                </pic:pic>
              </a:graphicData>
            </a:graphic>
          </wp:inline>
        </w:drawing>
      </w:r>
    </w:p>
    <w:p w14:paraId="12511AF4"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7672C59D"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Section 2.2 would benefit from a diagram (perhaps an addition to Figure 1) for the TBI and partial shielding set-ups. Visualizing the orientation of the mouse bodies, the beam (and the beam's spread/scatter over a specific radius), the flat plane of the irradiator, and the factors that affect the calculations behind the radiation dose (e.g. distance from source, radius) would clarify what is hard to describe in text, and would give context to the statements about limitations on the number of mice that can be irradiated at a time.</w:t>
      </w:r>
    </w:p>
    <w:p w14:paraId="2C140BBA" w14:textId="113FAF6B" w:rsidR="001B141B" w:rsidRDefault="001B141B" w:rsidP="009F15DC">
      <w:pPr>
        <w:pStyle w:val="NormalWeb"/>
        <w:spacing w:before="0" w:beforeAutospacing="0" w:after="0" w:afterAutospacing="0"/>
        <w:rPr>
          <w:rFonts w:asciiTheme="minorHAnsi" w:hAnsiTheme="minorHAnsi" w:cstheme="minorHAnsi"/>
          <w:sz w:val="24"/>
          <w:szCs w:val="24"/>
        </w:rPr>
      </w:pPr>
    </w:p>
    <w:p w14:paraId="1812A36F"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1E148A08" w14:textId="67C32EA5" w:rsidR="001B141B" w:rsidRDefault="001B141B" w:rsidP="009F15DC">
      <w:pPr>
        <w:pStyle w:val="NormalWeb"/>
        <w:spacing w:before="0" w:beforeAutospacing="0" w:after="0" w:afterAutospacing="0"/>
        <w:rPr>
          <w:rFonts w:asciiTheme="minorHAnsi" w:hAnsiTheme="minorHAnsi" w:cstheme="minorHAnsi"/>
          <w:sz w:val="24"/>
          <w:szCs w:val="24"/>
        </w:rPr>
      </w:pPr>
    </w:p>
    <w:p w14:paraId="6FCCA455" w14:textId="2CF88706" w:rsidR="00E36541" w:rsidRDefault="00E36541" w:rsidP="00E36541">
      <w:pPr>
        <w:jc w:val="both"/>
        <w:rPr>
          <w:rFonts w:ascii="Calibri" w:hAnsi="Calibri" w:cs="Calibri"/>
          <w:color w:val="0000FF"/>
          <w:sz w:val="24"/>
          <w:szCs w:val="24"/>
        </w:rPr>
      </w:pPr>
      <w:r w:rsidRPr="00E36541">
        <w:rPr>
          <w:rFonts w:ascii="Calibri" w:hAnsi="Calibri" w:cs="Calibri"/>
          <w:color w:val="0000FF"/>
          <w:sz w:val="24"/>
          <w:szCs w:val="24"/>
        </w:rPr>
        <w:t>Thank you for your comment</w:t>
      </w:r>
      <w:r w:rsidR="00BC4974">
        <w:rPr>
          <w:rFonts w:ascii="Calibri" w:hAnsi="Calibri" w:cs="Calibri"/>
          <w:color w:val="0000FF"/>
          <w:sz w:val="24"/>
          <w:szCs w:val="24"/>
        </w:rPr>
        <w:t xml:space="preserve">. We have </w:t>
      </w:r>
      <w:r w:rsidR="005A17DF">
        <w:rPr>
          <w:rFonts w:ascii="Calibri" w:hAnsi="Calibri" w:cs="Calibri"/>
          <w:color w:val="0000FF"/>
          <w:sz w:val="24"/>
          <w:szCs w:val="24"/>
        </w:rPr>
        <w:t>modified Figure 1</w:t>
      </w:r>
      <w:r w:rsidR="00222D25">
        <w:rPr>
          <w:rFonts w:ascii="Calibri" w:hAnsi="Calibri" w:cs="Calibri"/>
          <w:color w:val="0000FF"/>
          <w:sz w:val="24"/>
          <w:szCs w:val="24"/>
        </w:rPr>
        <w:t xml:space="preserve"> and its legend</w:t>
      </w:r>
      <w:r w:rsidR="005A17DF">
        <w:rPr>
          <w:rFonts w:ascii="Calibri" w:hAnsi="Calibri" w:cs="Calibri"/>
          <w:color w:val="0000FF"/>
          <w:sz w:val="24"/>
          <w:szCs w:val="24"/>
        </w:rPr>
        <w:t xml:space="preserve"> as below.</w:t>
      </w:r>
      <w:r w:rsidR="00AE4868">
        <w:rPr>
          <w:rFonts w:ascii="Calibri" w:hAnsi="Calibri" w:cs="Calibri"/>
          <w:color w:val="0000FF"/>
          <w:sz w:val="24"/>
          <w:szCs w:val="24"/>
        </w:rPr>
        <w:t xml:space="preserve"> </w:t>
      </w:r>
      <w:r w:rsidR="00AE4868" w:rsidRPr="00AE4868">
        <w:rPr>
          <w:rFonts w:ascii="Calibri" w:hAnsi="Calibri" w:cs="Calibri"/>
          <w:color w:val="0000FF"/>
          <w:sz w:val="24"/>
          <w:szCs w:val="24"/>
          <w:highlight w:val="yellow"/>
        </w:rPr>
        <w:t>(line 377-393)</w:t>
      </w:r>
    </w:p>
    <w:p w14:paraId="1B268154" w14:textId="1BE36EDB" w:rsidR="00222D25" w:rsidRPr="00BC4974" w:rsidRDefault="00BC4974" w:rsidP="00222D25">
      <w:pPr>
        <w:jc w:val="both"/>
        <w:rPr>
          <w:rFonts w:ascii="Calibri" w:hAnsi="Calibri" w:cs="Calibri"/>
          <w:color w:val="0000FF"/>
          <w:sz w:val="24"/>
          <w:szCs w:val="24"/>
        </w:rPr>
      </w:pPr>
      <w:r w:rsidRPr="00BC4974">
        <w:rPr>
          <w:rFonts w:ascii="Calibri" w:hAnsi="Calibri" w:cs="Calibri"/>
          <w:noProof/>
          <w:color w:val="0000FF"/>
          <w:sz w:val="24"/>
          <w:szCs w:val="24"/>
        </w:rPr>
        <w:drawing>
          <wp:inline distT="0" distB="0" distL="0" distR="0" wp14:anchorId="3A4320C3" wp14:editId="5B652472">
            <wp:extent cx="5943600" cy="58381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5838190"/>
                    </a:xfrm>
                    <a:prstGeom prst="rect">
                      <a:avLst/>
                    </a:prstGeom>
                  </pic:spPr>
                </pic:pic>
              </a:graphicData>
            </a:graphic>
          </wp:inline>
        </w:drawing>
      </w:r>
    </w:p>
    <w:p w14:paraId="333A6386" w14:textId="77777777" w:rsidR="00A33E64" w:rsidRPr="00C84173" w:rsidRDefault="00A33E64" w:rsidP="00A33E64">
      <w:pPr>
        <w:pStyle w:val="NormalWeb"/>
        <w:spacing w:after="0"/>
        <w:jc w:val="both"/>
        <w:rPr>
          <w:b/>
          <w:bCs/>
          <w:color w:val="0000FF"/>
          <w:sz w:val="24"/>
          <w:szCs w:val="24"/>
        </w:rPr>
      </w:pPr>
      <w:r w:rsidRPr="00C84173">
        <w:rPr>
          <w:b/>
          <w:bCs/>
          <w:color w:val="0000FF"/>
          <w:sz w:val="24"/>
          <w:szCs w:val="24"/>
        </w:rPr>
        <w:lastRenderedPageBreak/>
        <w:t xml:space="preserve">Figure 1: Images showing various preconditioning setups. </w:t>
      </w:r>
    </w:p>
    <w:p w14:paraId="5CFE7370" w14:textId="20A91665" w:rsidR="00A33E64" w:rsidRDefault="00A33E64" w:rsidP="00A33E64">
      <w:pPr>
        <w:pStyle w:val="NormalWeb"/>
        <w:spacing w:before="0" w:beforeAutospacing="0" w:after="0" w:afterAutospacing="0"/>
        <w:jc w:val="both"/>
        <w:rPr>
          <w:color w:val="0000FF"/>
          <w:sz w:val="24"/>
          <w:szCs w:val="24"/>
        </w:rPr>
      </w:pPr>
      <w:r w:rsidRPr="00C84173">
        <w:rPr>
          <w:b/>
          <w:bCs/>
          <w:color w:val="0000FF"/>
          <w:sz w:val="24"/>
          <w:szCs w:val="24"/>
        </w:rPr>
        <w:t>(A)</w:t>
      </w:r>
      <w:r w:rsidRPr="00A33E64">
        <w:rPr>
          <w:color w:val="0000FF"/>
          <w:sz w:val="24"/>
          <w:szCs w:val="24"/>
        </w:rPr>
        <w:t xml:space="preserve"> Pie-cage total body irradiation setup using gamma-ray (Cesium-137): The radiation beam comes from the back of the irradiator in the y-axis direction (horizontal radiation).</w:t>
      </w:r>
      <w:r w:rsidR="00C84173">
        <w:rPr>
          <w:color w:val="0000FF"/>
          <w:sz w:val="24"/>
          <w:szCs w:val="24"/>
        </w:rPr>
        <w:t xml:space="preserve"> </w:t>
      </w:r>
      <w:r w:rsidRPr="00C84173">
        <w:rPr>
          <w:b/>
          <w:bCs/>
          <w:color w:val="0000FF"/>
          <w:sz w:val="24"/>
          <w:szCs w:val="24"/>
        </w:rPr>
        <w:t>(B)</w:t>
      </w:r>
      <w:r w:rsidRPr="00A33E64">
        <w:rPr>
          <w:color w:val="0000FF"/>
          <w:sz w:val="24"/>
          <w:szCs w:val="24"/>
        </w:rPr>
        <w:t xml:space="preserve"> Mouse cage total body irradiation setup using X-ray: The mouse cage is placed in the reflective chamber.  The radiation beam comes from the top of the irradiator in the shape of a cone (vertical radiation).  The distance from the radiation source to the cage is 530mm. </w:t>
      </w:r>
      <w:r w:rsidRPr="00C84173">
        <w:rPr>
          <w:b/>
          <w:bCs/>
          <w:color w:val="0000FF"/>
          <w:sz w:val="24"/>
          <w:szCs w:val="24"/>
        </w:rPr>
        <w:t>(C)</w:t>
      </w:r>
      <w:r w:rsidRPr="00A33E64">
        <w:rPr>
          <w:color w:val="0000FF"/>
          <w:sz w:val="24"/>
          <w:szCs w:val="24"/>
        </w:rPr>
        <w:t xml:space="preserve"> Adjustable tray in X-ray irradiator: This setup is used for partially shielded irradiation using X-ray.  The radiation beam comes from the top of the irradiator in the shape of a cone (vertical radiation).  The distance from the radiation source to the tray is 373mm, and the radius is 250mm. </w:t>
      </w:r>
      <w:r w:rsidRPr="00C84173">
        <w:rPr>
          <w:b/>
          <w:bCs/>
          <w:color w:val="0000FF"/>
          <w:sz w:val="24"/>
          <w:szCs w:val="24"/>
        </w:rPr>
        <w:t>(D)</w:t>
      </w:r>
      <w:r w:rsidRPr="00A33E64">
        <w:rPr>
          <w:color w:val="0000FF"/>
          <w:sz w:val="24"/>
          <w:szCs w:val="24"/>
        </w:rPr>
        <w:t xml:space="preserve"> Thorax-shielding: Anesthetized mice are placed on a tray. The mice are placed inverted to each other in supine positions with arms and legs fully extended.</w:t>
      </w:r>
      <w:r w:rsidR="00F555D6">
        <w:rPr>
          <w:color w:val="0000FF"/>
          <w:sz w:val="24"/>
          <w:szCs w:val="24"/>
        </w:rPr>
        <w:t xml:space="preserve"> </w:t>
      </w:r>
      <w:r w:rsidRPr="00A33E64">
        <w:rPr>
          <w:color w:val="0000FF"/>
          <w:sz w:val="24"/>
          <w:szCs w:val="24"/>
        </w:rPr>
        <w:t>The lower end of the lead-shield is aligned with the xiphisternum bone and the upper end with the thymus.</w:t>
      </w:r>
      <w:r w:rsidR="00C84173">
        <w:rPr>
          <w:color w:val="0000FF"/>
          <w:sz w:val="24"/>
          <w:szCs w:val="24"/>
        </w:rPr>
        <w:t xml:space="preserve"> </w:t>
      </w:r>
      <w:r w:rsidRPr="00C84173">
        <w:rPr>
          <w:b/>
          <w:bCs/>
          <w:color w:val="0000FF"/>
          <w:sz w:val="24"/>
          <w:szCs w:val="24"/>
        </w:rPr>
        <w:t>(E)</w:t>
      </w:r>
      <w:r w:rsidR="00C84173" w:rsidRPr="00C84173">
        <w:rPr>
          <w:b/>
          <w:bCs/>
          <w:color w:val="0000FF"/>
          <w:sz w:val="24"/>
          <w:szCs w:val="24"/>
        </w:rPr>
        <w:t xml:space="preserve"> </w:t>
      </w:r>
      <w:r w:rsidRPr="00A33E64">
        <w:rPr>
          <w:color w:val="0000FF"/>
          <w:sz w:val="24"/>
          <w:szCs w:val="24"/>
        </w:rPr>
        <w:t>Abdominal-shielding: Anesthetized mice are placed as in the thorax-shielding set-up with the lower end of the lead-shield aligned with the anus and the upper end below the diaphragm.</w:t>
      </w:r>
      <w:r w:rsidR="00F555D6">
        <w:rPr>
          <w:color w:val="0000FF"/>
          <w:sz w:val="24"/>
          <w:szCs w:val="24"/>
        </w:rPr>
        <w:t xml:space="preserve"> </w:t>
      </w:r>
      <w:r w:rsidRPr="00C84173">
        <w:rPr>
          <w:b/>
          <w:bCs/>
          <w:color w:val="0000FF"/>
          <w:sz w:val="24"/>
          <w:szCs w:val="24"/>
        </w:rPr>
        <w:t>(F)</w:t>
      </w:r>
      <w:r w:rsidR="00C84173">
        <w:rPr>
          <w:color w:val="0000FF"/>
          <w:sz w:val="24"/>
          <w:szCs w:val="24"/>
        </w:rPr>
        <w:t xml:space="preserve"> </w:t>
      </w:r>
      <w:r w:rsidRPr="00A33E64">
        <w:rPr>
          <w:color w:val="0000FF"/>
          <w:sz w:val="24"/>
          <w:szCs w:val="24"/>
        </w:rPr>
        <w:t>Head-shielding irradiation setup using gamma-ray (Cesium-137): The anesthetized mouse’s forepaws are taped down and the mouse is placed in a conical restrainer. The black lead-shield (marked) covers the mouse’s head and ears.</w:t>
      </w:r>
      <w:r w:rsidR="00F555D6">
        <w:rPr>
          <w:color w:val="0000FF"/>
          <w:sz w:val="24"/>
          <w:szCs w:val="24"/>
        </w:rPr>
        <w:t xml:space="preserve"> </w:t>
      </w:r>
      <w:r w:rsidRPr="00A33E64">
        <w:rPr>
          <w:color w:val="0000FF"/>
          <w:sz w:val="24"/>
          <w:szCs w:val="24"/>
        </w:rPr>
        <w:t>The radiation beam comes from the back of the irradiator in the y-axis direction (horizontal radiation).</w:t>
      </w:r>
    </w:p>
    <w:p w14:paraId="2BD535E0" w14:textId="77777777" w:rsidR="00A33E64" w:rsidRDefault="00A33E64" w:rsidP="00A33E64">
      <w:pPr>
        <w:pStyle w:val="NormalWeb"/>
        <w:spacing w:before="0" w:beforeAutospacing="0" w:after="0" w:afterAutospacing="0"/>
        <w:rPr>
          <w:rFonts w:asciiTheme="minorHAnsi" w:hAnsiTheme="minorHAnsi" w:cstheme="minorHAnsi"/>
          <w:i/>
          <w:iCs/>
          <w:sz w:val="24"/>
          <w:szCs w:val="24"/>
        </w:rPr>
      </w:pPr>
    </w:p>
    <w:p w14:paraId="36A29C69" w14:textId="0FC8F7C0" w:rsidR="001B141B" w:rsidRPr="009F15DC" w:rsidRDefault="008D70B3" w:rsidP="00A33E64">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277: Suggest alternative injection sites and volumes</w:t>
      </w:r>
    </w:p>
    <w:p w14:paraId="17572F41"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06BC928E"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0B4EFF12" w14:textId="3A062F25" w:rsidR="001B141B" w:rsidRDefault="001B141B" w:rsidP="009F15DC">
      <w:pPr>
        <w:pStyle w:val="NormalWeb"/>
        <w:spacing w:before="0" w:beforeAutospacing="0" w:after="0" w:afterAutospacing="0"/>
        <w:rPr>
          <w:rFonts w:asciiTheme="minorHAnsi" w:hAnsiTheme="minorHAnsi" w:cstheme="minorHAnsi"/>
          <w:sz w:val="24"/>
          <w:szCs w:val="24"/>
        </w:rPr>
      </w:pPr>
    </w:p>
    <w:p w14:paraId="684C5C81" w14:textId="444685AE" w:rsidR="00DF2B79" w:rsidRDefault="00E36541" w:rsidP="00E36541">
      <w:pPr>
        <w:rPr>
          <w:rFonts w:ascii="Calibri" w:hAnsi="Calibri" w:cs="Calibri"/>
          <w:color w:val="0000FF"/>
          <w:sz w:val="24"/>
          <w:szCs w:val="24"/>
        </w:rPr>
      </w:pPr>
      <w:r w:rsidRPr="00E36541">
        <w:rPr>
          <w:rFonts w:ascii="Calibri" w:hAnsi="Calibri" w:cs="Calibri"/>
          <w:color w:val="0000FF"/>
          <w:sz w:val="24"/>
          <w:szCs w:val="24"/>
        </w:rPr>
        <w:t>Added</w:t>
      </w:r>
      <w:r w:rsidR="00DF2B79">
        <w:rPr>
          <w:rFonts w:ascii="Calibri" w:hAnsi="Calibri" w:cs="Calibri"/>
          <w:color w:val="0000FF"/>
          <w:sz w:val="24"/>
          <w:szCs w:val="24"/>
        </w:rPr>
        <w:t xml:space="preserve">. </w:t>
      </w:r>
      <w:r w:rsidR="00DF2B79" w:rsidRPr="004846BF">
        <w:rPr>
          <w:rFonts w:ascii="Calibri" w:hAnsi="Calibri" w:cs="Calibri"/>
          <w:color w:val="0000FF"/>
          <w:sz w:val="24"/>
          <w:szCs w:val="24"/>
          <w:highlight w:val="yellow"/>
        </w:rPr>
        <w:t>(line 3</w:t>
      </w:r>
      <w:r w:rsidR="004846BF" w:rsidRPr="004846BF">
        <w:rPr>
          <w:rFonts w:ascii="Calibri" w:hAnsi="Calibri" w:cs="Calibri"/>
          <w:color w:val="0000FF"/>
          <w:sz w:val="24"/>
          <w:szCs w:val="24"/>
          <w:highlight w:val="yellow"/>
        </w:rPr>
        <w:t>13-315</w:t>
      </w:r>
      <w:r w:rsidR="00DF2B79" w:rsidRPr="004846BF">
        <w:rPr>
          <w:rFonts w:ascii="Calibri" w:hAnsi="Calibri" w:cs="Calibri"/>
          <w:color w:val="0000FF"/>
          <w:sz w:val="24"/>
          <w:szCs w:val="24"/>
          <w:highlight w:val="yellow"/>
        </w:rPr>
        <w:t>)</w:t>
      </w:r>
    </w:p>
    <w:p w14:paraId="64DD8B61" w14:textId="77777777" w:rsidR="00190523" w:rsidRPr="00E74AE5" w:rsidRDefault="00190523" w:rsidP="00190523">
      <w:pPr>
        <w:jc w:val="both"/>
        <w:rPr>
          <w:rFonts w:ascii="Calibri" w:hAnsi="Calibri" w:cs="Calibri"/>
          <w:color w:val="0000FF"/>
          <w:sz w:val="24"/>
          <w:szCs w:val="24"/>
        </w:rPr>
      </w:pPr>
      <w:r w:rsidRPr="00E74AE5">
        <w:rPr>
          <w:rFonts w:ascii="Calibri" w:hAnsi="Calibri" w:cs="Calibri"/>
          <w:color w:val="0000FF"/>
          <w:sz w:val="24"/>
          <w:szCs w:val="24"/>
        </w:rPr>
        <w:t>Note: As an alternative, delivery of the donor cells can be performed by</w:t>
      </w:r>
      <w:r>
        <w:rPr>
          <w:rFonts w:ascii="Calibri" w:hAnsi="Calibri" w:cs="Calibri"/>
          <w:color w:val="0000FF"/>
          <w:sz w:val="24"/>
          <w:szCs w:val="24"/>
        </w:rPr>
        <w:t xml:space="preserve"> tail vein</w:t>
      </w:r>
      <w:r w:rsidRPr="00E74AE5">
        <w:rPr>
          <w:rFonts w:ascii="Calibri" w:hAnsi="Calibri" w:cs="Calibri"/>
          <w:color w:val="0000FF"/>
          <w:sz w:val="24"/>
          <w:szCs w:val="24"/>
        </w:rPr>
        <w:t xml:space="preserve"> intravenous injection and </w:t>
      </w:r>
      <w:r w:rsidRPr="009B1D7B">
        <w:rPr>
          <w:rFonts w:ascii="Calibri" w:hAnsi="Calibri" w:cs="Calibri"/>
          <w:color w:val="0000FF"/>
          <w:sz w:val="24"/>
          <w:szCs w:val="24"/>
        </w:rPr>
        <w:t>femoral intramedullary injectio</w:t>
      </w:r>
      <w:r>
        <w:rPr>
          <w:rFonts w:ascii="Calibri" w:hAnsi="Calibri" w:cs="Calibri"/>
          <w:color w:val="0000FF"/>
          <w:sz w:val="24"/>
          <w:szCs w:val="24"/>
        </w:rPr>
        <w:t>n</w:t>
      </w:r>
      <w:r w:rsidRPr="00E74AE5">
        <w:rPr>
          <w:rFonts w:ascii="Calibri" w:hAnsi="Calibri" w:cs="Calibri"/>
          <w:color w:val="0000FF"/>
          <w:sz w:val="24"/>
          <w:szCs w:val="24"/>
        </w:rPr>
        <w:t>, with a maximum volume of 0.2 mL</w:t>
      </w:r>
      <w:r>
        <w:rPr>
          <w:rFonts w:ascii="Calibri" w:hAnsi="Calibri" w:cs="Calibri"/>
          <w:color w:val="0000FF"/>
          <w:sz w:val="24"/>
          <w:szCs w:val="24"/>
        </w:rPr>
        <w:t xml:space="preserve"> and 25 </w:t>
      </w:r>
      <w:proofErr w:type="spellStart"/>
      <w:r w:rsidRPr="00C70F2A">
        <w:rPr>
          <w:rFonts w:ascii="Calibri" w:hAnsi="Calibri" w:cs="Calibri"/>
          <w:color w:val="0000FF"/>
          <w:sz w:val="24"/>
          <w:szCs w:val="24"/>
        </w:rPr>
        <w:t>μ</w:t>
      </w:r>
      <w:r>
        <w:rPr>
          <w:rFonts w:ascii="Calibri" w:hAnsi="Calibri" w:cs="Calibri"/>
          <w:color w:val="0000FF"/>
          <w:sz w:val="24"/>
          <w:szCs w:val="24"/>
        </w:rPr>
        <w:t>L</w:t>
      </w:r>
      <w:proofErr w:type="spellEnd"/>
      <w:r>
        <w:rPr>
          <w:rFonts w:ascii="Calibri" w:hAnsi="Calibri" w:cs="Calibri"/>
          <w:color w:val="0000FF"/>
          <w:sz w:val="24"/>
          <w:szCs w:val="24"/>
        </w:rPr>
        <w:t>, respectively</w:t>
      </w:r>
      <w:r w:rsidRPr="00E74AE5">
        <w:rPr>
          <w:rFonts w:ascii="Calibri" w:hAnsi="Calibri" w:cs="Calibri"/>
          <w:color w:val="0000FF"/>
          <w:sz w:val="24"/>
          <w:szCs w:val="24"/>
        </w:rPr>
        <w:t xml:space="preserve">. </w:t>
      </w:r>
    </w:p>
    <w:p w14:paraId="3EA0731D"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312: 2x 5.5Gy fractions, total dose of 11 Gy</w:t>
      </w:r>
    </w:p>
    <w:p w14:paraId="2C6CE632"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68C7CAA7"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53B6553D"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696056BA" w14:textId="1FB0401D" w:rsidR="00E36541" w:rsidRPr="00E36541" w:rsidRDefault="00E36541" w:rsidP="00DF2B79">
      <w:pPr>
        <w:jc w:val="both"/>
        <w:rPr>
          <w:rFonts w:ascii="Calibri" w:hAnsi="Calibri" w:cs="Calibri"/>
          <w:color w:val="0000FF"/>
          <w:sz w:val="24"/>
          <w:szCs w:val="24"/>
        </w:rPr>
      </w:pPr>
      <w:r w:rsidRPr="00E36541">
        <w:rPr>
          <w:rFonts w:ascii="Calibri" w:hAnsi="Calibri" w:cs="Calibri"/>
          <w:color w:val="0000FF"/>
          <w:sz w:val="24"/>
          <w:szCs w:val="24"/>
        </w:rPr>
        <w:t>We have modified the previous sentence</w:t>
      </w:r>
      <w:r>
        <w:rPr>
          <w:rFonts w:ascii="Calibri" w:hAnsi="Calibri" w:cs="Calibri"/>
          <w:color w:val="0000FF"/>
          <w:sz w:val="24"/>
          <w:szCs w:val="24"/>
        </w:rPr>
        <w:t>s</w:t>
      </w:r>
      <w:r w:rsidRPr="00E36541">
        <w:rPr>
          <w:rFonts w:ascii="Calibri" w:hAnsi="Calibri" w:cs="Calibri"/>
          <w:color w:val="0000FF"/>
          <w:sz w:val="24"/>
          <w:szCs w:val="24"/>
        </w:rPr>
        <w:t xml:space="preserve"> as follows: </w:t>
      </w:r>
      <w:r w:rsidR="00A77D2F">
        <w:rPr>
          <w:rFonts w:ascii="Calibri" w:hAnsi="Calibri" w:cs="Calibri"/>
          <w:color w:val="0000FF"/>
          <w:sz w:val="24"/>
          <w:szCs w:val="24"/>
          <w:highlight w:val="yellow"/>
        </w:rPr>
        <w:t>(l</w:t>
      </w:r>
      <w:r w:rsidR="00A77D2F" w:rsidRPr="004846BF">
        <w:rPr>
          <w:rFonts w:ascii="Calibri" w:hAnsi="Calibri" w:cs="Calibri"/>
          <w:color w:val="0000FF"/>
          <w:sz w:val="24"/>
          <w:szCs w:val="24"/>
          <w:highlight w:val="yellow"/>
        </w:rPr>
        <w:t>ine 3</w:t>
      </w:r>
      <w:r w:rsidR="00A77D2F">
        <w:rPr>
          <w:rFonts w:ascii="Calibri" w:hAnsi="Calibri" w:cs="Calibri"/>
          <w:color w:val="0000FF"/>
          <w:sz w:val="24"/>
          <w:szCs w:val="24"/>
          <w:highlight w:val="yellow"/>
        </w:rPr>
        <w:t>43</w:t>
      </w:r>
      <w:r w:rsidR="00A77D2F" w:rsidRPr="004846BF">
        <w:rPr>
          <w:rFonts w:ascii="Calibri" w:hAnsi="Calibri" w:cs="Calibri"/>
          <w:color w:val="0000FF"/>
          <w:sz w:val="24"/>
          <w:szCs w:val="24"/>
          <w:highlight w:val="yellow"/>
        </w:rPr>
        <w:t>-</w:t>
      </w:r>
      <w:r w:rsidR="00A77D2F">
        <w:rPr>
          <w:rFonts w:ascii="Calibri" w:hAnsi="Calibri" w:cs="Calibri"/>
          <w:color w:val="0000FF"/>
          <w:sz w:val="24"/>
          <w:szCs w:val="24"/>
          <w:highlight w:val="yellow"/>
        </w:rPr>
        <w:t>344, 349-351</w:t>
      </w:r>
      <w:r w:rsidR="00A77D2F" w:rsidRPr="004846BF">
        <w:rPr>
          <w:rFonts w:ascii="Calibri" w:hAnsi="Calibri" w:cs="Calibri"/>
          <w:color w:val="0000FF"/>
          <w:sz w:val="24"/>
          <w:szCs w:val="24"/>
          <w:highlight w:val="yellow"/>
        </w:rPr>
        <w:t>)</w:t>
      </w:r>
    </w:p>
    <w:p w14:paraId="0F4D9178" w14:textId="77777777" w:rsidR="00E36541" w:rsidRPr="00E36541" w:rsidRDefault="00E36541" w:rsidP="00DF2B79">
      <w:pPr>
        <w:jc w:val="both"/>
        <w:rPr>
          <w:rFonts w:ascii="Calibri" w:hAnsi="Calibri" w:cs="Calibri"/>
          <w:color w:val="0000FF"/>
          <w:sz w:val="24"/>
          <w:szCs w:val="24"/>
        </w:rPr>
      </w:pPr>
      <w:r w:rsidRPr="00E36541">
        <w:rPr>
          <w:rFonts w:ascii="Calibri" w:hAnsi="Calibri" w:cs="Calibri"/>
          <w:color w:val="0000FF"/>
          <w:sz w:val="24"/>
          <w:szCs w:val="24"/>
        </w:rPr>
        <w:t>The total body irradiation (TBI) treated group received 5 × 10</w:t>
      </w:r>
      <w:r w:rsidRPr="00E36541">
        <w:rPr>
          <w:rFonts w:ascii="Calibri" w:hAnsi="Calibri" w:cs="Calibri"/>
          <w:color w:val="0000FF"/>
          <w:sz w:val="24"/>
          <w:szCs w:val="24"/>
          <w:vertAlign w:val="superscript"/>
        </w:rPr>
        <w:t>6</w:t>
      </w:r>
      <w:r w:rsidRPr="00E36541">
        <w:rPr>
          <w:rFonts w:ascii="Calibri" w:hAnsi="Calibri" w:cs="Calibri"/>
          <w:color w:val="0000FF"/>
          <w:sz w:val="24"/>
          <w:szCs w:val="24"/>
        </w:rPr>
        <w:t xml:space="preserve"> bone marrow cells following a total lethal radiation dose of 11 Gy in two 5.5 Gy fractions separated by a 4 h interval. </w:t>
      </w:r>
    </w:p>
    <w:p w14:paraId="14F0E692" w14:textId="6286E04A" w:rsidR="001B141B" w:rsidRPr="009F15DC" w:rsidRDefault="00E36541" w:rsidP="00B74073">
      <w:pPr>
        <w:jc w:val="both"/>
        <w:rPr>
          <w:rFonts w:cstheme="minorHAnsi"/>
          <w:sz w:val="24"/>
          <w:szCs w:val="24"/>
        </w:rPr>
      </w:pPr>
      <w:r w:rsidRPr="00E36541">
        <w:rPr>
          <w:rFonts w:ascii="Calibri" w:hAnsi="Calibri" w:cs="Calibri"/>
          <w:color w:val="0000FF"/>
          <w:sz w:val="24"/>
          <w:szCs w:val="24"/>
        </w:rPr>
        <w:t>In the partially shielded irradiation group, recipient mice were irradiated with a thorax shield and transplanted with 5 × 10</w:t>
      </w:r>
      <w:r w:rsidRPr="00E36541">
        <w:rPr>
          <w:rFonts w:ascii="Calibri" w:hAnsi="Calibri" w:cs="Calibri"/>
          <w:color w:val="0000FF"/>
          <w:sz w:val="24"/>
          <w:szCs w:val="24"/>
          <w:vertAlign w:val="superscript"/>
        </w:rPr>
        <w:t>6</w:t>
      </w:r>
      <w:r w:rsidRPr="00E36541">
        <w:rPr>
          <w:rFonts w:ascii="Calibri" w:hAnsi="Calibri" w:cs="Calibri"/>
          <w:color w:val="0000FF"/>
          <w:sz w:val="24"/>
          <w:szCs w:val="24"/>
        </w:rPr>
        <w:t xml:space="preserve"> bone marrow cells</w:t>
      </w:r>
      <w:r w:rsidR="00B74073">
        <w:rPr>
          <w:rFonts w:ascii="Calibri" w:hAnsi="Calibri" w:cs="Calibri"/>
          <w:color w:val="0000FF"/>
          <w:sz w:val="24"/>
          <w:szCs w:val="24"/>
        </w:rPr>
        <w:t xml:space="preserve"> following a total radiation dose of </w:t>
      </w:r>
      <w:r w:rsidR="00B74073" w:rsidRPr="00E36541">
        <w:rPr>
          <w:rFonts w:ascii="Calibri" w:hAnsi="Calibri" w:cs="Calibri"/>
          <w:color w:val="0000FF"/>
          <w:sz w:val="24"/>
          <w:szCs w:val="24"/>
        </w:rPr>
        <w:t>11 Gy in two 5.5 Gy fractions separated by a 4 h interval</w:t>
      </w:r>
      <w:r w:rsidR="00B74073">
        <w:rPr>
          <w:rFonts w:ascii="Calibri" w:hAnsi="Calibri" w:cs="Calibri"/>
          <w:color w:val="0000FF"/>
          <w:sz w:val="24"/>
          <w:szCs w:val="24"/>
        </w:rPr>
        <w:t>.</w:t>
      </w:r>
    </w:p>
    <w:p w14:paraId="07353B3C"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336: Include statement "(data not shown)" since it's not part of Fig 3</w:t>
      </w:r>
    </w:p>
    <w:p w14:paraId="202E15C9"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23068136"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lastRenderedPageBreak/>
        <w:t>Response</w:t>
      </w:r>
      <w:r w:rsidRPr="009F15DC">
        <w:rPr>
          <w:rFonts w:asciiTheme="minorHAnsi" w:hAnsiTheme="minorHAnsi" w:cstheme="minorHAnsi"/>
          <w:sz w:val="24"/>
          <w:szCs w:val="24"/>
        </w:rPr>
        <w:t xml:space="preserve">: </w:t>
      </w:r>
    </w:p>
    <w:p w14:paraId="4B97A924"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1440B095" w14:textId="758B3EFB" w:rsidR="001B141B" w:rsidRPr="00350D0F" w:rsidRDefault="00350D0F" w:rsidP="00350D0F">
      <w:pPr>
        <w:pStyle w:val="NormalWeb"/>
        <w:spacing w:before="0" w:beforeAutospacing="0" w:after="0" w:afterAutospacing="0"/>
        <w:jc w:val="both"/>
        <w:rPr>
          <w:color w:val="0000FF"/>
          <w:sz w:val="24"/>
          <w:szCs w:val="24"/>
        </w:rPr>
      </w:pPr>
      <w:r>
        <w:rPr>
          <w:color w:val="0000FF"/>
          <w:sz w:val="24"/>
          <w:szCs w:val="24"/>
        </w:rPr>
        <w:t>Accepted</w:t>
      </w:r>
      <w:r w:rsidRPr="00350D0F">
        <w:rPr>
          <w:color w:val="0000FF"/>
          <w:sz w:val="24"/>
          <w:szCs w:val="24"/>
        </w:rPr>
        <w:t>.</w:t>
      </w:r>
      <w:r w:rsidR="00A77D2F" w:rsidRPr="00A77D2F">
        <w:rPr>
          <w:color w:val="0000FF"/>
          <w:sz w:val="24"/>
          <w:szCs w:val="24"/>
          <w:highlight w:val="yellow"/>
        </w:rPr>
        <w:t xml:space="preserve"> </w:t>
      </w:r>
      <w:r w:rsidR="00A77D2F">
        <w:rPr>
          <w:color w:val="0000FF"/>
          <w:sz w:val="24"/>
          <w:szCs w:val="24"/>
          <w:highlight w:val="yellow"/>
        </w:rPr>
        <w:t>(l</w:t>
      </w:r>
      <w:r w:rsidR="00A77D2F" w:rsidRPr="004846BF">
        <w:rPr>
          <w:color w:val="0000FF"/>
          <w:sz w:val="24"/>
          <w:szCs w:val="24"/>
          <w:highlight w:val="yellow"/>
        </w:rPr>
        <w:t xml:space="preserve">ine </w:t>
      </w:r>
      <w:r w:rsidR="00A77D2F">
        <w:rPr>
          <w:color w:val="0000FF"/>
          <w:sz w:val="24"/>
          <w:szCs w:val="24"/>
          <w:highlight w:val="yellow"/>
        </w:rPr>
        <w:t>370-</w:t>
      </w:r>
      <w:r w:rsidR="00A77D2F" w:rsidRPr="00A77D2F">
        <w:rPr>
          <w:color w:val="0000FF"/>
          <w:sz w:val="24"/>
          <w:szCs w:val="24"/>
          <w:highlight w:val="yellow"/>
        </w:rPr>
        <w:t>371)</w:t>
      </w:r>
      <w:r w:rsidRPr="00350D0F">
        <w:rPr>
          <w:color w:val="0000FF"/>
          <w:sz w:val="24"/>
          <w:szCs w:val="24"/>
        </w:rPr>
        <w:t xml:space="preserve"> Consistent with the clinical paradigm of clonal hematopoiesis, the expansion of </w:t>
      </w:r>
      <w:r w:rsidRPr="00C64C3E">
        <w:rPr>
          <w:i/>
          <w:iCs/>
          <w:color w:val="0000FF"/>
          <w:sz w:val="24"/>
          <w:szCs w:val="24"/>
        </w:rPr>
        <w:t>Tet2</w:t>
      </w:r>
      <w:r w:rsidRPr="00350D0F">
        <w:rPr>
          <w:color w:val="0000FF"/>
          <w:sz w:val="24"/>
          <w:szCs w:val="24"/>
        </w:rPr>
        <w:t>-deficient</w:t>
      </w:r>
      <w:r>
        <w:rPr>
          <w:color w:val="0000FF"/>
          <w:sz w:val="24"/>
          <w:szCs w:val="24"/>
        </w:rPr>
        <w:t xml:space="preserve"> cells</w:t>
      </w:r>
      <w:r w:rsidRPr="00350D0F">
        <w:rPr>
          <w:color w:val="0000FF"/>
          <w:sz w:val="24"/>
          <w:szCs w:val="24"/>
        </w:rPr>
        <w:t xml:space="preserve"> does not impact the absolute numbers of the various blood cell types. (Data not shown)</w:t>
      </w:r>
    </w:p>
    <w:p w14:paraId="70D6CFA8" w14:textId="77777777" w:rsidR="00350D0F" w:rsidRPr="009F15DC" w:rsidRDefault="00350D0F" w:rsidP="009F15DC">
      <w:pPr>
        <w:pStyle w:val="NormalWeb"/>
        <w:spacing w:before="0" w:beforeAutospacing="0" w:after="0" w:afterAutospacing="0"/>
        <w:rPr>
          <w:rFonts w:asciiTheme="minorHAnsi" w:hAnsiTheme="minorHAnsi" w:cstheme="minorHAnsi"/>
          <w:sz w:val="24"/>
          <w:szCs w:val="24"/>
        </w:rPr>
      </w:pPr>
    </w:p>
    <w:p w14:paraId="0791F976"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354-5, 365: Clarify that 5 × 10^6 bone marrow cells were administered each day for 3 consecutive days (for a total of 1.5 x 10^7) as mentioned earlier in protocol</w:t>
      </w:r>
    </w:p>
    <w:p w14:paraId="061BDBEB" w14:textId="229E3817" w:rsidR="001B141B" w:rsidRPr="00350D0F" w:rsidRDefault="001B141B" w:rsidP="009F15DC">
      <w:pPr>
        <w:pStyle w:val="NormalWeb"/>
        <w:spacing w:before="0" w:beforeAutospacing="0" w:after="0" w:afterAutospacing="0"/>
        <w:rPr>
          <w:rFonts w:asciiTheme="minorHAnsi" w:hAnsiTheme="minorHAnsi" w:cstheme="minorHAnsi"/>
          <w:sz w:val="28"/>
          <w:szCs w:val="28"/>
        </w:rPr>
      </w:pPr>
    </w:p>
    <w:p w14:paraId="75D074C0"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591BD44C"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3D7C8969" w14:textId="1BE706D6" w:rsidR="00350D0F" w:rsidRPr="00350D0F" w:rsidRDefault="00350D0F" w:rsidP="00350D0F">
      <w:pPr>
        <w:rPr>
          <w:rFonts w:ascii="Calibri" w:hAnsi="Calibri" w:cs="Calibri"/>
          <w:color w:val="0000FF"/>
          <w:sz w:val="24"/>
          <w:szCs w:val="24"/>
        </w:rPr>
      </w:pPr>
      <w:r>
        <w:rPr>
          <w:rFonts w:ascii="Calibri" w:hAnsi="Calibri" w:cs="Calibri"/>
          <w:color w:val="0000FF"/>
          <w:sz w:val="24"/>
          <w:szCs w:val="24"/>
        </w:rPr>
        <w:t xml:space="preserve">Modified. </w:t>
      </w:r>
      <w:r w:rsidR="00A77D2F">
        <w:rPr>
          <w:rFonts w:ascii="Calibri" w:hAnsi="Calibri" w:cs="Calibri"/>
          <w:color w:val="0000FF"/>
          <w:sz w:val="24"/>
          <w:szCs w:val="24"/>
          <w:highlight w:val="yellow"/>
        </w:rPr>
        <w:t>(l</w:t>
      </w:r>
      <w:r w:rsidR="00A77D2F" w:rsidRPr="004846BF">
        <w:rPr>
          <w:rFonts w:ascii="Calibri" w:hAnsi="Calibri" w:cs="Calibri"/>
          <w:color w:val="0000FF"/>
          <w:sz w:val="24"/>
          <w:szCs w:val="24"/>
          <w:highlight w:val="yellow"/>
        </w:rPr>
        <w:t xml:space="preserve">ine </w:t>
      </w:r>
      <w:r w:rsidR="00A77D2F" w:rsidRPr="00A77D2F">
        <w:rPr>
          <w:color w:val="0000FF"/>
          <w:sz w:val="24"/>
          <w:szCs w:val="24"/>
          <w:highlight w:val="yellow"/>
        </w:rPr>
        <w:t>363)</w:t>
      </w:r>
      <w:r w:rsidR="00A77D2F">
        <w:rPr>
          <w:color w:val="0000FF"/>
          <w:sz w:val="24"/>
          <w:szCs w:val="24"/>
        </w:rPr>
        <w:t xml:space="preserve"> </w:t>
      </w:r>
      <w:r w:rsidRPr="00350D0F">
        <w:rPr>
          <w:rFonts w:ascii="Calibri" w:hAnsi="Calibri" w:cs="Calibri"/>
          <w:color w:val="0000FF"/>
          <w:sz w:val="24"/>
          <w:szCs w:val="24"/>
        </w:rPr>
        <w:t>Recipients without conditioning were transplanted with 5 × 10</w:t>
      </w:r>
      <w:r w:rsidRPr="00350D0F">
        <w:rPr>
          <w:rFonts w:ascii="Calibri" w:hAnsi="Calibri" w:cs="Calibri"/>
          <w:color w:val="0000FF"/>
          <w:sz w:val="24"/>
          <w:szCs w:val="24"/>
          <w:vertAlign w:val="superscript"/>
        </w:rPr>
        <w:t>6</w:t>
      </w:r>
      <w:r w:rsidRPr="00350D0F">
        <w:rPr>
          <w:rFonts w:ascii="Calibri" w:hAnsi="Calibri" w:cs="Calibri"/>
          <w:color w:val="0000FF"/>
          <w:sz w:val="24"/>
          <w:szCs w:val="24"/>
        </w:rPr>
        <w:t xml:space="preserve"> bone marrow cells each day for 3 consecutive days.</w:t>
      </w:r>
      <w:r w:rsidR="001A1472">
        <w:rPr>
          <w:rFonts w:ascii="Calibri" w:hAnsi="Calibri" w:cs="Calibri"/>
          <w:color w:val="0000FF"/>
          <w:sz w:val="24"/>
          <w:szCs w:val="24"/>
        </w:rPr>
        <w:t xml:space="preserve"> (for a total of </w:t>
      </w:r>
      <w:r w:rsidR="001A1472" w:rsidRPr="001A1472">
        <w:rPr>
          <w:rFonts w:ascii="Calibri" w:hAnsi="Calibri" w:cs="Calibri"/>
          <w:color w:val="0000FF"/>
          <w:sz w:val="24"/>
          <w:szCs w:val="24"/>
        </w:rPr>
        <w:t>1.5 x 10</w:t>
      </w:r>
      <w:r w:rsidR="001A1472" w:rsidRPr="001A1472">
        <w:rPr>
          <w:rFonts w:ascii="Calibri" w:hAnsi="Calibri" w:cs="Calibri"/>
          <w:color w:val="0000FF"/>
          <w:sz w:val="24"/>
          <w:szCs w:val="24"/>
          <w:vertAlign w:val="superscript"/>
        </w:rPr>
        <w:t>7</w:t>
      </w:r>
      <w:r w:rsidR="00190523">
        <w:rPr>
          <w:rFonts w:ascii="Calibri" w:hAnsi="Calibri" w:cs="Calibri"/>
          <w:color w:val="0000FF"/>
          <w:sz w:val="24"/>
          <w:szCs w:val="24"/>
        </w:rPr>
        <w:t>, n=4)</w:t>
      </w:r>
    </w:p>
    <w:p w14:paraId="1BAC4CD7"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3EC4F9AB"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357-358: Cell population characteristics are not clear due to possibly inconsistent use of ";" (this is clear: "Neutrophils as Ly6G+; ", but this is not clear: "Ly6Chigh monocytes as CD115+; Ly6G- and Ly6C+;")</w:t>
      </w:r>
    </w:p>
    <w:p w14:paraId="25AAE2AC"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27C6BA40"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0DE3F3F5"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0E586B1D" w14:textId="4CDEFEF4" w:rsidR="00350D0F" w:rsidRPr="00350D0F" w:rsidRDefault="00350D0F" w:rsidP="00350D0F">
      <w:pPr>
        <w:jc w:val="both"/>
        <w:rPr>
          <w:rFonts w:ascii="Calibri" w:hAnsi="Calibri" w:cs="Calibri"/>
          <w:color w:val="0000FF"/>
          <w:sz w:val="24"/>
          <w:szCs w:val="24"/>
        </w:rPr>
      </w:pPr>
      <w:r w:rsidRPr="00350D0F">
        <w:rPr>
          <w:rFonts w:ascii="Calibri" w:hAnsi="Calibri" w:cs="Calibri"/>
          <w:color w:val="0000FF"/>
          <w:sz w:val="24"/>
          <w:szCs w:val="24"/>
        </w:rPr>
        <w:t>Based on your comments, we have modified the previous sentence as below:</w:t>
      </w:r>
      <w:r w:rsidR="00E5445B">
        <w:rPr>
          <w:rFonts w:ascii="Calibri" w:hAnsi="Calibri" w:cs="Calibri"/>
          <w:color w:val="0000FF"/>
          <w:sz w:val="24"/>
          <w:szCs w:val="24"/>
        </w:rPr>
        <w:t xml:space="preserve"> </w:t>
      </w:r>
      <w:r w:rsidR="00E5445B">
        <w:rPr>
          <w:rFonts w:ascii="Calibri" w:hAnsi="Calibri" w:cs="Calibri"/>
          <w:color w:val="0000FF"/>
          <w:sz w:val="24"/>
          <w:szCs w:val="24"/>
          <w:highlight w:val="yellow"/>
        </w:rPr>
        <w:t>(l</w:t>
      </w:r>
      <w:r w:rsidR="00E5445B" w:rsidRPr="004846BF">
        <w:rPr>
          <w:rFonts w:ascii="Calibri" w:hAnsi="Calibri" w:cs="Calibri"/>
          <w:color w:val="0000FF"/>
          <w:sz w:val="24"/>
          <w:szCs w:val="24"/>
          <w:highlight w:val="yellow"/>
        </w:rPr>
        <w:t xml:space="preserve">ine </w:t>
      </w:r>
      <w:r w:rsidR="00E5445B">
        <w:rPr>
          <w:color w:val="0000FF"/>
          <w:sz w:val="24"/>
          <w:szCs w:val="24"/>
          <w:highlight w:val="yellow"/>
        </w:rPr>
        <w:t>406-409</w:t>
      </w:r>
      <w:r w:rsidR="00E5445B" w:rsidRPr="00A77D2F">
        <w:rPr>
          <w:color w:val="0000FF"/>
          <w:sz w:val="24"/>
          <w:szCs w:val="24"/>
          <w:highlight w:val="yellow"/>
        </w:rPr>
        <w:t>)</w:t>
      </w:r>
    </w:p>
    <w:p w14:paraId="7D12B526" w14:textId="4A3CBBE3" w:rsidR="001B141B" w:rsidRPr="00350D0F" w:rsidRDefault="00350D0F" w:rsidP="00350D0F">
      <w:pPr>
        <w:pStyle w:val="NormalWeb"/>
        <w:spacing w:before="0" w:beforeAutospacing="0" w:after="0" w:afterAutospacing="0"/>
        <w:jc w:val="both"/>
        <w:rPr>
          <w:color w:val="0000FF"/>
          <w:sz w:val="24"/>
          <w:szCs w:val="24"/>
        </w:rPr>
      </w:pPr>
      <w:r w:rsidRPr="00350D0F">
        <w:rPr>
          <w:color w:val="0000FF"/>
          <w:sz w:val="24"/>
          <w:szCs w:val="24"/>
        </w:rPr>
        <w:t>WBCs are defined as CD45</w:t>
      </w:r>
      <w:r w:rsidRPr="00350D0F">
        <w:rPr>
          <w:color w:val="0000FF"/>
          <w:sz w:val="24"/>
          <w:szCs w:val="24"/>
          <w:vertAlign w:val="superscript"/>
        </w:rPr>
        <w:t>+</w:t>
      </w:r>
      <w:r w:rsidRPr="00350D0F">
        <w:rPr>
          <w:color w:val="0000FF"/>
          <w:sz w:val="24"/>
          <w:szCs w:val="24"/>
        </w:rPr>
        <w:t>; Neutrophils as Ly6G</w:t>
      </w:r>
      <w:r w:rsidRPr="00350D0F">
        <w:rPr>
          <w:color w:val="0000FF"/>
          <w:sz w:val="24"/>
          <w:szCs w:val="24"/>
          <w:vertAlign w:val="superscript"/>
        </w:rPr>
        <w:t>+</w:t>
      </w:r>
      <w:r w:rsidRPr="00350D0F">
        <w:rPr>
          <w:color w:val="0000FF"/>
          <w:sz w:val="24"/>
          <w:szCs w:val="24"/>
        </w:rPr>
        <w:t>; Ly6C</w:t>
      </w:r>
      <w:r w:rsidRPr="00350D0F">
        <w:rPr>
          <w:color w:val="0000FF"/>
          <w:sz w:val="24"/>
          <w:szCs w:val="24"/>
          <w:vertAlign w:val="superscript"/>
        </w:rPr>
        <w:t>hi</w:t>
      </w:r>
      <w:r w:rsidRPr="00350D0F">
        <w:rPr>
          <w:color w:val="0000FF"/>
          <w:sz w:val="24"/>
          <w:szCs w:val="24"/>
        </w:rPr>
        <w:t xml:space="preserve"> monocytes as CD115</w:t>
      </w:r>
      <w:r w:rsidRPr="00F555D6">
        <w:rPr>
          <w:color w:val="0000FF"/>
          <w:sz w:val="24"/>
          <w:szCs w:val="24"/>
          <w:vertAlign w:val="superscript"/>
        </w:rPr>
        <w:t>+</w:t>
      </w:r>
      <w:r w:rsidR="00F555D6">
        <w:rPr>
          <w:color w:val="0000FF"/>
          <w:sz w:val="24"/>
          <w:szCs w:val="24"/>
        </w:rPr>
        <w:t xml:space="preserve">, </w:t>
      </w:r>
      <w:r w:rsidRPr="00350D0F">
        <w:rPr>
          <w:color w:val="0000FF"/>
          <w:sz w:val="24"/>
          <w:szCs w:val="24"/>
        </w:rPr>
        <w:t>Ly6G</w:t>
      </w:r>
      <w:r w:rsidRPr="00F555D6">
        <w:rPr>
          <w:color w:val="0000FF"/>
          <w:sz w:val="24"/>
          <w:szCs w:val="24"/>
          <w:vertAlign w:val="superscript"/>
        </w:rPr>
        <w:t xml:space="preserve">- </w:t>
      </w:r>
      <w:r w:rsidRPr="00350D0F">
        <w:rPr>
          <w:color w:val="0000FF"/>
          <w:sz w:val="24"/>
          <w:szCs w:val="24"/>
        </w:rPr>
        <w:t>and Ly6C</w:t>
      </w:r>
      <w:r w:rsidRPr="00350D0F">
        <w:rPr>
          <w:color w:val="0000FF"/>
          <w:sz w:val="24"/>
          <w:szCs w:val="24"/>
          <w:vertAlign w:val="superscript"/>
        </w:rPr>
        <w:t>+</w:t>
      </w:r>
      <w:r w:rsidRPr="00350D0F">
        <w:rPr>
          <w:color w:val="0000FF"/>
          <w:sz w:val="24"/>
          <w:szCs w:val="24"/>
        </w:rPr>
        <w:t>; Ly6C</w:t>
      </w:r>
      <w:r w:rsidRPr="00350D0F">
        <w:rPr>
          <w:color w:val="0000FF"/>
          <w:sz w:val="24"/>
          <w:szCs w:val="24"/>
          <w:vertAlign w:val="superscript"/>
        </w:rPr>
        <w:t>lo</w:t>
      </w:r>
      <w:r w:rsidRPr="00350D0F">
        <w:rPr>
          <w:color w:val="0000FF"/>
          <w:sz w:val="24"/>
          <w:szCs w:val="24"/>
        </w:rPr>
        <w:t xml:space="preserve"> monocytes as CD115</w:t>
      </w:r>
      <w:r w:rsidRPr="00350D0F">
        <w:rPr>
          <w:color w:val="0000FF"/>
          <w:sz w:val="24"/>
          <w:szCs w:val="24"/>
          <w:vertAlign w:val="superscript"/>
        </w:rPr>
        <w:t>+</w:t>
      </w:r>
      <w:r w:rsidRPr="00350D0F">
        <w:rPr>
          <w:color w:val="0000FF"/>
          <w:sz w:val="24"/>
          <w:szCs w:val="24"/>
        </w:rPr>
        <w:t>, Ly6G</w:t>
      </w:r>
      <w:r w:rsidRPr="00350D0F">
        <w:rPr>
          <w:color w:val="0000FF"/>
          <w:sz w:val="24"/>
          <w:szCs w:val="24"/>
          <w:vertAlign w:val="superscript"/>
        </w:rPr>
        <w:t>-</w:t>
      </w:r>
      <w:r w:rsidRPr="00350D0F">
        <w:rPr>
          <w:color w:val="0000FF"/>
          <w:sz w:val="24"/>
          <w:szCs w:val="24"/>
        </w:rPr>
        <w:t>, and Ly6C</w:t>
      </w:r>
      <w:r w:rsidRPr="00350D0F">
        <w:rPr>
          <w:color w:val="0000FF"/>
          <w:sz w:val="24"/>
          <w:szCs w:val="24"/>
          <w:vertAlign w:val="superscript"/>
        </w:rPr>
        <w:t>-</w:t>
      </w:r>
      <w:r w:rsidRPr="00350D0F">
        <w:rPr>
          <w:color w:val="0000FF"/>
          <w:sz w:val="24"/>
          <w:szCs w:val="24"/>
        </w:rPr>
        <w:t>; B cells as CD45R</w:t>
      </w:r>
      <w:r w:rsidRPr="00350D0F">
        <w:rPr>
          <w:color w:val="0000FF"/>
          <w:sz w:val="24"/>
          <w:szCs w:val="24"/>
          <w:vertAlign w:val="superscript"/>
        </w:rPr>
        <w:t>+</w:t>
      </w:r>
      <w:r w:rsidRPr="00350D0F">
        <w:rPr>
          <w:color w:val="0000FF"/>
          <w:sz w:val="24"/>
          <w:szCs w:val="24"/>
        </w:rPr>
        <w:t>; and T cells as CD3e</w:t>
      </w:r>
      <w:r w:rsidRPr="00350D0F">
        <w:rPr>
          <w:color w:val="0000FF"/>
          <w:sz w:val="24"/>
          <w:szCs w:val="24"/>
          <w:vertAlign w:val="superscript"/>
        </w:rPr>
        <w:t>+</w:t>
      </w:r>
      <w:r w:rsidRPr="00350D0F">
        <w:rPr>
          <w:color w:val="0000FF"/>
          <w:sz w:val="24"/>
          <w:szCs w:val="24"/>
        </w:rPr>
        <w:t>.</w:t>
      </w:r>
    </w:p>
    <w:p w14:paraId="6FA032CE" w14:textId="77777777" w:rsidR="00350D0F" w:rsidRPr="009F15DC" w:rsidRDefault="00350D0F" w:rsidP="00350D0F">
      <w:pPr>
        <w:pStyle w:val="NormalWeb"/>
        <w:spacing w:before="0" w:beforeAutospacing="0" w:after="0" w:afterAutospacing="0"/>
        <w:rPr>
          <w:rFonts w:asciiTheme="minorHAnsi" w:hAnsiTheme="minorHAnsi" w:cstheme="minorHAnsi"/>
          <w:sz w:val="24"/>
          <w:szCs w:val="24"/>
        </w:rPr>
      </w:pPr>
    </w:p>
    <w:p w14:paraId="0F8A17EA" w14:textId="77777777" w:rsidR="009F15DC"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Discussion:</w:t>
      </w:r>
    </w:p>
    <w:p w14:paraId="103204D0" w14:textId="7736E20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378: Authors could suggest other sites of interest for shielding</w:t>
      </w:r>
    </w:p>
    <w:p w14:paraId="69EF5416"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1D79B67F"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615AEC31"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3012DD5C" w14:textId="77777777" w:rsidR="00350D0F" w:rsidRPr="00350D0F" w:rsidRDefault="00350D0F" w:rsidP="00350D0F">
      <w:pPr>
        <w:jc w:val="both"/>
        <w:rPr>
          <w:rFonts w:ascii="Calibri" w:hAnsi="Calibri" w:cs="Calibri"/>
          <w:color w:val="0000FF"/>
          <w:sz w:val="24"/>
          <w:szCs w:val="24"/>
        </w:rPr>
      </w:pPr>
      <w:r w:rsidRPr="00350D0F">
        <w:rPr>
          <w:rFonts w:ascii="Calibri" w:hAnsi="Calibri" w:cs="Calibri"/>
          <w:color w:val="0000FF"/>
          <w:sz w:val="24"/>
          <w:szCs w:val="24"/>
        </w:rPr>
        <w:t xml:space="preserve">We are not sure whether it is appropriate to suggest other sites of interest for shielding, specifically at line 378. Line 378 summarizes the overall methods of BMT that we introduced. </w:t>
      </w:r>
    </w:p>
    <w:p w14:paraId="75CC4512" w14:textId="7C5837AB" w:rsidR="00350D0F" w:rsidRPr="00350D0F" w:rsidRDefault="00350D0F" w:rsidP="00350D0F">
      <w:pPr>
        <w:jc w:val="both"/>
        <w:rPr>
          <w:rFonts w:ascii="Calibri" w:hAnsi="Calibri" w:cs="Calibri"/>
          <w:color w:val="0000FF"/>
          <w:sz w:val="24"/>
          <w:szCs w:val="24"/>
        </w:rPr>
      </w:pPr>
      <w:r w:rsidRPr="00350D0F">
        <w:rPr>
          <w:rFonts w:ascii="Calibri" w:hAnsi="Calibri" w:cs="Calibri"/>
          <w:color w:val="0000FF"/>
          <w:sz w:val="24"/>
          <w:szCs w:val="24"/>
        </w:rPr>
        <w:t xml:space="preserve">We instead added the following sentence in the paragraph under the subtitle “Design of lead shielding”. </w:t>
      </w:r>
      <w:r w:rsidR="00E5445B">
        <w:rPr>
          <w:rFonts w:ascii="Calibri" w:hAnsi="Calibri" w:cs="Calibri"/>
          <w:color w:val="0000FF"/>
          <w:sz w:val="24"/>
          <w:szCs w:val="24"/>
          <w:highlight w:val="yellow"/>
        </w:rPr>
        <w:t>(l</w:t>
      </w:r>
      <w:r w:rsidR="00E5445B" w:rsidRPr="004846BF">
        <w:rPr>
          <w:rFonts w:ascii="Calibri" w:hAnsi="Calibri" w:cs="Calibri"/>
          <w:color w:val="0000FF"/>
          <w:sz w:val="24"/>
          <w:szCs w:val="24"/>
          <w:highlight w:val="yellow"/>
        </w:rPr>
        <w:t xml:space="preserve">ine </w:t>
      </w:r>
      <w:r w:rsidR="00E5445B">
        <w:rPr>
          <w:color w:val="0000FF"/>
          <w:sz w:val="24"/>
          <w:szCs w:val="24"/>
          <w:highlight w:val="yellow"/>
        </w:rPr>
        <w:t>5</w:t>
      </w:r>
      <w:r w:rsidR="00DD13E8">
        <w:rPr>
          <w:color w:val="0000FF"/>
          <w:sz w:val="24"/>
          <w:szCs w:val="24"/>
          <w:highlight w:val="yellow"/>
        </w:rPr>
        <w:t>50</w:t>
      </w:r>
      <w:r w:rsidR="00E5445B">
        <w:rPr>
          <w:color w:val="0000FF"/>
          <w:sz w:val="24"/>
          <w:szCs w:val="24"/>
          <w:highlight w:val="yellow"/>
        </w:rPr>
        <w:t>-5</w:t>
      </w:r>
      <w:r w:rsidR="00DD13E8">
        <w:rPr>
          <w:color w:val="0000FF"/>
          <w:sz w:val="24"/>
          <w:szCs w:val="24"/>
          <w:highlight w:val="yellow"/>
        </w:rPr>
        <w:t>52</w:t>
      </w:r>
      <w:r w:rsidR="00E5445B" w:rsidRPr="00A77D2F">
        <w:rPr>
          <w:color w:val="0000FF"/>
          <w:sz w:val="24"/>
          <w:szCs w:val="24"/>
          <w:highlight w:val="yellow"/>
        </w:rPr>
        <w:t>)</w:t>
      </w:r>
    </w:p>
    <w:p w14:paraId="0AAD8C6F" w14:textId="77777777" w:rsidR="00350D0F" w:rsidRPr="00350D0F" w:rsidRDefault="00350D0F" w:rsidP="00350D0F">
      <w:pPr>
        <w:jc w:val="both"/>
        <w:rPr>
          <w:rFonts w:ascii="Calibri" w:hAnsi="Calibri" w:cs="Calibri"/>
          <w:color w:val="0000FF"/>
          <w:sz w:val="24"/>
          <w:szCs w:val="24"/>
        </w:rPr>
      </w:pPr>
      <w:r w:rsidRPr="00350D0F">
        <w:rPr>
          <w:rFonts w:ascii="Calibri" w:hAnsi="Calibri" w:cs="Calibri"/>
          <w:color w:val="0000FF"/>
          <w:sz w:val="24"/>
          <w:szCs w:val="24"/>
        </w:rPr>
        <w:t>Based on the equipment and its parameters, researchers can design their own lead shields for their sites of interest. Here, we introduced thorax, abdominal, and head shielding; however, other sites such as limb or flank can be considered for shielding as well.</w:t>
      </w:r>
    </w:p>
    <w:p w14:paraId="78240DA2"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4F8C6E2F"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Importantly, the authors comment on which method seems to most faithfully recapitulate what is expected in CH in humans.</w:t>
      </w:r>
    </w:p>
    <w:p w14:paraId="596BEC72"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1C5AB66B"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lastRenderedPageBreak/>
        <w:t>Response</w:t>
      </w:r>
      <w:r w:rsidRPr="009F15DC">
        <w:rPr>
          <w:rFonts w:asciiTheme="minorHAnsi" w:hAnsiTheme="minorHAnsi" w:cstheme="minorHAnsi"/>
          <w:sz w:val="24"/>
          <w:szCs w:val="24"/>
        </w:rPr>
        <w:t xml:space="preserve">: </w:t>
      </w:r>
    </w:p>
    <w:p w14:paraId="5F14FB04"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4DFCCD60" w14:textId="4783C05F" w:rsidR="00350D0F" w:rsidRPr="00350D0F" w:rsidRDefault="00350D0F" w:rsidP="00350D0F">
      <w:pPr>
        <w:jc w:val="both"/>
        <w:rPr>
          <w:rFonts w:ascii="Calibri" w:hAnsi="Calibri" w:cs="Calibri"/>
          <w:color w:val="0000FF"/>
          <w:sz w:val="24"/>
          <w:szCs w:val="24"/>
        </w:rPr>
      </w:pPr>
      <w:r w:rsidRPr="00350D0F">
        <w:rPr>
          <w:rFonts w:ascii="Calibri" w:hAnsi="Calibri" w:cs="Calibri"/>
          <w:color w:val="0000FF"/>
          <w:sz w:val="24"/>
          <w:szCs w:val="24"/>
        </w:rPr>
        <w:t>We have modified the original sentence as below:</w:t>
      </w:r>
      <w:r w:rsidR="00E5445B" w:rsidRPr="00E5445B">
        <w:rPr>
          <w:rFonts w:ascii="Calibri" w:hAnsi="Calibri" w:cs="Calibri"/>
          <w:color w:val="0000FF"/>
          <w:sz w:val="24"/>
          <w:szCs w:val="24"/>
          <w:highlight w:val="yellow"/>
        </w:rPr>
        <w:t xml:space="preserve"> </w:t>
      </w:r>
      <w:r w:rsidR="00E5445B">
        <w:rPr>
          <w:rFonts w:ascii="Calibri" w:hAnsi="Calibri" w:cs="Calibri"/>
          <w:color w:val="0000FF"/>
          <w:sz w:val="24"/>
          <w:szCs w:val="24"/>
          <w:highlight w:val="yellow"/>
        </w:rPr>
        <w:t>(l</w:t>
      </w:r>
      <w:r w:rsidR="00E5445B" w:rsidRPr="004846BF">
        <w:rPr>
          <w:rFonts w:ascii="Calibri" w:hAnsi="Calibri" w:cs="Calibri"/>
          <w:color w:val="0000FF"/>
          <w:sz w:val="24"/>
          <w:szCs w:val="24"/>
          <w:highlight w:val="yellow"/>
        </w:rPr>
        <w:t xml:space="preserve">ine </w:t>
      </w:r>
      <w:r w:rsidR="00E5445B">
        <w:rPr>
          <w:color w:val="0000FF"/>
          <w:sz w:val="24"/>
          <w:szCs w:val="24"/>
          <w:highlight w:val="yellow"/>
        </w:rPr>
        <w:t>4</w:t>
      </w:r>
      <w:r w:rsidR="00DD13E8">
        <w:rPr>
          <w:color w:val="0000FF"/>
          <w:sz w:val="24"/>
          <w:szCs w:val="24"/>
          <w:highlight w:val="yellow"/>
        </w:rPr>
        <w:t>90</w:t>
      </w:r>
      <w:r w:rsidR="00E5445B">
        <w:rPr>
          <w:color w:val="0000FF"/>
          <w:sz w:val="24"/>
          <w:szCs w:val="24"/>
          <w:highlight w:val="yellow"/>
        </w:rPr>
        <w:t>-4</w:t>
      </w:r>
      <w:r w:rsidR="00DD13E8">
        <w:rPr>
          <w:color w:val="0000FF"/>
          <w:sz w:val="24"/>
          <w:szCs w:val="24"/>
          <w:highlight w:val="yellow"/>
        </w:rPr>
        <w:t>92</w:t>
      </w:r>
      <w:r w:rsidR="00E5445B" w:rsidRPr="00A77D2F">
        <w:rPr>
          <w:color w:val="0000FF"/>
          <w:sz w:val="24"/>
          <w:szCs w:val="24"/>
          <w:highlight w:val="yellow"/>
        </w:rPr>
        <w:t>)</w:t>
      </w:r>
    </w:p>
    <w:p w14:paraId="4F976CFD" w14:textId="3D85BB17" w:rsidR="00350D0F" w:rsidRPr="00350D0F" w:rsidRDefault="00350D0F" w:rsidP="00350D0F">
      <w:pPr>
        <w:jc w:val="both"/>
        <w:rPr>
          <w:rFonts w:ascii="Calibri" w:hAnsi="Calibri" w:cs="Calibri"/>
          <w:color w:val="0000FF"/>
          <w:sz w:val="24"/>
          <w:szCs w:val="24"/>
        </w:rPr>
      </w:pPr>
      <w:r w:rsidRPr="00350D0F">
        <w:rPr>
          <w:rFonts w:ascii="Calibri" w:hAnsi="Calibri" w:cs="Calibri"/>
          <w:color w:val="0000FF"/>
          <w:sz w:val="24"/>
          <w:szCs w:val="24"/>
        </w:rPr>
        <w:t xml:space="preserve">This adoptive </w:t>
      </w:r>
      <w:r w:rsidR="0077247C">
        <w:rPr>
          <w:rFonts w:ascii="Calibri" w:hAnsi="Calibri" w:cs="Calibri"/>
          <w:color w:val="0000FF"/>
          <w:sz w:val="24"/>
          <w:szCs w:val="24"/>
        </w:rPr>
        <w:t>BMT</w:t>
      </w:r>
      <w:r w:rsidRPr="00350D0F">
        <w:rPr>
          <w:rFonts w:ascii="Calibri" w:hAnsi="Calibri" w:cs="Calibri"/>
          <w:color w:val="0000FF"/>
          <w:sz w:val="24"/>
          <w:szCs w:val="24"/>
        </w:rPr>
        <w:t xml:space="preserve"> without pre-conditioning method minimally affects the ongoing naïve hematopoiesis, most faithfully recapitulating CH observed in humans.</w:t>
      </w:r>
    </w:p>
    <w:p w14:paraId="42EEA19E"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10DBD696" w14:textId="57BB0A15"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Authors should add a statement (in Discussion / Additional comments) that the choice of radiation source (Cesium-137 vs. X-ray) may itself influence the output of the reconstituted bone marrow (see e.g. PMID 26141441)</w:t>
      </w:r>
    </w:p>
    <w:p w14:paraId="5CC3F8EE"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6531A464"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3C7C79AE"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6DAF7CB1" w14:textId="17C9ADA5" w:rsidR="00350D0F" w:rsidRPr="00350D0F" w:rsidRDefault="00350D0F" w:rsidP="00350D0F">
      <w:pPr>
        <w:rPr>
          <w:rFonts w:ascii="Calibri" w:hAnsi="Calibri" w:cs="Calibri"/>
          <w:color w:val="000000"/>
          <w:sz w:val="24"/>
          <w:szCs w:val="24"/>
        </w:rPr>
      </w:pPr>
      <w:r w:rsidRPr="00350D0F">
        <w:rPr>
          <w:rFonts w:ascii="Calibri" w:hAnsi="Calibri" w:cs="Calibri"/>
          <w:color w:val="0000FF"/>
          <w:sz w:val="24"/>
          <w:szCs w:val="24"/>
        </w:rPr>
        <w:t>We appreciate your detailed comment. We have added the following:</w:t>
      </w:r>
      <w:r w:rsidR="00E5445B">
        <w:rPr>
          <w:rFonts w:ascii="Calibri" w:hAnsi="Calibri" w:cs="Calibri"/>
          <w:color w:val="0000FF"/>
          <w:sz w:val="24"/>
          <w:szCs w:val="24"/>
        </w:rPr>
        <w:t xml:space="preserve"> </w:t>
      </w:r>
      <w:r w:rsidR="00E5445B">
        <w:rPr>
          <w:rFonts w:ascii="Calibri" w:hAnsi="Calibri" w:cs="Calibri"/>
          <w:color w:val="0000FF"/>
          <w:sz w:val="24"/>
          <w:szCs w:val="24"/>
          <w:highlight w:val="yellow"/>
        </w:rPr>
        <w:t>(l</w:t>
      </w:r>
      <w:r w:rsidR="00E5445B" w:rsidRPr="004846BF">
        <w:rPr>
          <w:rFonts w:ascii="Calibri" w:hAnsi="Calibri" w:cs="Calibri"/>
          <w:color w:val="0000FF"/>
          <w:sz w:val="24"/>
          <w:szCs w:val="24"/>
          <w:highlight w:val="yellow"/>
        </w:rPr>
        <w:t xml:space="preserve">ine </w:t>
      </w:r>
      <w:r w:rsidR="00E5445B">
        <w:rPr>
          <w:color w:val="0000FF"/>
          <w:sz w:val="24"/>
          <w:szCs w:val="24"/>
          <w:highlight w:val="yellow"/>
        </w:rPr>
        <w:t>5</w:t>
      </w:r>
      <w:r w:rsidR="00A037BD">
        <w:rPr>
          <w:color w:val="0000FF"/>
          <w:sz w:val="24"/>
          <w:szCs w:val="24"/>
          <w:highlight w:val="yellow"/>
        </w:rPr>
        <w:t>52</w:t>
      </w:r>
      <w:r w:rsidR="00E5445B">
        <w:rPr>
          <w:color w:val="0000FF"/>
          <w:sz w:val="24"/>
          <w:szCs w:val="24"/>
          <w:highlight w:val="yellow"/>
        </w:rPr>
        <w:t>-55</w:t>
      </w:r>
      <w:r w:rsidR="008D3086">
        <w:rPr>
          <w:color w:val="0000FF"/>
          <w:sz w:val="24"/>
          <w:szCs w:val="24"/>
          <w:highlight w:val="yellow"/>
        </w:rPr>
        <w:t>5</w:t>
      </w:r>
      <w:r w:rsidR="00E5445B" w:rsidRPr="00A77D2F">
        <w:rPr>
          <w:color w:val="0000FF"/>
          <w:sz w:val="24"/>
          <w:szCs w:val="24"/>
          <w:highlight w:val="yellow"/>
        </w:rPr>
        <w:t>)</w:t>
      </w:r>
    </w:p>
    <w:p w14:paraId="03C8FDD3" w14:textId="0C77EABB" w:rsidR="00350D0F" w:rsidRPr="00350D0F" w:rsidRDefault="00350D0F" w:rsidP="00350D0F">
      <w:pPr>
        <w:jc w:val="both"/>
        <w:rPr>
          <w:rFonts w:ascii="Calibri" w:hAnsi="Calibri" w:cs="Calibri"/>
          <w:color w:val="0000FF"/>
          <w:sz w:val="24"/>
          <w:szCs w:val="24"/>
        </w:rPr>
      </w:pPr>
      <w:r w:rsidRPr="00350D0F">
        <w:rPr>
          <w:rFonts w:ascii="Calibri" w:hAnsi="Calibri" w:cs="Calibri"/>
          <w:color w:val="0000FF"/>
          <w:sz w:val="24"/>
          <w:szCs w:val="24"/>
        </w:rPr>
        <w:t xml:space="preserve">In addition, while both radiation sources (Cesium-137 and X-ray) are </w:t>
      </w:r>
      <w:r w:rsidR="00467A04" w:rsidRPr="00350D0F">
        <w:rPr>
          <w:rFonts w:ascii="Calibri" w:hAnsi="Calibri" w:cs="Calibri"/>
          <w:color w:val="0000FF"/>
          <w:sz w:val="24"/>
          <w:szCs w:val="24"/>
        </w:rPr>
        <w:t>suitable</w:t>
      </w:r>
      <w:r w:rsidRPr="00350D0F">
        <w:rPr>
          <w:rFonts w:ascii="Calibri" w:hAnsi="Calibri" w:cs="Calibri"/>
          <w:color w:val="0000FF"/>
          <w:sz w:val="24"/>
          <w:szCs w:val="24"/>
        </w:rPr>
        <w:t xml:space="preserve"> for bone marrow ablation and successful engraftment, variability in the reconstitution of lymphoid and myeloid cell populations </w:t>
      </w:r>
      <w:r w:rsidR="00670D52">
        <w:rPr>
          <w:rFonts w:ascii="Calibri" w:hAnsi="Calibri" w:cs="Calibri"/>
          <w:color w:val="0000FF"/>
          <w:sz w:val="24"/>
          <w:szCs w:val="24"/>
        </w:rPr>
        <w:t>has been observed</w:t>
      </w:r>
      <w:r w:rsidR="00670D52" w:rsidRPr="00350D0F">
        <w:rPr>
          <w:rFonts w:ascii="Calibri" w:hAnsi="Calibri" w:cs="Calibri"/>
          <w:color w:val="0000FF"/>
          <w:sz w:val="24"/>
          <w:szCs w:val="24"/>
        </w:rPr>
        <w:t xml:space="preserve"> between</w:t>
      </w:r>
      <w:r w:rsidR="00670D52">
        <w:rPr>
          <w:rFonts w:ascii="Calibri" w:hAnsi="Calibri" w:cs="Calibri"/>
          <w:color w:val="0000FF"/>
          <w:sz w:val="24"/>
          <w:szCs w:val="24"/>
        </w:rPr>
        <w:t xml:space="preserve"> </w:t>
      </w:r>
      <w:r w:rsidR="00670D52" w:rsidRPr="00350D0F">
        <w:rPr>
          <w:rFonts w:ascii="Calibri" w:hAnsi="Calibri" w:cs="Calibri"/>
          <w:color w:val="0000FF"/>
          <w:sz w:val="24"/>
          <w:szCs w:val="24"/>
        </w:rPr>
        <w:t>Cesium-137 and X-ray</w:t>
      </w:r>
      <w:r w:rsidR="00670D52">
        <w:rPr>
          <w:rFonts w:ascii="Calibri" w:hAnsi="Calibri" w:cs="Calibri"/>
          <w:color w:val="0000FF"/>
          <w:sz w:val="24"/>
          <w:szCs w:val="24"/>
        </w:rPr>
        <w:t xml:space="preserve"> irradiation sources</w:t>
      </w:r>
      <w:r w:rsidR="00E5445B">
        <w:rPr>
          <w:rFonts w:ascii="Calibri" w:hAnsi="Calibri" w:cs="Calibri"/>
          <w:color w:val="0000FF"/>
          <w:sz w:val="24"/>
          <w:szCs w:val="24"/>
          <w:vertAlign w:val="superscript"/>
        </w:rPr>
        <w:t>30</w:t>
      </w:r>
      <w:r w:rsidR="00670D52">
        <w:rPr>
          <w:rFonts w:ascii="Calibri" w:hAnsi="Calibri" w:cs="Calibri"/>
          <w:color w:val="0000FF"/>
          <w:sz w:val="24"/>
          <w:szCs w:val="24"/>
        </w:rPr>
        <w:t xml:space="preserve">. </w:t>
      </w:r>
      <w:r w:rsidRPr="00350D0F">
        <w:rPr>
          <w:rFonts w:ascii="Calibri" w:hAnsi="Calibri" w:cs="Calibri"/>
          <w:color w:val="0000FF"/>
          <w:sz w:val="24"/>
          <w:szCs w:val="24"/>
        </w:rPr>
        <w:t xml:space="preserve">Thus, researchers should take into account the disparate physiological responses to the radiation source for use in studies. </w:t>
      </w:r>
    </w:p>
    <w:p w14:paraId="0E54CA87"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3DC32D3E"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 xml:space="preserve">492: Mice should be monitored carefully for what? (e.g. Weight loss/cachexia, </w:t>
      </w:r>
      <w:proofErr w:type="spellStart"/>
      <w:r w:rsidRPr="009F15DC">
        <w:rPr>
          <w:rFonts w:asciiTheme="minorHAnsi" w:hAnsiTheme="minorHAnsi" w:cstheme="minorHAnsi"/>
          <w:i/>
          <w:iCs/>
          <w:sz w:val="24"/>
          <w:szCs w:val="24"/>
        </w:rPr>
        <w:t>behaviour</w:t>
      </w:r>
      <w:proofErr w:type="spellEnd"/>
      <w:r w:rsidRPr="009F15DC">
        <w:rPr>
          <w:rFonts w:asciiTheme="minorHAnsi" w:hAnsiTheme="minorHAnsi" w:cstheme="minorHAnsi"/>
          <w:i/>
          <w:iCs/>
          <w:sz w:val="24"/>
          <w:szCs w:val="24"/>
        </w:rPr>
        <w:t xml:space="preserve"> change?)</w:t>
      </w:r>
    </w:p>
    <w:p w14:paraId="03AB689D"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61D8EE47" w14:textId="211D62B5" w:rsidR="001B141B"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7F60752B" w14:textId="327BF466" w:rsidR="00E67D2D" w:rsidRDefault="00E67D2D" w:rsidP="009F15DC">
      <w:pPr>
        <w:pStyle w:val="NormalWeb"/>
        <w:spacing w:before="0" w:beforeAutospacing="0" w:after="0" w:afterAutospacing="0"/>
        <w:rPr>
          <w:rFonts w:asciiTheme="minorHAnsi" w:hAnsiTheme="minorHAnsi" w:cstheme="minorHAnsi"/>
          <w:sz w:val="24"/>
          <w:szCs w:val="24"/>
        </w:rPr>
      </w:pPr>
    </w:p>
    <w:p w14:paraId="4D4A1CB5" w14:textId="1D48B421" w:rsidR="00E67D2D" w:rsidRPr="00350D0F" w:rsidRDefault="00E67D2D" w:rsidP="00E67D2D">
      <w:pPr>
        <w:rPr>
          <w:rFonts w:ascii="Calibri" w:hAnsi="Calibri" w:cs="Calibri"/>
          <w:color w:val="000000"/>
          <w:sz w:val="24"/>
          <w:szCs w:val="24"/>
        </w:rPr>
      </w:pPr>
      <w:r w:rsidRPr="00350D0F">
        <w:rPr>
          <w:rFonts w:ascii="Calibri" w:hAnsi="Calibri" w:cs="Calibri"/>
          <w:color w:val="0000FF"/>
          <w:sz w:val="24"/>
          <w:szCs w:val="24"/>
        </w:rPr>
        <w:t>We appreciate your detailed comment. We have added the following:</w:t>
      </w:r>
      <w:r>
        <w:rPr>
          <w:rFonts w:ascii="Calibri" w:hAnsi="Calibri" w:cs="Calibri"/>
          <w:color w:val="0000FF"/>
          <w:sz w:val="24"/>
          <w:szCs w:val="24"/>
        </w:rPr>
        <w:t xml:space="preserve"> </w:t>
      </w:r>
      <w:r>
        <w:rPr>
          <w:rFonts w:ascii="Calibri" w:hAnsi="Calibri" w:cs="Calibri"/>
          <w:color w:val="0000FF"/>
          <w:sz w:val="24"/>
          <w:szCs w:val="24"/>
          <w:highlight w:val="yellow"/>
        </w:rPr>
        <w:t>(l</w:t>
      </w:r>
      <w:r w:rsidRPr="004846BF">
        <w:rPr>
          <w:rFonts w:ascii="Calibri" w:hAnsi="Calibri" w:cs="Calibri"/>
          <w:color w:val="0000FF"/>
          <w:sz w:val="24"/>
          <w:szCs w:val="24"/>
          <w:highlight w:val="yellow"/>
        </w:rPr>
        <w:t xml:space="preserve">ine </w:t>
      </w:r>
      <w:r>
        <w:rPr>
          <w:color w:val="0000FF"/>
          <w:sz w:val="24"/>
          <w:szCs w:val="24"/>
          <w:highlight w:val="yellow"/>
        </w:rPr>
        <w:t>59</w:t>
      </w:r>
      <w:r w:rsidR="008D3086">
        <w:rPr>
          <w:color w:val="0000FF"/>
          <w:sz w:val="24"/>
          <w:szCs w:val="24"/>
          <w:highlight w:val="yellow"/>
        </w:rPr>
        <w:t>4</w:t>
      </w:r>
      <w:r>
        <w:rPr>
          <w:color w:val="0000FF"/>
          <w:sz w:val="24"/>
          <w:szCs w:val="24"/>
          <w:highlight w:val="yellow"/>
        </w:rPr>
        <w:t>-59</w:t>
      </w:r>
      <w:r w:rsidR="008D3086">
        <w:rPr>
          <w:color w:val="0000FF"/>
          <w:sz w:val="24"/>
          <w:szCs w:val="24"/>
          <w:highlight w:val="yellow"/>
        </w:rPr>
        <w:t>7</w:t>
      </w:r>
      <w:r w:rsidRPr="00A77D2F">
        <w:rPr>
          <w:color w:val="0000FF"/>
          <w:sz w:val="24"/>
          <w:szCs w:val="24"/>
          <w:highlight w:val="yellow"/>
        </w:rPr>
        <w:t>)</w:t>
      </w:r>
    </w:p>
    <w:p w14:paraId="1992B12D" w14:textId="77777777" w:rsidR="0060700D" w:rsidRPr="0060700D" w:rsidRDefault="0060700D" w:rsidP="0060700D">
      <w:pPr>
        <w:jc w:val="both"/>
        <w:rPr>
          <w:rFonts w:ascii="Calibri" w:hAnsi="Calibri" w:cs="Calibri"/>
          <w:color w:val="0000FF"/>
          <w:sz w:val="24"/>
          <w:szCs w:val="24"/>
        </w:rPr>
      </w:pPr>
      <w:r w:rsidRPr="0060700D">
        <w:rPr>
          <w:rFonts w:ascii="Calibri" w:hAnsi="Calibri" w:cs="Calibri"/>
          <w:color w:val="0000FF"/>
          <w:sz w:val="24"/>
          <w:szCs w:val="24"/>
        </w:rPr>
        <w:t xml:space="preserve">Cages should also be replaced frequently to reduce the risk of fecal bacteria contamination, animals should be handled in a proper animal transfer station, and the recipient mice should be monitored carefully for weight loss and any signs of distress or pain. </w:t>
      </w:r>
    </w:p>
    <w:p w14:paraId="008B8E41" w14:textId="3FC418BE"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6D4AF70A" w14:textId="2BA3BD40" w:rsidR="001B141B"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Figure 2: Add Y axis labels</w:t>
      </w:r>
    </w:p>
    <w:p w14:paraId="6FF41B7A"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02CEFBA7"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7DDD9760" w14:textId="77777777" w:rsidR="0060700D" w:rsidRPr="0060700D" w:rsidRDefault="0060700D" w:rsidP="0060700D">
      <w:pPr>
        <w:pStyle w:val="NormalWeb"/>
        <w:spacing w:before="0" w:beforeAutospacing="0" w:after="0" w:afterAutospacing="0"/>
        <w:rPr>
          <w:color w:val="0000FF"/>
          <w:sz w:val="24"/>
          <w:szCs w:val="24"/>
        </w:rPr>
      </w:pPr>
    </w:p>
    <w:p w14:paraId="39053995" w14:textId="77777777" w:rsidR="0060700D" w:rsidRPr="0060700D" w:rsidRDefault="0060700D" w:rsidP="0060700D">
      <w:pPr>
        <w:pStyle w:val="NormalWeb"/>
        <w:spacing w:before="0" w:beforeAutospacing="0" w:after="0" w:afterAutospacing="0"/>
        <w:rPr>
          <w:color w:val="0000FF"/>
          <w:sz w:val="24"/>
          <w:szCs w:val="24"/>
        </w:rPr>
      </w:pPr>
      <w:r w:rsidRPr="0060700D">
        <w:rPr>
          <w:color w:val="0000FF"/>
          <w:sz w:val="24"/>
          <w:szCs w:val="24"/>
        </w:rPr>
        <w:t xml:space="preserve">Added. </w:t>
      </w:r>
    </w:p>
    <w:p w14:paraId="5B76F3A1"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66A34054" w14:textId="77777777" w:rsidR="001B141B" w:rsidRPr="009F15DC" w:rsidRDefault="008D70B3" w:rsidP="009F15DC">
      <w:pPr>
        <w:pStyle w:val="NormalWeb"/>
        <w:spacing w:before="0" w:beforeAutospacing="0" w:after="0" w:afterAutospacing="0"/>
        <w:rPr>
          <w:rFonts w:asciiTheme="minorHAnsi" w:hAnsiTheme="minorHAnsi" w:cstheme="minorHAnsi"/>
          <w:i/>
          <w:iCs/>
          <w:sz w:val="24"/>
          <w:szCs w:val="24"/>
        </w:rPr>
      </w:pPr>
      <w:r w:rsidRPr="009F15DC">
        <w:rPr>
          <w:rFonts w:asciiTheme="minorHAnsi" w:hAnsiTheme="minorHAnsi" w:cstheme="minorHAnsi"/>
          <w:i/>
          <w:iCs/>
          <w:sz w:val="24"/>
          <w:szCs w:val="24"/>
        </w:rPr>
        <w:t xml:space="preserve">Given the inclusion and description of brain shielding for BMT (the stroke aspect of cardiovascular disease), the manuscript would be more complete with data from that method as well (rather than data from only the blood and heart in Figure 2). The title does suggest that the </w:t>
      </w:r>
      <w:r w:rsidRPr="009F15DC">
        <w:rPr>
          <w:rFonts w:asciiTheme="minorHAnsi" w:hAnsiTheme="minorHAnsi" w:cstheme="minorHAnsi"/>
          <w:i/>
          <w:iCs/>
          <w:sz w:val="24"/>
          <w:szCs w:val="24"/>
        </w:rPr>
        <w:lastRenderedPageBreak/>
        <w:t>focus of this protocol is the "Role of Immune Cells in Cardiovascular Disease" and the abstract brings up both heart disease and stroke as important associations with CH.</w:t>
      </w:r>
    </w:p>
    <w:p w14:paraId="1FE7BEBE"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p>
    <w:p w14:paraId="188D4BE7" w14:textId="77777777" w:rsidR="001B141B" w:rsidRPr="009F15DC" w:rsidRDefault="001B141B" w:rsidP="009F15DC">
      <w:pPr>
        <w:pStyle w:val="NormalWeb"/>
        <w:spacing w:before="0" w:beforeAutospacing="0" w:after="0" w:afterAutospacing="0"/>
        <w:rPr>
          <w:rFonts w:asciiTheme="minorHAnsi" w:hAnsiTheme="minorHAnsi" w:cstheme="minorHAnsi"/>
          <w:sz w:val="24"/>
          <w:szCs w:val="24"/>
        </w:rPr>
      </w:pPr>
      <w:r w:rsidRPr="009F15DC">
        <w:rPr>
          <w:rFonts w:asciiTheme="minorHAnsi" w:hAnsiTheme="minorHAnsi" w:cstheme="minorHAnsi"/>
          <w:sz w:val="24"/>
          <w:szCs w:val="24"/>
          <w:u w:val="single"/>
        </w:rPr>
        <w:t>Response</w:t>
      </w:r>
      <w:r w:rsidRPr="009F15DC">
        <w:rPr>
          <w:rFonts w:asciiTheme="minorHAnsi" w:hAnsiTheme="minorHAnsi" w:cstheme="minorHAnsi"/>
          <w:sz w:val="24"/>
          <w:szCs w:val="24"/>
        </w:rPr>
        <w:t xml:space="preserve">: </w:t>
      </w:r>
    </w:p>
    <w:p w14:paraId="50804578" w14:textId="1DF16CD7" w:rsidR="008D70B3" w:rsidRPr="009F15DC" w:rsidRDefault="008D70B3" w:rsidP="009F15DC">
      <w:pPr>
        <w:pStyle w:val="NormalWeb"/>
        <w:spacing w:before="0" w:beforeAutospacing="0" w:after="0" w:afterAutospacing="0"/>
        <w:rPr>
          <w:rFonts w:asciiTheme="minorHAnsi" w:hAnsiTheme="minorHAnsi" w:cstheme="minorHAnsi"/>
          <w:sz w:val="24"/>
          <w:szCs w:val="24"/>
        </w:rPr>
      </w:pPr>
    </w:p>
    <w:p w14:paraId="006C9C28" w14:textId="32210FCA" w:rsidR="003B3F58" w:rsidRPr="009F15DC" w:rsidRDefault="0060700D" w:rsidP="0063559D">
      <w:pPr>
        <w:shd w:val="clear" w:color="auto" w:fill="FFFFFF"/>
        <w:jc w:val="both"/>
        <w:rPr>
          <w:rFonts w:cstheme="minorHAnsi"/>
          <w:sz w:val="24"/>
          <w:szCs w:val="24"/>
        </w:rPr>
      </w:pPr>
      <w:r w:rsidRPr="0060700D">
        <w:rPr>
          <w:rFonts w:ascii="Calibri" w:hAnsi="Calibri" w:cs="Calibri"/>
          <w:color w:val="0000FF"/>
          <w:sz w:val="24"/>
          <w:szCs w:val="24"/>
        </w:rPr>
        <w:t xml:space="preserve">This is ongoing research, so we are planning to include the brain shield-BMT data in our future full research article. </w:t>
      </w:r>
    </w:p>
    <w:sectPr w:rsidR="003B3F58" w:rsidRPr="009F15DC" w:rsidSect="0088009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GulimChe">
    <w:charset w:val="81"/>
    <w:family w:val="modern"/>
    <w:pitch w:val="fixed"/>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7742A"/>
    <w:multiLevelType w:val="hybridMultilevel"/>
    <w:tmpl w:val="168E9C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55785"/>
    <w:multiLevelType w:val="hybridMultilevel"/>
    <w:tmpl w:val="79F6437E"/>
    <w:lvl w:ilvl="0" w:tplc="5DF63A50">
      <w:start w:val="1"/>
      <w:numFmt w:val="decimal"/>
      <w:lvlText w:val="%1."/>
      <w:lvlJc w:val="left"/>
      <w:pPr>
        <w:ind w:left="720" w:hanging="360"/>
      </w:pPr>
      <w:rPr>
        <w:rFonts w:asciiTheme="minorHAnsi"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A66E4A"/>
    <w:multiLevelType w:val="hybridMultilevel"/>
    <w:tmpl w:val="32682174"/>
    <w:lvl w:ilvl="0" w:tplc="2CA2969A">
      <w:start w:val="1"/>
      <w:numFmt w:val="decimal"/>
      <w:lvlText w:val="%1."/>
      <w:lvlJc w:val="left"/>
      <w:pPr>
        <w:ind w:left="720" w:hanging="360"/>
      </w:pPr>
      <w:rPr>
        <w:rFonts w:ascii="Calibri" w:hAnsi="Calibri" w:cs="Calibr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B75E07"/>
    <w:multiLevelType w:val="hybridMultilevel"/>
    <w:tmpl w:val="79F6437E"/>
    <w:lvl w:ilvl="0" w:tplc="5DF63A50">
      <w:start w:val="1"/>
      <w:numFmt w:val="decimal"/>
      <w:lvlText w:val="%1."/>
      <w:lvlJc w:val="left"/>
      <w:pPr>
        <w:ind w:left="720" w:hanging="360"/>
      </w:pPr>
      <w:rPr>
        <w:rFonts w:asciiTheme="minorHAnsi"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1016CC"/>
    <w:multiLevelType w:val="hybridMultilevel"/>
    <w:tmpl w:val="605AEFC8"/>
    <w:lvl w:ilvl="0" w:tplc="1CC29BD2">
      <w:start w:val="2"/>
      <w:numFmt w:val="decimal"/>
      <w:lvlText w:val="%1."/>
      <w:lvlJc w:val="left"/>
      <w:pPr>
        <w:ind w:left="720" w:hanging="360"/>
      </w:pPr>
      <w:rPr>
        <w:rFonts w:ascii="Calibri" w:hAnsi="Calibri" w:cs="Calibr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862845"/>
    <w:multiLevelType w:val="hybridMultilevel"/>
    <w:tmpl w:val="C7B62516"/>
    <w:lvl w:ilvl="0" w:tplc="A8AC70B2">
      <w:start w:val="2"/>
      <w:numFmt w:val="decimal"/>
      <w:lvlText w:val="%1."/>
      <w:lvlJc w:val="left"/>
      <w:pPr>
        <w:ind w:left="960" w:hanging="360"/>
      </w:pPr>
      <w:rPr>
        <w:rFonts w:ascii="Calibri" w:hAnsi="Calibri" w:cs="Calibri" w:hint="default"/>
        <w:sz w:val="22"/>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6" w15:restartNumberingAfterBreak="0">
    <w:nsid w:val="221369AF"/>
    <w:multiLevelType w:val="hybridMultilevel"/>
    <w:tmpl w:val="C49079E4"/>
    <w:lvl w:ilvl="0" w:tplc="4B929AB6">
      <w:start w:val="1"/>
      <w:numFmt w:val="decimal"/>
      <w:lvlText w:val="%1."/>
      <w:lvlJc w:val="left"/>
      <w:pPr>
        <w:ind w:left="720" w:hanging="360"/>
      </w:pPr>
      <w:rPr>
        <w:rFonts w:eastAsia="Times New Roman" w:hint="default"/>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EC00F47"/>
    <w:multiLevelType w:val="hybridMultilevel"/>
    <w:tmpl w:val="5C7672B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5031037"/>
    <w:multiLevelType w:val="hybridMultilevel"/>
    <w:tmpl w:val="8092CA78"/>
    <w:lvl w:ilvl="0" w:tplc="1F0EDE8E">
      <w:start w:val="2"/>
      <w:numFmt w:val="decimal"/>
      <w:lvlText w:val="%1."/>
      <w:lvlJc w:val="left"/>
      <w:pPr>
        <w:ind w:left="1080" w:hanging="360"/>
      </w:pPr>
      <w:rPr>
        <w:rFonts w:ascii="Calibri" w:hAnsi="Calibri" w:cs="Calibr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6AA86C76"/>
    <w:multiLevelType w:val="hybridMultilevel"/>
    <w:tmpl w:val="8A764A84"/>
    <w:lvl w:ilvl="0" w:tplc="8FF4FCEC">
      <w:start w:val="2"/>
      <w:numFmt w:val="decimal"/>
      <w:lvlText w:val="%1."/>
      <w:lvlJc w:val="left"/>
      <w:pPr>
        <w:ind w:left="720" w:hanging="360"/>
      </w:pPr>
      <w:rPr>
        <w:rFonts w:ascii="Calibri" w:hAnsi="Calibri" w:cs="Calibr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EAA4DD7"/>
    <w:multiLevelType w:val="hybridMultilevel"/>
    <w:tmpl w:val="1162462C"/>
    <w:lvl w:ilvl="0" w:tplc="B13279DA">
      <w:start w:val="2"/>
      <w:numFmt w:val="decimal"/>
      <w:lvlText w:val="%1."/>
      <w:lvlJc w:val="left"/>
      <w:pPr>
        <w:ind w:left="720" w:hanging="360"/>
      </w:pPr>
      <w:rPr>
        <w:rFonts w:ascii="Calibri" w:hAnsi="Calibri" w:cs="Calibr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7"/>
  </w:num>
  <w:num w:numId="3">
    <w:abstractNumId w:val="2"/>
  </w:num>
  <w:num w:numId="4">
    <w:abstractNumId w:val="9"/>
  </w:num>
  <w:num w:numId="5">
    <w:abstractNumId w:val="8"/>
  </w:num>
  <w:num w:numId="6">
    <w:abstractNumId w:val="10"/>
  </w:num>
  <w:num w:numId="7">
    <w:abstractNumId w:val="4"/>
  </w:num>
  <w:num w:numId="8">
    <w:abstractNumId w:val="5"/>
  </w:num>
  <w:num w:numId="9">
    <w:abstractNumId w:val="3"/>
  </w:num>
  <w:num w:numId="10">
    <w:abstractNumId w:val="6"/>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70B3"/>
    <w:rsid w:val="00054554"/>
    <w:rsid w:val="00055BC7"/>
    <w:rsid w:val="0006011C"/>
    <w:rsid w:val="00066925"/>
    <w:rsid w:val="00076BC4"/>
    <w:rsid w:val="00090F2C"/>
    <w:rsid w:val="000D7C54"/>
    <w:rsid w:val="000E73E0"/>
    <w:rsid w:val="000E745B"/>
    <w:rsid w:val="00113A8F"/>
    <w:rsid w:val="00124070"/>
    <w:rsid w:val="00140851"/>
    <w:rsid w:val="00140CA5"/>
    <w:rsid w:val="0014140D"/>
    <w:rsid w:val="00142E93"/>
    <w:rsid w:val="0015267C"/>
    <w:rsid w:val="00164F27"/>
    <w:rsid w:val="0017306A"/>
    <w:rsid w:val="00175CB2"/>
    <w:rsid w:val="00176E07"/>
    <w:rsid w:val="00190523"/>
    <w:rsid w:val="00195EAC"/>
    <w:rsid w:val="001A1472"/>
    <w:rsid w:val="001B141B"/>
    <w:rsid w:val="001C678C"/>
    <w:rsid w:val="001D264D"/>
    <w:rsid w:val="0020543D"/>
    <w:rsid w:val="00212563"/>
    <w:rsid w:val="00222D25"/>
    <w:rsid w:val="00225528"/>
    <w:rsid w:val="00262F6F"/>
    <w:rsid w:val="002633F5"/>
    <w:rsid w:val="00291569"/>
    <w:rsid w:val="00293EE3"/>
    <w:rsid w:val="00294438"/>
    <w:rsid w:val="002A19B4"/>
    <w:rsid w:val="002A1B45"/>
    <w:rsid w:val="002C032A"/>
    <w:rsid w:val="002E1412"/>
    <w:rsid w:val="002E2EF6"/>
    <w:rsid w:val="002E3C74"/>
    <w:rsid w:val="002F1D72"/>
    <w:rsid w:val="003069C5"/>
    <w:rsid w:val="00336396"/>
    <w:rsid w:val="00350D0F"/>
    <w:rsid w:val="00355038"/>
    <w:rsid w:val="00377316"/>
    <w:rsid w:val="00384307"/>
    <w:rsid w:val="003A00E3"/>
    <w:rsid w:val="003B0A38"/>
    <w:rsid w:val="003B3F58"/>
    <w:rsid w:val="003B5EEB"/>
    <w:rsid w:val="003C4C41"/>
    <w:rsid w:val="003C7362"/>
    <w:rsid w:val="003D31D2"/>
    <w:rsid w:val="00401E76"/>
    <w:rsid w:val="00402551"/>
    <w:rsid w:val="004102B6"/>
    <w:rsid w:val="004670B1"/>
    <w:rsid w:val="00467A04"/>
    <w:rsid w:val="00476372"/>
    <w:rsid w:val="004846BF"/>
    <w:rsid w:val="00485927"/>
    <w:rsid w:val="004E16B8"/>
    <w:rsid w:val="004F3B71"/>
    <w:rsid w:val="00503950"/>
    <w:rsid w:val="0052386A"/>
    <w:rsid w:val="00534109"/>
    <w:rsid w:val="005408A7"/>
    <w:rsid w:val="00543332"/>
    <w:rsid w:val="005716F0"/>
    <w:rsid w:val="005813A0"/>
    <w:rsid w:val="00585105"/>
    <w:rsid w:val="0059016F"/>
    <w:rsid w:val="00592F12"/>
    <w:rsid w:val="005A17DF"/>
    <w:rsid w:val="005A5169"/>
    <w:rsid w:val="005A561E"/>
    <w:rsid w:val="005A78DE"/>
    <w:rsid w:val="005C30F1"/>
    <w:rsid w:val="005D3FEA"/>
    <w:rsid w:val="005F584B"/>
    <w:rsid w:val="0060700D"/>
    <w:rsid w:val="0060773B"/>
    <w:rsid w:val="0060791D"/>
    <w:rsid w:val="006230B9"/>
    <w:rsid w:val="006250A5"/>
    <w:rsid w:val="00634902"/>
    <w:rsid w:val="0063559D"/>
    <w:rsid w:val="006540B4"/>
    <w:rsid w:val="00657104"/>
    <w:rsid w:val="00660378"/>
    <w:rsid w:val="00670D52"/>
    <w:rsid w:val="0069774B"/>
    <w:rsid w:val="006A46AF"/>
    <w:rsid w:val="006B0590"/>
    <w:rsid w:val="006B5F48"/>
    <w:rsid w:val="006B615C"/>
    <w:rsid w:val="006C054E"/>
    <w:rsid w:val="006E3A01"/>
    <w:rsid w:val="006E481C"/>
    <w:rsid w:val="006E7636"/>
    <w:rsid w:val="00704416"/>
    <w:rsid w:val="00710B4D"/>
    <w:rsid w:val="007317FC"/>
    <w:rsid w:val="00747625"/>
    <w:rsid w:val="0077247C"/>
    <w:rsid w:val="00785F73"/>
    <w:rsid w:val="007913C1"/>
    <w:rsid w:val="00791CFB"/>
    <w:rsid w:val="007925DA"/>
    <w:rsid w:val="007A66B0"/>
    <w:rsid w:val="007B4DB9"/>
    <w:rsid w:val="007B7628"/>
    <w:rsid w:val="007C26E2"/>
    <w:rsid w:val="007E349F"/>
    <w:rsid w:val="007F40AA"/>
    <w:rsid w:val="00805052"/>
    <w:rsid w:val="00805779"/>
    <w:rsid w:val="00832D36"/>
    <w:rsid w:val="00840617"/>
    <w:rsid w:val="008553F2"/>
    <w:rsid w:val="00860AB1"/>
    <w:rsid w:val="00861B0C"/>
    <w:rsid w:val="00863A55"/>
    <w:rsid w:val="008702CB"/>
    <w:rsid w:val="00880096"/>
    <w:rsid w:val="008834EC"/>
    <w:rsid w:val="00883A01"/>
    <w:rsid w:val="008C2DB8"/>
    <w:rsid w:val="008D3086"/>
    <w:rsid w:val="008D70B3"/>
    <w:rsid w:val="008F6534"/>
    <w:rsid w:val="009029B3"/>
    <w:rsid w:val="00906311"/>
    <w:rsid w:val="00906CF1"/>
    <w:rsid w:val="00907B02"/>
    <w:rsid w:val="00927890"/>
    <w:rsid w:val="00952891"/>
    <w:rsid w:val="009625F1"/>
    <w:rsid w:val="0096302A"/>
    <w:rsid w:val="009638F9"/>
    <w:rsid w:val="00982761"/>
    <w:rsid w:val="00982994"/>
    <w:rsid w:val="00992898"/>
    <w:rsid w:val="009A227C"/>
    <w:rsid w:val="009A7148"/>
    <w:rsid w:val="009B1D7B"/>
    <w:rsid w:val="009D5458"/>
    <w:rsid w:val="009E05E1"/>
    <w:rsid w:val="009F15DC"/>
    <w:rsid w:val="009F16C9"/>
    <w:rsid w:val="00A037BD"/>
    <w:rsid w:val="00A3371C"/>
    <w:rsid w:val="00A33E64"/>
    <w:rsid w:val="00A373E0"/>
    <w:rsid w:val="00A57C3F"/>
    <w:rsid w:val="00A74D9F"/>
    <w:rsid w:val="00A77D2F"/>
    <w:rsid w:val="00A85DFC"/>
    <w:rsid w:val="00AA0254"/>
    <w:rsid w:val="00AB62C7"/>
    <w:rsid w:val="00AC2534"/>
    <w:rsid w:val="00AC4C8D"/>
    <w:rsid w:val="00AE4868"/>
    <w:rsid w:val="00AE60F7"/>
    <w:rsid w:val="00AE657C"/>
    <w:rsid w:val="00B00A91"/>
    <w:rsid w:val="00B058C5"/>
    <w:rsid w:val="00B16C51"/>
    <w:rsid w:val="00B2100C"/>
    <w:rsid w:val="00B24779"/>
    <w:rsid w:val="00B3151C"/>
    <w:rsid w:val="00B4078C"/>
    <w:rsid w:val="00B64240"/>
    <w:rsid w:val="00B74073"/>
    <w:rsid w:val="00B75A8E"/>
    <w:rsid w:val="00BC4974"/>
    <w:rsid w:val="00C04DF5"/>
    <w:rsid w:val="00C24C10"/>
    <w:rsid w:val="00C60DF6"/>
    <w:rsid w:val="00C64C3E"/>
    <w:rsid w:val="00C661A2"/>
    <w:rsid w:val="00C70F2A"/>
    <w:rsid w:val="00C7476E"/>
    <w:rsid w:val="00C77390"/>
    <w:rsid w:val="00C77D8D"/>
    <w:rsid w:val="00C84173"/>
    <w:rsid w:val="00C95D9B"/>
    <w:rsid w:val="00CA79FE"/>
    <w:rsid w:val="00CB16EE"/>
    <w:rsid w:val="00CE3845"/>
    <w:rsid w:val="00D01C2C"/>
    <w:rsid w:val="00D01F87"/>
    <w:rsid w:val="00D0299A"/>
    <w:rsid w:val="00D05238"/>
    <w:rsid w:val="00D260AC"/>
    <w:rsid w:val="00D342CB"/>
    <w:rsid w:val="00D44A99"/>
    <w:rsid w:val="00D456A1"/>
    <w:rsid w:val="00D5173C"/>
    <w:rsid w:val="00D7063F"/>
    <w:rsid w:val="00D97BFB"/>
    <w:rsid w:val="00DB0AB0"/>
    <w:rsid w:val="00DD03CB"/>
    <w:rsid w:val="00DD13E8"/>
    <w:rsid w:val="00DF2B79"/>
    <w:rsid w:val="00DF7746"/>
    <w:rsid w:val="00E3429C"/>
    <w:rsid w:val="00E360BF"/>
    <w:rsid w:val="00E36541"/>
    <w:rsid w:val="00E46828"/>
    <w:rsid w:val="00E5445B"/>
    <w:rsid w:val="00E606B9"/>
    <w:rsid w:val="00E67D2D"/>
    <w:rsid w:val="00E74AE5"/>
    <w:rsid w:val="00E8134A"/>
    <w:rsid w:val="00E91714"/>
    <w:rsid w:val="00E93C67"/>
    <w:rsid w:val="00EB1FEF"/>
    <w:rsid w:val="00EB3E5E"/>
    <w:rsid w:val="00EC3380"/>
    <w:rsid w:val="00EC7E3F"/>
    <w:rsid w:val="00ED038D"/>
    <w:rsid w:val="00EE14F2"/>
    <w:rsid w:val="00EE5316"/>
    <w:rsid w:val="00EE6897"/>
    <w:rsid w:val="00F218E7"/>
    <w:rsid w:val="00F31A40"/>
    <w:rsid w:val="00F32105"/>
    <w:rsid w:val="00F33AFC"/>
    <w:rsid w:val="00F35A03"/>
    <w:rsid w:val="00F44525"/>
    <w:rsid w:val="00F47674"/>
    <w:rsid w:val="00F51EC4"/>
    <w:rsid w:val="00F52563"/>
    <w:rsid w:val="00F555D6"/>
    <w:rsid w:val="00F610E4"/>
    <w:rsid w:val="00F61AF5"/>
    <w:rsid w:val="00F71B22"/>
    <w:rsid w:val="00F749DA"/>
    <w:rsid w:val="00F77192"/>
    <w:rsid w:val="00F81ED3"/>
    <w:rsid w:val="00F82108"/>
    <w:rsid w:val="00F95089"/>
    <w:rsid w:val="00FE77DC"/>
    <w:rsid w:val="00FF012F"/>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CFF7BA"/>
  <w15:chartTrackingRefBased/>
  <w15:docId w15:val="{2E0D4BA3-FEED-254B-87AA-CC499498D1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F44525"/>
    <w:pPr>
      <w:keepNext/>
      <w:keepLines/>
      <w:spacing w:after="0" w:line="240" w:lineRule="auto"/>
      <w:outlineLvl w:val="1"/>
    </w:pPr>
    <w:rPr>
      <w:rFonts w:ascii="Times New Roman" w:eastAsiaTheme="majorEastAsia" w:hAnsi="Times New Roman" w:cstheme="majorBidi"/>
      <w:sz w:val="24"/>
      <w:szCs w:val="26"/>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D70B3"/>
    <w:pPr>
      <w:spacing w:before="100" w:beforeAutospacing="1" w:after="100" w:afterAutospacing="1" w:line="240" w:lineRule="auto"/>
    </w:pPr>
    <w:rPr>
      <w:rFonts w:ascii="Calibri" w:hAnsi="Calibri" w:cs="Calibri"/>
    </w:rPr>
  </w:style>
  <w:style w:type="character" w:styleId="Strong">
    <w:name w:val="Strong"/>
    <w:basedOn w:val="DefaultParagraphFont"/>
    <w:uiPriority w:val="22"/>
    <w:qFormat/>
    <w:rsid w:val="008D70B3"/>
    <w:rPr>
      <w:b/>
      <w:bCs/>
    </w:rPr>
  </w:style>
  <w:style w:type="paragraph" w:styleId="BalloonText">
    <w:name w:val="Balloon Text"/>
    <w:basedOn w:val="Normal"/>
    <w:link w:val="BalloonTextChar"/>
    <w:uiPriority w:val="99"/>
    <w:semiHidden/>
    <w:unhideWhenUsed/>
    <w:rsid w:val="00503950"/>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03950"/>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140CA5"/>
    <w:rPr>
      <w:sz w:val="16"/>
      <w:szCs w:val="16"/>
    </w:rPr>
  </w:style>
  <w:style w:type="paragraph" w:styleId="CommentText">
    <w:name w:val="annotation text"/>
    <w:basedOn w:val="Normal"/>
    <w:link w:val="CommentTextChar"/>
    <w:uiPriority w:val="99"/>
    <w:unhideWhenUsed/>
    <w:rsid w:val="00140CA5"/>
    <w:pPr>
      <w:spacing w:line="240" w:lineRule="auto"/>
    </w:pPr>
    <w:rPr>
      <w:sz w:val="20"/>
      <w:szCs w:val="20"/>
      <w:lang w:eastAsia="ko-KR"/>
    </w:rPr>
  </w:style>
  <w:style w:type="character" w:customStyle="1" w:styleId="CommentTextChar">
    <w:name w:val="Comment Text Char"/>
    <w:basedOn w:val="DefaultParagraphFont"/>
    <w:link w:val="CommentText"/>
    <w:uiPriority w:val="99"/>
    <w:rsid w:val="00140CA5"/>
    <w:rPr>
      <w:rFonts w:eastAsiaTheme="minorEastAsia"/>
      <w:sz w:val="20"/>
      <w:szCs w:val="20"/>
      <w:lang w:eastAsia="ko-KR"/>
    </w:rPr>
  </w:style>
  <w:style w:type="character" w:styleId="LineNumber">
    <w:name w:val="line number"/>
    <w:basedOn w:val="DefaultParagraphFont"/>
    <w:uiPriority w:val="99"/>
    <w:semiHidden/>
    <w:unhideWhenUsed/>
    <w:rsid w:val="005408A7"/>
  </w:style>
  <w:style w:type="paragraph" w:styleId="NoSpacing">
    <w:name w:val="No Spacing"/>
    <w:uiPriority w:val="1"/>
    <w:qFormat/>
    <w:rsid w:val="005408A7"/>
    <w:pPr>
      <w:spacing w:after="0" w:line="240" w:lineRule="auto"/>
    </w:pPr>
  </w:style>
  <w:style w:type="paragraph" w:styleId="CommentSubject">
    <w:name w:val="annotation subject"/>
    <w:basedOn w:val="CommentText"/>
    <w:next w:val="CommentText"/>
    <w:link w:val="CommentSubjectChar"/>
    <w:uiPriority w:val="99"/>
    <w:semiHidden/>
    <w:unhideWhenUsed/>
    <w:rsid w:val="002C032A"/>
    <w:rPr>
      <w:rFonts w:eastAsiaTheme="minorHAnsi"/>
      <w:b/>
      <w:bCs/>
      <w:lang w:eastAsia="en-US"/>
    </w:rPr>
  </w:style>
  <w:style w:type="character" w:customStyle="1" w:styleId="CommentSubjectChar">
    <w:name w:val="Comment Subject Char"/>
    <w:basedOn w:val="CommentTextChar"/>
    <w:link w:val="CommentSubject"/>
    <w:uiPriority w:val="99"/>
    <w:semiHidden/>
    <w:rsid w:val="002C032A"/>
    <w:rPr>
      <w:rFonts w:eastAsiaTheme="minorEastAsia"/>
      <w:b/>
      <w:bCs/>
      <w:sz w:val="20"/>
      <w:szCs w:val="20"/>
      <w:lang w:eastAsia="ko-KR"/>
    </w:rPr>
  </w:style>
  <w:style w:type="character" w:customStyle="1" w:styleId="Heading2Char">
    <w:name w:val="Heading 2 Char"/>
    <w:basedOn w:val="DefaultParagraphFont"/>
    <w:link w:val="Heading2"/>
    <w:uiPriority w:val="9"/>
    <w:rsid w:val="00F44525"/>
    <w:rPr>
      <w:rFonts w:ascii="Times New Roman" w:eastAsiaTheme="majorEastAsia" w:hAnsi="Times New Roman" w:cstheme="majorBidi"/>
      <w:sz w:val="24"/>
      <w:szCs w:val="26"/>
      <w:lang w:eastAsia="ko-KR"/>
    </w:rPr>
  </w:style>
  <w:style w:type="paragraph" w:styleId="ListParagraph">
    <w:name w:val="List Paragraph"/>
    <w:basedOn w:val="Normal"/>
    <w:uiPriority w:val="34"/>
    <w:qFormat/>
    <w:rsid w:val="00EB3E5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253995">
      <w:bodyDiv w:val="1"/>
      <w:marLeft w:val="0"/>
      <w:marRight w:val="0"/>
      <w:marTop w:val="0"/>
      <w:marBottom w:val="0"/>
      <w:divBdr>
        <w:top w:val="none" w:sz="0" w:space="0" w:color="auto"/>
        <w:left w:val="none" w:sz="0" w:space="0" w:color="auto"/>
        <w:bottom w:val="none" w:sz="0" w:space="0" w:color="auto"/>
        <w:right w:val="none" w:sz="0" w:space="0" w:color="auto"/>
      </w:divBdr>
    </w:div>
    <w:div w:id="205535133">
      <w:bodyDiv w:val="1"/>
      <w:marLeft w:val="0"/>
      <w:marRight w:val="0"/>
      <w:marTop w:val="0"/>
      <w:marBottom w:val="0"/>
      <w:divBdr>
        <w:top w:val="none" w:sz="0" w:space="0" w:color="auto"/>
        <w:left w:val="none" w:sz="0" w:space="0" w:color="auto"/>
        <w:bottom w:val="none" w:sz="0" w:space="0" w:color="auto"/>
        <w:right w:val="none" w:sz="0" w:space="0" w:color="auto"/>
      </w:divBdr>
    </w:div>
    <w:div w:id="242107022">
      <w:bodyDiv w:val="1"/>
      <w:marLeft w:val="0"/>
      <w:marRight w:val="0"/>
      <w:marTop w:val="0"/>
      <w:marBottom w:val="0"/>
      <w:divBdr>
        <w:top w:val="none" w:sz="0" w:space="0" w:color="auto"/>
        <w:left w:val="none" w:sz="0" w:space="0" w:color="auto"/>
        <w:bottom w:val="none" w:sz="0" w:space="0" w:color="auto"/>
        <w:right w:val="none" w:sz="0" w:space="0" w:color="auto"/>
      </w:divBdr>
    </w:div>
    <w:div w:id="896552820">
      <w:bodyDiv w:val="1"/>
      <w:marLeft w:val="0"/>
      <w:marRight w:val="0"/>
      <w:marTop w:val="0"/>
      <w:marBottom w:val="0"/>
      <w:divBdr>
        <w:top w:val="none" w:sz="0" w:space="0" w:color="auto"/>
        <w:left w:val="none" w:sz="0" w:space="0" w:color="auto"/>
        <w:bottom w:val="none" w:sz="0" w:space="0" w:color="auto"/>
        <w:right w:val="none" w:sz="0" w:space="0" w:color="auto"/>
      </w:divBdr>
    </w:div>
    <w:div w:id="928732601">
      <w:bodyDiv w:val="1"/>
      <w:marLeft w:val="0"/>
      <w:marRight w:val="0"/>
      <w:marTop w:val="0"/>
      <w:marBottom w:val="0"/>
      <w:divBdr>
        <w:top w:val="none" w:sz="0" w:space="0" w:color="auto"/>
        <w:left w:val="none" w:sz="0" w:space="0" w:color="auto"/>
        <w:bottom w:val="none" w:sz="0" w:space="0" w:color="auto"/>
        <w:right w:val="none" w:sz="0" w:space="0" w:color="auto"/>
      </w:divBdr>
    </w:div>
    <w:div w:id="948657337">
      <w:bodyDiv w:val="1"/>
      <w:marLeft w:val="0"/>
      <w:marRight w:val="0"/>
      <w:marTop w:val="0"/>
      <w:marBottom w:val="0"/>
      <w:divBdr>
        <w:top w:val="none" w:sz="0" w:space="0" w:color="auto"/>
        <w:left w:val="none" w:sz="0" w:space="0" w:color="auto"/>
        <w:bottom w:val="none" w:sz="0" w:space="0" w:color="auto"/>
        <w:right w:val="none" w:sz="0" w:space="0" w:color="auto"/>
      </w:divBdr>
    </w:div>
    <w:div w:id="1058675060">
      <w:bodyDiv w:val="1"/>
      <w:marLeft w:val="0"/>
      <w:marRight w:val="0"/>
      <w:marTop w:val="0"/>
      <w:marBottom w:val="0"/>
      <w:divBdr>
        <w:top w:val="none" w:sz="0" w:space="0" w:color="auto"/>
        <w:left w:val="none" w:sz="0" w:space="0" w:color="auto"/>
        <w:bottom w:val="none" w:sz="0" w:space="0" w:color="auto"/>
        <w:right w:val="none" w:sz="0" w:space="0" w:color="auto"/>
      </w:divBdr>
    </w:div>
    <w:div w:id="1097022524">
      <w:bodyDiv w:val="1"/>
      <w:marLeft w:val="0"/>
      <w:marRight w:val="0"/>
      <w:marTop w:val="0"/>
      <w:marBottom w:val="0"/>
      <w:divBdr>
        <w:top w:val="none" w:sz="0" w:space="0" w:color="auto"/>
        <w:left w:val="none" w:sz="0" w:space="0" w:color="auto"/>
        <w:bottom w:val="none" w:sz="0" w:space="0" w:color="auto"/>
        <w:right w:val="none" w:sz="0" w:space="0" w:color="auto"/>
      </w:divBdr>
    </w:div>
    <w:div w:id="1239753082">
      <w:bodyDiv w:val="1"/>
      <w:marLeft w:val="0"/>
      <w:marRight w:val="0"/>
      <w:marTop w:val="0"/>
      <w:marBottom w:val="0"/>
      <w:divBdr>
        <w:top w:val="none" w:sz="0" w:space="0" w:color="auto"/>
        <w:left w:val="none" w:sz="0" w:space="0" w:color="auto"/>
        <w:bottom w:val="none" w:sz="0" w:space="0" w:color="auto"/>
        <w:right w:val="none" w:sz="0" w:space="0" w:color="auto"/>
      </w:divBdr>
    </w:div>
    <w:div w:id="1379276618">
      <w:bodyDiv w:val="1"/>
      <w:marLeft w:val="0"/>
      <w:marRight w:val="0"/>
      <w:marTop w:val="0"/>
      <w:marBottom w:val="0"/>
      <w:divBdr>
        <w:top w:val="none" w:sz="0" w:space="0" w:color="auto"/>
        <w:left w:val="none" w:sz="0" w:space="0" w:color="auto"/>
        <w:bottom w:val="none" w:sz="0" w:space="0" w:color="auto"/>
        <w:right w:val="none" w:sz="0" w:space="0" w:color="auto"/>
      </w:divBdr>
    </w:div>
    <w:div w:id="1664115037">
      <w:bodyDiv w:val="1"/>
      <w:marLeft w:val="0"/>
      <w:marRight w:val="0"/>
      <w:marTop w:val="0"/>
      <w:marBottom w:val="0"/>
      <w:divBdr>
        <w:top w:val="none" w:sz="0" w:space="0" w:color="auto"/>
        <w:left w:val="none" w:sz="0" w:space="0" w:color="auto"/>
        <w:bottom w:val="none" w:sz="0" w:space="0" w:color="auto"/>
        <w:right w:val="none" w:sz="0" w:space="0" w:color="auto"/>
      </w:divBdr>
    </w:div>
    <w:div w:id="1715887639">
      <w:bodyDiv w:val="1"/>
      <w:marLeft w:val="0"/>
      <w:marRight w:val="0"/>
      <w:marTop w:val="0"/>
      <w:marBottom w:val="0"/>
      <w:divBdr>
        <w:top w:val="none" w:sz="0" w:space="0" w:color="auto"/>
        <w:left w:val="none" w:sz="0" w:space="0" w:color="auto"/>
        <w:bottom w:val="none" w:sz="0" w:space="0" w:color="auto"/>
        <w:right w:val="none" w:sz="0" w:space="0" w:color="auto"/>
      </w:divBdr>
    </w:div>
    <w:div w:id="1727141561">
      <w:bodyDiv w:val="1"/>
      <w:marLeft w:val="0"/>
      <w:marRight w:val="0"/>
      <w:marTop w:val="0"/>
      <w:marBottom w:val="0"/>
      <w:divBdr>
        <w:top w:val="none" w:sz="0" w:space="0" w:color="auto"/>
        <w:left w:val="none" w:sz="0" w:space="0" w:color="auto"/>
        <w:bottom w:val="none" w:sz="0" w:space="0" w:color="auto"/>
        <w:right w:val="none" w:sz="0" w:space="0" w:color="auto"/>
      </w:divBdr>
    </w:div>
    <w:div w:id="1828549973">
      <w:bodyDiv w:val="1"/>
      <w:marLeft w:val="0"/>
      <w:marRight w:val="0"/>
      <w:marTop w:val="0"/>
      <w:marBottom w:val="0"/>
      <w:divBdr>
        <w:top w:val="none" w:sz="0" w:space="0" w:color="auto"/>
        <w:left w:val="none" w:sz="0" w:space="0" w:color="auto"/>
        <w:bottom w:val="none" w:sz="0" w:space="0" w:color="auto"/>
        <w:right w:val="none" w:sz="0" w:space="0" w:color="auto"/>
      </w:divBdr>
    </w:div>
    <w:div w:id="2112822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23</Pages>
  <Words>5832</Words>
  <Characters>33244</Characters>
  <Application>Microsoft Office Word</Application>
  <DocSecurity>0</DocSecurity>
  <Lines>277</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 Whittaker</dc:creator>
  <cp:keywords/>
  <dc:description/>
  <cp:lastModifiedBy>Linda Whittaker</cp:lastModifiedBy>
  <cp:revision>2</cp:revision>
  <cp:lastPrinted>2020-09-05T15:47:00Z</cp:lastPrinted>
  <dcterms:created xsi:type="dcterms:W3CDTF">2020-09-09T14:47:00Z</dcterms:created>
  <dcterms:modified xsi:type="dcterms:W3CDTF">2020-09-09T14:47:00Z</dcterms:modified>
</cp:coreProperties>
</file>