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2CBB7B8" w:rsidR="006305D7" w:rsidRPr="003475EB" w:rsidRDefault="006305D7" w:rsidP="000C770D">
      <w:pPr>
        <w:pStyle w:val="NormalWeb"/>
        <w:spacing w:before="0" w:beforeAutospacing="0" w:after="0" w:afterAutospacing="0"/>
        <w:rPr>
          <w:color w:val="000000" w:themeColor="text1"/>
          <w:lang w:eastAsia="ko-KR"/>
        </w:rPr>
      </w:pPr>
      <w:r w:rsidRPr="003475EB">
        <w:rPr>
          <w:b/>
          <w:bCs/>
          <w:color w:val="000000" w:themeColor="text1"/>
        </w:rPr>
        <w:t>TITLE:</w:t>
      </w:r>
    </w:p>
    <w:p w14:paraId="0C76090E" w14:textId="0B3AE750" w:rsidR="007A4DD6" w:rsidRPr="003475EB" w:rsidRDefault="002C36AC" w:rsidP="000C770D">
      <w:pPr>
        <w:jc w:val="both"/>
        <w:rPr>
          <w:rFonts w:ascii="Calibri" w:hAnsi="Calibri" w:cs="Calibri"/>
          <w:bCs/>
          <w:color w:val="000000" w:themeColor="text1"/>
        </w:rPr>
      </w:pPr>
      <w:r w:rsidRPr="003475EB">
        <w:rPr>
          <w:rFonts w:ascii="Calibri" w:hAnsi="Calibri" w:cs="Calibri"/>
          <w:bCs/>
          <w:color w:val="000000" w:themeColor="text1"/>
        </w:rPr>
        <w:t xml:space="preserve">Bone Marrow </w:t>
      </w:r>
      <w:r w:rsidR="001C7C64" w:rsidRPr="003475EB">
        <w:rPr>
          <w:rFonts w:ascii="Calibri" w:hAnsi="Calibri" w:cs="Calibri"/>
          <w:bCs/>
          <w:color w:val="000000" w:themeColor="text1"/>
        </w:rPr>
        <w:t xml:space="preserve">Transplantation Procedures </w:t>
      </w:r>
      <w:r w:rsidR="00425112" w:rsidRPr="003475EB">
        <w:rPr>
          <w:rFonts w:ascii="Calibri" w:hAnsi="Calibri" w:cs="Calibri"/>
          <w:bCs/>
          <w:color w:val="000000" w:themeColor="text1"/>
        </w:rPr>
        <w:t xml:space="preserve">in Mice </w:t>
      </w:r>
      <w:r w:rsidRPr="003475EB">
        <w:rPr>
          <w:rFonts w:ascii="Calibri" w:hAnsi="Calibri" w:cs="Calibri"/>
          <w:bCs/>
          <w:color w:val="000000" w:themeColor="text1"/>
        </w:rPr>
        <w:t xml:space="preserve">to Study Clonal Hematopoiesis </w:t>
      </w:r>
    </w:p>
    <w:p w14:paraId="2E300B21" w14:textId="77777777" w:rsidR="007A4DD6" w:rsidRPr="003475EB" w:rsidRDefault="007A4DD6" w:rsidP="000C770D">
      <w:pPr>
        <w:jc w:val="both"/>
        <w:rPr>
          <w:rFonts w:ascii="Calibri" w:hAnsi="Calibri" w:cs="Calibri"/>
          <w:b/>
          <w:bCs/>
          <w:color w:val="000000" w:themeColor="text1"/>
        </w:rPr>
      </w:pPr>
    </w:p>
    <w:p w14:paraId="3D080DA3" w14:textId="4C53CB5D" w:rsidR="006305D7" w:rsidRPr="003475EB" w:rsidRDefault="006305D7" w:rsidP="000C770D">
      <w:pPr>
        <w:jc w:val="both"/>
        <w:rPr>
          <w:rFonts w:ascii="Calibri" w:hAnsi="Calibri" w:cs="Calibri"/>
          <w:b/>
          <w:bCs/>
          <w:color w:val="000000" w:themeColor="text1"/>
        </w:rPr>
      </w:pPr>
      <w:r w:rsidRPr="003475EB">
        <w:rPr>
          <w:rFonts w:ascii="Calibri" w:hAnsi="Calibri" w:cs="Calibri"/>
          <w:b/>
          <w:bCs/>
          <w:color w:val="000000" w:themeColor="text1"/>
        </w:rPr>
        <w:t>AUTHORS</w:t>
      </w:r>
      <w:r w:rsidR="000B662E" w:rsidRPr="003475EB">
        <w:rPr>
          <w:rFonts w:ascii="Calibri" w:hAnsi="Calibri" w:cs="Calibri"/>
          <w:b/>
          <w:bCs/>
          <w:color w:val="000000" w:themeColor="text1"/>
        </w:rPr>
        <w:t xml:space="preserve"> </w:t>
      </w:r>
      <w:r w:rsidR="00086FF5" w:rsidRPr="003475EB">
        <w:rPr>
          <w:rFonts w:ascii="Calibri" w:hAnsi="Calibri" w:cs="Calibri"/>
          <w:b/>
          <w:bCs/>
          <w:color w:val="000000" w:themeColor="text1"/>
        </w:rPr>
        <w:t xml:space="preserve">AND </w:t>
      </w:r>
      <w:r w:rsidR="000B662E" w:rsidRPr="003475EB">
        <w:rPr>
          <w:rFonts w:ascii="Calibri" w:hAnsi="Calibri" w:cs="Calibri"/>
          <w:b/>
          <w:bCs/>
          <w:color w:val="000000" w:themeColor="text1"/>
        </w:rPr>
        <w:t>AFFILIATIONS</w:t>
      </w:r>
      <w:r w:rsidRPr="003475EB">
        <w:rPr>
          <w:rFonts w:ascii="Calibri" w:hAnsi="Calibri" w:cs="Calibri"/>
          <w:b/>
          <w:bCs/>
          <w:color w:val="000000" w:themeColor="text1"/>
        </w:rPr>
        <w:t>:</w:t>
      </w:r>
    </w:p>
    <w:p w14:paraId="301E7FE1" w14:textId="45AD7E22" w:rsidR="00425112" w:rsidRPr="00BE2A2E" w:rsidRDefault="00425112" w:rsidP="000C770D">
      <w:pPr>
        <w:jc w:val="both"/>
        <w:rPr>
          <w:rFonts w:ascii="Calibri" w:hAnsi="Calibri" w:cs="Calibri"/>
          <w:color w:val="000000" w:themeColor="text1"/>
          <w:vertAlign w:val="superscript"/>
        </w:rPr>
      </w:pPr>
      <w:r w:rsidRPr="00BE2A2E">
        <w:rPr>
          <w:rFonts w:ascii="Calibri" w:hAnsi="Calibri" w:cs="Calibri"/>
          <w:color w:val="000000" w:themeColor="text1"/>
        </w:rPr>
        <w:t>Eunbee Park</w:t>
      </w:r>
      <w:r w:rsidRPr="00BE2A2E">
        <w:rPr>
          <w:rFonts w:ascii="Calibri" w:hAnsi="Calibri" w:cs="Calibri"/>
          <w:color w:val="000000" w:themeColor="text1"/>
          <w:vertAlign w:val="superscript"/>
        </w:rPr>
        <w:t>1</w:t>
      </w:r>
      <w:r w:rsidRPr="00BE2A2E">
        <w:rPr>
          <w:rFonts w:ascii="Calibri" w:hAnsi="Calibri" w:cs="Calibri"/>
          <w:color w:val="000000" w:themeColor="text1"/>
        </w:rPr>
        <w:t>, Megan</w:t>
      </w:r>
      <w:r w:rsidR="00620A78" w:rsidRPr="00BE2A2E">
        <w:rPr>
          <w:rFonts w:ascii="Calibri" w:hAnsi="Calibri" w:cs="Calibri"/>
          <w:color w:val="000000" w:themeColor="text1"/>
        </w:rPr>
        <w:t xml:space="preserve"> A</w:t>
      </w:r>
      <w:r w:rsidRPr="00BE2A2E">
        <w:rPr>
          <w:rFonts w:ascii="Calibri" w:hAnsi="Calibri" w:cs="Calibri"/>
          <w:color w:val="000000" w:themeColor="text1"/>
        </w:rPr>
        <w:t xml:space="preserve"> Evans</w:t>
      </w:r>
      <w:r w:rsidR="002833B0" w:rsidRPr="00BE2A2E">
        <w:rPr>
          <w:rFonts w:ascii="Calibri" w:hAnsi="Calibri" w:cs="Calibri"/>
          <w:color w:val="000000" w:themeColor="text1"/>
          <w:vertAlign w:val="superscript"/>
        </w:rPr>
        <w:t>4</w:t>
      </w:r>
      <w:r w:rsidRPr="00BE2A2E">
        <w:rPr>
          <w:rFonts w:ascii="Calibri" w:hAnsi="Calibri" w:cs="Calibri"/>
          <w:color w:val="000000" w:themeColor="text1"/>
        </w:rPr>
        <w:t xml:space="preserve">, </w:t>
      </w:r>
      <w:r w:rsidR="00C17E24" w:rsidRPr="00BE2A2E">
        <w:rPr>
          <w:rFonts w:ascii="Calibri" w:hAnsi="Calibri" w:cs="Calibri"/>
          <w:color w:val="000000" w:themeColor="text1"/>
        </w:rPr>
        <w:t>Heather Doviak</w:t>
      </w:r>
      <w:r w:rsidR="002833B0" w:rsidRPr="00BE2A2E">
        <w:rPr>
          <w:rFonts w:ascii="Calibri" w:hAnsi="Calibri" w:cs="Calibri"/>
          <w:color w:val="000000" w:themeColor="text1"/>
          <w:vertAlign w:val="superscript"/>
        </w:rPr>
        <w:t>4</w:t>
      </w:r>
      <w:r w:rsidR="00C17E24" w:rsidRPr="00BE2A2E">
        <w:rPr>
          <w:rFonts w:ascii="Calibri" w:hAnsi="Calibri" w:cs="Calibri"/>
          <w:color w:val="000000" w:themeColor="text1"/>
        </w:rPr>
        <w:t>, Keita Horitani</w:t>
      </w:r>
      <w:r w:rsidR="002833B0" w:rsidRPr="00BE2A2E">
        <w:rPr>
          <w:rFonts w:ascii="Calibri" w:hAnsi="Calibri" w:cs="Calibri"/>
          <w:color w:val="000000" w:themeColor="text1"/>
          <w:vertAlign w:val="superscript"/>
        </w:rPr>
        <w:t>4</w:t>
      </w:r>
      <w:r w:rsidR="00C17E24" w:rsidRPr="00BE2A2E">
        <w:rPr>
          <w:rFonts w:ascii="Calibri" w:hAnsi="Calibri" w:cs="Calibri"/>
          <w:color w:val="000000" w:themeColor="text1"/>
        </w:rPr>
        <w:t>, H</w:t>
      </w:r>
      <w:r w:rsidRPr="00BE2A2E">
        <w:rPr>
          <w:rFonts w:ascii="Calibri" w:hAnsi="Calibri" w:cs="Calibri"/>
          <w:color w:val="000000" w:themeColor="text1"/>
        </w:rPr>
        <w:t>ayato Ogawa</w:t>
      </w:r>
      <w:r w:rsidR="002833B0" w:rsidRPr="00BE2A2E">
        <w:rPr>
          <w:rFonts w:ascii="Calibri" w:hAnsi="Calibri" w:cs="Calibri"/>
          <w:color w:val="000000" w:themeColor="text1"/>
          <w:vertAlign w:val="superscript"/>
        </w:rPr>
        <w:t>4</w:t>
      </w:r>
      <w:r w:rsidRPr="00BE2A2E">
        <w:rPr>
          <w:rFonts w:ascii="Calibri" w:hAnsi="Calibri" w:cs="Calibri"/>
          <w:color w:val="000000" w:themeColor="text1"/>
        </w:rPr>
        <w:t xml:space="preserve">, </w:t>
      </w:r>
      <w:r w:rsidR="00830E5B">
        <w:rPr>
          <w:rFonts w:ascii="Calibri" w:hAnsi="Calibri" w:cs="Calibri"/>
          <w:color w:val="000000" w:themeColor="text1"/>
        </w:rPr>
        <w:t>Yoshimitsu Yura</w:t>
      </w:r>
      <w:r w:rsidR="00830E5B" w:rsidRPr="00BE2A2E">
        <w:rPr>
          <w:rFonts w:ascii="Calibri" w:hAnsi="Calibri" w:cs="Calibri"/>
          <w:color w:val="000000" w:themeColor="text1"/>
          <w:vertAlign w:val="superscript"/>
        </w:rPr>
        <w:t>4</w:t>
      </w:r>
      <w:r w:rsidR="00830E5B">
        <w:rPr>
          <w:rFonts w:ascii="Calibri" w:hAnsi="Calibri" w:cs="Calibri"/>
          <w:color w:val="000000" w:themeColor="text1"/>
        </w:rPr>
        <w:t xml:space="preserve">, </w:t>
      </w:r>
      <w:r w:rsidR="008E16F3" w:rsidRPr="00BE2A2E">
        <w:rPr>
          <w:rFonts w:ascii="Calibri" w:hAnsi="Calibri" w:cs="Calibri"/>
          <w:color w:val="000000" w:themeColor="text1"/>
        </w:rPr>
        <w:t>Ying Wang</w:t>
      </w:r>
      <w:r w:rsidR="002833B0" w:rsidRPr="00BE2A2E">
        <w:rPr>
          <w:rFonts w:ascii="Calibri" w:hAnsi="Calibri" w:cs="Calibri"/>
          <w:color w:val="000000" w:themeColor="text1"/>
          <w:vertAlign w:val="superscript"/>
        </w:rPr>
        <w:t>2</w:t>
      </w:r>
      <w:r w:rsidR="008E16F3" w:rsidRPr="00BE2A2E">
        <w:rPr>
          <w:rFonts w:ascii="Calibri" w:hAnsi="Calibri" w:cs="Calibri"/>
          <w:color w:val="000000" w:themeColor="text1"/>
        </w:rPr>
        <w:t xml:space="preserve">, </w:t>
      </w:r>
      <w:r w:rsidR="00C17E24" w:rsidRPr="00BE2A2E">
        <w:rPr>
          <w:rFonts w:ascii="Calibri" w:hAnsi="Calibri" w:cs="Calibri"/>
          <w:color w:val="000000" w:themeColor="text1"/>
        </w:rPr>
        <w:t>Soichi Sano</w:t>
      </w:r>
      <w:r w:rsidR="00E85EEA" w:rsidRPr="00BE2A2E">
        <w:rPr>
          <w:rFonts w:ascii="Calibri" w:hAnsi="Calibri" w:cs="Calibri"/>
          <w:color w:val="000000" w:themeColor="text1"/>
          <w:vertAlign w:val="superscript"/>
        </w:rPr>
        <w:t>3</w:t>
      </w:r>
      <w:r w:rsidR="002833B0" w:rsidRPr="00BE2A2E">
        <w:rPr>
          <w:rFonts w:ascii="Calibri" w:hAnsi="Calibri" w:cs="Calibri"/>
          <w:color w:val="000000" w:themeColor="text1"/>
          <w:vertAlign w:val="superscript"/>
        </w:rPr>
        <w:t>,4</w:t>
      </w:r>
      <w:r w:rsidR="00C17E24" w:rsidRPr="00BE2A2E">
        <w:rPr>
          <w:rFonts w:ascii="Calibri" w:hAnsi="Calibri" w:cs="Calibri"/>
          <w:color w:val="000000" w:themeColor="text1"/>
        </w:rPr>
        <w:t xml:space="preserve">, </w:t>
      </w:r>
      <w:r w:rsidRPr="00BE2A2E">
        <w:rPr>
          <w:rFonts w:ascii="Calibri" w:hAnsi="Calibri" w:cs="Calibri"/>
          <w:color w:val="000000" w:themeColor="text1"/>
        </w:rPr>
        <w:t>Kenneth Walsh</w:t>
      </w:r>
      <w:r w:rsidRPr="00BE2A2E">
        <w:rPr>
          <w:rFonts w:ascii="Calibri" w:hAnsi="Calibri" w:cs="Calibri"/>
          <w:color w:val="000000" w:themeColor="text1"/>
          <w:vertAlign w:val="superscript"/>
        </w:rPr>
        <w:t>1,</w:t>
      </w:r>
      <w:r w:rsidR="002833B0" w:rsidRPr="00BE2A2E">
        <w:rPr>
          <w:rFonts w:ascii="Calibri" w:hAnsi="Calibri" w:cs="Calibri"/>
          <w:color w:val="000000" w:themeColor="text1"/>
          <w:vertAlign w:val="superscript"/>
        </w:rPr>
        <w:t>4</w:t>
      </w:r>
    </w:p>
    <w:p w14:paraId="6E040D97" w14:textId="77777777" w:rsidR="009D7257" w:rsidRPr="003475EB" w:rsidRDefault="009D7257" w:rsidP="000C770D">
      <w:pPr>
        <w:jc w:val="both"/>
        <w:rPr>
          <w:rFonts w:ascii="Calibri" w:hAnsi="Calibri" w:cs="Calibri"/>
          <w:b/>
          <w:color w:val="000000" w:themeColor="text1"/>
        </w:rPr>
      </w:pPr>
    </w:p>
    <w:p w14:paraId="6E8B02FE" w14:textId="3DABDA01" w:rsidR="00425112" w:rsidRPr="00BE2A2E" w:rsidRDefault="00425112" w:rsidP="000C770D">
      <w:pPr>
        <w:jc w:val="both"/>
        <w:rPr>
          <w:rFonts w:ascii="Calibri" w:hAnsi="Calibri" w:cs="Calibri"/>
          <w:color w:val="000000" w:themeColor="text1"/>
        </w:rPr>
      </w:pPr>
      <w:r w:rsidRPr="00BE2A2E">
        <w:rPr>
          <w:rFonts w:ascii="Calibri" w:hAnsi="Calibri" w:cs="Calibri"/>
          <w:color w:val="000000" w:themeColor="text1"/>
          <w:vertAlign w:val="superscript"/>
        </w:rPr>
        <w:t>1</w:t>
      </w:r>
      <w:r w:rsidRPr="00BE2A2E">
        <w:rPr>
          <w:rFonts w:ascii="Calibri" w:hAnsi="Calibri" w:cs="Calibri"/>
          <w:color w:val="000000" w:themeColor="text1"/>
        </w:rPr>
        <w:t>Department of Biochemistry and Molecular Genetics, University of Virginia School of Medicine, Charlottesville, VA, USA</w:t>
      </w:r>
    </w:p>
    <w:p w14:paraId="04D71B0E" w14:textId="2BCCC5E7" w:rsidR="002833B0" w:rsidRPr="003475EB" w:rsidRDefault="002833B0" w:rsidP="000C770D">
      <w:pPr>
        <w:pStyle w:val="NormalWeb"/>
        <w:shd w:val="clear" w:color="auto" w:fill="FFFFFF"/>
        <w:spacing w:before="0" w:beforeAutospacing="0" w:after="0" w:afterAutospacing="0"/>
        <w:rPr>
          <w:color w:val="000000" w:themeColor="text1"/>
          <w:bdr w:val="none" w:sz="0" w:space="0" w:color="auto" w:frame="1"/>
        </w:rPr>
      </w:pPr>
      <w:r w:rsidRPr="003475EB">
        <w:rPr>
          <w:color w:val="000000" w:themeColor="text1"/>
          <w:bdr w:val="none" w:sz="0" w:space="0" w:color="auto" w:frame="1"/>
          <w:vertAlign w:val="superscript"/>
        </w:rPr>
        <w:t>2</w:t>
      </w:r>
      <w:r w:rsidRPr="003475EB">
        <w:rPr>
          <w:color w:val="000000" w:themeColor="text1"/>
          <w:bdr w:val="none" w:sz="0" w:space="0" w:color="auto" w:frame="1"/>
        </w:rPr>
        <w:t>Department of Cardiology, Xinqiao Hospital, Army Medical University, Chongqing, China</w:t>
      </w:r>
    </w:p>
    <w:p w14:paraId="08D6F0D8" w14:textId="1CAE2790" w:rsidR="00E85EEA" w:rsidRPr="00BE2A2E" w:rsidRDefault="002833B0" w:rsidP="000C770D">
      <w:pPr>
        <w:jc w:val="both"/>
        <w:rPr>
          <w:rFonts w:ascii="Calibri" w:hAnsi="Calibri" w:cs="Calibri"/>
          <w:color w:val="000000" w:themeColor="text1"/>
        </w:rPr>
      </w:pPr>
      <w:r w:rsidRPr="00BE2A2E">
        <w:rPr>
          <w:rFonts w:ascii="Calibri" w:hAnsi="Calibri" w:cs="Calibri"/>
          <w:color w:val="000000" w:themeColor="text1"/>
          <w:vertAlign w:val="superscript"/>
        </w:rPr>
        <w:t>3</w:t>
      </w:r>
      <w:r w:rsidR="00E85EEA" w:rsidRPr="00BE2A2E">
        <w:rPr>
          <w:rFonts w:ascii="Calibri" w:hAnsi="Calibri" w:cs="Calibri"/>
          <w:color w:val="000000" w:themeColor="text1"/>
        </w:rPr>
        <w:t>Department of Cardiology, Osaka City Univers</w:t>
      </w:r>
      <w:r w:rsidR="00881B3E">
        <w:rPr>
          <w:rFonts w:ascii="Calibri" w:hAnsi="Calibri" w:cs="Calibri"/>
          <w:color w:val="000000" w:themeColor="text1"/>
        </w:rPr>
        <w:t>it</w:t>
      </w:r>
      <w:r w:rsidR="00E85EEA" w:rsidRPr="00BE2A2E">
        <w:rPr>
          <w:rFonts w:ascii="Calibri" w:hAnsi="Calibri" w:cs="Calibri"/>
          <w:color w:val="000000" w:themeColor="text1"/>
        </w:rPr>
        <w:t>y Graduate School of Medical, Osaka, Japan</w:t>
      </w:r>
    </w:p>
    <w:p w14:paraId="65FEABC1" w14:textId="69D109CE" w:rsidR="00425112" w:rsidRPr="00BE2A2E" w:rsidRDefault="00B51A5C" w:rsidP="000C770D">
      <w:pPr>
        <w:jc w:val="both"/>
        <w:rPr>
          <w:rFonts w:ascii="Calibri" w:hAnsi="Calibri" w:cs="Calibri"/>
          <w:color w:val="000000" w:themeColor="text1"/>
        </w:rPr>
      </w:pPr>
      <w:r w:rsidRPr="00BE2A2E">
        <w:rPr>
          <w:rFonts w:ascii="Calibri" w:hAnsi="Calibri" w:cs="Calibri"/>
          <w:color w:val="000000" w:themeColor="text1"/>
          <w:vertAlign w:val="superscript"/>
        </w:rPr>
        <w:t>4</w:t>
      </w:r>
      <w:r w:rsidR="00E85EEA" w:rsidRPr="00BE2A2E">
        <w:rPr>
          <w:rFonts w:ascii="Calibri" w:hAnsi="Calibri" w:cs="Calibri"/>
          <w:color w:val="000000" w:themeColor="text1"/>
        </w:rPr>
        <w:t xml:space="preserve">Hematovascular </w:t>
      </w:r>
      <w:r w:rsidR="00425112" w:rsidRPr="00BE2A2E">
        <w:rPr>
          <w:rFonts w:ascii="Calibri" w:hAnsi="Calibri" w:cs="Calibri"/>
          <w:color w:val="000000" w:themeColor="text1"/>
        </w:rPr>
        <w:t>Biology Center, Robert M. Berne Cardiovascular Research Center, University of Virginia School of Medicine, Charlottesville, VA, USA</w:t>
      </w:r>
    </w:p>
    <w:p w14:paraId="32B171D0" w14:textId="15364A46" w:rsidR="007A4DD6" w:rsidRPr="003475EB" w:rsidRDefault="007A4DD6" w:rsidP="000C770D">
      <w:pPr>
        <w:jc w:val="both"/>
        <w:rPr>
          <w:rFonts w:ascii="Calibri" w:hAnsi="Calibri" w:cs="Calibri"/>
          <w:color w:val="000000" w:themeColor="text1"/>
        </w:rPr>
      </w:pPr>
    </w:p>
    <w:p w14:paraId="3CA29531" w14:textId="13720A57" w:rsidR="00CE1CFC" w:rsidRPr="00BE2A2E" w:rsidRDefault="00425112" w:rsidP="000C770D">
      <w:pPr>
        <w:jc w:val="both"/>
        <w:rPr>
          <w:rFonts w:ascii="Calibri" w:hAnsi="Calibri" w:cs="Calibri"/>
          <w:color w:val="000000" w:themeColor="text1"/>
        </w:rPr>
      </w:pPr>
      <w:r w:rsidRPr="00BE2A2E">
        <w:rPr>
          <w:rFonts w:ascii="Calibri" w:hAnsi="Calibri" w:cs="Calibri"/>
          <w:color w:val="000000" w:themeColor="text1"/>
        </w:rPr>
        <w:t>Corresponding Author:</w:t>
      </w:r>
    </w:p>
    <w:p w14:paraId="134C46D0" w14:textId="3FCAFD73" w:rsidR="00425112" w:rsidRPr="00BE2A2E" w:rsidRDefault="00425112" w:rsidP="000C770D">
      <w:pPr>
        <w:jc w:val="both"/>
        <w:rPr>
          <w:rFonts w:ascii="Calibri" w:hAnsi="Calibri" w:cs="Calibri"/>
          <w:color w:val="000000" w:themeColor="text1"/>
        </w:rPr>
      </w:pPr>
      <w:r w:rsidRPr="00BE2A2E">
        <w:rPr>
          <w:rFonts w:ascii="Calibri" w:hAnsi="Calibri" w:cs="Calibri"/>
          <w:color w:val="000000" w:themeColor="text1"/>
        </w:rPr>
        <w:t xml:space="preserve">Kenneth Walsh </w:t>
      </w:r>
      <w:r w:rsidR="00A16CBB">
        <w:rPr>
          <w:rFonts w:ascii="Calibri" w:hAnsi="Calibri" w:cs="Calibri"/>
          <w:color w:val="000000" w:themeColor="text1"/>
        </w:rPr>
        <w:tab/>
        <w:t>(</w:t>
      </w:r>
      <w:r w:rsidR="002833B0" w:rsidRPr="003475EB">
        <w:rPr>
          <w:rFonts w:ascii="Calibri" w:hAnsi="Calibri" w:cs="Calibri"/>
          <w:color w:val="000000" w:themeColor="text1"/>
        </w:rPr>
        <w:t>kw9ar@virginia.edu</w:t>
      </w:r>
      <w:r w:rsidR="00A16CBB">
        <w:rPr>
          <w:rFonts w:ascii="Calibri" w:hAnsi="Calibri" w:cs="Calibri"/>
          <w:color w:val="000000" w:themeColor="text1"/>
        </w:rPr>
        <w:t>)</w:t>
      </w:r>
    </w:p>
    <w:p w14:paraId="2EDCDC78" w14:textId="77777777" w:rsidR="00425112" w:rsidRPr="00BE2A2E" w:rsidRDefault="00425112" w:rsidP="000C770D">
      <w:pPr>
        <w:jc w:val="both"/>
        <w:rPr>
          <w:rFonts w:ascii="Calibri" w:hAnsi="Calibri" w:cs="Calibri"/>
          <w:color w:val="000000" w:themeColor="text1"/>
        </w:rPr>
      </w:pPr>
    </w:p>
    <w:p w14:paraId="03DDF25E" w14:textId="56BC56BB" w:rsidR="00425112" w:rsidRPr="00BE2A2E" w:rsidRDefault="00425112" w:rsidP="000C770D">
      <w:pPr>
        <w:jc w:val="both"/>
        <w:rPr>
          <w:rFonts w:ascii="Calibri" w:hAnsi="Calibri" w:cs="Calibri"/>
          <w:color w:val="000000" w:themeColor="text1"/>
        </w:rPr>
      </w:pPr>
      <w:r w:rsidRPr="00BE2A2E">
        <w:rPr>
          <w:rFonts w:ascii="Calibri" w:hAnsi="Calibri" w:cs="Calibri"/>
          <w:color w:val="000000" w:themeColor="text1"/>
        </w:rPr>
        <w:t>Email Addresses of Co-authors:</w:t>
      </w:r>
    </w:p>
    <w:p w14:paraId="4C1C1068" w14:textId="190371AB" w:rsidR="002833B0" w:rsidRPr="003475EB" w:rsidRDefault="00425112" w:rsidP="000C770D">
      <w:pPr>
        <w:jc w:val="both"/>
        <w:rPr>
          <w:rFonts w:ascii="Calibri" w:hAnsi="Calibri" w:cs="Calibri"/>
          <w:color w:val="000000" w:themeColor="text1"/>
        </w:rPr>
      </w:pPr>
      <w:r w:rsidRPr="003475EB">
        <w:rPr>
          <w:rFonts w:ascii="Calibri" w:hAnsi="Calibri" w:cs="Calibri"/>
          <w:color w:val="000000" w:themeColor="text1"/>
        </w:rPr>
        <w:t>Eunbee Park</w:t>
      </w:r>
      <w:r w:rsidR="001D5571" w:rsidRPr="003475EB">
        <w:rPr>
          <w:rFonts w:ascii="Calibri" w:hAnsi="Calibri" w:cs="Calibri"/>
          <w:color w:val="000000" w:themeColor="text1"/>
        </w:rPr>
        <w:tab/>
      </w:r>
      <w:r w:rsidR="00830E5B">
        <w:rPr>
          <w:rFonts w:ascii="Calibri" w:hAnsi="Calibri" w:cs="Calibri"/>
          <w:color w:val="000000" w:themeColor="text1"/>
        </w:rPr>
        <w:tab/>
      </w:r>
      <w:r w:rsidRPr="003475EB">
        <w:rPr>
          <w:rFonts w:ascii="Calibri" w:hAnsi="Calibri" w:cs="Calibri"/>
          <w:color w:val="000000" w:themeColor="text1"/>
        </w:rPr>
        <w:t>(</w:t>
      </w:r>
      <w:r w:rsidR="002833B0" w:rsidRPr="003475EB">
        <w:rPr>
          <w:rFonts w:ascii="Calibri" w:hAnsi="Calibri" w:cs="Calibri"/>
          <w:color w:val="000000" w:themeColor="text1"/>
        </w:rPr>
        <w:t>ep6rx@virginia.edu</w:t>
      </w:r>
      <w:r w:rsidRPr="003475EB">
        <w:rPr>
          <w:rFonts w:ascii="Calibri" w:hAnsi="Calibri" w:cs="Calibri"/>
          <w:color w:val="000000" w:themeColor="text1"/>
        </w:rPr>
        <w:t>)</w:t>
      </w:r>
    </w:p>
    <w:p w14:paraId="01BCB676" w14:textId="342C5A3B" w:rsidR="00E85EEA" w:rsidRPr="003475EB" w:rsidRDefault="00425112" w:rsidP="000C770D">
      <w:pPr>
        <w:jc w:val="both"/>
        <w:rPr>
          <w:rFonts w:ascii="Calibri" w:hAnsi="Calibri" w:cs="Calibri"/>
          <w:color w:val="000000" w:themeColor="text1"/>
        </w:rPr>
      </w:pPr>
      <w:r w:rsidRPr="00BE2A2E">
        <w:rPr>
          <w:rFonts w:ascii="Calibri" w:hAnsi="Calibri" w:cs="Calibri"/>
          <w:color w:val="000000" w:themeColor="text1"/>
        </w:rPr>
        <w:t xml:space="preserve">Megan </w:t>
      </w:r>
      <w:r w:rsidR="00917A57" w:rsidRPr="00BE2A2E">
        <w:rPr>
          <w:rFonts w:ascii="Calibri" w:hAnsi="Calibri" w:cs="Calibri"/>
          <w:color w:val="000000" w:themeColor="text1"/>
        </w:rPr>
        <w:t>A</w:t>
      </w:r>
      <w:r w:rsidR="00830E5B">
        <w:rPr>
          <w:rFonts w:ascii="Calibri" w:hAnsi="Calibri" w:cs="Calibri"/>
          <w:color w:val="000000" w:themeColor="text1"/>
        </w:rPr>
        <w:t>.</w:t>
      </w:r>
      <w:r w:rsidR="00917A57" w:rsidRPr="00BE2A2E">
        <w:rPr>
          <w:rFonts w:ascii="Calibri" w:hAnsi="Calibri" w:cs="Calibri"/>
          <w:color w:val="000000" w:themeColor="text1"/>
        </w:rPr>
        <w:t xml:space="preserve"> </w:t>
      </w:r>
      <w:r w:rsidRPr="00BE2A2E">
        <w:rPr>
          <w:rFonts w:ascii="Calibri" w:hAnsi="Calibri" w:cs="Calibri"/>
          <w:color w:val="000000" w:themeColor="text1"/>
        </w:rPr>
        <w:t>Evans</w:t>
      </w:r>
      <w:r w:rsidRPr="003475EB">
        <w:rPr>
          <w:rFonts w:ascii="Calibri" w:hAnsi="Calibri" w:cs="Calibri"/>
          <w:color w:val="000000" w:themeColor="text1"/>
        </w:rPr>
        <w:tab/>
        <w:t>(</w:t>
      </w:r>
      <w:r w:rsidR="002833B0" w:rsidRPr="003475EB">
        <w:rPr>
          <w:rFonts w:ascii="Calibri" w:hAnsi="Calibri" w:cs="Calibri"/>
          <w:color w:val="000000" w:themeColor="text1"/>
        </w:rPr>
        <w:t>mae3vu@virginia.edu)</w:t>
      </w:r>
    </w:p>
    <w:p w14:paraId="2D31D388" w14:textId="0278F007" w:rsidR="002833B0" w:rsidRPr="003475EB" w:rsidRDefault="00E85EEA" w:rsidP="000C770D">
      <w:pPr>
        <w:jc w:val="both"/>
        <w:rPr>
          <w:rFonts w:ascii="Calibri" w:hAnsi="Calibri" w:cs="Calibri"/>
          <w:color w:val="000000" w:themeColor="text1"/>
        </w:rPr>
      </w:pPr>
      <w:r w:rsidRPr="003475EB">
        <w:rPr>
          <w:rFonts w:ascii="Calibri" w:hAnsi="Calibri" w:cs="Calibri"/>
          <w:color w:val="000000" w:themeColor="text1"/>
        </w:rPr>
        <w:t>Heather Doviak</w:t>
      </w:r>
      <w:r w:rsidRPr="003475EB">
        <w:rPr>
          <w:rFonts w:ascii="Calibri" w:hAnsi="Calibri" w:cs="Calibri"/>
          <w:color w:val="000000" w:themeColor="text1"/>
        </w:rPr>
        <w:tab/>
        <w:t>(</w:t>
      </w:r>
      <w:r w:rsidR="002833B0" w:rsidRPr="003475EB">
        <w:rPr>
          <w:rFonts w:ascii="Calibri" w:hAnsi="Calibri" w:cs="Calibri"/>
          <w:color w:val="000000" w:themeColor="text1"/>
        </w:rPr>
        <w:t>hd3be@virginia.edu)</w:t>
      </w:r>
    </w:p>
    <w:p w14:paraId="6C15E4FC" w14:textId="248E4A40" w:rsidR="002833B0" w:rsidRPr="003475EB" w:rsidRDefault="002833B0" w:rsidP="000C770D">
      <w:pPr>
        <w:jc w:val="both"/>
        <w:rPr>
          <w:rFonts w:ascii="Calibri" w:hAnsi="Calibri" w:cs="Calibri"/>
          <w:color w:val="000000" w:themeColor="text1"/>
        </w:rPr>
      </w:pPr>
      <w:r w:rsidRPr="00BE2A2E">
        <w:rPr>
          <w:rFonts w:ascii="Calibri" w:hAnsi="Calibri" w:cs="Calibri"/>
          <w:color w:val="000000" w:themeColor="text1"/>
        </w:rPr>
        <w:t>Keita Horitani</w:t>
      </w:r>
      <w:r w:rsidR="001D5571" w:rsidRPr="003475EB">
        <w:rPr>
          <w:rFonts w:ascii="Calibri" w:hAnsi="Calibri" w:cs="Calibri"/>
          <w:color w:val="000000" w:themeColor="text1"/>
        </w:rPr>
        <w:tab/>
      </w:r>
      <w:r w:rsidR="00830E5B">
        <w:rPr>
          <w:rFonts w:ascii="Calibri" w:hAnsi="Calibri" w:cs="Calibri"/>
          <w:color w:val="000000" w:themeColor="text1"/>
        </w:rPr>
        <w:tab/>
      </w:r>
      <w:r w:rsidRPr="003475EB">
        <w:rPr>
          <w:rFonts w:ascii="Calibri" w:hAnsi="Calibri" w:cs="Calibri"/>
          <w:color w:val="000000" w:themeColor="text1"/>
        </w:rPr>
        <w:t>(kh9jr@virginia.edu)</w:t>
      </w:r>
    </w:p>
    <w:p w14:paraId="67AED644" w14:textId="3847055B" w:rsidR="00425112" w:rsidRDefault="00425112" w:rsidP="000C770D">
      <w:pPr>
        <w:jc w:val="both"/>
        <w:rPr>
          <w:rFonts w:ascii="Calibri" w:hAnsi="Calibri" w:cs="Calibri"/>
          <w:color w:val="000000" w:themeColor="text1"/>
        </w:rPr>
      </w:pPr>
      <w:r w:rsidRPr="00BE2A2E">
        <w:rPr>
          <w:rFonts w:ascii="Calibri" w:hAnsi="Calibri" w:cs="Calibri"/>
          <w:color w:val="000000" w:themeColor="text1"/>
        </w:rPr>
        <w:t>Hayato Ogawa</w:t>
      </w:r>
      <w:r w:rsidR="00FF30AD">
        <w:rPr>
          <w:rFonts w:ascii="Calibri" w:hAnsi="Calibri" w:cs="Calibri"/>
          <w:color w:val="000000" w:themeColor="text1"/>
        </w:rPr>
        <w:tab/>
      </w:r>
      <w:r w:rsidRPr="003475EB">
        <w:rPr>
          <w:rFonts w:ascii="Calibri" w:hAnsi="Calibri" w:cs="Calibri"/>
          <w:color w:val="000000" w:themeColor="text1"/>
        </w:rPr>
        <w:tab/>
      </w:r>
      <w:r w:rsidR="00B55825">
        <w:rPr>
          <w:rFonts w:ascii="Calibri" w:hAnsi="Calibri" w:cs="Calibri"/>
          <w:color w:val="000000" w:themeColor="text1"/>
        </w:rPr>
        <w:t>(ho3mw@virginia.edu)</w:t>
      </w:r>
    </w:p>
    <w:p w14:paraId="46651DA1" w14:textId="299EFAF2" w:rsidR="00830E5B" w:rsidRPr="003475EB" w:rsidRDefault="00830E5B" w:rsidP="000C770D">
      <w:pPr>
        <w:jc w:val="both"/>
        <w:rPr>
          <w:rFonts w:ascii="Calibri" w:hAnsi="Calibri" w:cs="Calibri"/>
          <w:color w:val="000000" w:themeColor="text1"/>
        </w:rPr>
      </w:pPr>
      <w:r>
        <w:rPr>
          <w:rFonts w:ascii="Calibri" w:hAnsi="Calibri" w:cs="Calibri"/>
          <w:color w:val="000000" w:themeColor="text1"/>
        </w:rPr>
        <w:t>Yoshimitsu Yura</w:t>
      </w:r>
      <w:r>
        <w:rPr>
          <w:rFonts w:ascii="Calibri" w:hAnsi="Calibri" w:cs="Calibri"/>
          <w:color w:val="000000" w:themeColor="text1"/>
        </w:rPr>
        <w:tab/>
        <w:t>(</w:t>
      </w:r>
      <w:r w:rsidRPr="00830E5B">
        <w:rPr>
          <w:rFonts w:ascii="Calibri" w:hAnsi="Calibri" w:cs="Calibri"/>
          <w:color w:val="000000" w:themeColor="text1"/>
        </w:rPr>
        <w:t>yy5fq@virginia.edu</w:t>
      </w:r>
      <w:r>
        <w:rPr>
          <w:rFonts w:ascii="Calibri" w:hAnsi="Calibri" w:cs="Calibri"/>
          <w:color w:val="000000" w:themeColor="text1"/>
        </w:rPr>
        <w:t>)</w:t>
      </w:r>
    </w:p>
    <w:p w14:paraId="7C30A71A" w14:textId="4FAE6F5C" w:rsidR="002833B0" w:rsidRPr="00BE2A2E" w:rsidRDefault="002833B0" w:rsidP="000C770D">
      <w:pPr>
        <w:jc w:val="both"/>
        <w:rPr>
          <w:rFonts w:ascii="Calibri" w:hAnsi="Calibri" w:cs="Calibri"/>
          <w:color w:val="000000" w:themeColor="text1"/>
        </w:rPr>
      </w:pPr>
      <w:r w:rsidRPr="00BE2A2E">
        <w:rPr>
          <w:rFonts w:ascii="Calibri" w:hAnsi="Calibri" w:cs="Calibri"/>
          <w:color w:val="000000" w:themeColor="text1"/>
        </w:rPr>
        <w:t>Ying Wang</w:t>
      </w:r>
      <w:r w:rsidRPr="00BE2A2E">
        <w:rPr>
          <w:rFonts w:ascii="Calibri" w:hAnsi="Calibri" w:cs="Calibri"/>
          <w:color w:val="000000" w:themeColor="text1"/>
        </w:rPr>
        <w:tab/>
      </w:r>
      <w:r w:rsidRPr="00BE2A2E">
        <w:rPr>
          <w:rFonts w:ascii="Calibri" w:hAnsi="Calibri" w:cs="Calibri"/>
          <w:color w:val="000000" w:themeColor="text1"/>
        </w:rPr>
        <w:tab/>
        <w:t>(</w:t>
      </w:r>
      <w:r w:rsidRPr="003475EB">
        <w:rPr>
          <w:rFonts w:ascii="Calibri" w:hAnsi="Calibri" w:cs="Calibri"/>
          <w:color w:val="000000" w:themeColor="text1"/>
        </w:rPr>
        <w:t>271269518@qq.com</w:t>
      </w:r>
      <w:r w:rsidRPr="00BE2A2E">
        <w:rPr>
          <w:rFonts w:ascii="Calibri" w:hAnsi="Calibri" w:cs="Calibri"/>
          <w:color w:val="000000" w:themeColor="text1"/>
        </w:rPr>
        <w:t>)</w:t>
      </w:r>
    </w:p>
    <w:p w14:paraId="07904805" w14:textId="17A53840" w:rsidR="00425112" w:rsidRPr="003475EB" w:rsidRDefault="00425112" w:rsidP="000C770D">
      <w:pPr>
        <w:jc w:val="both"/>
        <w:rPr>
          <w:rFonts w:ascii="Calibri" w:hAnsi="Calibri" w:cs="Calibri"/>
          <w:color w:val="000000" w:themeColor="text1"/>
        </w:rPr>
      </w:pPr>
      <w:r w:rsidRPr="00BE2A2E">
        <w:rPr>
          <w:rFonts w:ascii="Calibri" w:hAnsi="Calibri" w:cs="Calibri"/>
          <w:color w:val="000000" w:themeColor="text1"/>
        </w:rPr>
        <w:t>Soichi Sano</w:t>
      </w:r>
      <w:r w:rsidRPr="003475EB">
        <w:rPr>
          <w:rFonts w:ascii="Calibri" w:hAnsi="Calibri" w:cs="Calibri"/>
          <w:color w:val="000000" w:themeColor="text1"/>
        </w:rPr>
        <w:tab/>
      </w:r>
      <w:r w:rsidRPr="003475EB">
        <w:rPr>
          <w:rFonts w:ascii="Calibri" w:hAnsi="Calibri" w:cs="Calibri"/>
          <w:color w:val="000000" w:themeColor="text1"/>
        </w:rPr>
        <w:tab/>
        <w:t>(</w:t>
      </w:r>
      <w:r w:rsidR="002833B0" w:rsidRPr="003475EB">
        <w:rPr>
          <w:rFonts w:ascii="Calibri" w:hAnsi="Calibri" w:cs="Calibri"/>
          <w:color w:val="000000" w:themeColor="text1"/>
        </w:rPr>
        <w:t>ss9tn@virginia.edu</w:t>
      </w:r>
      <w:r w:rsidRPr="003475EB">
        <w:rPr>
          <w:rFonts w:ascii="Calibri" w:hAnsi="Calibri" w:cs="Calibri"/>
          <w:color w:val="000000" w:themeColor="text1"/>
        </w:rPr>
        <w:t>)</w:t>
      </w:r>
    </w:p>
    <w:p w14:paraId="60FCB589" w14:textId="42D11221" w:rsidR="00D04A95" w:rsidRPr="003475EB" w:rsidRDefault="00D04A95" w:rsidP="000C770D">
      <w:pPr>
        <w:jc w:val="both"/>
        <w:rPr>
          <w:rFonts w:ascii="Calibri" w:hAnsi="Calibri" w:cs="Calibri"/>
          <w:bCs/>
          <w:color w:val="000000" w:themeColor="text1"/>
        </w:rPr>
      </w:pPr>
    </w:p>
    <w:p w14:paraId="71B79AC9" w14:textId="386B9E9B" w:rsidR="006305D7" w:rsidRPr="003475EB" w:rsidRDefault="006305D7" w:rsidP="000C770D">
      <w:pPr>
        <w:pStyle w:val="NormalWeb"/>
        <w:spacing w:before="0" w:beforeAutospacing="0" w:after="0" w:afterAutospacing="0"/>
        <w:rPr>
          <w:color w:val="000000" w:themeColor="text1"/>
        </w:rPr>
      </w:pPr>
      <w:r w:rsidRPr="003475EB">
        <w:rPr>
          <w:b/>
          <w:bCs/>
          <w:color w:val="000000" w:themeColor="text1"/>
        </w:rPr>
        <w:t>KEYWORDS:</w:t>
      </w:r>
    </w:p>
    <w:p w14:paraId="6C0B0781" w14:textId="62002DCE" w:rsidR="007A4DD6" w:rsidRPr="00BE2A2E" w:rsidRDefault="00FF30AD" w:rsidP="000C770D">
      <w:pPr>
        <w:jc w:val="both"/>
        <w:rPr>
          <w:rFonts w:ascii="Calibri" w:hAnsi="Calibri" w:cs="Calibri"/>
          <w:color w:val="000000" w:themeColor="text1"/>
        </w:rPr>
      </w:pPr>
      <w:r>
        <w:rPr>
          <w:rFonts w:ascii="Calibri" w:hAnsi="Calibri" w:cs="Calibri"/>
          <w:color w:val="000000" w:themeColor="text1"/>
        </w:rPr>
        <w:t>c</w:t>
      </w:r>
      <w:r w:rsidR="00425112" w:rsidRPr="00BE2A2E">
        <w:rPr>
          <w:rFonts w:ascii="Calibri" w:hAnsi="Calibri" w:cs="Calibri"/>
          <w:color w:val="000000" w:themeColor="text1"/>
        </w:rPr>
        <w:t xml:space="preserve">lonal hematopoiesis, </w:t>
      </w:r>
      <w:r>
        <w:rPr>
          <w:rFonts w:ascii="Calibri" w:hAnsi="Calibri" w:cs="Calibri"/>
          <w:color w:val="000000" w:themeColor="text1"/>
        </w:rPr>
        <w:t>m</w:t>
      </w:r>
      <w:r w:rsidR="00425112" w:rsidRPr="00BE2A2E">
        <w:rPr>
          <w:rFonts w:ascii="Calibri" w:hAnsi="Calibri" w:cs="Calibri"/>
          <w:color w:val="000000" w:themeColor="text1"/>
        </w:rPr>
        <w:t xml:space="preserve">yeloablative </w:t>
      </w:r>
      <w:r w:rsidR="00784721" w:rsidRPr="00BE2A2E">
        <w:rPr>
          <w:rFonts w:ascii="Calibri" w:hAnsi="Calibri" w:cs="Calibri"/>
          <w:color w:val="000000" w:themeColor="text1"/>
        </w:rPr>
        <w:t>pre-</w:t>
      </w:r>
      <w:r w:rsidR="00B258A6" w:rsidRPr="00BE2A2E">
        <w:rPr>
          <w:rFonts w:ascii="Calibri" w:hAnsi="Calibri" w:cs="Calibri"/>
          <w:color w:val="000000" w:themeColor="text1"/>
        </w:rPr>
        <w:t>conditioning</w:t>
      </w:r>
      <w:r w:rsidR="005979D7" w:rsidRPr="00BE2A2E">
        <w:rPr>
          <w:rFonts w:ascii="Calibri" w:hAnsi="Calibri" w:cs="Calibri"/>
          <w:color w:val="000000" w:themeColor="text1"/>
        </w:rPr>
        <w:t xml:space="preserve">, </w:t>
      </w:r>
      <w:r>
        <w:rPr>
          <w:rFonts w:ascii="Calibri" w:hAnsi="Calibri" w:cs="Calibri"/>
          <w:color w:val="000000" w:themeColor="text1"/>
        </w:rPr>
        <w:t>n</w:t>
      </w:r>
      <w:r w:rsidR="00B258A6" w:rsidRPr="00BE2A2E">
        <w:rPr>
          <w:rFonts w:ascii="Calibri" w:hAnsi="Calibri" w:cs="Calibri"/>
          <w:color w:val="000000" w:themeColor="text1"/>
        </w:rPr>
        <w:t>on-myeloablative conditioning</w:t>
      </w:r>
      <w:r w:rsidR="005979D7" w:rsidRPr="00BE2A2E">
        <w:rPr>
          <w:rFonts w:ascii="Calibri" w:hAnsi="Calibri" w:cs="Calibri"/>
          <w:color w:val="000000" w:themeColor="text1"/>
        </w:rPr>
        <w:t xml:space="preserve">, </w:t>
      </w:r>
      <w:r>
        <w:rPr>
          <w:rFonts w:ascii="Calibri" w:hAnsi="Calibri" w:cs="Calibri"/>
          <w:color w:val="000000" w:themeColor="text1"/>
        </w:rPr>
        <w:t>h</w:t>
      </w:r>
      <w:r w:rsidR="00B258A6" w:rsidRPr="00BE2A2E">
        <w:rPr>
          <w:rFonts w:ascii="Calibri" w:hAnsi="Calibri" w:cs="Calibri"/>
          <w:color w:val="000000" w:themeColor="text1"/>
        </w:rPr>
        <w:t>ematopoietic</w:t>
      </w:r>
      <w:r w:rsidR="002C36AC" w:rsidRPr="00BE2A2E">
        <w:rPr>
          <w:rFonts w:ascii="Calibri" w:hAnsi="Calibri" w:cs="Calibri"/>
          <w:color w:val="000000" w:themeColor="text1"/>
        </w:rPr>
        <w:t xml:space="preserve"> cell</w:t>
      </w:r>
      <w:r w:rsidR="00B258A6" w:rsidRPr="00BE2A2E">
        <w:rPr>
          <w:rFonts w:ascii="Calibri" w:hAnsi="Calibri" w:cs="Calibri"/>
          <w:color w:val="000000" w:themeColor="text1"/>
        </w:rPr>
        <w:t xml:space="preserve"> reconstitution, </w:t>
      </w:r>
      <w:r>
        <w:rPr>
          <w:rFonts w:ascii="Calibri" w:hAnsi="Calibri" w:cs="Calibri"/>
          <w:color w:val="000000" w:themeColor="text1"/>
        </w:rPr>
        <w:t>b</w:t>
      </w:r>
      <w:r w:rsidR="00B258A6" w:rsidRPr="00BE2A2E">
        <w:rPr>
          <w:rFonts w:ascii="Calibri" w:hAnsi="Calibri" w:cs="Calibri"/>
          <w:color w:val="000000" w:themeColor="text1"/>
        </w:rPr>
        <w:t>one marrow transplantation</w:t>
      </w:r>
      <w:r w:rsidR="00C552FA" w:rsidRPr="00BE2A2E">
        <w:rPr>
          <w:rFonts w:ascii="Calibri" w:hAnsi="Calibri" w:cs="Calibri"/>
          <w:color w:val="000000" w:themeColor="text1"/>
        </w:rPr>
        <w:t xml:space="preserve">, </w:t>
      </w:r>
      <w:r>
        <w:rPr>
          <w:rFonts w:ascii="Calibri" w:hAnsi="Calibri" w:cs="Calibri"/>
          <w:color w:val="000000" w:themeColor="text1"/>
        </w:rPr>
        <w:t>a</w:t>
      </w:r>
      <w:r w:rsidR="00C552FA" w:rsidRPr="00BE2A2E">
        <w:rPr>
          <w:rFonts w:ascii="Calibri" w:hAnsi="Calibri" w:cs="Calibri"/>
          <w:color w:val="000000" w:themeColor="text1"/>
        </w:rPr>
        <w:t>doptive transfer</w:t>
      </w:r>
    </w:p>
    <w:p w14:paraId="1CB4E390" w14:textId="77777777" w:rsidR="006305D7" w:rsidRPr="003475EB" w:rsidRDefault="006305D7" w:rsidP="000C770D">
      <w:pPr>
        <w:pStyle w:val="NormalWeb"/>
        <w:spacing w:before="0" w:beforeAutospacing="0" w:after="0" w:afterAutospacing="0"/>
        <w:rPr>
          <w:color w:val="000000" w:themeColor="text1"/>
        </w:rPr>
      </w:pPr>
    </w:p>
    <w:p w14:paraId="628AC4B5" w14:textId="3BEA162C" w:rsidR="006305D7" w:rsidRPr="003475EB" w:rsidRDefault="00086FF5" w:rsidP="000C770D">
      <w:pPr>
        <w:jc w:val="both"/>
        <w:rPr>
          <w:rFonts w:ascii="Calibri" w:hAnsi="Calibri" w:cs="Calibri"/>
          <w:color w:val="000000" w:themeColor="text1"/>
        </w:rPr>
      </w:pPr>
      <w:r w:rsidRPr="003475EB">
        <w:rPr>
          <w:rFonts w:ascii="Calibri" w:hAnsi="Calibri" w:cs="Calibri"/>
          <w:b/>
          <w:bCs/>
          <w:color w:val="000000" w:themeColor="text1"/>
        </w:rPr>
        <w:t>SUMMARY</w:t>
      </w:r>
      <w:r w:rsidR="006305D7" w:rsidRPr="003475EB">
        <w:rPr>
          <w:rFonts w:ascii="Calibri" w:hAnsi="Calibri" w:cs="Calibri"/>
          <w:b/>
          <w:bCs/>
          <w:color w:val="000000" w:themeColor="text1"/>
        </w:rPr>
        <w:t>:</w:t>
      </w:r>
    </w:p>
    <w:p w14:paraId="32798D51" w14:textId="1E6163C3" w:rsidR="007A4DD6" w:rsidRPr="003475EB" w:rsidRDefault="00144D12" w:rsidP="000C770D">
      <w:pPr>
        <w:jc w:val="both"/>
        <w:rPr>
          <w:rFonts w:ascii="Calibri" w:hAnsi="Calibri" w:cs="Calibri"/>
          <w:color w:val="000000" w:themeColor="text1"/>
          <w:shd w:val="clear" w:color="auto" w:fill="FFFFFF"/>
        </w:rPr>
      </w:pPr>
      <w:r w:rsidRPr="003475EB">
        <w:rPr>
          <w:rFonts w:ascii="Calibri" w:hAnsi="Calibri" w:cs="Calibri"/>
          <w:color w:val="000000" w:themeColor="text1"/>
          <w:shd w:val="clear" w:color="auto" w:fill="FFFFFF"/>
        </w:rPr>
        <w:t>We describe</w:t>
      </w:r>
      <w:r w:rsidR="00066C84" w:rsidRPr="003475EB">
        <w:rPr>
          <w:rFonts w:ascii="Calibri" w:hAnsi="Calibri" w:cs="Calibri"/>
          <w:color w:val="000000" w:themeColor="text1"/>
          <w:shd w:val="clear" w:color="auto" w:fill="FFFFFF"/>
        </w:rPr>
        <w:t xml:space="preserve"> </w:t>
      </w:r>
      <w:r w:rsidR="00213B27" w:rsidRPr="003475EB">
        <w:rPr>
          <w:rFonts w:ascii="Calibri" w:hAnsi="Calibri" w:cs="Calibri"/>
          <w:color w:val="000000" w:themeColor="text1"/>
          <w:shd w:val="clear" w:color="auto" w:fill="FFFFFF"/>
        </w:rPr>
        <w:t xml:space="preserve">three methods of </w:t>
      </w:r>
      <w:r w:rsidR="00A16CBB">
        <w:rPr>
          <w:rFonts w:ascii="Calibri" w:hAnsi="Calibri" w:cs="Calibri"/>
          <w:color w:val="000000" w:themeColor="text1"/>
          <w:shd w:val="clear" w:color="auto" w:fill="FFFFFF"/>
        </w:rPr>
        <w:t>bone marrow transplantation (</w:t>
      </w:r>
      <w:r w:rsidR="00213B27" w:rsidRPr="003475EB">
        <w:rPr>
          <w:rFonts w:ascii="Calibri" w:hAnsi="Calibri" w:cs="Calibri"/>
          <w:color w:val="000000" w:themeColor="text1"/>
          <w:shd w:val="clear" w:color="auto" w:fill="FFFFFF"/>
        </w:rPr>
        <w:t>BMT</w:t>
      </w:r>
      <w:r w:rsidR="00A16CBB">
        <w:rPr>
          <w:rFonts w:ascii="Calibri" w:hAnsi="Calibri" w:cs="Calibri"/>
          <w:color w:val="000000" w:themeColor="text1"/>
          <w:shd w:val="clear" w:color="auto" w:fill="FFFFFF"/>
        </w:rPr>
        <w:t>)</w:t>
      </w:r>
      <w:r w:rsidR="00213B27" w:rsidRPr="003475EB">
        <w:rPr>
          <w:rFonts w:ascii="Calibri" w:hAnsi="Calibri" w:cs="Calibri"/>
          <w:color w:val="000000" w:themeColor="text1"/>
          <w:shd w:val="clear" w:color="auto" w:fill="FFFFFF"/>
        </w:rPr>
        <w:t>:</w:t>
      </w:r>
      <w:r w:rsidR="008F0AE1">
        <w:rPr>
          <w:rFonts w:ascii="Calibri" w:hAnsi="Calibri" w:cs="Calibri"/>
          <w:color w:val="000000" w:themeColor="text1"/>
          <w:shd w:val="clear" w:color="auto" w:fill="FFFFFF"/>
        </w:rPr>
        <w:t xml:space="preserve"> </w:t>
      </w:r>
      <w:r w:rsidR="00213B27" w:rsidRPr="003475EB">
        <w:rPr>
          <w:rFonts w:ascii="Calibri" w:hAnsi="Calibri" w:cs="Calibri"/>
          <w:color w:val="000000" w:themeColor="text1"/>
          <w:shd w:val="clear" w:color="auto" w:fill="FFFFFF"/>
        </w:rPr>
        <w:t>BMT with total-body irradiation, BMT with shielded irradiation, and BMT method with no pre-conditioning (adoptive BMT)</w:t>
      </w:r>
      <w:r w:rsidR="00213B27">
        <w:rPr>
          <w:rFonts w:ascii="Calibri" w:hAnsi="Calibri" w:cs="Calibri"/>
          <w:color w:val="000000" w:themeColor="text1"/>
          <w:shd w:val="clear" w:color="auto" w:fill="FFFFFF"/>
        </w:rPr>
        <w:t xml:space="preserve"> </w:t>
      </w:r>
      <w:r w:rsidRPr="003475EB">
        <w:rPr>
          <w:rFonts w:ascii="Calibri" w:hAnsi="Calibri" w:cs="Calibri"/>
          <w:color w:val="000000" w:themeColor="text1"/>
          <w:shd w:val="clear" w:color="auto" w:fill="FFFFFF"/>
        </w:rPr>
        <w:t xml:space="preserve">for </w:t>
      </w:r>
      <w:r w:rsidR="00DB01D9" w:rsidRPr="003475EB">
        <w:rPr>
          <w:rFonts w:ascii="Calibri" w:hAnsi="Calibri" w:cs="Calibri"/>
          <w:color w:val="000000" w:themeColor="text1"/>
          <w:shd w:val="clear" w:color="auto" w:fill="FFFFFF"/>
        </w:rPr>
        <w:t xml:space="preserve">the </w:t>
      </w:r>
      <w:r w:rsidR="002C36AC" w:rsidRPr="003475EB">
        <w:rPr>
          <w:rFonts w:ascii="Calibri" w:hAnsi="Calibri" w:cs="Calibri"/>
          <w:color w:val="000000" w:themeColor="text1"/>
          <w:shd w:val="clear" w:color="auto" w:fill="FFFFFF"/>
        </w:rPr>
        <w:t xml:space="preserve">study of </w:t>
      </w:r>
      <w:r w:rsidRPr="003475EB">
        <w:rPr>
          <w:rFonts w:ascii="Calibri" w:hAnsi="Calibri" w:cs="Calibri"/>
          <w:color w:val="000000" w:themeColor="text1"/>
          <w:shd w:val="clear" w:color="auto" w:fill="FFFFFF"/>
        </w:rPr>
        <w:t xml:space="preserve">clonal hematopoiesis </w:t>
      </w:r>
      <w:r w:rsidR="002C36AC" w:rsidRPr="003475EB">
        <w:rPr>
          <w:rFonts w:ascii="Calibri" w:hAnsi="Calibri" w:cs="Calibri"/>
          <w:color w:val="000000" w:themeColor="text1"/>
          <w:shd w:val="clear" w:color="auto" w:fill="FFFFFF"/>
        </w:rPr>
        <w:t xml:space="preserve">in </w:t>
      </w:r>
      <w:r w:rsidRPr="003475EB">
        <w:rPr>
          <w:rFonts w:ascii="Calibri" w:hAnsi="Calibri" w:cs="Calibri"/>
          <w:color w:val="000000" w:themeColor="text1"/>
          <w:shd w:val="clear" w:color="auto" w:fill="FFFFFF"/>
        </w:rPr>
        <w:t>mouse model</w:t>
      </w:r>
      <w:r w:rsidR="002C36AC" w:rsidRPr="003475EB">
        <w:rPr>
          <w:rFonts w:ascii="Calibri" w:hAnsi="Calibri" w:cs="Calibri"/>
          <w:color w:val="000000" w:themeColor="text1"/>
          <w:shd w:val="clear" w:color="auto" w:fill="FFFFFF"/>
        </w:rPr>
        <w:t>s</w:t>
      </w:r>
      <w:r w:rsidRPr="003475EB">
        <w:rPr>
          <w:rFonts w:ascii="Calibri" w:hAnsi="Calibri" w:cs="Calibri"/>
          <w:color w:val="000000" w:themeColor="text1"/>
          <w:shd w:val="clear" w:color="auto" w:fill="FFFFFF"/>
        </w:rPr>
        <w:t>.</w:t>
      </w:r>
    </w:p>
    <w:p w14:paraId="761028D6" w14:textId="77777777" w:rsidR="006305D7" w:rsidRPr="003475EB" w:rsidRDefault="006305D7" w:rsidP="000C770D">
      <w:pPr>
        <w:jc w:val="both"/>
        <w:rPr>
          <w:rFonts w:ascii="Calibri" w:hAnsi="Calibri" w:cs="Calibri"/>
          <w:color w:val="000000" w:themeColor="text1"/>
        </w:rPr>
      </w:pPr>
    </w:p>
    <w:p w14:paraId="44A80F61" w14:textId="193CF826" w:rsidR="005A0310" w:rsidRPr="003475EB" w:rsidRDefault="005A0310" w:rsidP="000C770D">
      <w:pPr>
        <w:jc w:val="both"/>
        <w:rPr>
          <w:rFonts w:ascii="Calibri" w:hAnsi="Calibri" w:cs="Calibri"/>
          <w:color w:val="000000" w:themeColor="text1"/>
        </w:rPr>
      </w:pPr>
      <w:r w:rsidRPr="003475EB">
        <w:rPr>
          <w:rFonts w:ascii="Calibri" w:hAnsi="Calibri" w:cs="Calibri"/>
          <w:b/>
          <w:bCs/>
          <w:color w:val="000000" w:themeColor="text1"/>
        </w:rPr>
        <w:t>ABSTRACT:</w:t>
      </w:r>
    </w:p>
    <w:p w14:paraId="7E62D0AE" w14:textId="56707361" w:rsidR="005A0310" w:rsidRPr="00BE2A2E" w:rsidRDefault="005A0310" w:rsidP="000C770D">
      <w:pPr>
        <w:jc w:val="both"/>
        <w:rPr>
          <w:rFonts w:ascii="Calibri" w:hAnsi="Calibri" w:cs="Calibri"/>
          <w:color w:val="000000" w:themeColor="text1"/>
          <w:shd w:val="clear" w:color="auto" w:fill="FFFFFF"/>
        </w:rPr>
      </w:pPr>
      <w:r w:rsidRPr="00BE2A2E">
        <w:rPr>
          <w:rFonts w:ascii="Calibri" w:hAnsi="Calibri" w:cs="Calibri"/>
          <w:color w:val="000000" w:themeColor="text1"/>
          <w:shd w:val="clear" w:color="auto" w:fill="FFFFFF"/>
        </w:rPr>
        <w:t>Clonal hematopoiesis is a prevalent age-associated condition that results from the accumulation of somatic mutations in hematopoietic stem and progenitor cells (HSPCs). Mutations in driver genes, that confer cellular fitness, can lead to the development of expanding HSPC clones that increasingly give rise to progeny leukocytes harboring the somatic mutation. Because clonal hematopoiesis has been associated with heart disease, stroke</w:t>
      </w:r>
      <w:r w:rsidR="00AB220B">
        <w:rPr>
          <w:rFonts w:ascii="Calibri" w:hAnsi="Calibri" w:cs="Calibri"/>
          <w:color w:val="000000" w:themeColor="text1"/>
          <w:shd w:val="clear" w:color="auto" w:fill="FFFFFF"/>
        </w:rPr>
        <w:t>,</w:t>
      </w:r>
      <w:r w:rsidRPr="00BE2A2E">
        <w:rPr>
          <w:rFonts w:ascii="Calibri" w:hAnsi="Calibri" w:cs="Calibri"/>
          <w:color w:val="000000" w:themeColor="text1"/>
          <w:shd w:val="clear" w:color="auto" w:fill="FFFFFF"/>
        </w:rPr>
        <w:t xml:space="preserve"> and mortality, the development of experimental systems that model these processes is key to understanding the mechanisms that underly this new risk factor. Bone marrow transplantation procedures involving </w:t>
      </w:r>
      <w:r w:rsidRPr="00BE2A2E">
        <w:rPr>
          <w:rFonts w:ascii="Calibri" w:hAnsi="Calibri" w:cs="Calibri"/>
          <w:color w:val="000000" w:themeColor="text1"/>
          <w:shd w:val="clear" w:color="auto" w:fill="FFFFFF"/>
        </w:rPr>
        <w:lastRenderedPageBreak/>
        <w:t>myeloablative conditioning in mice, such as total-body irradiation (TBI), are commonly employed to study the role of immune cells in cardiovascular diseases. However, simultaneous damage to the bone marrow niche and other sites of interest, such as the heart and brain, is unavoidable with these procedures. Thus, our lab has developed two alternative methods to minimize or avoid possible side effects caused by TBI: 1) bone marrow transplantation with irradiation shielding and 2)</w:t>
      </w:r>
      <w:r w:rsidRPr="00BE2A2E">
        <w:rPr>
          <w:rFonts w:ascii="Calibri" w:hAnsi="Calibri" w:cs="Calibri"/>
          <w:color w:val="000000" w:themeColor="text1"/>
        </w:rPr>
        <w:t xml:space="preserve"> adoptive </w:t>
      </w:r>
      <w:r w:rsidR="00037F19">
        <w:rPr>
          <w:rFonts w:ascii="Calibri" w:hAnsi="Calibri" w:cs="Calibri"/>
          <w:color w:val="000000" w:themeColor="text1"/>
        </w:rPr>
        <w:t>BMT</w:t>
      </w:r>
      <w:r w:rsidR="00037F19" w:rsidRPr="00BE2A2E">
        <w:rPr>
          <w:rFonts w:ascii="Calibri" w:hAnsi="Calibri" w:cs="Calibri"/>
          <w:color w:val="000000" w:themeColor="text1"/>
        </w:rPr>
        <w:t xml:space="preserve"> </w:t>
      </w:r>
      <w:r w:rsidR="00DD58D0">
        <w:rPr>
          <w:rFonts w:ascii="Calibri" w:hAnsi="Calibri" w:cs="Calibri"/>
          <w:color w:val="000000" w:themeColor="text1"/>
        </w:rPr>
        <w:t>to</w:t>
      </w:r>
      <w:r w:rsidR="00DD58D0" w:rsidRPr="00BE2A2E">
        <w:rPr>
          <w:rFonts w:ascii="Calibri" w:hAnsi="Calibri" w:cs="Calibri"/>
          <w:color w:val="000000" w:themeColor="text1"/>
        </w:rPr>
        <w:t xml:space="preserve"> </w:t>
      </w:r>
      <w:r w:rsidRPr="00BE2A2E">
        <w:rPr>
          <w:rFonts w:ascii="Calibri" w:hAnsi="Calibri" w:cs="Calibri"/>
          <w:color w:val="000000" w:themeColor="text1"/>
        </w:rPr>
        <w:t>non-conditioned mice</w:t>
      </w:r>
      <w:r w:rsidRPr="00BE2A2E">
        <w:rPr>
          <w:rFonts w:ascii="Calibri" w:hAnsi="Calibri" w:cs="Calibri"/>
          <w:color w:val="000000" w:themeColor="text1"/>
          <w:shd w:val="clear" w:color="auto" w:fill="FFFFFF"/>
        </w:rPr>
        <w:t xml:space="preserve">. In shielded organs, the local environment is preserved allowing for the analysis of clonal hematopoiesis while the function of resident immune cells is unperturbed. In contrast, the adoptive </w:t>
      </w:r>
      <w:r w:rsidR="00037F19">
        <w:rPr>
          <w:rFonts w:ascii="Calibri" w:hAnsi="Calibri" w:cs="Calibri"/>
          <w:color w:val="000000" w:themeColor="text1"/>
          <w:shd w:val="clear" w:color="auto" w:fill="FFFFFF"/>
        </w:rPr>
        <w:t>BMT</w:t>
      </w:r>
      <w:r w:rsidR="00037F19" w:rsidRPr="00BE2A2E">
        <w:rPr>
          <w:rFonts w:ascii="Calibri" w:hAnsi="Calibri" w:cs="Calibri"/>
          <w:color w:val="000000" w:themeColor="text1"/>
          <w:shd w:val="clear" w:color="auto" w:fill="FFFFFF"/>
        </w:rPr>
        <w:t xml:space="preserve"> </w:t>
      </w:r>
      <w:r w:rsidRPr="00BE2A2E">
        <w:rPr>
          <w:rFonts w:ascii="Calibri" w:hAnsi="Calibri" w:cs="Calibri"/>
          <w:color w:val="000000" w:themeColor="text1"/>
          <w:shd w:val="clear" w:color="auto" w:fill="FFFFFF"/>
        </w:rPr>
        <w:t>to non-conditioned mice has the additional advantage that both the local environments of the organs and the hematopoietic niche are preserved. Here, we compare three different hematopoietic cell reconstitution approaches and discuss their strengths and limitations for studies of clonal hematopoiesis in cardiovascular disease.</w:t>
      </w:r>
    </w:p>
    <w:p w14:paraId="2FEC9840" w14:textId="77777777" w:rsidR="005A0310" w:rsidRPr="003475EB" w:rsidRDefault="005A0310" w:rsidP="000C770D">
      <w:pPr>
        <w:jc w:val="both"/>
        <w:rPr>
          <w:rFonts w:ascii="Calibri" w:hAnsi="Calibri" w:cs="Calibri"/>
          <w:color w:val="000000" w:themeColor="text1"/>
        </w:rPr>
      </w:pPr>
    </w:p>
    <w:p w14:paraId="22999E9A" w14:textId="53088825" w:rsidR="005A0310" w:rsidRPr="003475EB" w:rsidRDefault="005A0310" w:rsidP="000C770D">
      <w:pPr>
        <w:jc w:val="both"/>
        <w:rPr>
          <w:rFonts w:ascii="Calibri" w:hAnsi="Calibri" w:cs="Calibri"/>
          <w:color w:val="000000" w:themeColor="text1"/>
        </w:rPr>
      </w:pPr>
      <w:r w:rsidRPr="003475EB">
        <w:rPr>
          <w:rFonts w:ascii="Calibri" w:hAnsi="Calibri" w:cs="Calibri"/>
          <w:b/>
          <w:color w:val="000000" w:themeColor="text1"/>
        </w:rPr>
        <w:t>INTRODUCTION</w:t>
      </w:r>
      <w:r w:rsidRPr="003475EB">
        <w:rPr>
          <w:rFonts w:ascii="Calibri" w:hAnsi="Calibri" w:cs="Calibri"/>
          <w:b/>
          <w:bCs/>
          <w:color w:val="000000" w:themeColor="text1"/>
        </w:rPr>
        <w:t>:</w:t>
      </w:r>
    </w:p>
    <w:p w14:paraId="7A663B21" w14:textId="17C95B69" w:rsidR="005A0310" w:rsidRPr="003475EB" w:rsidRDefault="005A0310" w:rsidP="000C770D">
      <w:pPr>
        <w:jc w:val="both"/>
        <w:rPr>
          <w:rFonts w:ascii="Calibri" w:hAnsi="Calibri" w:cs="Calibri"/>
          <w:color w:val="000000" w:themeColor="text1"/>
          <w:shd w:val="clear" w:color="auto" w:fill="FFFFFF"/>
        </w:rPr>
      </w:pPr>
      <w:r w:rsidRPr="003475EB">
        <w:rPr>
          <w:rFonts w:ascii="Calibri" w:hAnsi="Calibri" w:cs="Calibri"/>
          <w:color w:val="000000" w:themeColor="text1"/>
          <w:shd w:val="clear" w:color="auto" w:fill="FFFFFF"/>
        </w:rPr>
        <w:t>Clonal hematopoiesis (CH) is a condition which is frequently observed in elderly individuals and occurs as a result of an expanded hematopoietic stem and progenitor cell (HSPC) clone carrying a genetic mutation</w:t>
      </w:r>
      <w:r w:rsidR="00DD58D0" w:rsidRPr="003475EB">
        <w:rPr>
          <w:rFonts w:ascii="Calibri" w:hAnsi="Calibri" w:cs="Calibri"/>
          <w:color w:val="000000" w:themeColor="text1"/>
          <w:shd w:val="clear" w:color="auto" w:fill="FFFFFF"/>
        </w:rPr>
        <w:fldChar w:fldCharType="begin"/>
      </w:r>
      <w:r w:rsidR="00DD58D0" w:rsidRPr="003475EB">
        <w:rPr>
          <w:rFonts w:ascii="Calibri" w:hAnsi="Calibri" w:cs="Calibri"/>
          <w:color w:val="000000" w:themeColor="text1"/>
          <w:shd w:val="clear" w:color="auto" w:fill="FFFFFF"/>
        </w:rPr>
        <w:instrText xml:space="preserve"> ADDIN ZOTERO_ITEM CSL_CITATION {"citationID":"4DSEHl71","properties":{"formattedCitation":"\\super 1\\nosupersub{}","plainCitation":"1","noteIndex":0},"citationItems":[{"id":2,"uris":["http://zotero.org/users/local/r2R059Ry/items/WMC2MQTD"],"uri":["http://zotero.org/users/local/r2R059Ry/items/WMC2MQTD"],"itemData":{"id":2,"type":"article-journal","abstract":"Traditional risk factors are incompletely predictive of cardiovascular disease development, a leading cause of death in the elderly. Recent epidemiological studies have shown that human aging is associated with an increased frequency of somatic mutations in the hematopoietic system, which provide a competitive advantage to a mutant cell, thus allowing for its clonal expansion, a phenomenon known as clonal hematopoiesis. Unexpectedly, these mutations have been associated with a higher incidence of cardiovascular disease, suggesting a previously unrecognized connection between somatic mutations in hematopoietic cells and cardiovascular disease. Here, we provide an up-to-date review of clonal hematopoiesis and its association with aging and cardiovascular disease. We also give a detailed report of the experimental studies that have been instrumental in understanding the relationship between clonal hematopoiesis and cardiovascular disease and have shed light on the mechanisms by which hematopoietic somatic mutations contribute to disease pathology.","container-title":"Annual Review of Pathology: Mechanisms of Disease","DOI":"10.1146/annurev-pathmechdis-012419-032544","ISSN":"1553-4006, 1553-4014","issue":"1","journalAbbreviation":"Annu. Rev. Pathol. Mech. Dis.","language":"en","page":"419-438","source":"DOI.org (Crossref)","title":"Cardiovascular Disease, Aging, and Clonal Hematopoiesis","volume":"15","author":[{"family":"Evans","given":"Megan A."},{"family":"Sano","given":"Soichi"},{"family":"Walsh","given":"Kenneth"}],"issued":{"date-parts":[["2020",1,24]]}}}],"schema":"https://github.com/citation-style-language/schema/raw/master/csl-citation.json"} </w:instrText>
      </w:r>
      <w:r w:rsidR="00DD58D0" w:rsidRPr="003475EB">
        <w:rPr>
          <w:rFonts w:ascii="Calibri" w:hAnsi="Calibri" w:cs="Calibri"/>
          <w:color w:val="000000" w:themeColor="text1"/>
          <w:shd w:val="clear" w:color="auto" w:fill="FFFFFF"/>
        </w:rPr>
        <w:fldChar w:fldCharType="separate"/>
      </w:r>
      <w:r w:rsidR="00DD58D0" w:rsidRPr="003475EB">
        <w:rPr>
          <w:rFonts w:ascii="Calibri" w:hAnsi="Calibri" w:cs="Calibri"/>
          <w:color w:val="000000" w:themeColor="text1"/>
          <w:vertAlign w:val="superscript"/>
        </w:rPr>
        <w:t>1</w:t>
      </w:r>
      <w:r w:rsidR="00DD58D0" w:rsidRPr="003475EB">
        <w:rPr>
          <w:rFonts w:ascii="Calibri" w:hAnsi="Calibri" w:cs="Calibri"/>
          <w:color w:val="000000" w:themeColor="text1"/>
          <w:shd w:val="clear" w:color="auto" w:fill="FFFFFF"/>
        </w:rPr>
        <w:fldChar w:fldCharType="end"/>
      </w:r>
      <w:r w:rsidRPr="003475EB">
        <w:rPr>
          <w:rFonts w:ascii="Calibri" w:hAnsi="Calibri" w:cs="Calibri"/>
          <w:color w:val="000000" w:themeColor="text1"/>
          <w:shd w:val="clear" w:color="auto" w:fill="FFFFFF"/>
        </w:rPr>
        <w:t>. It has been suggested that by the age of 50, most individuals will have acquired an average of five exonic mutations in each HSPC</w:t>
      </w:r>
      <w:r w:rsidRPr="003475EB">
        <w:rPr>
          <w:rFonts w:ascii="Calibri" w:hAnsi="Calibri" w:cs="Calibri"/>
          <w:color w:val="000000" w:themeColor="text1"/>
          <w:shd w:val="clear" w:color="auto" w:fill="FFFFFF"/>
          <w:vertAlign w:val="superscript"/>
        </w:rPr>
        <w:t>2</w:t>
      </w:r>
      <w:r w:rsidRPr="003475EB">
        <w:rPr>
          <w:rFonts w:ascii="Calibri" w:hAnsi="Calibri" w:cs="Calibri"/>
          <w:color w:val="000000" w:themeColor="text1"/>
          <w:shd w:val="clear" w:color="auto" w:fill="FFFFFF"/>
        </w:rPr>
        <w:t>, but most of these mutations will result in little or no phenotypic consequences to the individual. However, if by chance one of these mutations confers a competitive advantage to the HSPC</w:t>
      </w:r>
      <w:r w:rsidR="00BE0790">
        <w:rPr>
          <w:rFonts w:ascii="Calibri" w:hAnsi="Calibri" w:cs="Calibri"/>
          <w:color w:val="000000" w:themeColor="text1"/>
          <w:shd w:val="clear" w:color="auto" w:fill="FFFFFF"/>
        </w:rPr>
        <w:t>—</w:t>
      </w:r>
      <w:r w:rsidRPr="003475EB">
        <w:rPr>
          <w:rFonts w:ascii="Calibri" w:hAnsi="Calibri" w:cs="Calibri"/>
          <w:color w:val="000000" w:themeColor="text1"/>
          <w:shd w:val="clear" w:color="auto" w:fill="FFFFFF"/>
        </w:rPr>
        <w:t>such as by promoting it’s proliferation, self-renewal, survival, or some combination of these</w:t>
      </w:r>
      <w:r w:rsidR="00BE0790">
        <w:rPr>
          <w:rFonts w:ascii="Calibri" w:hAnsi="Calibri" w:cs="Calibri"/>
          <w:color w:val="000000" w:themeColor="text1"/>
          <w:shd w:val="clear" w:color="auto" w:fill="FFFFFF"/>
        </w:rPr>
        <w:t>—</w:t>
      </w:r>
      <w:r w:rsidRPr="003475EB">
        <w:rPr>
          <w:rFonts w:ascii="Calibri" w:hAnsi="Calibri" w:cs="Calibri"/>
          <w:color w:val="000000" w:themeColor="text1"/>
          <w:shd w:val="clear" w:color="auto" w:fill="FFFFFF"/>
        </w:rPr>
        <w:t xml:space="preserve">this may lead to the preferential expansion of the mutant clone relative to the other HSPCs. As a result, the mutation will increasingly spread through the hematopoietic system as the mutated HSPC gives rise to mature blood cells, leading to a distinct population of mutated cells within the peripheral blood. While mutations in dozens of different candidate driver genes have been associated with clonal events within the hematopoietic system, </w:t>
      </w:r>
      <w:r w:rsidRPr="00BE2A2E">
        <w:rPr>
          <w:rFonts w:ascii="Calibri" w:hAnsi="Calibri" w:cs="Calibri"/>
          <w:color w:val="000000" w:themeColor="text1"/>
          <w:shd w:val="clear" w:color="auto" w:fill="FFFFFF"/>
        </w:rPr>
        <w:t>among these, mutations in DNA methyltransferase 3 alpha (</w:t>
      </w:r>
      <w:r w:rsidRPr="00BE2A2E">
        <w:rPr>
          <w:rFonts w:ascii="Calibri" w:hAnsi="Calibri" w:cs="Calibri"/>
          <w:i/>
          <w:color w:val="000000" w:themeColor="text1"/>
          <w:shd w:val="clear" w:color="auto" w:fill="FFFFFF"/>
        </w:rPr>
        <w:t>DNMT3A</w:t>
      </w:r>
      <w:r w:rsidRPr="00BE2A2E">
        <w:rPr>
          <w:rFonts w:ascii="Calibri" w:hAnsi="Calibri" w:cs="Calibri"/>
          <w:color w:val="000000" w:themeColor="text1"/>
          <w:shd w:val="clear" w:color="auto" w:fill="FFFFFF"/>
        </w:rPr>
        <w:t>) and ten eleven translocation 2 (</w:t>
      </w:r>
      <w:r w:rsidRPr="00BE2A2E">
        <w:rPr>
          <w:rFonts w:ascii="Calibri" w:hAnsi="Calibri" w:cs="Calibri"/>
          <w:i/>
          <w:color w:val="000000" w:themeColor="text1"/>
          <w:shd w:val="clear" w:color="auto" w:fill="FFFFFF"/>
        </w:rPr>
        <w:t>TET2</w:t>
      </w:r>
      <w:r w:rsidRPr="00BE2A2E">
        <w:rPr>
          <w:rFonts w:ascii="Calibri" w:hAnsi="Calibri" w:cs="Calibri"/>
          <w:color w:val="000000" w:themeColor="text1"/>
          <w:shd w:val="clear" w:color="auto" w:fill="FFFFFF"/>
        </w:rPr>
        <w:t xml:space="preserve">) </w:t>
      </w:r>
      <w:r w:rsidRPr="003475EB">
        <w:rPr>
          <w:rFonts w:ascii="Calibri" w:hAnsi="Calibri" w:cs="Calibri"/>
          <w:color w:val="000000" w:themeColor="text1"/>
          <w:shd w:val="clear" w:color="auto" w:fill="FFFFFF"/>
        </w:rPr>
        <w:t>are the most prevalent</w:t>
      </w:r>
      <w:r w:rsidR="00837D2C" w:rsidRPr="003475EB">
        <w:rPr>
          <w:rFonts w:ascii="Calibri" w:hAnsi="Calibri" w:cs="Calibri"/>
          <w:color w:val="000000" w:themeColor="text1"/>
          <w:shd w:val="clear" w:color="auto" w:fill="FFFFFF"/>
          <w:vertAlign w:val="superscript"/>
        </w:rPr>
        <w:t>3</w:t>
      </w:r>
      <w:r w:rsidRPr="003475EB">
        <w:rPr>
          <w:rFonts w:ascii="Calibri" w:hAnsi="Calibri" w:cs="Calibri"/>
          <w:color w:val="000000" w:themeColor="text1"/>
          <w:shd w:val="clear" w:color="auto" w:fill="FFFFFF"/>
        </w:rPr>
        <w:t>. Several epidemiological studies have found that individuals who carry these genetic mutations have a significantly higher risk of cardiovascular disease (CVD), stroke, and all-causal mortality</w:t>
      </w:r>
      <w:r w:rsidR="00837D2C" w:rsidRPr="003475EB">
        <w:rPr>
          <w:rFonts w:ascii="Calibri" w:hAnsi="Calibri" w:cs="Calibri"/>
          <w:color w:val="000000" w:themeColor="text1"/>
          <w:shd w:val="clear" w:color="auto" w:fill="FFFFFF"/>
          <w:vertAlign w:val="superscript"/>
        </w:rPr>
        <w:fldChar w:fldCharType="begin"/>
      </w:r>
      <w:r w:rsidR="00837D2C" w:rsidRPr="003475EB">
        <w:rPr>
          <w:rFonts w:ascii="Calibri" w:hAnsi="Calibri" w:cs="Calibri"/>
          <w:color w:val="000000" w:themeColor="text1"/>
          <w:shd w:val="clear" w:color="auto" w:fill="FFFFFF"/>
          <w:vertAlign w:val="superscript"/>
        </w:rPr>
        <w:instrText xml:space="preserve"> ADDIN ZOTERO_ITEM CSL_CITATION {"citationID":"gZdItTMC","properties":{"formattedCitation":"\\super 4\\uc0\\u8211{}6\\nosupersub{}","plainCitation":"4–6","noteIndex":0},"citationItems":[{"id":16,"uris":["http://zotero.org/users/local/r2R059Ry/items/GRKNYSQF"],"uri":["http://zotero.org/users/local/r2R059Ry/items/GRKNYSQF"],"itemData":{"id":16,"type":"article-journal","abstract":"OBJECTIVE To assess the potential prognostic significance of CHIP in patients with chronic heart failure (CHF) owing to ischemic origin. Editorial page 5 Author Audio Interview Supplemental content CME Quiz at jamanetwork.com/learning and CME Questions page 88 DESIGN, SETTING, AND PARTICIPANTS We analyzed bone marrow–derived mononuclear cells from 200 patients with CHF by deep targeted amplicon sequencing to detect the presence of CHIP and associated such with long-term prognosis in patients with CHF at University Hospital Frankfurt, Frankfurt, Germany. Data were analyzed between October 2017 and April 2018.\nRESULTS Median age of the patients was 65 years. Forty-seven mutations with a variant allele fraction (VAF) of at least 0.02 were found in 38 of 200 patients with CHF (18.5%). The somatic mutations most commonly occurred in the genes DNMT3A (14 patients), TET2 (9 patients), KDM6A (4 patients), and BCOR (3 patients). Patients with CHIP were older and more frequently had a history of hypertension. During a median follow-up of 4.4 years, a total of 53 patients died, and 23 patients required hospitalization for heart failure. There was a significantly worse long-term clinical outcome for patients with either DNMT3A or TET2 mutations compared with non-CHIP carriers. By multivariable Cox proportional regression analysis, the presence of somatic mutations within TET2 or DNMT3A (HR, 2.1; 95% CI, 1.1-4.0; P = .02, for death combined with heart failure hospitalization) and age (HR, 1.04; 95% CI, 1.01-1.07 per year; P = .005) but not a history of hypertension remained independently associated with adverse outcome. Importantly, there was a significant dose-response association between VAF and clinical outcome.\nCONCLUSIONS AND RELEVANCE Our data suggest that somatic mutations in hematopoietic cells, specifically in the most commonly mutated CHIP driver genes TET2 and DNMT3A, may be significantly associated with the progression and poor prognosis of CHF. Future studies will have to validate our findings in larger cohorts and address whether targeting specific inflammatory pathways may be valuable for precision medicine in patients with CHF carrying specific mutations encoding for CHIP.","container-title":"JAMA Cardiology","DOI":"10.1001/jamacardio.2018.3965","ISSN":"2380-6583","issue":"1","journalAbbreviation":"JAMA Cardiol","language":"en","page":"25","source":"DOI.org (Crossref)","title":"Association of Mutations Contributing to Clonal Hematopoiesis With Prognosis in Chronic Ischemic Heart Failure","volume":"4","author":[{"family":"Dorsheimer","given":"Lena"},{"family":"Assmus","given":"Birgit"},{"family":"Rasper","given":"Tina"},{"family":"Ortmann","given":"Christina A."},{"family":"Ecke","given":"Andreas"},{"family":"Abou-El-Ardat","given":"Khalil"},{"family":"Schmid","given":"Tobias"},{"family":"Brüne","given":"Bernhard"},{"family":"Wagner","given":"Sebastian"},{"family":"Serve","given":"Hubert"},{"family":"Hoffmann","given":"Jedrzej"},{"family":"Seeger","given":"Florian"},{"family":"Dimmeler","given":"Stefanie"},{"family":"Zeiher","given":"Andreas M."},{"family":"Rieger","given":"Michael A."}],"issued":{"date-parts":[["2019",1,1]]}}},{"id":19,"uris":["http://zotero.org/users/local/r2R059Ry/items/2YXWHPQV"],"uri":["http://zotero.org/users/local/r2R059Ry/items/2YXWHPQV"],"itemData":{"id":19,"type":"article-journal","abstract":"BACKGROUND Clonal hematopoiesis of indeterminate potential (CHIP), which is defined as the presence of an expanded somatic blood-cell clone in persons without other hematologic abnormalities, is common among older persons and is associated with an increased risk of hematologic cancer. We previously found preliminary evidence for an association between CHIP and atherosclerotic cardiovascular disease, but the nature of this association was unclear.\nMETHODS We used whole-exome sequencing to detect the presence of CHIP in peripheral-blood cells and associated such presence with coronary heart disease using samples from four case–control studies that together enrolled 4726 participants with coronary heart disease and 3529 controls. To assess causality, we perturbed the function of Tet2, the second most commonly mutated gene linked to clonal hematopoiesis, in the hematopoietic cells of atherosclerosis-prone mice.\nRESULTS In nested case–control analyses from two prospective cohorts, carriers of CHIP had a risk of coronary heart disease that was 1.9 times as great as in noncarriers (95% confidence interval [CI], 1.4 to 2.7). In two retrospective case–control cohorts for the evaluation of early-onset myocardial infarction, participants with CHIP had a risk of myocardial infarction that was 4.0 times as great as in noncarriers (95% CI, 2.4 to 6.7). Mutations in DNMT3A, TET2, ASXL1, and JAK2 were each individually associated with coronary heart disease. CHIP carriers with these mutations also had increased coronary-artery calcification, a marker of coronary atherosclerosis burden. Hypercholesterolemia-prone mice that were engrafted with bone marrow obtained from homozygous or heterozygous Tet2 knockout mice had larger atherosclerotic lesions in the aortic root and aorta than did mice that had received control bone marrow. Analyses of macrophages from Tet2 knockout mice showed elevated expression of several chemokine and cytokine genes that contribute to atherosclerosis. The authors’ full names, academic de­ grees, and affiliations are listed in the Appendix. Address reprint requests to Dr. Ebert at the Department of Medicine, D­ ivision of Hematology, Brigham and Women’s Hospital, 77 Avenue Louis Pas­ teur, HIM 423, Boston, MA 02115, or at ­bebert@p­ artners. ­org; or to Dr. Kathiresan at the Center for Genomic Medicine, Massachusetts General Hospital, CPZN 5.830, 185 Cambridge St., Boston, MA 02114, or at s­ ekar@­b roadinstitute. ­org. Drs. Kathiresan and Ebert contributed equally to this article. This article was published on June 21, 2017, at NEJM.org. N Engl J Med 2017;377:111-21. DOI: 10.1056/NEJMoa1701719 Copyright © 2017 Massachusetts Medical Society.\nCONCLUSIONS The presence of CHIP in peripheral-blood cells was associated with nearly a doubling in the risk of coronary heart disease in humans and with accelerated atherosclerosis in mice. (Funded by the National Institutes of Health and others.)","container-title":"New England Journal of Medicine","DOI":"10.1056/NEJMoa1701719","ISSN":"0028-4793, 1533-4406","issue":"2","journalAbbreviation":"N Engl J Med","language":"en","page":"111-121","source":"DOI.org (Crossref)","title":"Clonal Hematopoiesis and Risk of Atherosclerotic Cardiovascular Disease","volume":"377","author":[{"family":"Jaiswal","given":"Siddhartha"},{"family":"Natarajan","given":"Pradeep"},{"family":"Silver","given":"Alexander J."},{"family":"Gibson","given":"Christopher J."},{"family":"Bick","given":"Alexander G."},{"family":"Shvartz","given":"Eugenia"},{"family":"McConkey","given":"Marie"},{"family":"Gupta","given":"Namrata"},{"family":"Gabriel","given":"Stacey"},{"family":"Ardissino","given":"Diego"},{"family":"Baber","given":"Usman"},{"family":"Mehran","given":"Roxana"},{"family":"Fuster","given":"Valentin"},{"family":"Danesh","given":"John"},{"family":"Frossard","given":"Philippe"},{"family":"Saleheen","given":"Danish"},{"family":"Melander","given":"Olle"},{"family":"Sukhova","given":"Galina K."},{"family":"Neuberg","given":"Donna"},{"family":"Libby","given":"Peter"},{"family":"Kathiresan","given":"Sekar"},{"family":"Ebert","given":"Benjamin L."}],"issued":{"date-parts":[["2017",7,13]]}}},{"id":18,"uris":["http://zotero.org/users/local/r2R059Ry/items/DCLITIE7"],"uri":["http://zotero.org/users/local/r2R059Ry/items/DCLITIE7"],"itemData":{"id":18,"type":"article-journal","container-title":"Circulation","DOI":"10.1161/CIRCULATIONAHA.118.034392","ISSN":"0009-7322, 1524-4539","issue":"7","journalAbbreviation":"Circulation","language":"en","page":"666-668","source":"DOI.org (Crossref)","title":"CHIP (Clonal Hematopoiesis of Indeterminate Potential): Potent and Newly Recognized Contributor to Cardiovascular Risk","title-short":"CHIP (Clonal Hematopoiesis of Indeterminate Potential)","volume":"138","author":[{"family":"Libby","given":"Peter"},{"family":"Ebert","given":"Benjamin L."}],"issued":{"date-parts":[["2018",8,14]]}}}],"schema":"https://github.com/citation-style-language/schema/raw/master/csl-citation.json"} </w:instrText>
      </w:r>
      <w:r w:rsidR="00837D2C" w:rsidRPr="003475EB">
        <w:rPr>
          <w:rFonts w:ascii="Calibri" w:hAnsi="Calibri" w:cs="Calibri"/>
          <w:color w:val="000000" w:themeColor="text1"/>
          <w:shd w:val="clear" w:color="auto" w:fill="FFFFFF"/>
          <w:vertAlign w:val="superscript"/>
        </w:rPr>
        <w:fldChar w:fldCharType="separate"/>
      </w:r>
      <w:r w:rsidR="00837D2C" w:rsidRPr="003475EB">
        <w:rPr>
          <w:rFonts w:ascii="Calibri" w:hAnsi="Calibri" w:cs="Calibri"/>
          <w:color w:val="000000" w:themeColor="text1"/>
          <w:vertAlign w:val="superscript"/>
        </w:rPr>
        <w:t>3–7</w:t>
      </w:r>
      <w:r w:rsidR="00837D2C" w:rsidRPr="003475EB">
        <w:rPr>
          <w:rFonts w:ascii="Calibri" w:hAnsi="Calibri" w:cs="Calibri"/>
          <w:color w:val="000000" w:themeColor="text1"/>
          <w:shd w:val="clear" w:color="auto" w:fill="FFFFFF"/>
          <w:vertAlign w:val="superscript"/>
        </w:rPr>
        <w:fldChar w:fldCharType="end"/>
      </w:r>
      <w:r w:rsidRPr="003475EB">
        <w:rPr>
          <w:rFonts w:ascii="Calibri" w:hAnsi="Calibri" w:cs="Calibri"/>
          <w:color w:val="000000" w:themeColor="text1"/>
          <w:shd w:val="clear" w:color="auto" w:fill="FFFFFF"/>
        </w:rPr>
        <w:t>.</w:t>
      </w:r>
      <w:r w:rsidRPr="00120F94">
        <w:rPr>
          <w:rFonts w:ascii="Calibri" w:hAnsi="Calibri" w:cs="Calibri"/>
          <w:color w:val="000000" w:themeColor="text1"/>
          <w:shd w:val="clear" w:color="auto" w:fill="FFFFFF"/>
        </w:rPr>
        <w:t xml:space="preserve"> </w:t>
      </w:r>
      <w:r w:rsidRPr="003475EB">
        <w:rPr>
          <w:rFonts w:ascii="Calibri" w:hAnsi="Calibri" w:cs="Calibri"/>
          <w:color w:val="000000" w:themeColor="text1"/>
          <w:shd w:val="clear" w:color="auto" w:fill="FFFFFF"/>
        </w:rPr>
        <w:t xml:space="preserve">While these studies have identified that an association exists between CH and increased incidence of CVD and stroke, we do not know whether this relationship is causal or a shared epiphenomenon with </w:t>
      </w:r>
      <w:r w:rsidR="00E94ED6">
        <w:rPr>
          <w:rFonts w:ascii="Calibri" w:hAnsi="Calibri" w:cs="Calibri"/>
          <w:color w:val="000000" w:themeColor="text1"/>
          <w:shd w:val="clear" w:color="auto" w:fill="FFFFFF"/>
        </w:rPr>
        <w:t xml:space="preserve">the </w:t>
      </w:r>
      <w:r w:rsidRPr="003475EB">
        <w:rPr>
          <w:rFonts w:ascii="Calibri" w:hAnsi="Calibri" w:cs="Calibri"/>
          <w:color w:val="000000" w:themeColor="text1"/>
          <w:shd w:val="clear" w:color="auto" w:fill="FFFFFF"/>
        </w:rPr>
        <w:t>aging process. To gain a better understanding of this association, proper animal models that correctly recapitulate the human condition of CH are required.</w:t>
      </w:r>
    </w:p>
    <w:p w14:paraId="7433E94D" w14:textId="77777777" w:rsidR="00A16CBB" w:rsidRDefault="00A16CBB" w:rsidP="000C770D">
      <w:pPr>
        <w:jc w:val="both"/>
        <w:rPr>
          <w:rFonts w:ascii="Calibri" w:hAnsi="Calibri" w:cs="Calibri"/>
          <w:color w:val="000000" w:themeColor="text1"/>
          <w:shd w:val="clear" w:color="auto" w:fill="FFFFFF"/>
        </w:rPr>
      </w:pPr>
    </w:p>
    <w:p w14:paraId="747A3BAA" w14:textId="16C54664" w:rsidR="00865A4B" w:rsidRPr="003475EB" w:rsidRDefault="00E842C4" w:rsidP="000C770D">
      <w:pPr>
        <w:jc w:val="both"/>
        <w:rPr>
          <w:rFonts w:ascii="Calibri" w:hAnsi="Calibri" w:cs="Calibri"/>
          <w:color w:val="000000" w:themeColor="text1"/>
          <w:shd w:val="clear" w:color="auto" w:fill="FFFFFF"/>
        </w:rPr>
      </w:pPr>
      <w:r w:rsidRPr="003475EB">
        <w:rPr>
          <w:rFonts w:ascii="Calibri" w:hAnsi="Calibri" w:cs="Calibri"/>
          <w:color w:val="000000" w:themeColor="text1"/>
          <w:shd w:val="clear" w:color="auto" w:fill="FFFFFF"/>
        </w:rPr>
        <w:t>Several</w:t>
      </w:r>
      <w:r w:rsidR="00144D12" w:rsidRPr="003475EB">
        <w:rPr>
          <w:rFonts w:ascii="Calibri" w:hAnsi="Calibri" w:cs="Calibri"/>
          <w:color w:val="000000" w:themeColor="text1"/>
          <w:shd w:val="clear" w:color="auto" w:fill="FFFFFF"/>
        </w:rPr>
        <w:t xml:space="preserve"> </w:t>
      </w:r>
      <w:r w:rsidR="009C2D94" w:rsidRPr="003475EB">
        <w:rPr>
          <w:rFonts w:ascii="Calibri" w:hAnsi="Calibri" w:cs="Calibri"/>
          <w:color w:val="000000" w:themeColor="text1"/>
          <w:shd w:val="clear" w:color="auto" w:fill="FFFFFF"/>
        </w:rPr>
        <w:t>CH</w:t>
      </w:r>
      <w:r w:rsidR="00EC44CC" w:rsidRPr="003475EB">
        <w:rPr>
          <w:rFonts w:ascii="Calibri" w:hAnsi="Calibri" w:cs="Calibri"/>
          <w:color w:val="000000" w:themeColor="text1"/>
          <w:shd w:val="clear" w:color="auto" w:fill="FFFFFF"/>
        </w:rPr>
        <w:t xml:space="preserve"> animal</w:t>
      </w:r>
      <w:r w:rsidR="009C2D94" w:rsidRPr="003475EB">
        <w:rPr>
          <w:rFonts w:ascii="Calibri" w:hAnsi="Calibri" w:cs="Calibri"/>
          <w:color w:val="000000" w:themeColor="text1"/>
          <w:shd w:val="clear" w:color="auto" w:fill="FFFFFF"/>
        </w:rPr>
        <w:t xml:space="preserve"> </w:t>
      </w:r>
      <w:r w:rsidRPr="003475EB">
        <w:rPr>
          <w:rFonts w:ascii="Calibri" w:hAnsi="Calibri" w:cs="Calibri"/>
          <w:color w:val="000000" w:themeColor="text1"/>
          <w:shd w:val="clear" w:color="auto" w:fill="FFFFFF"/>
        </w:rPr>
        <w:t>models ha</w:t>
      </w:r>
      <w:r w:rsidR="00EC44CC" w:rsidRPr="003475EB">
        <w:rPr>
          <w:rFonts w:ascii="Calibri" w:hAnsi="Calibri" w:cs="Calibri"/>
          <w:color w:val="000000" w:themeColor="text1"/>
          <w:shd w:val="clear" w:color="auto" w:fill="FFFFFF"/>
        </w:rPr>
        <w:t>ve</w:t>
      </w:r>
      <w:r w:rsidR="00144D12" w:rsidRPr="003475EB">
        <w:rPr>
          <w:rFonts w:ascii="Calibri" w:hAnsi="Calibri" w:cs="Calibri"/>
          <w:color w:val="000000" w:themeColor="text1"/>
          <w:shd w:val="clear" w:color="auto" w:fill="FFFFFF"/>
        </w:rPr>
        <w:t xml:space="preserve"> been </w:t>
      </w:r>
      <w:r w:rsidR="00EB6072" w:rsidRPr="003475EB">
        <w:rPr>
          <w:rFonts w:ascii="Calibri" w:hAnsi="Calibri" w:cs="Calibri"/>
          <w:color w:val="000000" w:themeColor="text1"/>
          <w:shd w:val="clear" w:color="auto" w:fill="FFFFFF"/>
        </w:rPr>
        <w:t xml:space="preserve">established by </w:t>
      </w:r>
      <w:r w:rsidR="00144D12" w:rsidRPr="003475EB">
        <w:rPr>
          <w:rFonts w:ascii="Calibri" w:hAnsi="Calibri" w:cs="Calibri"/>
          <w:color w:val="000000" w:themeColor="text1"/>
          <w:shd w:val="clear" w:color="auto" w:fill="FFFFFF"/>
        </w:rPr>
        <w:t xml:space="preserve">our group and others using </w:t>
      </w:r>
      <w:r w:rsidR="00EB6072" w:rsidRPr="003475EB">
        <w:rPr>
          <w:rFonts w:ascii="Calibri" w:hAnsi="Calibri" w:cs="Calibri"/>
          <w:color w:val="000000" w:themeColor="text1"/>
          <w:shd w:val="clear" w:color="auto" w:fill="FFFFFF"/>
        </w:rPr>
        <w:t xml:space="preserve">zebrafish, </w:t>
      </w:r>
      <w:r w:rsidR="00D97116" w:rsidRPr="003475EB">
        <w:rPr>
          <w:rFonts w:ascii="Calibri" w:hAnsi="Calibri" w:cs="Calibri"/>
          <w:color w:val="000000" w:themeColor="text1"/>
          <w:shd w:val="clear" w:color="auto" w:fill="FFFFFF"/>
        </w:rPr>
        <w:t>mice</w:t>
      </w:r>
      <w:r w:rsidR="00E94ED6">
        <w:rPr>
          <w:rFonts w:ascii="Calibri" w:hAnsi="Calibri" w:cs="Calibri"/>
          <w:color w:val="000000" w:themeColor="text1"/>
          <w:shd w:val="clear" w:color="auto" w:fill="FFFFFF"/>
        </w:rPr>
        <w:t>,</w:t>
      </w:r>
      <w:r w:rsidR="00D97116" w:rsidRPr="003475EB">
        <w:rPr>
          <w:rFonts w:ascii="Calibri" w:hAnsi="Calibri" w:cs="Calibri"/>
          <w:color w:val="000000" w:themeColor="text1"/>
          <w:shd w:val="clear" w:color="auto" w:fill="FFFFFF"/>
        </w:rPr>
        <w:t xml:space="preserve"> </w:t>
      </w:r>
      <w:r w:rsidR="005C6DBB" w:rsidRPr="003475EB">
        <w:rPr>
          <w:rFonts w:ascii="Calibri" w:hAnsi="Calibri" w:cs="Calibri"/>
          <w:color w:val="000000" w:themeColor="text1"/>
          <w:shd w:val="clear" w:color="auto" w:fill="FFFFFF"/>
        </w:rPr>
        <w:t xml:space="preserve">and </w:t>
      </w:r>
      <w:r w:rsidR="00942D5C" w:rsidRPr="003475EB">
        <w:rPr>
          <w:rFonts w:ascii="Calibri" w:hAnsi="Calibri" w:cs="Calibri"/>
          <w:color w:val="000000" w:themeColor="text1"/>
          <w:shd w:val="clear" w:color="auto" w:fill="FFFFFF"/>
        </w:rPr>
        <w:t xml:space="preserve">non-human </w:t>
      </w:r>
      <w:r w:rsidR="005C6DBB" w:rsidRPr="003475EB">
        <w:rPr>
          <w:rFonts w:ascii="Calibri" w:hAnsi="Calibri" w:cs="Calibri"/>
          <w:color w:val="000000" w:themeColor="text1"/>
          <w:shd w:val="clear" w:color="auto" w:fill="FFFFFF"/>
        </w:rPr>
        <w:t>primate</w:t>
      </w:r>
      <w:r w:rsidR="00D97116" w:rsidRPr="003475EB">
        <w:rPr>
          <w:rFonts w:ascii="Calibri" w:hAnsi="Calibri" w:cs="Calibri"/>
          <w:color w:val="000000" w:themeColor="text1"/>
          <w:shd w:val="clear" w:color="auto" w:fill="FFFFFF"/>
        </w:rPr>
        <w:t>s</w:t>
      </w:r>
      <w:r w:rsidR="00837D2C" w:rsidRPr="003475EB">
        <w:rPr>
          <w:rFonts w:ascii="Calibri" w:hAnsi="Calibri" w:cs="Calibri"/>
          <w:color w:val="000000" w:themeColor="text1"/>
          <w:shd w:val="clear" w:color="auto" w:fill="FFFFFF"/>
          <w:vertAlign w:val="superscript"/>
        </w:rPr>
        <w:fldChar w:fldCharType="begin"/>
      </w:r>
      <w:r w:rsidR="00837D2C" w:rsidRPr="003475EB">
        <w:rPr>
          <w:rFonts w:ascii="Calibri" w:hAnsi="Calibri" w:cs="Calibri"/>
          <w:color w:val="000000" w:themeColor="text1"/>
          <w:shd w:val="clear" w:color="auto" w:fill="FFFFFF"/>
          <w:vertAlign w:val="superscript"/>
        </w:rPr>
        <w:instrText xml:space="preserve"> ADDIN ZOTERO_ITEM CSL_CITATION {"citationID":"skf3ykFO","properties":{"formattedCitation":"\\super 7\\uc0\\u8211{}13\\nosupersub{}","plainCitation":"7–13","noteIndex":0},"citationItems":[{"id":"4DUAICfJ/7bQQCH8G","uris":["http://zotero.org/users/local/93ftlI2G/items/CP46K8QX"],"uri":["http://zotero.org/users/local/93ftlI2G/items/CP46K8QX"],"itemData":{"id":"TguNJsPP/2PqvpVIb","type":"article-journal","container-title":"JCI Insight","DOI":"10.1172/jci.insight.135204","ISSN":"2379-3708","issue":"6","language":"en","page":"e135204","source":"DOI.org (Crossref)","title":"Tet2-mediated clonal hematopoiesis in nonconditioned mice accelerates age-associated cardiac dysfunction","volume":"5","author":[{"family":"Wang","given":"Ying"},{"family":"Sano","given":"Soichi"},{"family":"Yura","given":"Yoshimitsu"},{"family":"Ke","given":"Zhonghe"},{"family":"Sano","given":"Miho"},{"family":"Oshima","given":"Kosei"},{"family":"Ogawa","given":"Hayato"},{"family":"Horitani","given":"Keita"},{"family":"Min","given":"Kyung-Duk"},{"family":"Miura-Yura","given":"Emiri"},{"family":"Kour","given":"Anupreet"},{"family":"Evans","given":"Megan A."},{"family":"Zuriaga","given":"Maria A."},{"family":"Hirschi","given":"Karen K."},{"family":"Fuster","given":"Jose J."},{"family":"Pietras","given":"Eric M."},{"family":"Walsh","given":"Kenneth"}],"issued":{"date-parts":[["2020",3,26]]}}},{"id":"4DUAICfJ/EJ5xwTHs","uris":["http://zotero.org/users/local/93ftlI2G/items/UMNU8TSZ"],"uri":["http://zotero.org/users/local/93ftlI2G/items/UMNU8TSZ"],"itemData":{"id":"TguNJsPP/2SJJOwRP","type":"article-journal","abstract":"Background—Recent studies have shown that hematopoietic stem cells can undergo clonal expansion due to somatic mutations in leukemia-related genes, leading to an age-dependent accumulation of mutant leukocytes in the blood. This somatic mutation-related clonal hematopoiesis is common in the healthy elderly, but it has been associated with an increased incidence of future cardiovascular disease. The epigenetic regulator TET2 is frequently mutated in blood cells of individuals exhibiting clonal hematopoiesis.","container-title":"Journal of the American College of Cardiology","DOI":"10.1016/j.jacc.2017.12.037","ISSN":"07351097","issue":"8","journalAbbreviation":"Journal of the American College of Cardiology","language":"en","page":"875-886","source":"DOI.org (Crossref)","title":"Tet2-Mediated Clonal Hematopoiesis Accelerates Heart Failure Through a Mechanism Involving the IL-1β/NLRP3 Inflammasome","volume":"71","author":[{"family":"Sano","given":"Soichi"},{"family":"Oshima","given":"Kosei"},{"family":"Wang","given":"Ying"},{"family":"MacLauchlan","given":"Susan"},{"family":"Katanasaka","given":"Yasufumi"},{"family":"Sano","given":"Miho"},{"family":"Zuriaga","given":"María A."},{"family":"Yoshiyama","given":"Minoru"},{"family":"Goukassian","given":"David"},{"family":"Cooper","given":"Matthew A."},{"family":"Fuster","given":"José J."},{"family":"Walsh","given":"Kenneth"}],"issued":{"date-parts":[["2018",2]]}}},{"id":"4DUAICfJ/vB3wBl1a","uris":["http://zotero.org/users/local/93ftlI2G/items/ZL6XNLXF"],"uri":["http://zotero.org/users/local/93ftlI2G/items/ZL6XNLXF"],"itemData":{"id":"TguNJsPP/VBAiUpou","type":"article-journal","container-title":"JACC: Basic to Translational Science","DOI":"10.1016/j.jacbts.2019.05.013","ISSN":"2452302X","issue":"6","journalAbbreviation":"JACC: Basic to Translational Science","language":"en","page":"684-697","source":"DOI.org (Crossref)","title":"JAK2-Mediated Clonal Hematopoiesis Accelerates Pathological Remodeling in Murine Heart Failure","volume":"4","author":[{"family":"Sano","given":"Soichi"},{"family":"Wang","given":"Ying"},{"family":"Yura","given":"Yoshimitsu"},{"family":"Sano","given":"Miho"},{"family":"Oshima","given":"Kosei"},{"family":"Yang","given":"Yue"},{"family":"Katanasaka","given":"Yasufumi"},{"family":"Min","given":"Kyung-Duk"},{"family":"Matsuura","given":"Shinobu"},{"family":"Ravid","given":"Katya"},{"family":"Mohi","given":"Golam"},{"family":"Walsh","given":"Kenneth"}],"issued":{"date-parts":[["2019",10]]}}},{"id":27,"uris":["http://zotero.org/users/local/r2R059Ry/items/4JLLJDXD"],"uri":["http://zotero.org/users/local/r2R059Ry/items/4JLLJDXD"],"itemData":{"id":27,"type":"article-journal","abstract":"Key Points\n            Genetic barcoding of HSPCs in aged macaques reveals impaired long-term clonal output from multipotent HSPCs. Aged macaques showed prolonged contributions from lineage-biased HSPCs and late clonal expansions.","container-title":"Blood","DOI":"10.1182/blood-2017-08-802033","ISSN":"0006-4971, 1528-0020","issue":"11","language":"en","page":"1195-1205","source":"DOI.org (Crossref)","title":"The impact of aging on primate hematopoiesis as interrogated by clonal tracking","volume":"131","author":[{"family":"Yu","given":"Kyung-Rok"},{"family":"Espinoza","given":"Diego A."},{"family":"Wu","given":"Chuanfeng"},{"family":"Truitt","given":"Lauren"},{"family":"Shin","given":"Tae-Hoon"},{"family":"Chen","given":"Shirley"},{"family":"Fan","given":"Xing"},{"family":"Yabe","given":"Idalia M."},{"family":"Panch","given":"Sandhya"},{"family":"Hong","given":"So Gun"},{"family":"Koelle","given":"Samson"},{"family":"Lu","given":"Rong"},{"family":"Bonifacino","given":"Aylin"},{"family":"Krouse","given":"Allen"},{"family":"Metzger","given":"Mark"},{"family":"Donahue","given":"Robert E."},{"family":"Dunbar","given":"Cynthia E."}],"issued":{"date-parts":[["2018",3,15]]}}},{"id":30,"uris":["http://zotero.org/users/local/r2R059Ry/items/APK6K8PD"],"uri":["http://zotero.org/users/local/r2R059Ry/items/APK6K8PD"],"itemData":{"id":30,"type":"article-journal","container-title":"Molecular Therapy","DOI":"10.1016/j.ymthe.2019.04.003","ISSN":"15250016","issue":"6","journalAbbreviation":"Molecular Therapy","language":"en","page":"1074-1086","source":"DOI.org (Crossref)","title":"Aberrant Clonal Hematopoiesis following Lentiviral Vector Transduction of HSPCs in a Rhesus Macaque","volume":"27","author":[{"family":"Espinoza","given":"Diego A."},{"family":"Fan","given":"Xing"},{"family":"Yang","given":"Di"},{"family":"Cordes","given":"Stefan F."},{"family":"Truitt","given":"Lauren L."},{"family":"Calvo","given":"Katherine R."},{"family":"Yabe","given":"Idalia M."},{"family":"Demirci","given":"Selami"},{"family":"Hope","given":"Kristin J."},{"family":"Hong","given":"So Gun"},{"family":"Krouse","given":"Allen"},{"family":"Metzger","given":"Mark"},{"family":"Bonifacino","given":"Aylin"},{"family":"Lu","given":"Rong"},{"family":"Uchida","given":"Naoya"},{"family":"Tisdale","given":"John F."},{"family":"Wu","given":"Xiaolin"},{"family":"DeRavin","given":"Suk See"},{"family":"Malech","given":"Harry L."},{"family":"Donahue","given":"Robert E."},{"family":"Wu","given":"Chuanfeng"},{"family":"Dunbar","given":"Cynthia E."}],"issued":{"date-parts":[["2019",6]]}}},{"id":32,"uris":["http://zotero.org/users/local/r2R059Ry/items/SGCNV6WB"],"uri":["http://zotero.org/users/local/r2R059Ry/items/SGCNV6WB"],"itemData":{"id":32,"type":"article-journal","abstract":"Abstract\n            Identification of hematopoietic progenitor cells in the zebrafish (Danio rerio) has been hindered by a lack of functional assays to gauge proliferative potential and differentiation capacity. To investigate the nature of myeloerythroid progenitor cells, we developed clonal methylcellulose assays by using recombinant zebrafish erythropoietin and granulocyte colony-stimulating factor. From adult whole kidney marrow, erythropoietin was required to support erythroid colony formation, and granulocyte colony-stimulating factor was required to support the formation of colonies containing neutrophils, monocytes, and macrophages. Myeloid and erythroid colonies showed distinct morphologies and were easily visualized and scored by their expression of lineage-specific fluorescent transgenes. Analysis of the gene-expression profiles after isolation of colonies marked by gata1:DsRed or mpx:eGFP transgenes confirmed our morphological erythroid and myeloid lineage designations, respectively. The majority of progenitor activity was contained within the precursor light scatter fraction, and more immature precursors were present within the lymphoid fraction. Finally, we performed kinetic analyses of progenitor activity after sublethal irradiation and demonstrated that recovery to preirradiation levels occurred by 14 days after irradiation. Together, these experiments provide the first report of clonal hematopoietic progenitor assays in the zebrafish and establish the number, characteristics, and kinetics of myeloerythroid progenitors during both steady-state and stress hematopoiesis.","container-title":"Blood","DOI":"10.1182/blood-2011-01-331199","ISSN":"0006-4971, 1528-0020","issue":"5","language":"en","page":"1274-1282","source":"DOI.org (Crossref)","title":"Clonal analysis of hematopoietic progenitor cells in the zebrafish","volume":"118","author":[{"family":"Stachura","given":"David L."},{"family":"Svoboda","given":"Ondrej"},{"family":"Lau","given":"Ryan P."},{"family":"Balla","given":"Keir M."},{"family":"Zon","given":"Leonard I."},{"family":"Bartunek","given":"Petr"},{"family":"Traver","given":"David"}],"issued":{"date-parts":[["2011",8,4]]}}},{"id":42,"uris":["http://zotero.org/users/local/r2R059Ry/items/ZDW5H537"],"uri":["http://zotero.org/users/local/r2R059Ry/items/ZDW5H537"],"itemData":{"id":42,"type":"article-journal","abstract":"Objective: To develop a facile system to evaluate the disease characteristics of different clonal hematopoiesis driver genes using lentivirus vector and CRISPR/Cas9 (clustered regularly interspaced short palindromic repeats/ clustered regularly interspaced short palindromic repeat–associated 9) methodology. Using this methodology, evaluate whether Dnmt3a (DNA [cytosine-5]-methyltransferase 3a)—a commonly occurring clonal hematopoiesis driver gene—causally contributes to cardiovascular disease.\nMethods and Results: Lentivirus vectors were used to deliver Cas9 and guide RNA to introduce inactivating mutations in Tet2 and Dnmt3a in lineage-negative bone marrow cells. After implantation into lethally irradiated mice, these cells were engrafted and gave rise to labeled blood cell progeny. When challenged with an infusion of Ang II (angiotensin II), mice with inactivating mutations in Tet2 or Dnmt3a displayed greater cardiac hypertrophy, diminished cardiac function, and greater cardiac and renal fibrosis. In comparison with Tet2, inactivation of Dnmt3a did not lead to detectable expansion of the mutant hematopoietic cells during the time course of these experiments. Tet2 inactivation promoted the expression of IL (interleukin) 1β, IL-6, and Ccl5, whereas Dnmt3a inactivation promoted the expression of Cxcl1 (CXC chemokine ligand), Cxcl2, IL-6, and Ccl5 in a lipopolysaccharide-stimulated macrophage cell line.\nConclusions: Experiments using lentivirus vector/CRISPR methodology provided evidence suggesting that inactivating DNMT3A mutations in hematopoietic cells contributes to cardiovascular disease. Comparative analyses showed that inactivation of Tet2 and Dnmt3 was similar in their ability to promote Ang II-induced cardiac dysfunction and renal fibrosis in mice. However, gene-specific actions were indicated by differences in kinetics of hematopoietic stem/progenitor cell expansion and different patterns of inflammatory gene expression.   (Circ Res. 2018;123:335-341. DOI: 10.1161/CIRCRESAHA.118.313225.)","container-title":"Circulation Research","DOI":"10.1161/CIRCRESAHA.118.313225","ISSN":"0009-7330, 1524-4571","issue":"3","journalAbbreviation":"Circ Res","language":"en","page":"335-341","source":"DOI.org (Crossref)","title":"CRISPR-Mediated Gene Editing to Assess the Roles of Tet2 and Dnmt3a in Clonal Hematopoiesis and Cardiovascular Disease","volume":"123","author":[{"family":"Sano","given":"Soichi"},{"family":"Oshima","given":"Kosei"},{"family":"Wang","given":"Ying"},{"family":"Katanasaka","given":"Yasufumi"},{"family":"Sano","given":"Miho"},{"family":"Walsh","given":"Kenneth"}],"issued":{"date-parts":[["2018",7,20]]}}}],"schema":"https://github.com/citation-style-language/schema/raw/master/csl-citation.json"} </w:instrText>
      </w:r>
      <w:r w:rsidR="00837D2C" w:rsidRPr="003475EB">
        <w:rPr>
          <w:rFonts w:ascii="Calibri" w:hAnsi="Calibri" w:cs="Calibri"/>
          <w:color w:val="000000" w:themeColor="text1"/>
          <w:shd w:val="clear" w:color="auto" w:fill="FFFFFF"/>
          <w:vertAlign w:val="superscript"/>
        </w:rPr>
        <w:fldChar w:fldCharType="separate"/>
      </w:r>
      <w:r w:rsidR="00837D2C" w:rsidRPr="003475EB">
        <w:rPr>
          <w:rFonts w:ascii="Calibri" w:hAnsi="Calibri" w:cs="Calibri"/>
          <w:color w:val="000000" w:themeColor="text1"/>
          <w:vertAlign w:val="superscript"/>
        </w:rPr>
        <w:t>8–14</w:t>
      </w:r>
      <w:r w:rsidR="00837D2C" w:rsidRPr="003475EB">
        <w:rPr>
          <w:rFonts w:ascii="Calibri" w:hAnsi="Calibri" w:cs="Calibri"/>
          <w:color w:val="000000" w:themeColor="text1"/>
          <w:shd w:val="clear" w:color="auto" w:fill="FFFFFF"/>
          <w:vertAlign w:val="superscript"/>
        </w:rPr>
        <w:fldChar w:fldCharType="end"/>
      </w:r>
      <w:r w:rsidR="007849B6" w:rsidRPr="003475EB">
        <w:rPr>
          <w:rFonts w:ascii="Calibri" w:hAnsi="Calibri" w:cs="Calibri"/>
          <w:color w:val="000000" w:themeColor="text1"/>
          <w:shd w:val="clear" w:color="auto" w:fill="FFFFFF"/>
        </w:rPr>
        <w:t>.</w:t>
      </w:r>
      <w:r w:rsidR="00803878" w:rsidRPr="00120F94">
        <w:rPr>
          <w:rFonts w:ascii="Calibri" w:hAnsi="Calibri" w:cs="Calibri"/>
          <w:color w:val="000000" w:themeColor="text1"/>
          <w:shd w:val="clear" w:color="auto" w:fill="FFFFFF"/>
        </w:rPr>
        <w:t xml:space="preserve"> </w:t>
      </w:r>
      <w:r w:rsidR="00A54DAB" w:rsidRPr="003475EB">
        <w:rPr>
          <w:rFonts w:ascii="Calibri" w:hAnsi="Calibri" w:cs="Calibri"/>
          <w:color w:val="000000" w:themeColor="text1"/>
          <w:shd w:val="clear" w:color="auto" w:fill="FFFFFF"/>
        </w:rPr>
        <w:t>T</w:t>
      </w:r>
      <w:r w:rsidR="009A01C9" w:rsidRPr="003475EB">
        <w:rPr>
          <w:rFonts w:ascii="Calibri" w:hAnsi="Calibri" w:cs="Calibri"/>
          <w:color w:val="000000" w:themeColor="text1"/>
          <w:shd w:val="clear" w:color="auto" w:fill="FFFFFF"/>
        </w:rPr>
        <w:t xml:space="preserve">hese models often use </w:t>
      </w:r>
      <w:r w:rsidR="0019352E" w:rsidRPr="003475EB">
        <w:rPr>
          <w:rFonts w:ascii="Calibri" w:hAnsi="Calibri" w:cs="Calibri"/>
          <w:color w:val="000000" w:themeColor="text1"/>
          <w:shd w:val="clear" w:color="auto" w:fill="FFFFFF"/>
        </w:rPr>
        <w:t>hematopoietic reconstitution</w:t>
      </w:r>
      <w:r w:rsidR="009D0A5D" w:rsidRPr="003475EB">
        <w:rPr>
          <w:rFonts w:ascii="Calibri" w:hAnsi="Calibri" w:cs="Calibri"/>
          <w:color w:val="000000" w:themeColor="text1"/>
          <w:shd w:val="clear" w:color="auto" w:fill="FFFFFF"/>
        </w:rPr>
        <w:t xml:space="preserve"> </w:t>
      </w:r>
      <w:r w:rsidR="00592B93" w:rsidRPr="003475EB">
        <w:rPr>
          <w:rFonts w:ascii="Calibri" w:hAnsi="Calibri" w:cs="Calibri"/>
          <w:color w:val="000000" w:themeColor="text1"/>
          <w:shd w:val="clear" w:color="auto" w:fill="FFFFFF"/>
        </w:rPr>
        <w:t>methods</w:t>
      </w:r>
      <w:r w:rsidR="009A01C9" w:rsidRPr="003475EB">
        <w:rPr>
          <w:rFonts w:ascii="Calibri" w:hAnsi="Calibri" w:cs="Calibri"/>
          <w:color w:val="000000" w:themeColor="text1"/>
          <w:shd w:val="clear" w:color="auto" w:fill="FFFFFF"/>
        </w:rPr>
        <w:t xml:space="preserve"> </w:t>
      </w:r>
      <w:r w:rsidR="0019352E" w:rsidRPr="003475EB">
        <w:rPr>
          <w:rFonts w:ascii="Calibri" w:hAnsi="Calibri" w:cs="Calibri"/>
          <w:color w:val="000000" w:themeColor="text1"/>
          <w:shd w:val="clear" w:color="auto" w:fill="FFFFFF"/>
        </w:rPr>
        <w:t>by</w:t>
      </w:r>
      <w:r w:rsidR="00525DEE" w:rsidRPr="003475EB">
        <w:rPr>
          <w:rFonts w:ascii="Calibri" w:hAnsi="Calibri" w:cs="Calibri"/>
          <w:color w:val="000000" w:themeColor="text1"/>
          <w:shd w:val="clear" w:color="auto" w:fill="FFFFFF"/>
        </w:rPr>
        <w:t xml:space="preserve"> transplantation of</w:t>
      </w:r>
      <w:r w:rsidR="0019352E" w:rsidRPr="003475EB">
        <w:rPr>
          <w:rFonts w:ascii="Calibri" w:hAnsi="Calibri" w:cs="Calibri"/>
          <w:color w:val="000000" w:themeColor="text1"/>
          <w:shd w:val="clear" w:color="auto" w:fill="FFFFFF"/>
        </w:rPr>
        <w:t xml:space="preserve"> </w:t>
      </w:r>
      <w:r w:rsidR="00525DEE" w:rsidRPr="003475EB">
        <w:rPr>
          <w:rFonts w:ascii="Calibri" w:hAnsi="Calibri" w:cs="Calibri"/>
          <w:color w:val="000000" w:themeColor="text1"/>
          <w:shd w:val="clear" w:color="auto" w:fill="FFFFFF"/>
        </w:rPr>
        <w:t>genetically modified cells</w:t>
      </w:r>
      <w:r w:rsidR="00ED4179" w:rsidRPr="003475EB">
        <w:rPr>
          <w:rFonts w:ascii="Calibri" w:hAnsi="Calibri" w:cs="Calibri"/>
          <w:color w:val="000000" w:themeColor="text1"/>
          <w:shd w:val="clear" w:color="auto" w:fill="FFFFFF"/>
        </w:rPr>
        <w:t>, sometimes</w:t>
      </w:r>
      <w:r w:rsidR="00525DEE" w:rsidRPr="003475EB">
        <w:rPr>
          <w:rFonts w:ascii="Calibri" w:hAnsi="Calibri" w:cs="Calibri"/>
          <w:color w:val="000000" w:themeColor="text1"/>
          <w:shd w:val="clear" w:color="auto" w:fill="FFFFFF"/>
        </w:rPr>
        <w:t xml:space="preserve"> using</w:t>
      </w:r>
      <w:r w:rsidR="00144D12" w:rsidRPr="003475EB">
        <w:rPr>
          <w:rFonts w:ascii="Calibri" w:hAnsi="Calibri" w:cs="Calibri"/>
          <w:color w:val="000000" w:themeColor="text1"/>
          <w:shd w:val="clear" w:color="auto" w:fill="FFFFFF"/>
        </w:rPr>
        <w:t xml:space="preserve"> </w:t>
      </w:r>
      <w:r w:rsidR="009A01C9" w:rsidRPr="003475EB">
        <w:rPr>
          <w:rFonts w:ascii="Calibri" w:hAnsi="Calibri" w:cs="Calibri"/>
          <w:color w:val="000000" w:themeColor="text1"/>
          <w:shd w:val="clear" w:color="auto" w:fill="FFFFFF"/>
        </w:rPr>
        <w:t>C</w:t>
      </w:r>
      <w:r w:rsidR="007C7F9C" w:rsidRPr="003475EB">
        <w:rPr>
          <w:rFonts w:ascii="Calibri" w:hAnsi="Calibri" w:cs="Calibri"/>
          <w:color w:val="000000" w:themeColor="text1"/>
          <w:shd w:val="clear" w:color="auto" w:fill="FFFFFF"/>
        </w:rPr>
        <w:t xml:space="preserve">re-lox </w:t>
      </w:r>
      <w:r w:rsidR="00EC44CC" w:rsidRPr="003475EB">
        <w:rPr>
          <w:rFonts w:ascii="Calibri" w:hAnsi="Calibri" w:cs="Calibri"/>
          <w:color w:val="000000" w:themeColor="text1"/>
          <w:shd w:val="clear" w:color="auto" w:fill="FFFFFF"/>
        </w:rPr>
        <w:t xml:space="preserve">recombination </w:t>
      </w:r>
      <w:r w:rsidR="0019352E" w:rsidRPr="003475EB">
        <w:rPr>
          <w:rFonts w:ascii="Calibri" w:hAnsi="Calibri" w:cs="Calibri"/>
          <w:color w:val="000000" w:themeColor="text1"/>
          <w:shd w:val="clear" w:color="auto" w:fill="FFFFFF"/>
        </w:rPr>
        <w:t>or</w:t>
      </w:r>
      <w:r w:rsidR="007C7F9C" w:rsidRPr="003475EB">
        <w:rPr>
          <w:rFonts w:ascii="Calibri" w:hAnsi="Calibri" w:cs="Calibri"/>
          <w:color w:val="000000" w:themeColor="text1"/>
          <w:shd w:val="clear" w:color="auto" w:fill="FFFFFF"/>
        </w:rPr>
        <w:t xml:space="preserve"> </w:t>
      </w:r>
      <w:r w:rsidR="00DB01D9" w:rsidRPr="003475EB">
        <w:rPr>
          <w:rFonts w:ascii="Calibri" w:hAnsi="Calibri" w:cs="Calibri"/>
          <w:color w:val="000000" w:themeColor="text1"/>
          <w:shd w:val="clear" w:color="auto" w:fill="FFFFFF"/>
        </w:rPr>
        <w:t xml:space="preserve">the </w:t>
      </w:r>
      <w:r w:rsidR="007C7F9C" w:rsidRPr="003475EB">
        <w:rPr>
          <w:rFonts w:ascii="Calibri" w:hAnsi="Calibri" w:cs="Calibri"/>
          <w:color w:val="000000" w:themeColor="text1"/>
          <w:shd w:val="clear" w:color="auto" w:fill="FFFFFF"/>
        </w:rPr>
        <w:t>CRISPR system</w:t>
      </w:r>
      <w:r w:rsidR="00D97116" w:rsidRPr="003475EB">
        <w:rPr>
          <w:rFonts w:ascii="Calibri" w:hAnsi="Calibri" w:cs="Calibri"/>
          <w:color w:val="000000" w:themeColor="text1"/>
          <w:shd w:val="clear" w:color="auto" w:fill="FFFFFF"/>
        </w:rPr>
        <w:t>.</w:t>
      </w:r>
      <w:r w:rsidR="00CA7AC5" w:rsidRPr="003475EB">
        <w:rPr>
          <w:rFonts w:ascii="Calibri" w:hAnsi="Calibri" w:cs="Calibri"/>
          <w:color w:val="000000" w:themeColor="text1"/>
          <w:shd w:val="clear" w:color="auto" w:fill="FFFFFF"/>
        </w:rPr>
        <w:t xml:space="preserve"> </w:t>
      </w:r>
      <w:r w:rsidR="00D97116" w:rsidRPr="003475EB">
        <w:rPr>
          <w:rFonts w:ascii="Calibri" w:hAnsi="Calibri" w:cs="Calibri"/>
          <w:color w:val="000000" w:themeColor="text1"/>
          <w:shd w:val="clear" w:color="auto" w:fill="FFFFFF"/>
        </w:rPr>
        <w:t xml:space="preserve">This approach </w:t>
      </w:r>
      <w:r w:rsidR="00083B97" w:rsidRPr="003475EB">
        <w:rPr>
          <w:rFonts w:ascii="Calibri" w:hAnsi="Calibri" w:cs="Calibri"/>
          <w:color w:val="000000" w:themeColor="text1"/>
          <w:shd w:val="clear" w:color="auto" w:fill="FFFFFF"/>
        </w:rPr>
        <w:t>allow</w:t>
      </w:r>
      <w:r w:rsidR="00D97116" w:rsidRPr="003475EB">
        <w:rPr>
          <w:rFonts w:ascii="Calibri" w:hAnsi="Calibri" w:cs="Calibri"/>
          <w:color w:val="000000" w:themeColor="text1"/>
          <w:shd w:val="clear" w:color="auto" w:fill="FFFFFF"/>
        </w:rPr>
        <w:t>s</w:t>
      </w:r>
      <w:r w:rsidR="00083B97" w:rsidRPr="003475EB">
        <w:rPr>
          <w:rFonts w:ascii="Calibri" w:hAnsi="Calibri" w:cs="Calibri"/>
          <w:color w:val="000000" w:themeColor="text1"/>
          <w:shd w:val="clear" w:color="auto" w:fill="FFFFFF"/>
        </w:rPr>
        <w:t xml:space="preserve"> </w:t>
      </w:r>
      <w:r w:rsidR="00D97116" w:rsidRPr="003475EB">
        <w:rPr>
          <w:rFonts w:ascii="Calibri" w:hAnsi="Calibri" w:cs="Calibri"/>
          <w:color w:val="000000" w:themeColor="text1"/>
          <w:shd w:val="clear" w:color="auto" w:fill="FFFFFF"/>
        </w:rPr>
        <w:t xml:space="preserve">for </w:t>
      </w:r>
      <w:r w:rsidR="00CA7AC5" w:rsidRPr="003475EB">
        <w:rPr>
          <w:rFonts w:ascii="Calibri" w:hAnsi="Calibri" w:cs="Calibri"/>
          <w:color w:val="000000" w:themeColor="text1"/>
          <w:shd w:val="clear" w:color="auto" w:fill="FFFFFF"/>
        </w:rPr>
        <w:t>the analysis of</w:t>
      </w:r>
      <w:r w:rsidR="00D97116" w:rsidRPr="003475EB">
        <w:rPr>
          <w:rFonts w:ascii="Calibri" w:hAnsi="Calibri" w:cs="Calibri"/>
          <w:color w:val="000000" w:themeColor="text1"/>
          <w:shd w:val="clear" w:color="auto" w:fill="FFFFFF"/>
        </w:rPr>
        <w:t xml:space="preserve"> a</w:t>
      </w:r>
      <w:r w:rsidR="00CA7AC5" w:rsidRPr="003475EB">
        <w:rPr>
          <w:rFonts w:ascii="Calibri" w:hAnsi="Calibri" w:cs="Calibri"/>
          <w:color w:val="000000" w:themeColor="text1"/>
          <w:shd w:val="clear" w:color="auto" w:fill="FFFFFF"/>
        </w:rPr>
        <w:t xml:space="preserve"> specific gene mutation</w:t>
      </w:r>
      <w:r w:rsidR="00D97116" w:rsidRPr="003475EB">
        <w:rPr>
          <w:rFonts w:ascii="Calibri" w:hAnsi="Calibri" w:cs="Calibri"/>
          <w:color w:val="000000" w:themeColor="text1"/>
          <w:shd w:val="clear" w:color="auto" w:fill="FFFFFF"/>
        </w:rPr>
        <w:t xml:space="preserve"> </w:t>
      </w:r>
      <w:r w:rsidR="00CA7AC5" w:rsidRPr="003475EB">
        <w:rPr>
          <w:rFonts w:ascii="Calibri" w:hAnsi="Calibri" w:cs="Calibri"/>
          <w:color w:val="000000" w:themeColor="text1"/>
          <w:shd w:val="clear" w:color="auto" w:fill="FFFFFF"/>
        </w:rPr>
        <w:t>in hematopoietic cells</w:t>
      </w:r>
      <w:r w:rsidR="00D97116" w:rsidRPr="003475EB">
        <w:rPr>
          <w:rFonts w:ascii="Calibri" w:hAnsi="Calibri" w:cs="Calibri"/>
          <w:color w:val="000000" w:themeColor="text1"/>
          <w:shd w:val="clear" w:color="auto" w:fill="FFFFFF"/>
        </w:rPr>
        <w:t xml:space="preserve"> </w:t>
      </w:r>
      <w:r w:rsidR="00A54DAB" w:rsidRPr="003475EB">
        <w:rPr>
          <w:rFonts w:ascii="Calibri" w:hAnsi="Calibri" w:cs="Calibri"/>
          <w:color w:val="000000" w:themeColor="text1"/>
          <w:shd w:val="clear" w:color="auto" w:fill="FFFFFF"/>
        </w:rPr>
        <w:t>to assess</w:t>
      </w:r>
      <w:r w:rsidR="00D97116" w:rsidRPr="003475EB">
        <w:rPr>
          <w:rFonts w:ascii="Calibri" w:hAnsi="Calibri" w:cs="Calibri"/>
          <w:color w:val="000000" w:themeColor="text1"/>
          <w:shd w:val="clear" w:color="auto" w:fill="FFFFFF"/>
        </w:rPr>
        <w:t xml:space="preserve"> how it </w:t>
      </w:r>
      <w:r w:rsidR="00CA7AC5" w:rsidRPr="003475EB">
        <w:rPr>
          <w:rFonts w:ascii="Calibri" w:hAnsi="Calibri" w:cs="Calibri"/>
          <w:color w:val="000000" w:themeColor="text1"/>
          <w:shd w:val="clear" w:color="auto" w:fill="FFFFFF"/>
        </w:rPr>
        <w:t>contribute</w:t>
      </w:r>
      <w:r w:rsidR="00015CF2" w:rsidRPr="003475EB">
        <w:rPr>
          <w:rFonts w:ascii="Calibri" w:hAnsi="Calibri" w:cs="Calibri"/>
          <w:color w:val="000000" w:themeColor="text1"/>
          <w:shd w:val="clear" w:color="auto" w:fill="FFFFFF"/>
        </w:rPr>
        <w:t>s</w:t>
      </w:r>
      <w:r w:rsidR="00CA7AC5" w:rsidRPr="003475EB">
        <w:rPr>
          <w:rFonts w:ascii="Calibri" w:hAnsi="Calibri" w:cs="Calibri"/>
          <w:color w:val="000000" w:themeColor="text1"/>
          <w:shd w:val="clear" w:color="auto" w:fill="FFFFFF"/>
        </w:rPr>
        <w:t xml:space="preserve"> </w:t>
      </w:r>
      <w:r w:rsidR="00DB01D9" w:rsidRPr="003475EB">
        <w:rPr>
          <w:rFonts w:ascii="Calibri" w:hAnsi="Calibri" w:cs="Calibri"/>
          <w:color w:val="000000" w:themeColor="text1"/>
          <w:shd w:val="clear" w:color="auto" w:fill="FFFFFF"/>
        </w:rPr>
        <w:t>to</w:t>
      </w:r>
      <w:r w:rsidR="00CA7AC5" w:rsidRPr="003475EB">
        <w:rPr>
          <w:rFonts w:ascii="Calibri" w:hAnsi="Calibri" w:cs="Calibri"/>
          <w:color w:val="000000" w:themeColor="text1"/>
          <w:shd w:val="clear" w:color="auto" w:fill="FFFFFF"/>
        </w:rPr>
        <w:t xml:space="preserve"> disease development. In addition, </w:t>
      </w:r>
      <w:r w:rsidR="00DB01D9" w:rsidRPr="003475EB">
        <w:rPr>
          <w:rFonts w:ascii="Calibri" w:hAnsi="Calibri" w:cs="Calibri"/>
          <w:color w:val="000000" w:themeColor="text1"/>
          <w:shd w:val="clear" w:color="auto" w:fill="FFFFFF"/>
        </w:rPr>
        <w:t xml:space="preserve">these models </w:t>
      </w:r>
      <w:r w:rsidR="00A54DAB" w:rsidRPr="003475EB">
        <w:rPr>
          <w:rFonts w:ascii="Calibri" w:hAnsi="Calibri" w:cs="Calibri"/>
          <w:color w:val="000000" w:themeColor="text1"/>
          <w:shd w:val="clear" w:color="auto" w:fill="FFFFFF"/>
        </w:rPr>
        <w:t xml:space="preserve">often </w:t>
      </w:r>
      <w:r w:rsidR="00DB01D9" w:rsidRPr="003475EB">
        <w:rPr>
          <w:rFonts w:ascii="Calibri" w:hAnsi="Calibri" w:cs="Calibri"/>
          <w:color w:val="000000" w:themeColor="text1"/>
          <w:shd w:val="clear" w:color="auto" w:fill="FFFFFF"/>
        </w:rPr>
        <w:t>employ congenic or reporter</w:t>
      </w:r>
      <w:r w:rsidR="00D97116" w:rsidRPr="003475EB">
        <w:rPr>
          <w:rFonts w:ascii="Calibri" w:hAnsi="Calibri" w:cs="Calibri"/>
          <w:color w:val="000000" w:themeColor="text1"/>
          <w:shd w:val="clear" w:color="auto" w:fill="FFFFFF"/>
        </w:rPr>
        <w:t xml:space="preserve"> cells</w:t>
      </w:r>
      <w:r w:rsidR="00DB01D9" w:rsidRPr="003475EB">
        <w:rPr>
          <w:rFonts w:ascii="Calibri" w:hAnsi="Calibri" w:cs="Calibri"/>
          <w:color w:val="000000" w:themeColor="text1"/>
          <w:shd w:val="clear" w:color="auto" w:fill="FFFFFF"/>
        </w:rPr>
        <w:t xml:space="preserve"> to </w:t>
      </w:r>
      <w:r w:rsidR="00CA7AC5" w:rsidRPr="003475EB">
        <w:rPr>
          <w:rFonts w:ascii="Calibri" w:hAnsi="Calibri" w:cs="Calibri"/>
          <w:color w:val="000000" w:themeColor="text1"/>
          <w:shd w:val="clear" w:color="auto" w:fill="FFFFFF"/>
        </w:rPr>
        <w:t>distinguish</w:t>
      </w:r>
      <w:r w:rsidR="00DB01D9" w:rsidRPr="003475EB">
        <w:rPr>
          <w:rFonts w:ascii="Calibri" w:hAnsi="Calibri" w:cs="Calibri"/>
          <w:color w:val="000000" w:themeColor="text1"/>
          <w:shd w:val="clear" w:color="auto" w:fill="FFFFFF"/>
        </w:rPr>
        <w:t xml:space="preserve"> </w:t>
      </w:r>
      <w:r w:rsidR="00CA7AC5" w:rsidRPr="003475EB">
        <w:rPr>
          <w:rFonts w:ascii="Calibri" w:hAnsi="Calibri" w:cs="Calibri"/>
          <w:color w:val="000000" w:themeColor="text1"/>
          <w:shd w:val="clear" w:color="auto" w:fill="FFFFFF"/>
        </w:rPr>
        <w:t xml:space="preserve">the effects </w:t>
      </w:r>
      <w:r w:rsidR="00015CF2" w:rsidRPr="003475EB">
        <w:rPr>
          <w:rFonts w:ascii="Calibri" w:hAnsi="Calibri" w:cs="Calibri"/>
          <w:color w:val="000000" w:themeColor="text1"/>
          <w:shd w:val="clear" w:color="auto" w:fill="FFFFFF"/>
        </w:rPr>
        <w:t>of</w:t>
      </w:r>
      <w:r w:rsidR="00015CF2" w:rsidRPr="00BE2A2E">
        <w:rPr>
          <w:rFonts w:ascii="Calibri" w:hAnsi="Calibri" w:cs="Calibri"/>
          <w:iCs/>
          <w:color w:val="000000" w:themeColor="text1"/>
          <w:shd w:val="clear" w:color="auto" w:fill="FFFFFF"/>
        </w:rPr>
        <w:t xml:space="preserve"> mutant</w:t>
      </w:r>
      <w:r w:rsidR="00015CF2" w:rsidRPr="00BE2A2E">
        <w:rPr>
          <w:rFonts w:ascii="Calibri" w:hAnsi="Calibri" w:cs="Calibri"/>
          <w:color w:val="000000" w:themeColor="text1"/>
          <w:shd w:val="clear" w:color="auto" w:fill="FFFFFF"/>
        </w:rPr>
        <w:t xml:space="preserve"> </w:t>
      </w:r>
      <w:r w:rsidR="00015CF2" w:rsidRPr="003475EB">
        <w:rPr>
          <w:rFonts w:ascii="Calibri" w:hAnsi="Calibri" w:cs="Calibri"/>
          <w:color w:val="000000" w:themeColor="text1"/>
          <w:shd w:val="clear" w:color="auto" w:fill="FFFFFF"/>
        </w:rPr>
        <w:t>cells</w:t>
      </w:r>
      <w:r w:rsidR="00CA7AC5" w:rsidRPr="003475EB">
        <w:rPr>
          <w:rFonts w:ascii="Calibri" w:hAnsi="Calibri" w:cs="Calibri"/>
          <w:color w:val="000000" w:themeColor="text1"/>
          <w:shd w:val="clear" w:color="auto" w:fill="FFFFFF"/>
        </w:rPr>
        <w:t xml:space="preserve"> </w:t>
      </w:r>
      <w:r w:rsidR="00015CF2" w:rsidRPr="003475EB">
        <w:rPr>
          <w:rFonts w:ascii="Calibri" w:hAnsi="Calibri" w:cs="Calibri"/>
          <w:color w:val="000000" w:themeColor="text1"/>
          <w:shd w:val="clear" w:color="auto" w:fill="FFFFFF"/>
        </w:rPr>
        <w:t xml:space="preserve">from normal or </w:t>
      </w:r>
      <w:r w:rsidR="00015CF2" w:rsidRPr="00BE2A2E">
        <w:rPr>
          <w:rFonts w:ascii="Calibri" w:hAnsi="Calibri" w:cs="Calibri"/>
          <w:iCs/>
          <w:color w:val="000000" w:themeColor="text1"/>
          <w:shd w:val="clear" w:color="auto" w:fill="FFFFFF"/>
        </w:rPr>
        <w:t>wild</w:t>
      </w:r>
      <w:r w:rsidR="00942D5C" w:rsidRPr="00BE2A2E">
        <w:rPr>
          <w:rFonts w:ascii="Calibri" w:hAnsi="Calibri" w:cs="Calibri"/>
          <w:iCs/>
          <w:color w:val="000000" w:themeColor="text1"/>
          <w:shd w:val="clear" w:color="auto" w:fill="FFFFFF"/>
        </w:rPr>
        <w:t>-</w:t>
      </w:r>
      <w:r w:rsidR="00015CF2" w:rsidRPr="00BE2A2E">
        <w:rPr>
          <w:rFonts w:ascii="Calibri" w:hAnsi="Calibri" w:cs="Calibri"/>
          <w:iCs/>
          <w:color w:val="000000" w:themeColor="text1"/>
          <w:shd w:val="clear" w:color="auto" w:fill="FFFFFF"/>
        </w:rPr>
        <w:t>type</w:t>
      </w:r>
      <w:r w:rsidR="00015CF2" w:rsidRPr="00BE2A2E">
        <w:rPr>
          <w:rFonts w:ascii="Calibri" w:hAnsi="Calibri" w:cs="Calibri"/>
          <w:color w:val="000000" w:themeColor="text1"/>
          <w:shd w:val="clear" w:color="auto" w:fill="FFFFFF"/>
        </w:rPr>
        <w:t xml:space="preserve"> </w:t>
      </w:r>
      <w:r w:rsidR="00015CF2" w:rsidRPr="003475EB">
        <w:rPr>
          <w:rFonts w:ascii="Calibri" w:hAnsi="Calibri" w:cs="Calibri"/>
          <w:color w:val="000000" w:themeColor="text1"/>
          <w:shd w:val="clear" w:color="auto" w:fill="FFFFFF"/>
        </w:rPr>
        <w:t>cells</w:t>
      </w:r>
      <w:r w:rsidR="00CA7AC5" w:rsidRPr="003475EB">
        <w:rPr>
          <w:rFonts w:ascii="Calibri" w:hAnsi="Calibri" w:cs="Calibri"/>
          <w:color w:val="000000" w:themeColor="text1"/>
          <w:shd w:val="clear" w:color="auto" w:fill="FFFFFF"/>
        </w:rPr>
        <w:t>.</w:t>
      </w:r>
      <w:r w:rsidR="00C12C76" w:rsidRPr="003475EB">
        <w:rPr>
          <w:rFonts w:ascii="Calibri" w:hAnsi="Calibri" w:cs="Calibri"/>
          <w:color w:val="000000" w:themeColor="text1"/>
          <w:shd w:val="clear" w:color="auto" w:fill="FFFFFF"/>
        </w:rPr>
        <w:t xml:space="preserve"> </w:t>
      </w:r>
      <w:r w:rsidR="0019352E" w:rsidRPr="003475EB">
        <w:rPr>
          <w:rFonts w:ascii="Calibri" w:hAnsi="Calibri" w:cs="Calibri"/>
          <w:color w:val="000000" w:themeColor="text1"/>
          <w:shd w:val="clear" w:color="auto" w:fill="FFFFFF"/>
        </w:rPr>
        <w:t>In many cases</w:t>
      </w:r>
      <w:r w:rsidR="00844A9D" w:rsidRPr="003475EB">
        <w:rPr>
          <w:rFonts w:ascii="Calibri" w:hAnsi="Calibri" w:cs="Calibri"/>
          <w:color w:val="000000" w:themeColor="text1"/>
          <w:shd w:val="clear" w:color="auto" w:fill="FFFFFF"/>
        </w:rPr>
        <w:t>,</w:t>
      </w:r>
      <w:r w:rsidR="00942D5C" w:rsidRPr="003475EB">
        <w:rPr>
          <w:rFonts w:ascii="Calibri" w:hAnsi="Calibri" w:cs="Calibri"/>
          <w:color w:val="000000" w:themeColor="text1"/>
          <w:shd w:val="clear" w:color="auto" w:fill="FFFFFF"/>
        </w:rPr>
        <w:t xml:space="preserve"> a pre</w:t>
      </w:r>
      <w:r w:rsidR="00A50900" w:rsidRPr="003475EB">
        <w:rPr>
          <w:rFonts w:ascii="Calibri" w:eastAsia="MS Mincho" w:hAnsi="Calibri" w:cs="Calibri"/>
          <w:color w:val="000000" w:themeColor="text1"/>
          <w:shd w:val="clear" w:color="auto" w:fill="FFFFFF"/>
          <w:lang w:eastAsia="ja-JP"/>
        </w:rPr>
        <w:t>-</w:t>
      </w:r>
      <w:r w:rsidR="00942D5C" w:rsidRPr="003475EB">
        <w:rPr>
          <w:rFonts w:ascii="Calibri" w:hAnsi="Calibri" w:cs="Calibri"/>
          <w:color w:val="000000" w:themeColor="text1"/>
          <w:shd w:val="clear" w:color="auto" w:fill="FFFFFF"/>
          <w:lang w:eastAsia="ja-JP"/>
        </w:rPr>
        <w:t>c</w:t>
      </w:r>
      <w:r w:rsidR="00942D5C" w:rsidRPr="003475EB">
        <w:rPr>
          <w:rFonts w:ascii="Calibri" w:hAnsi="Calibri" w:cs="Calibri"/>
          <w:color w:val="000000" w:themeColor="text1"/>
          <w:shd w:val="clear" w:color="auto" w:fill="FFFFFF"/>
        </w:rPr>
        <w:t>onditioning regimen is required</w:t>
      </w:r>
      <w:r w:rsidR="00015CF2" w:rsidRPr="003475EB">
        <w:rPr>
          <w:rFonts w:ascii="Calibri" w:hAnsi="Calibri" w:cs="Calibri"/>
          <w:color w:val="000000" w:themeColor="text1"/>
          <w:shd w:val="clear" w:color="auto" w:fill="FFFFFF"/>
        </w:rPr>
        <w:t xml:space="preserve"> to successfully engraft donor hematopoietic stem cells</w:t>
      </w:r>
      <w:r w:rsidR="00942D5C" w:rsidRPr="003475EB">
        <w:rPr>
          <w:rFonts w:ascii="Calibri" w:hAnsi="Calibri" w:cs="Calibri"/>
          <w:color w:val="000000" w:themeColor="text1"/>
          <w:shd w:val="clear" w:color="auto" w:fill="FFFFFF"/>
        </w:rPr>
        <w:t>.</w:t>
      </w:r>
    </w:p>
    <w:p w14:paraId="4EFF90C8" w14:textId="77777777" w:rsidR="00A16CBB" w:rsidRDefault="00A16CBB" w:rsidP="000C770D">
      <w:pPr>
        <w:jc w:val="both"/>
        <w:rPr>
          <w:rFonts w:ascii="Calibri" w:hAnsi="Calibri" w:cs="Calibri"/>
          <w:color w:val="000000" w:themeColor="text1"/>
          <w:shd w:val="clear" w:color="auto" w:fill="FFFFFF"/>
        </w:rPr>
      </w:pPr>
    </w:p>
    <w:p w14:paraId="76476A91" w14:textId="782C9E29" w:rsidR="00144D12" w:rsidRPr="003475EB" w:rsidRDefault="004E37E3" w:rsidP="000C770D">
      <w:pPr>
        <w:jc w:val="both"/>
        <w:rPr>
          <w:rFonts w:ascii="Calibri" w:hAnsi="Calibri" w:cs="Calibri"/>
          <w:color w:val="000000" w:themeColor="text1"/>
          <w:shd w:val="clear" w:color="auto" w:fill="FFFFFF"/>
        </w:rPr>
      </w:pPr>
      <w:r w:rsidRPr="003475EB">
        <w:rPr>
          <w:rFonts w:ascii="Calibri" w:hAnsi="Calibri" w:cs="Calibri"/>
          <w:color w:val="000000" w:themeColor="text1"/>
          <w:shd w:val="clear" w:color="auto" w:fill="FFFFFF"/>
        </w:rPr>
        <w:lastRenderedPageBreak/>
        <w:t>Currently</w:t>
      </w:r>
      <w:r w:rsidR="00D15EF8" w:rsidRPr="003475EB">
        <w:rPr>
          <w:rFonts w:ascii="Calibri" w:hAnsi="Calibri" w:cs="Calibri"/>
          <w:color w:val="000000" w:themeColor="text1"/>
          <w:shd w:val="clear" w:color="auto" w:fill="FFFFFF"/>
        </w:rPr>
        <w:t xml:space="preserve">, </w:t>
      </w:r>
      <w:r w:rsidR="00675D19" w:rsidRPr="003475EB">
        <w:rPr>
          <w:rFonts w:ascii="Calibri" w:hAnsi="Calibri" w:cs="Calibri"/>
          <w:color w:val="000000" w:themeColor="text1"/>
          <w:shd w:val="clear" w:color="auto" w:fill="FFFFFF"/>
        </w:rPr>
        <w:t xml:space="preserve">the </w:t>
      </w:r>
      <w:r w:rsidR="005D3539" w:rsidRPr="003475EB">
        <w:rPr>
          <w:rFonts w:ascii="Calibri" w:hAnsi="Calibri" w:cs="Calibri"/>
          <w:color w:val="000000" w:themeColor="text1"/>
          <w:shd w:val="clear" w:color="auto" w:fill="FFFFFF"/>
        </w:rPr>
        <w:t>transplantation of bone marrow to</w:t>
      </w:r>
      <w:r w:rsidR="00D15EF8" w:rsidRPr="003475EB">
        <w:rPr>
          <w:rFonts w:ascii="Calibri" w:hAnsi="Calibri" w:cs="Calibri"/>
          <w:color w:val="000000" w:themeColor="text1"/>
          <w:shd w:val="clear" w:color="auto" w:fill="FFFFFF"/>
        </w:rPr>
        <w:t xml:space="preserve"> recipient </w:t>
      </w:r>
      <w:r w:rsidR="005D3539" w:rsidRPr="003475EB">
        <w:rPr>
          <w:rFonts w:ascii="Calibri" w:hAnsi="Calibri" w:cs="Calibri"/>
          <w:color w:val="000000" w:themeColor="text1"/>
          <w:shd w:val="clear" w:color="auto" w:fill="FFFFFF"/>
        </w:rPr>
        <w:t xml:space="preserve">mice </w:t>
      </w:r>
      <w:r w:rsidR="00D15EF8" w:rsidRPr="003475EB">
        <w:rPr>
          <w:rFonts w:ascii="Calibri" w:hAnsi="Calibri" w:cs="Calibri"/>
          <w:color w:val="000000" w:themeColor="text1"/>
          <w:shd w:val="clear" w:color="auto" w:fill="FFFFFF"/>
        </w:rPr>
        <w:t xml:space="preserve">can be divided into two main categories: </w:t>
      </w:r>
      <w:r w:rsidR="003C41FB" w:rsidRPr="003475EB">
        <w:rPr>
          <w:rFonts w:ascii="Calibri" w:hAnsi="Calibri" w:cs="Calibri"/>
          <w:color w:val="000000" w:themeColor="text1"/>
          <w:shd w:val="clear" w:color="auto" w:fill="FFFFFF"/>
        </w:rPr>
        <w:t>1)</w:t>
      </w:r>
      <w:r w:rsidR="00EB6870" w:rsidRPr="003475EB">
        <w:rPr>
          <w:rFonts w:ascii="Calibri" w:hAnsi="Calibri" w:cs="Calibri"/>
          <w:color w:val="000000" w:themeColor="text1"/>
          <w:shd w:val="clear" w:color="auto" w:fill="FFFFFF"/>
        </w:rPr>
        <w:t xml:space="preserve"> </w:t>
      </w:r>
      <w:r w:rsidR="00D15EF8" w:rsidRPr="003475EB">
        <w:rPr>
          <w:rFonts w:ascii="Calibri" w:hAnsi="Calibri" w:cs="Calibri"/>
          <w:color w:val="000000" w:themeColor="text1"/>
          <w:shd w:val="clear" w:color="auto" w:fill="FFFFFF"/>
        </w:rPr>
        <w:t xml:space="preserve">myeloablative conditioning and </w:t>
      </w:r>
      <w:r w:rsidR="003C41FB" w:rsidRPr="003475EB">
        <w:rPr>
          <w:rFonts w:ascii="Calibri" w:hAnsi="Calibri" w:cs="Calibri"/>
          <w:color w:val="000000" w:themeColor="text1"/>
          <w:shd w:val="clear" w:color="auto" w:fill="FFFFFF"/>
        </w:rPr>
        <w:t xml:space="preserve">2) </w:t>
      </w:r>
      <w:r w:rsidR="00D15EF8" w:rsidRPr="003475EB">
        <w:rPr>
          <w:rFonts w:ascii="Calibri" w:hAnsi="Calibri" w:cs="Calibri"/>
          <w:color w:val="000000" w:themeColor="text1"/>
          <w:shd w:val="clear" w:color="auto" w:fill="FFFFFF"/>
        </w:rPr>
        <w:t>non-</w:t>
      </w:r>
      <w:r w:rsidR="005D3539" w:rsidRPr="003475EB">
        <w:rPr>
          <w:rFonts w:ascii="Calibri" w:hAnsi="Calibri" w:cs="Calibri"/>
          <w:color w:val="000000" w:themeColor="text1"/>
          <w:shd w:val="clear" w:color="auto" w:fill="FFFFFF"/>
        </w:rPr>
        <w:t>conditioned transplantation</w:t>
      </w:r>
      <w:r w:rsidR="00A36D2F" w:rsidRPr="003475EB">
        <w:rPr>
          <w:rFonts w:ascii="Calibri" w:hAnsi="Calibri" w:cs="Calibri"/>
          <w:color w:val="000000" w:themeColor="text1"/>
          <w:shd w:val="clear" w:color="auto" w:fill="FFFFFF"/>
        </w:rPr>
        <w:t>. M</w:t>
      </w:r>
      <w:r w:rsidR="00624ECD" w:rsidRPr="003475EB">
        <w:rPr>
          <w:rFonts w:ascii="Calibri" w:hAnsi="Calibri" w:cs="Calibri"/>
          <w:color w:val="000000" w:themeColor="text1"/>
          <w:shd w:val="clear" w:color="auto" w:fill="FFFFFF"/>
        </w:rPr>
        <w:t>yeloablative conditioning can</w:t>
      </w:r>
      <w:r w:rsidR="00262D27" w:rsidRPr="003475EB">
        <w:rPr>
          <w:rFonts w:ascii="Calibri" w:hAnsi="Calibri" w:cs="Calibri"/>
          <w:color w:val="000000" w:themeColor="text1"/>
          <w:shd w:val="clear" w:color="auto" w:fill="FFFFFF"/>
        </w:rPr>
        <w:t xml:space="preserve"> be</w:t>
      </w:r>
      <w:r w:rsidR="00DB01D9" w:rsidRPr="003475EB">
        <w:rPr>
          <w:rFonts w:ascii="Calibri" w:hAnsi="Calibri" w:cs="Calibri"/>
          <w:color w:val="000000" w:themeColor="text1"/>
          <w:shd w:val="clear" w:color="auto" w:fill="FFFFFF"/>
        </w:rPr>
        <w:t xml:space="preserve"> </w:t>
      </w:r>
      <w:r w:rsidR="00D251AB" w:rsidRPr="003475EB">
        <w:rPr>
          <w:rFonts w:ascii="Calibri" w:hAnsi="Calibri" w:cs="Calibri"/>
          <w:color w:val="000000" w:themeColor="text1"/>
          <w:shd w:val="clear" w:color="auto" w:fill="FFFFFF"/>
        </w:rPr>
        <w:t>achieved by one of two methods</w:t>
      </w:r>
      <w:r w:rsidR="00E94ED6">
        <w:rPr>
          <w:rFonts w:ascii="Calibri" w:hAnsi="Calibri" w:cs="Calibri"/>
          <w:color w:val="000000" w:themeColor="text1"/>
          <w:shd w:val="clear" w:color="auto" w:fill="FFFFFF"/>
        </w:rPr>
        <w:t>,</w:t>
      </w:r>
      <w:r w:rsidR="00D251AB" w:rsidRPr="003475EB">
        <w:rPr>
          <w:rFonts w:ascii="Calibri" w:hAnsi="Calibri" w:cs="Calibri"/>
          <w:color w:val="000000" w:themeColor="text1"/>
          <w:shd w:val="clear" w:color="auto" w:fill="FFFFFF"/>
        </w:rPr>
        <w:t xml:space="preserve"> </w:t>
      </w:r>
      <w:r w:rsidR="000A6DC2" w:rsidRPr="003475EB">
        <w:rPr>
          <w:rFonts w:ascii="Calibri" w:hAnsi="Calibri" w:cs="Calibri"/>
          <w:color w:val="000000" w:themeColor="text1"/>
          <w:shd w:val="clear" w:color="auto" w:fill="FFFFFF"/>
        </w:rPr>
        <w:t xml:space="preserve">namely, </w:t>
      </w:r>
      <w:r w:rsidR="00262D27" w:rsidRPr="003475EB">
        <w:rPr>
          <w:rFonts w:ascii="Calibri" w:hAnsi="Calibri" w:cs="Calibri"/>
          <w:color w:val="000000" w:themeColor="text1"/>
          <w:shd w:val="clear" w:color="auto" w:fill="FFFFFF"/>
        </w:rPr>
        <w:t>t</w:t>
      </w:r>
      <w:r w:rsidR="00015CF2" w:rsidRPr="003475EB">
        <w:rPr>
          <w:rFonts w:ascii="Calibri" w:hAnsi="Calibri" w:cs="Calibri"/>
          <w:color w:val="000000" w:themeColor="text1"/>
          <w:shd w:val="clear" w:color="auto" w:fill="FFFFFF"/>
        </w:rPr>
        <w:t>otal body irradiation (</w:t>
      </w:r>
      <w:r w:rsidR="00083B97" w:rsidRPr="003475EB">
        <w:rPr>
          <w:rFonts w:ascii="Calibri" w:hAnsi="Calibri" w:cs="Calibri"/>
          <w:color w:val="000000" w:themeColor="text1"/>
          <w:shd w:val="clear" w:color="auto" w:fill="FFFFFF"/>
        </w:rPr>
        <w:t>TBI</w:t>
      </w:r>
      <w:r w:rsidR="00015CF2" w:rsidRPr="003475EB">
        <w:rPr>
          <w:rFonts w:ascii="Calibri" w:hAnsi="Calibri" w:cs="Calibri"/>
          <w:color w:val="000000" w:themeColor="text1"/>
          <w:shd w:val="clear" w:color="auto" w:fill="FFFFFF"/>
        </w:rPr>
        <w:t>)</w:t>
      </w:r>
      <w:r w:rsidR="00C5489B" w:rsidRPr="003475EB">
        <w:rPr>
          <w:rFonts w:ascii="Calibri" w:hAnsi="Calibri" w:cs="Calibri"/>
          <w:color w:val="000000" w:themeColor="text1"/>
          <w:shd w:val="clear" w:color="auto" w:fill="FFFFFF"/>
        </w:rPr>
        <w:t xml:space="preserve"> </w:t>
      </w:r>
      <w:r w:rsidR="00D251AB" w:rsidRPr="003475EB">
        <w:rPr>
          <w:rFonts w:ascii="Calibri" w:hAnsi="Calibri" w:cs="Calibri"/>
          <w:color w:val="000000" w:themeColor="text1"/>
          <w:shd w:val="clear" w:color="auto" w:fill="FFFFFF"/>
        </w:rPr>
        <w:t>or</w:t>
      </w:r>
      <w:r w:rsidR="003C41FB" w:rsidRPr="003475EB">
        <w:rPr>
          <w:rFonts w:ascii="Calibri" w:hAnsi="Calibri" w:cs="Calibri"/>
          <w:color w:val="000000" w:themeColor="text1"/>
          <w:shd w:val="clear" w:color="auto" w:fill="FFFFFF"/>
        </w:rPr>
        <w:t xml:space="preserve"> </w:t>
      </w:r>
      <w:r w:rsidR="00624ECD" w:rsidRPr="003475EB">
        <w:rPr>
          <w:rFonts w:ascii="Calibri" w:hAnsi="Calibri" w:cs="Calibri"/>
          <w:color w:val="000000" w:themeColor="text1"/>
          <w:shd w:val="clear" w:color="auto" w:fill="FFFFFF"/>
        </w:rPr>
        <w:t>chemotherapy</w:t>
      </w:r>
      <w:r w:rsidR="00803878" w:rsidRPr="003475EB">
        <w:rPr>
          <w:rFonts w:ascii="Calibri" w:hAnsi="Calibri" w:cs="Calibri"/>
          <w:color w:val="000000" w:themeColor="text1"/>
          <w:shd w:val="clear" w:color="auto" w:fill="FFFFFF"/>
          <w:vertAlign w:val="superscript"/>
        </w:rPr>
        <w:t>15</w:t>
      </w:r>
      <w:r w:rsidR="00624ECD" w:rsidRPr="003475EB">
        <w:rPr>
          <w:rFonts w:ascii="Calibri" w:hAnsi="Calibri" w:cs="Calibri"/>
          <w:color w:val="000000" w:themeColor="text1"/>
          <w:shd w:val="clear" w:color="auto" w:fill="FFFFFF"/>
        </w:rPr>
        <w:t>.</w:t>
      </w:r>
      <w:r w:rsidR="00F57074" w:rsidRPr="00120F94">
        <w:rPr>
          <w:rFonts w:ascii="Calibri" w:hAnsi="Calibri" w:cs="Calibri"/>
          <w:color w:val="000000" w:themeColor="text1"/>
          <w:shd w:val="clear" w:color="auto" w:fill="FFFFFF"/>
        </w:rPr>
        <w:t xml:space="preserve"> </w:t>
      </w:r>
      <w:r w:rsidR="00083B97" w:rsidRPr="003475EB">
        <w:rPr>
          <w:rFonts w:ascii="Calibri" w:hAnsi="Calibri" w:cs="Calibri"/>
          <w:color w:val="000000" w:themeColor="text1"/>
          <w:shd w:val="clear" w:color="auto" w:fill="FFFFFF"/>
        </w:rPr>
        <w:t>TBI</w:t>
      </w:r>
      <w:r w:rsidR="000F74DE" w:rsidRPr="003475EB">
        <w:rPr>
          <w:rFonts w:ascii="Calibri" w:hAnsi="Calibri" w:cs="Calibri"/>
          <w:color w:val="000000" w:themeColor="text1"/>
          <w:shd w:val="clear" w:color="auto" w:fill="FFFFFF"/>
        </w:rPr>
        <w:t xml:space="preserve"> is</w:t>
      </w:r>
      <w:r w:rsidR="00D15EF8" w:rsidRPr="003475EB">
        <w:rPr>
          <w:rFonts w:ascii="Calibri" w:hAnsi="Calibri" w:cs="Calibri"/>
          <w:color w:val="000000" w:themeColor="text1"/>
          <w:shd w:val="clear" w:color="auto" w:fill="FFFFFF"/>
        </w:rPr>
        <w:t xml:space="preserve"> carried out by </w:t>
      </w:r>
      <w:r w:rsidR="000F74DE" w:rsidRPr="003475EB">
        <w:rPr>
          <w:rFonts w:ascii="Calibri" w:hAnsi="Calibri" w:cs="Calibri"/>
          <w:color w:val="000000" w:themeColor="text1"/>
          <w:shd w:val="clear" w:color="auto" w:fill="FFFFFF"/>
        </w:rPr>
        <w:t>subjecting</w:t>
      </w:r>
      <w:r w:rsidR="00D15EF8" w:rsidRPr="003475EB">
        <w:rPr>
          <w:rFonts w:ascii="Calibri" w:hAnsi="Calibri" w:cs="Calibri"/>
          <w:color w:val="000000" w:themeColor="text1"/>
          <w:shd w:val="clear" w:color="auto" w:fill="FFFFFF"/>
        </w:rPr>
        <w:t xml:space="preserve"> </w:t>
      </w:r>
      <w:r w:rsidR="00DB01D9" w:rsidRPr="003475EB">
        <w:rPr>
          <w:rFonts w:ascii="Calibri" w:hAnsi="Calibri" w:cs="Calibri"/>
          <w:color w:val="000000" w:themeColor="text1"/>
          <w:shd w:val="clear" w:color="auto" w:fill="FFFFFF"/>
        </w:rPr>
        <w:t xml:space="preserve">the recipient to a </w:t>
      </w:r>
      <w:r w:rsidR="00D15EF8" w:rsidRPr="003475EB">
        <w:rPr>
          <w:rFonts w:ascii="Calibri" w:hAnsi="Calibri" w:cs="Calibri"/>
          <w:color w:val="000000" w:themeColor="text1"/>
          <w:shd w:val="clear" w:color="auto" w:fill="FFFFFF"/>
        </w:rPr>
        <w:t>lethal dose of gamma or X-ray irradiation</w:t>
      </w:r>
      <w:r w:rsidR="00DB01D9" w:rsidRPr="003475EB">
        <w:rPr>
          <w:rFonts w:ascii="Calibri" w:hAnsi="Calibri" w:cs="Calibri"/>
          <w:color w:val="000000" w:themeColor="text1"/>
          <w:shd w:val="clear" w:color="auto" w:fill="FFFFFF"/>
        </w:rPr>
        <w:t>, generating DNA breaks</w:t>
      </w:r>
      <w:r w:rsidR="00D15EF8" w:rsidRPr="003475EB">
        <w:rPr>
          <w:rFonts w:ascii="Calibri" w:hAnsi="Calibri" w:cs="Calibri"/>
          <w:color w:val="000000" w:themeColor="text1"/>
          <w:shd w:val="clear" w:color="auto" w:fill="FFFFFF"/>
        </w:rPr>
        <w:t xml:space="preserve"> or cross-links </w:t>
      </w:r>
      <w:r w:rsidR="00D251AB" w:rsidRPr="003475EB">
        <w:rPr>
          <w:rFonts w:ascii="Calibri" w:hAnsi="Calibri" w:cs="Calibri"/>
          <w:color w:val="000000" w:themeColor="text1"/>
          <w:shd w:val="clear" w:color="auto" w:fill="FFFFFF"/>
        </w:rPr>
        <w:t>within rapidly dividing cell</w:t>
      </w:r>
      <w:r w:rsidR="000A6DC2" w:rsidRPr="003475EB">
        <w:rPr>
          <w:rFonts w:ascii="Calibri" w:hAnsi="Calibri" w:cs="Calibri"/>
          <w:color w:val="000000" w:themeColor="text1"/>
          <w:shd w:val="clear" w:color="auto" w:fill="FFFFFF"/>
        </w:rPr>
        <w:t>s,</w:t>
      </w:r>
      <w:r w:rsidR="00D251AB" w:rsidRPr="003475EB">
        <w:rPr>
          <w:rFonts w:ascii="Calibri" w:hAnsi="Calibri" w:cs="Calibri"/>
          <w:color w:val="000000" w:themeColor="text1"/>
          <w:shd w:val="clear" w:color="auto" w:fill="FFFFFF"/>
        </w:rPr>
        <w:t xml:space="preserve"> rendering them</w:t>
      </w:r>
      <w:r w:rsidR="00D15EF8" w:rsidRPr="003475EB">
        <w:rPr>
          <w:rFonts w:ascii="Calibri" w:hAnsi="Calibri" w:cs="Calibri"/>
          <w:color w:val="000000" w:themeColor="text1"/>
          <w:shd w:val="clear" w:color="auto" w:fill="FFFFFF"/>
        </w:rPr>
        <w:t xml:space="preserve"> </w:t>
      </w:r>
      <w:r w:rsidR="00D251AB" w:rsidRPr="003475EB">
        <w:rPr>
          <w:rFonts w:ascii="Calibri" w:hAnsi="Calibri" w:cs="Calibri"/>
          <w:color w:val="000000" w:themeColor="text1"/>
          <w:shd w:val="clear" w:color="auto" w:fill="FFFFFF"/>
        </w:rPr>
        <w:t>irreparable</w:t>
      </w:r>
      <w:r w:rsidR="00803878" w:rsidRPr="003475EB">
        <w:rPr>
          <w:rFonts w:ascii="Calibri" w:hAnsi="Calibri" w:cs="Calibri"/>
          <w:color w:val="000000" w:themeColor="text1"/>
          <w:shd w:val="clear" w:color="auto" w:fill="FFFFFF"/>
        </w:rPr>
        <w:fldChar w:fldCharType="begin"/>
      </w:r>
      <w:r w:rsidR="00803878" w:rsidRPr="003475EB">
        <w:rPr>
          <w:rFonts w:ascii="Calibri" w:hAnsi="Calibri" w:cs="Calibri"/>
          <w:color w:val="000000" w:themeColor="text1"/>
          <w:shd w:val="clear" w:color="auto" w:fill="FFFFFF"/>
        </w:rPr>
        <w:instrText xml:space="preserve"> ADDIN ZOTERO_ITEM CSL_CITATION {"citationID":"tarpHsBn","properties":{"formattedCitation":"\\super 15, 16\\nosupersub{}","plainCitation":"15, 16","dontUpdate":true,"noteIndex":0},"citationItems":[{"id":"4DUAICfJ/MeFugNcC","uris":["http://zotero.org/users/local/93ftlI2G/items/BCM93MZD"],"uri":["http://zotero.org/users/local/93ftlI2G/items/BCM93MZD"],"itemData":{"id":"TguNJsPP/EDFz9E3W","type":"article-journal","container-title":"Journal of the American Association for Laboratory Animal Science","issue":"1","language":"en","page":"12","source":"Zotero","title":"Principles of Bone Marrow Transplantation (BMT): Providing Optimal Veterinary and Husbandry Care to Irradiated Mice in BMT Studies","volume":"48","author":[{"family":"Duran-Struuck","given":"Raimon"},{"family":"Dysko","given":"Robert C"}],"issued":{"date-parts":[["2009"]]}}},{"id":35,"uris":["http://zotero.org/users/local/r2R059Ry/items/GWR6SP64"],"uri":["http://zotero.org/users/local/r2R059Ry/items/GWR6SP64"],"itemData":{"id":35,"type":"article-journal","abstract":"Abstract\n            An essential component of allogeneic and autologous hematopoietic cell transplantation (HCT) is the conditioning regimen administered before the hematopoietic cell infusion. Early regimens relied on dose intensity, assuming that high-dose chemoradiotherapy would eliminate malignant disease and reinfusion of the graft would then restore hematopoiesis. However, as the contribution of graft-versus-tumor effects to the success of allogeneic HCT was recognized over time, in an effort to exploit these, many investigators lowered the dose of radiation and chemotherapeutic agents in the preparative regimen. This resulted in a major paradigm shift, and consequently, the pool of eligible patients underwent a remarkable expansion. In this article, we provide a review of the definition of high-dose, reduced-intensity, and nonmyeloablative conditioning regimens, the most commonly used agents and combinations, and the evolution of some early regimens. We also provide a brief review of the toxicities associated with these regimens.","container-title":"Blood","DOI":"10.1182/blood-2014-02-514778","ISSN":"0006-4971, 1528-0020","issue":"3","language":"en","page":"344-353","source":"DOI.org (Crossref)","title":"Conditioning regimens for hematopoietic cell transplantation: one size does not fit all","title-short":"Conditioning regimens for hematopoietic cell transplantation","volume":"124","author":[{"family":"Gyurkocza","given":"Boglarka"},{"family":"Sandmaier","given":"Brenda M."}],"issued":{"date-parts":[["2014",7,17]]}}}],"schema":"https://github.com/citation-style-language/schema/raw/master/csl-citation.json"} </w:instrText>
      </w:r>
      <w:r w:rsidR="00803878" w:rsidRPr="003475EB">
        <w:rPr>
          <w:rFonts w:ascii="Calibri" w:hAnsi="Calibri" w:cs="Calibri"/>
          <w:color w:val="000000" w:themeColor="text1"/>
          <w:shd w:val="clear" w:color="auto" w:fill="FFFFFF"/>
        </w:rPr>
        <w:fldChar w:fldCharType="separate"/>
      </w:r>
      <w:r w:rsidR="00803878" w:rsidRPr="003475EB">
        <w:rPr>
          <w:rFonts w:ascii="Calibri" w:hAnsi="Calibri" w:cs="Calibri"/>
          <w:color w:val="000000" w:themeColor="text1"/>
          <w:vertAlign w:val="superscript"/>
        </w:rPr>
        <w:t>16</w:t>
      </w:r>
      <w:r w:rsidR="00803878" w:rsidRPr="003475EB">
        <w:rPr>
          <w:rFonts w:ascii="Calibri" w:hAnsi="Calibri" w:cs="Calibri"/>
          <w:color w:val="000000" w:themeColor="text1"/>
          <w:shd w:val="clear" w:color="auto" w:fill="FFFFFF"/>
        </w:rPr>
        <w:fldChar w:fldCharType="end"/>
      </w:r>
      <w:r w:rsidR="00D15EF8" w:rsidRPr="003475EB">
        <w:rPr>
          <w:rFonts w:ascii="Calibri" w:hAnsi="Calibri" w:cs="Calibri"/>
          <w:color w:val="000000" w:themeColor="text1"/>
          <w:shd w:val="clear" w:color="auto" w:fill="FFFFFF"/>
        </w:rPr>
        <w:t>.</w:t>
      </w:r>
      <w:r w:rsidR="00D15EF8" w:rsidRPr="00120F94">
        <w:rPr>
          <w:rFonts w:ascii="Calibri" w:hAnsi="Calibri" w:cs="Calibri"/>
          <w:color w:val="000000" w:themeColor="text1"/>
          <w:shd w:val="clear" w:color="auto" w:fill="FFFFFF"/>
        </w:rPr>
        <w:fldChar w:fldCharType="begin"/>
      </w:r>
      <w:r w:rsidR="00787CE9" w:rsidRPr="00EB6ED4">
        <w:rPr>
          <w:rFonts w:ascii="Calibri" w:hAnsi="Calibri" w:cs="Calibri"/>
          <w:color w:val="000000" w:themeColor="text1"/>
          <w:shd w:val="clear" w:color="auto" w:fill="FFFFFF"/>
        </w:rPr>
        <w:instrText xml:space="preserve"> ADDIN ZOTERO_ITEM CSL_CITATION {"citationID":"DDEvrxBl","properties":{"formattedCitation":"\\super 13, 14\\nosupersub{}","plainCitation":"13, 14","dontUpdate":true,"noteIndex":0},"citationItems":[{"id":"4DUAICfJ/MeFugNcC","uris":["http://zotero.org/users/local/93ftlI2G/items/BCM93MZD"],"uri":["http://zotero.org/users/local/93ftlI2G/items/BCM93MZD"],"itemData":{"id":13,"type":"article-journal","container-title":"Journal of the American Association for Laboratory Animal Science","issue":"1","language":"en","page":"12","source":"Zotero","title":"Principles of Bone Marrow Transplantation (BMT): Providing Optimal Veterinary and Husbandry Care to Irradiated Mice in BMT Studies","volume":"48","author":[{"family":"Duran-Struuck","given":"Raimon"},{"family":"Dysko","given":"Robert C"}],"issued":{"date-parts":[["2009"]]}}},{"id":"4DUAICfJ/okMXbORv","uris":["http://zotero.org/users/local/93ftlI2G/items/S36BRKIN"],"uri":["http://zotero.org/users/local/93ftlI2G/items/S36BRKIN"],"itemData":{"id":11,"type":"article-journal","abstract":"Hematopoietic cells have been established as major players in cardiovascular disease, with an important role in the etiology of atherosclerotic plaque. In addition, hematopoietic cells, and in particular the cells of monocyte and macrophage lineages, have recently been unmasked as one of the main causes of metabolic abnormalities leading to insulin resistance and type 2 diabetes.","container-title":"Atherosclerosis","DOI":"10.1016/j.atherosclerosis.2010.05.030","ISSN":"00219150","issue":"2","journalAbbreviation":"Atherosclerosis","language":"en","page":"335-344","source":"DOI.org (Crossref)","title":"Bone marrow transplantation in mice as a tool for studying the role of hematopoietic cells in metabolic and cardiovascular diseases","volume":"213","author":[{"family":"Aparicio-Vergara","given":"Marcela"},{"family":"Shiri-Sverdlov","given":"Ronit"},{"family":"Haan","given":"Gerald","non-dropping-particle":"de"},{"family":"Hofker","given":"Marten H."}],"issued":{"date-parts":[["2010",12]]}}}],"schema":"https://github.com/citation-style-language/schema/raw/master/csl-citation.json"} </w:instrText>
      </w:r>
      <w:r w:rsidR="00D15EF8" w:rsidRPr="00120F94">
        <w:rPr>
          <w:rFonts w:ascii="Calibri" w:hAnsi="Calibri" w:cs="Calibri"/>
          <w:color w:val="000000" w:themeColor="text1"/>
          <w:shd w:val="clear" w:color="auto" w:fill="FFFFFF"/>
        </w:rPr>
        <w:fldChar w:fldCharType="end"/>
      </w:r>
      <w:r w:rsidR="00E33ECF" w:rsidRPr="00120F94">
        <w:rPr>
          <w:rFonts w:ascii="Calibri" w:hAnsi="Calibri" w:cs="Calibri"/>
          <w:color w:val="000000" w:themeColor="text1"/>
          <w:shd w:val="clear" w:color="auto" w:fill="FFFFFF"/>
        </w:rPr>
        <w:fldChar w:fldCharType="begin"/>
      </w:r>
      <w:r w:rsidR="0042361F" w:rsidRPr="00EB6ED4">
        <w:rPr>
          <w:rFonts w:ascii="Calibri" w:hAnsi="Calibri" w:cs="Calibri"/>
          <w:color w:val="000000" w:themeColor="text1"/>
          <w:shd w:val="clear" w:color="auto" w:fill="FFFFFF"/>
        </w:rPr>
        <w:instrText xml:space="preserve"> ADDIN ZOTERO_ITEM CSL_CITATION {"citationID":"ynAxJ2Fi","properties":{"formattedCitation":"\\super 15, 16\\nosupersub{}","plainCitation":"15, 16","dontUpdate":true,"noteIndex":0},"citationItems":[{"id":35,"uris":["http://zotero.org/users/local/r2R059Ry/items/GWR6SP64"],"uri":["http://zotero.org/users/local/r2R059Ry/items/GWR6SP64"],"itemData":{"id":35,"type":"article-journal","abstract":"Abstract\n            An essential component of allogeneic and autologous hematopoietic cell transplantation (HCT) is the conditioning regimen administered before the hematopoietic cell infusion. Early regimens relied on dose intensity, assuming that high-dose chemoradiotherapy would eliminate malignant disease and reinfusion of the graft would then restore hematopoiesis. However, as the contribution of graft-versus-tumor effects to the success of allogeneic HCT was recognized over time, in an effort to exploit these, many investigators lowered the dose of radiation and chemotherapeutic agents in the preparative regimen. This resulted in a major paradigm shift, and consequently, the pool of eligible patients underwent a remarkable expansion. In this article, we provide a review of the definition of high-dose, reduced-intensity, and nonmyeloablative conditioning regimens, the most commonly used agents and combinations, and the evolution of some early regimens. We also provide a brief review of the toxicities associated with these regimens.","container-title":"Blood","DOI":"10.1182/blood-2014-02-514778","ISSN":"0006-4971, 1528-0020","issue":"3","language":"en","page":"344-353","source":"DOI.org (Crossref)","title":"Conditioning regimens for hematopoietic cell transplantation: one size does not fit all","title-short":"Conditioning regimens for hematopoietic cell transplantation","volume":"124","author":[{"family":"Gyurkocza","given":"Boglarka"},{"family":"Sandmaier","given":"Brenda M."}],"issued":{"date-parts":[["2014",7,17]]}}},{"id":38,"uris":["http://zotero.org/users/local/r2R059Ry/items/XV8LP7ZQ"],"uri":["http://zotero.org/users/local/r2R059Ry/items/XV8LP7ZQ"],"itemData":{"id":38,"type":"article-journal","container-title":"Biology of Blood and Marrow Transplantation","DOI":"10.1016/j.bbmt.2009.07.004","ISSN":"10838791","issue":"12","journalAbbreviation":"Biology of Blood and Marrow Transplantation","language":"en","page":"1628-1633","source":"DOI.org (Crossref)","title":"Defining the Intensity of Conditioning Regimens: Working Definitions","title-short":"Defining the Intensity of Conditioning Regimens","volume":"15","author":[{"family":"Bacigalupo","given":"Andrea"},{"family":"Ballen","given":"Karen"},{"family":"Rizzo","given":"Doug"},{"family":"Giralt","given":"Sergio"},{"family":"Lazarus","given":"Hillard"},{"family":"Ho","given":"Vincent"},{"family":"Apperley","given":"Jane"},{"family":"Slavin","given":"Shimon"},{"family":"Pasquini","given":"Marcelo"},{"family":"Sandmaier","given":"Brenda M."},{"family":"Barrett","given":"John"},{"family":"Blaise","given":"Didier"},{"family":"Lowski","given":"Robert"},{"family":"Horowitz","given":"Mary"}],"issued":{"date-parts":[["2009",12]]}}}],"schema":"https://github.com/citation-style-language/schema/raw/master/csl-citation.json"} </w:instrText>
      </w:r>
      <w:r w:rsidR="00E33ECF" w:rsidRPr="00120F94">
        <w:rPr>
          <w:rFonts w:ascii="Calibri" w:hAnsi="Calibri" w:cs="Calibri"/>
          <w:color w:val="000000" w:themeColor="text1"/>
          <w:shd w:val="clear" w:color="auto" w:fill="FFFFFF"/>
        </w:rPr>
        <w:fldChar w:fldCharType="separate"/>
      </w:r>
      <w:r w:rsidR="00E33ECF" w:rsidRPr="00120F94">
        <w:rPr>
          <w:rFonts w:ascii="Calibri" w:hAnsi="Calibri" w:cs="Calibri"/>
          <w:color w:val="000000" w:themeColor="text1"/>
        </w:rPr>
        <w:t xml:space="preserve"> </w:t>
      </w:r>
      <w:r w:rsidR="00E33ECF" w:rsidRPr="00120F94">
        <w:rPr>
          <w:rFonts w:ascii="Calibri" w:hAnsi="Calibri" w:cs="Calibri"/>
          <w:color w:val="000000" w:themeColor="text1"/>
          <w:shd w:val="clear" w:color="auto" w:fill="FFFFFF"/>
        </w:rPr>
        <w:fldChar w:fldCharType="end"/>
      </w:r>
      <w:r w:rsidR="0063564F" w:rsidRPr="00BE2A2E">
        <w:rPr>
          <w:rFonts w:ascii="Calibri" w:hAnsi="Calibri" w:cs="Calibri"/>
          <w:color w:val="000000" w:themeColor="text1"/>
          <w:shd w:val="clear" w:color="auto" w:fill="FFFFFF"/>
        </w:rPr>
        <w:t>Busulf</w:t>
      </w:r>
      <w:r w:rsidR="0063564F" w:rsidRPr="003475EB">
        <w:rPr>
          <w:rFonts w:ascii="Calibri" w:hAnsi="Calibri" w:cs="Calibri"/>
          <w:color w:val="000000" w:themeColor="text1"/>
          <w:shd w:val="clear" w:color="auto" w:fill="FFFFFF"/>
        </w:rPr>
        <w:t>an and cyclophosphamide are</w:t>
      </w:r>
      <w:r w:rsidR="00DB01D9" w:rsidRPr="003475EB">
        <w:rPr>
          <w:rFonts w:ascii="Calibri" w:hAnsi="Calibri" w:cs="Calibri"/>
          <w:color w:val="000000" w:themeColor="text1"/>
          <w:shd w:val="clear" w:color="auto" w:fill="FFFFFF"/>
        </w:rPr>
        <w:t xml:space="preserve"> </w:t>
      </w:r>
      <w:r w:rsidR="0063564F" w:rsidRPr="003475EB">
        <w:rPr>
          <w:rFonts w:ascii="Calibri" w:hAnsi="Calibri" w:cs="Calibri"/>
          <w:color w:val="000000" w:themeColor="text1"/>
          <w:shd w:val="clear" w:color="auto" w:fill="FFFFFF"/>
        </w:rPr>
        <w:t xml:space="preserve">two </w:t>
      </w:r>
      <w:r w:rsidR="00262D27" w:rsidRPr="003475EB">
        <w:rPr>
          <w:rFonts w:ascii="Calibri" w:hAnsi="Calibri" w:cs="Calibri"/>
          <w:color w:val="000000" w:themeColor="text1"/>
          <w:shd w:val="clear" w:color="auto" w:fill="FFFFFF"/>
        </w:rPr>
        <w:t xml:space="preserve">commonly used </w:t>
      </w:r>
      <w:r w:rsidR="00DB01D9" w:rsidRPr="003475EB">
        <w:rPr>
          <w:rFonts w:ascii="Calibri" w:hAnsi="Calibri" w:cs="Calibri"/>
          <w:color w:val="000000" w:themeColor="text1"/>
          <w:shd w:val="clear" w:color="auto" w:fill="FFFFFF"/>
        </w:rPr>
        <w:t xml:space="preserve">chemotherapy drugs </w:t>
      </w:r>
      <w:r w:rsidR="00262D27" w:rsidRPr="003475EB">
        <w:rPr>
          <w:rFonts w:ascii="Calibri" w:hAnsi="Calibri" w:cs="Calibri"/>
          <w:color w:val="000000" w:themeColor="text1"/>
          <w:shd w:val="clear" w:color="auto" w:fill="FFFFFF"/>
        </w:rPr>
        <w:t>that</w:t>
      </w:r>
      <w:r w:rsidR="00DB01D9" w:rsidRPr="003475EB">
        <w:rPr>
          <w:rFonts w:ascii="Calibri" w:hAnsi="Calibri" w:cs="Calibri"/>
          <w:color w:val="000000" w:themeColor="text1"/>
          <w:shd w:val="clear" w:color="auto" w:fill="FFFFFF"/>
        </w:rPr>
        <w:t xml:space="preserve"> </w:t>
      </w:r>
      <w:r w:rsidR="00D251AB" w:rsidRPr="003475EB">
        <w:rPr>
          <w:rFonts w:ascii="Calibri" w:hAnsi="Calibri" w:cs="Calibri"/>
          <w:color w:val="000000" w:themeColor="text1"/>
          <w:shd w:val="clear" w:color="auto" w:fill="FFFFFF"/>
        </w:rPr>
        <w:t>disrupt the</w:t>
      </w:r>
      <w:r w:rsidR="0063564F" w:rsidRPr="003475EB">
        <w:rPr>
          <w:rFonts w:ascii="Calibri" w:hAnsi="Calibri" w:cs="Calibri"/>
          <w:color w:val="000000" w:themeColor="text1"/>
          <w:shd w:val="clear" w:color="auto" w:fill="FFFFFF"/>
        </w:rPr>
        <w:t xml:space="preserve"> hematopoietic niche</w:t>
      </w:r>
      <w:r w:rsidR="00D251AB" w:rsidRPr="003475EB">
        <w:rPr>
          <w:rFonts w:ascii="Calibri" w:hAnsi="Calibri" w:cs="Calibri"/>
          <w:color w:val="000000" w:themeColor="text1"/>
          <w:shd w:val="clear" w:color="auto" w:fill="FFFFFF"/>
        </w:rPr>
        <w:t xml:space="preserve"> and similarly cause DNA damage </w:t>
      </w:r>
      <w:r w:rsidR="00262D27" w:rsidRPr="003475EB">
        <w:rPr>
          <w:rFonts w:ascii="Calibri" w:hAnsi="Calibri" w:cs="Calibri"/>
          <w:color w:val="000000" w:themeColor="text1"/>
          <w:shd w:val="clear" w:color="auto" w:fill="FFFFFF"/>
        </w:rPr>
        <w:t>to rapidly dividing cells</w:t>
      </w:r>
      <w:r w:rsidR="0063564F" w:rsidRPr="003475EB">
        <w:rPr>
          <w:rFonts w:ascii="Calibri" w:hAnsi="Calibri" w:cs="Calibri"/>
          <w:color w:val="000000" w:themeColor="text1"/>
          <w:shd w:val="clear" w:color="auto" w:fill="FFFFFF"/>
        </w:rPr>
        <w:t>.</w:t>
      </w:r>
      <w:r w:rsidR="00A97A47" w:rsidRPr="003475EB">
        <w:rPr>
          <w:rFonts w:ascii="Calibri" w:hAnsi="Calibri" w:cs="Calibri"/>
          <w:color w:val="000000" w:themeColor="text1"/>
          <w:shd w:val="clear" w:color="auto" w:fill="FFFFFF"/>
        </w:rPr>
        <w:fldChar w:fldCharType="begin"/>
      </w:r>
      <w:r w:rsidR="00A97A47" w:rsidRPr="003475EB">
        <w:rPr>
          <w:rFonts w:ascii="Calibri" w:hAnsi="Calibri" w:cs="Calibri"/>
          <w:color w:val="000000" w:themeColor="text1"/>
          <w:shd w:val="clear" w:color="auto" w:fill="FFFFFF"/>
        </w:rPr>
        <w:instrText xml:space="preserve"> ADDIN ZOTERO_TEMP </w:instrText>
      </w:r>
      <w:r w:rsidR="00A97A47" w:rsidRPr="003475EB">
        <w:rPr>
          <w:rFonts w:ascii="Calibri" w:hAnsi="Calibri" w:cs="Calibri"/>
          <w:color w:val="000000" w:themeColor="text1"/>
          <w:shd w:val="clear" w:color="auto" w:fill="FFFFFF"/>
        </w:rPr>
        <w:fldChar w:fldCharType="end"/>
      </w:r>
      <w:r w:rsidR="0042361F" w:rsidRPr="003475EB">
        <w:rPr>
          <w:rFonts w:ascii="Calibri" w:hAnsi="Calibri" w:cs="Calibri"/>
          <w:color w:val="000000" w:themeColor="text1"/>
          <w:shd w:val="clear" w:color="auto" w:fill="FFFFFF"/>
        </w:rPr>
        <w:t xml:space="preserve"> </w:t>
      </w:r>
      <w:r w:rsidR="000A6DC2" w:rsidRPr="003475EB">
        <w:rPr>
          <w:rFonts w:ascii="Calibri" w:hAnsi="Calibri" w:cs="Calibri"/>
          <w:color w:val="000000" w:themeColor="text1"/>
          <w:shd w:val="clear" w:color="auto" w:fill="FFFFFF"/>
        </w:rPr>
        <w:t>The net result of m</w:t>
      </w:r>
      <w:r w:rsidR="0063564F" w:rsidRPr="003475EB">
        <w:rPr>
          <w:rFonts w:ascii="Calibri" w:hAnsi="Calibri" w:cs="Calibri"/>
          <w:color w:val="000000" w:themeColor="text1"/>
          <w:shd w:val="clear" w:color="auto" w:fill="FFFFFF"/>
        </w:rPr>
        <w:t xml:space="preserve">yeloablative </w:t>
      </w:r>
      <w:r w:rsidR="000A6DC2" w:rsidRPr="003475EB">
        <w:rPr>
          <w:rFonts w:ascii="Calibri" w:hAnsi="Calibri" w:cs="Calibri"/>
          <w:color w:val="000000" w:themeColor="text1"/>
          <w:shd w:val="clear" w:color="auto" w:fill="FFFFFF"/>
        </w:rPr>
        <w:t>pre</w:t>
      </w:r>
      <w:r w:rsidR="0063564F" w:rsidRPr="003475EB">
        <w:rPr>
          <w:rFonts w:ascii="Calibri" w:hAnsi="Calibri" w:cs="Calibri"/>
          <w:color w:val="000000" w:themeColor="text1"/>
          <w:shd w:val="clear" w:color="auto" w:fill="FFFFFF"/>
        </w:rPr>
        <w:t>conditioning</w:t>
      </w:r>
      <w:r w:rsidR="00D15EF8" w:rsidRPr="003475EB">
        <w:rPr>
          <w:rFonts w:ascii="Calibri" w:hAnsi="Calibri" w:cs="Calibri"/>
          <w:color w:val="000000" w:themeColor="text1"/>
          <w:shd w:val="clear" w:color="auto" w:fill="FFFFFF"/>
        </w:rPr>
        <w:t xml:space="preserve"> </w:t>
      </w:r>
      <w:r w:rsidR="000A6DC2" w:rsidRPr="003475EB">
        <w:rPr>
          <w:rFonts w:ascii="Calibri" w:hAnsi="Calibri" w:cs="Calibri"/>
          <w:color w:val="000000" w:themeColor="text1"/>
          <w:shd w:val="clear" w:color="auto" w:fill="FFFFFF"/>
        </w:rPr>
        <w:t>is</w:t>
      </w:r>
      <w:r w:rsidR="00D15EF8" w:rsidRPr="003475EB">
        <w:rPr>
          <w:rFonts w:ascii="Calibri" w:hAnsi="Calibri" w:cs="Calibri"/>
          <w:color w:val="000000" w:themeColor="text1"/>
          <w:shd w:val="clear" w:color="auto" w:fill="FFFFFF"/>
        </w:rPr>
        <w:t xml:space="preserve"> apoptosis of hematopoietic cells</w:t>
      </w:r>
      <w:r w:rsidR="00E94ED6">
        <w:rPr>
          <w:rFonts w:ascii="Calibri" w:hAnsi="Calibri" w:cs="Calibri"/>
          <w:color w:val="000000" w:themeColor="text1"/>
          <w:shd w:val="clear" w:color="auto" w:fill="FFFFFF"/>
        </w:rPr>
        <w:t>,</w:t>
      </w:r>
      <w:r w:rsidR="000A6DC2" w:rsidRPr="003475EB">
        <w:rPr>
          <w:rFonts w:ascii="Calibri" w:hAnsi="Calibri" w:cs="Calibri"/>
          <w:color w:val="000000" w:themeColor="text1"/>
          <w:shd w:val="clear" w:color="auto" w:fill="FFFFFF"/>
        </w:rPr>
        <w:t xml:space="preserve"> which</w:t>
      </w:r>
      <w:r w:rsidR="00D251AB" w:rsidRPr="003475EB">
        <w:rPr>
          <w:rFonts w:ascii="Calibri" w:hAnsi="Calibri" w:cs="Calibri"/>
          <w:color w:val="000000" w:themeColor="text1"/>
          <w:shd w:val="clear" w:color="auto" w:fill="FFFFFF"/>
        </w:rPr>
        <w:t xml:space="preserve"> destro</w:t>
      </w:r>
      <w:r w:rsidR="000A6DC2" w:rsidRPr="003475EB">
        <w:rPr>
          <w:rFonts w:ascii="Calibri" w:hAnsi="Calibri" w:cs="Calibri"/>
          <w:color w:val="000000" w:themeColor="text1"/>
          <w:shd w:val="clear" w:color="auto" w:fill="FFFFFF"/>
        </w:rPr>
        <w:t>ys</w:t>
      </w:r>
      <w:r w:rsidR="00D251AB" w:rsidRPr="003475EB">
        <w:rPr>
          <w:rFonts w:ascii="Calibri" w:hAnsi="Calibri" w:cs="Calibri"/>
          <w:color w:val="000000" w:themeColor="text1"/>
          <w:shd w:val="clear" w:color="auto" w:fill="FFFFFF"/>
        </w:rPr>
        <w:t xml:space="preserve"> the </w:t>
      </w:r>
      <w:r w:rsidR="00D15EF8" w:rsidRPr="003475EB">
        <w:rPr>
          <w:rFonts w:ascii="Calibri" w:hAnsi="Calibri" w:cs="Calibri"/>
          <w:color w:val="000000" w:themeColor="text1"/>
          <w:shd w:val="clear" w:color="auto" w:fill="FFFFFF"/>
        </w:rPr>
        <w:t>recipient’s hematopoietic system</w:t>
      </w:r>
      <w:r w:rsidR="00C5489B" w:rsidRPr="003475EB">
        <w:rPr>
          <w:rFonts w:ascii="Calibri" w:hAnsi="Calibri" w:cs="Calibri"/>
          <w:color w:val="000000" w:themeColor="text1"/>
          <w:shd w:val="clear" w:color="auto" w:fill="FFFFFF"/>
        </w:rPr>
        <w:t>.</w:t>
      </w:r>
      <w:r w:rsidR="006F4DC9" w:rsidRPr="003475EB">
        <w:rPr>
          <w:rFonts w:ascii="Calibri" w:hAnsi="Calibri" w:cs="Calibri"/>
          <w:color w:val="000000" w:themeColor="text1"/>
          <w:shd w:val="clear" w:color="auto" w:fill="FFFFFF"/>
        </w:rPr>
        <w:t xml:space="preserve"> </w:t>
      </w:r>
      <w:r w:rsidR="00262D27" w:rsidRPr="003475EB">
        <w:rPr>
          <w:rFonts w:ascii="Calibri" w:hAnsi="Calibri" w:cs="Calibri"/>
          <w:color w:val="000000" w:themeColor="text1"/>
          <w:shd w:val="clear" w:color="auto" w:fill="FFFFFF"/>
        </w:rPr>
        <w:t xml:space="preserve">This strategy not only </w:t>
      </w:r>
      <w:r w:rsidR="00942D5C" w:rsidRPr="003475EB">
        <w:rPr>
          <w:rFonts w:ascii="Calibri" w:hAnsi="Calibri" w:cs="Calibri"/>
          <w:color w:val="000000" w:themeColor="text1"/>
          <w:shd w:val="clear" w:color="auto" w:fill="FFFFFF"/>
        </w:rPr>
        <w:t>allows</w:t>
      </w:r>
      <w:r w:rsidR="00262D27" w:rsidRPr="003475EB">
        <w:rPr>
          <w:rFonts w:ascii="Calibri" w:hAnsi="Calibri" w:cs="Calibri"/>
          <w:color w:val="000000" w:themeColor="text1"/>
          <w:shd w:val="clear" w:color="auto" w:fill="FFFFFF"/>
        </w:rPr>
        <w:t xml:space="preserve"> for </w:t>
      </w:r>
      <w:r w:rsidR="00942D5C" w:rsidRPr="003475EB">
        <w:rPr>
          <w:rFonts w:ascii="Calibri" w:hAnsi="Calibri" w:cs="Calibri"/>
          <w:color w:val="000000" w:themeColor="text1"/>
          <w:shd w:val="clear" w:color="auto" w:fill="FFFFFF"/>
        </w:rPr>
        <w:t xml:space="preserve">the successful engraftment of the donor </w:t>
      </w:r>
      <w:proofErr w:type="gramStart"/>
      <w:r w:rsidR="00942D5C" w:rsidRPr="003475EB">
        <w:rPr>
          <w:rFonts w:ascii="Calibri" w:hAnsi="Calibri" w:cs="Calibri"/>
          <w:color w:val="000000" w:themeColor="text1"/>
          <w:shd w:val="clear" w:color="auto" w:fill="FFFFFF"/>
        </w:rPr>
        <w:t>HSPCs</w:t>
      </w:r>
      <w:r w:rsidR="000A6DC2" w:rsidRPr="003475EB">
        <w:rPr>
          <w:rFonts w:ascii="Calibri" w:hAnsi="Calibri" w:cs="Calibri"/>
          <w:color w:val="000000" w:themeColor="text1"/>
          <w:shd w:val="clear" w:color="auto" w:fill="FFFFFF"/>
        </w:rPr>
        <w:t>,</w:t>
      </w:r>
      <w:r w:rsidR="00262D27" w:rsidRPr="003475EB">
        <w:rPr>
          <w:rFonts w:ascii="Calibri" w:hAnsi="Calibri" w:cs="Calibri"/>
          <w:color w:val="000000" w:themeColor="text1"/>
          <w:shd w:val="clear" w:color="auto" w:fill="FFFFFF"/>
        </w:rPr>
        <w:t xml:space="preserve"> but</w:t>
      </w:r>
      <w:proofErr w:type="gramEnd"/>
      <w:r w:rsidR="00262D27" w:rsidRPr="003475EB">
        <w:rPr>
          <w:rFonts w:ascii="Calibri" w:hAnsi="Calibri" w:cs="Calibri"/>
          <w:color w:val="000000" w:themeColor="text1"/>
          <w:shd w:val="clear" w:color="auto" w:fill="FFFFFF"/>
        </w:rPr>
        <w:t xml:space="preserve"> </w:t>
      </w:r>
      <w:r w:rsidR="00A45344" w:rsidRPr="003475EB">
        <w:rPr>
          <w:rFonts w:ascii="Calibri" w:hAnsi="Calibri" w:cs="Calibri"/>
          <w:color w:val="000000" w:themeColor="text1"/>
          <w:shd w:val="clear" w:color="auto" w:fill="FFFFFF"/>
        </w:rPr>
        <w:t xml:space="preserve">can </w:t>
      </w:r>
      <w:r w:rsidR="00262D27" w:rsidRPr="003475EB">
        <w:rPr>
          <w:rFonts w:ascii="Calibri" w:hAnsi="Calibri" w:cs="Calibri"/>
          <w:color w:val="000000" w:themeColor="text1"/>
          <w:shd w:val="clear" w:color="auto" w:fill="FFFFFF"/>
        </w:rPr>
        <w:t xml:space="preserve">also prevent graft rejection by suppressing the </w:t>
      </w:r>
      <w:r w:rsidR="00917A57" w:rsidRPr="003475EB">
        <w:rPr>
          <w:rFonts w:ascii="Calibri" w:hAnsi="Calibri" w:cs="Calibri"/>
          <w:color w:val="000000" w:themeColor="text1"/>
          <w:shd w:val="clear" w:color="auto" w:fill="FFFFFF"/>
        </w:rPr>
        <w:t>recipient’s</w:t>
      </w:r>
      <w:r w:rsidR="00262D27" w:rsidRPr="003475EB">
        <w:rPr>
          <w:rFonts w:ascii="Calibri" w:hAnsi="Calibri" w:cs="Calibri"/>
          <w:color w:val="000000" w:themeColor="text1"/>
          <w:shd w:val="clear" w:color="auto" w:fill="FFFFFF"/>
        </w:rPr>
        <w:t xml:space="preserve"> immune system. </w:t>
      </w:r>
      <w:r w:rsidR="00D15EF8" w:rsidRPr="003475EB">
        <w:rPr>
          <w:rFonts w:ascii="Calibri" w:hAnsi="Calibri" w:cs="Calibri"/>
          <w:color w:val="000000" w:themeColor="text1"/>
          <w:shd w:val="clear" w:color="auto" w:fill="FFFFFF"/>
        </w:rPr>
        <w:t xml:space="preserve">However, </w:t>
      </w:r>
      <w:r w:rsidR="003C41FB" w:rsidRPr="003475EB">
        <w:rPr>
          <w:rFonts w:ascii="Calibri" w:hAnsi="Calibri" w:cs="Calibri"/>
          <w:color w:val="000000" w:themeColor="text1"/>
          <w:shd w:val="clear" w:color="auto" w:fill="FFFFFF"/>
        </w:rPr>
        <w:t xml:space="preserve">myeloablative </w:t>
      </w:r>
      <w:r w:rsidR="000A6DC2" w:rsidRPr="003475EB">
        <w:rPr>
          <w:rFonts w:ascii="Calibri" w:hAnsi="Calibri" w:cs="Calibri"/>
          <w:color w:val="000000" w:themeColor="text1"/>
          <w:shd w:val="clear" w:color="auto" w:fill="FFFFFF"/>
        </w:rPr>
        <w:t>pre</w:t>
      </w:r>
      <w:r w:rsidR="003C41FB" w:rsidRPr="003475EB">
        <w:rPr>
          <w:rFonts w:ascii="Calibri" w:hAnsi="Calibri" w:cs="Calibri"/>
          <w:color w:val="000000" w:themeColor="text1"/>
          <w:shd w:val="clear" w:color="auto" w:fill="FFFFFF"/>
        </w:rPr>
        <w:t>conditioning</w:t>
      </w:r>
      <w:r w:rsidR="00D15EF8" w:rsidRPr="003475EB">
        <w:rPr>
          <w:rFonts w:ascii="Calibri" w:hAnsi="Calibri" w:cs="Calibri"/>
          <w:color w:val="000000" w:themeColor="text1"/>
          <w:shd w:val="clear" w:color="auto" w:fill="FFFFFF"/>
        </w:rPr>
        <w:t xml:space="preserve"> </w:t>
      </w:r>
      <w:r w:rsidR="000A6DC2" w:rsidRPr="003475EB">
        <w:rPr>
          <w:rFonts w:ascii="Calibri" w:hAnsi="Calibri" w:cs="Calibri"/>
          <w:color w:val="000000" w:themeColor="text1"/>
          <w:shd w:val="clear" w:color="auto" w:fill="FFFFFF"/>
        </w:rPr>
        <w:t>has severe</w:t>
      </w:r>
      <w:r w:rsidR="00D15EF8" w:rsidRPr="003475EB">
        <w:rPr>
          <w:rFonts w:ascii="Calibri" w:hAnsi="Calibri" w:cs="Calibri"/>
          <w:color w:val="000000" w:themeColor="text1"/>
          <w:shd w:val="clear" w:color="auto" w:fill="FFFFFF"/>
        </w:rPr>
        <w:t xml:space="preserve"> side effects such as damag</w:t>
      </w:r>
      <w:r w:rsidR="00CE79B6" w:rsidRPr="003475EB">
        <w:rPr>
          <w:rFonts w:ascii="Calibri" w:hAnsi="Calibri" w:cs="Calibri"/>
          <w:color w:val="000000" w:themeColor="text1"/>
          <w:shd w:val="clear" w:color="auto" w:fill="FFFFFF"/>
        </w:rPr>
        <w:t>e to</w:t>
      </w:r>
      <w:r w:rsidR="008F7A3E" w:rsidRPr="003475EB">
        <w:rPr>
          <w:rFonts w:ascii="Calibri" w:hAnsi="Calibri" w:cs="Calibri"/>
          <w:color w:val="000000" w:themeColor="text1"/>
          <w:shd w:val="clear" w:color="auto" w:fill="FFFFFF"/>
        </w:rPr>
        <w:t xml:space="preserve"> </w:t>
      </w:r>
      <w:r w:rsidR="00624ECD" w:rsidRPr="003475EB">
        <w:rPr>
          <w:rFonts w:ascii="Calibri" w:hAnsi="Calibri" w:cs="Calibri"/>
          <w:color w:val="000000" w:themeColor="text1"/>
          <w:shd w:val="clear" w:color="auto" w:fill="FFFFFF"/>
        </w:rPr>
        <w:t>tissues</w:t>
      </w:r>
      <w:r w:rsidR="00D34DFD" w:rsidRPr="003475EB">
        <w:rPr>
          <w:rFonts w:ascii="Calibri" w:hAnsi="Calibri" w:cs="Calibri"/>
          <w:color w:val="000000" w:themeColor="text1"/>
          <w:shd w:val="clear" w:color="auto" w:fill="FFFFFF"/>
        </w:rPr>
        <w:t xml:space="preserve"> and organs</w:t>
      </w:r>
      <w:r w:rsidR="00C5489B" w:rsidRPr="003475EB">
        <w:rPr>
          <w:rFonts w:ascii="Calibri" w:hAnsi="Calibri" w:cs="Calibri"/>
          <w:color w:val="000000" w:themeColor="text1"/>
          <w:shd w:val="clear" w:color="auto" w:fill="FFFFFF"/>
        </w:rPr>
        <w:t xml:space="preserve"> and </w:t>
      </w:r>
      <w:r w:rsidR="00CE79B6" w:rsidRPr="003475EB">
        <w:rPr>
          <w:rFonts w:ascii="Calibri" w:hAnsi="Calibri" w:cs="Calibri"/>
          <w:color w:val="000000" w:themeColor="text1"/>
          <w:shd w:val="clear" w:color="auto" w:fill="FFFFFF"/>
        </w:rPr>
        <w:t>their</w:t>
      </w:r>
      <w:r w:rsidR="00C5489B" w:rsidRPr="003475EB">
        <w:rPr>
          <w:rFonts w:ascii="Calibri" w:hAnsi="Calibri" w:cs="Calibri"/>
          <w:color w:val="000000" w:themeColor="text1"/>
          <w:shd w:val="clear" w:color="auto" w:fill="FFFFFF"/>
        </w:rPr>
        <w:t xml:space="preserve"> </w:t>
      </w:r>
      <w:r w:rsidR="00942D5C" w:rsidRPr="003475EB">
        <w:rPr>
          <w:rFonts w:ascii="Calibri" w:hAnsi="Calibri" w:cs="Calibri"/>
          <w:color w:val="000000" w:themeColor="text1"/>
          <w:shd w:val="clear" w:color="auto" w:fill="FFFFFF"/>
        </w:rPr>
        <w:t>resident</w:t>
      </w:r>
      <w:r w:rsidR="007849B6" w:rsidRPr="003475EB">
        <w:rPr>
          <w:rFonts w:ascii="Calibri" w:hAnsi="Calibri" w:cs="Calibri"/>
          <w:color w:val="000000" w:themeColor="text1"/>
          <w:shd w:val="clear" w:color="auto" w:fill="FFFFFF"/>
        </w:rPr>
        <w:t xml:space="preserve"> </w:t>
      </w:r>
      <w:r w:rsidR="00C5489B" w:rsidRPr="003475EB">
        <w:rPr>
          <w:rFonts w:ascii="Calibri" w:hAnsi="Calibri" w:cs="Calibri"/>
          <w:color w:val="000000" w:themeColor="text1"/>
          <w:shd w:val="clear" w:color="auto" w:fill="FFFFFF"/>
        </w:rPr>
        <w:t>immune cells</w:t>
      </w:r>
      <w:r w:rsidR="00262D27" w:rsidRPr="003475EB">
        <w:rPr>
          <w:rFonts w:ascii="Calibri" w:hAnsi="Calibri" w:cs="Calibri"/>
          <w:color w:val="000000" w:themeColor="text1"/>
          <w:shd w:val="clear" w:color="auto" w:fill="FFFFFF"/>
        </w:rPr>
        <w:t xml:space="preserve"> as well as </w:t>
      </w:r>
      <w:r w:rsidR="00D15EF8" w:rsidRPr="003475EB">
        <w:rPr>
          <w:rFonts w:ascii="Calibri" w:hAnsi="Calibri" w:cs="Calibri"/>
          <w:color w:val="000000" w:themeColor="text1"/>
          <w:shd w:val="clear" w:color="auto" w:fill="FFFFFF"/>
        </w:rPr>
        <w:t>destr</w:t>
      </w:r>
      <w:r w:rsidR="00CE79B6" w:rsidRPr="003475EB">
        <w:rPr>
          <w:rFonts w:ascii="Calibri" w:hAnsi="Calibri" w:cs="Calibri"/>
          <w:color w:val="000000" w:themeColor="text1"/>
          <w:shd w:val="clear" w:color="auto" w:fill="FFFFFF"/>
        </w:rPr>
        <w:t>uction of</w:t>
      </w:r>
      <w:r w:rsidR="00D15EF8" w:rsidRPr="003475EB">
        <w:rPr>
          <w:rFonts w:ascii="Calibri" w:hAnsi="Calibri" w:cs="Calibri"/>
          <w:color w:val="000000" w:themeColor="text1"/>
          <w:shd w:val="clear" w:color="auto" w:fill="FFFFFF"/>
        </w:rPr>
        <w:t xml:space="preserve"> </w:t>
      </w:r>
      <w:r w:rsidR="00917A57" w:rsidRPr="003475EB">
        <w:rPr>
          <w:rFonts w:ascii="Calibri" w:hAnsi="Calibri" w:cs="Calibri"/>
          <w:color w:val="000000" w:themeColor="text1"/>
          <w:shd w:val="clear" w:color="auto" w:fill="FFFFFF"/>
        </w:rPr>
        <w:t xml:space="preserve">the </w:t>
      </w:r>
      <w:r w:rsidR="00262D27" w:rsidRPr="003475EB">
        <w:rPr>
          <w:rFonts w:ascii="Calibri" w:hAnsi="Calibri" w:cs="Calibri"/>
          <w:color w:val="000000" w:themeColor="text1"/>
          <w:shd w:val="clear" w:color="auto" w:fill="FFFFFF"/>
        </w:rPr>
        <w:t xml:space="preserve">native </w:t>
      </w:r>
      <w:r w:rsidR="00D15EF8" w:rsidRPr="003475EB">
        <w:rPr>
          <w:rFonts w:ascii="Calibri" w:hAnsi="Calibri" w:cs="Calibri"/>
          <w:color w:val="000000" w:themeColor="text1"/>
          <w:shd w:val="clear" w:color="auto" w:fill="FFFFFF"/>
        </w:rPr>
        <w:t>bone marrow niche</w:t>
      </w:r>
      <w:r w:rsidR="00CE74CA" w:rsidRPr="003475EB">
        <w:rPr>
          <w:rFonts w:ascii="Calibri" w:hAnsi="Calibri" w:cs="Calibri"/>
          <w:color w:val="000000" w:themeColor="text1"/>
          <w:shd w:val="clear" w:color="auto" w:fill="FFFFFF"/>
          <w:vertAlign w:val="superscript"/>
        </w:rPr>
        <w:t>17</w:t>
      </w:r>
      <w:r w:rsidR="00D15EF8" w:rsidRPr="003475EB">
        <w:rPr>
          <w:rFonts w:ascii="Calibri" w:hAnsi="Calibri" w:cs="Calibri"/>
          <w:color w:val="000000" w:themeColor="text1"/>
          <w:shd w:val="clear" w:color="auto" w:fill="FFFFFF"/>
        </w:rPr>
        <w:t>.</w:t>
      </w:r>
      <w:r w:rsidR="006F4DC9" w:rsidRPr="003475EB">
        <w:rPr>
          <w:rFonts w:ascii="Calibri" w:hAnsi="Calibri" w:cs="Calibri"/>
          <w:color w:val="000000" w:themeColor="text1"/>
          <w:shd w:val="clear" w:color="auto" w:fill="FFFFFF"/>
        </w:rPr>
        <w:t xml:space="preserve"> </w:t>
      </w:r>
      <w:r w:rsidR="000A6DC2" w:rsidRPr="003475EB">
        <w:rPr>
          <w:rFonts w:ascii="Calibri" w:hAnsi="Calibri" w:cs="Calibri"/>
          <w:color w:val="000000" w:themeColor="text1"/>
          <w:shd w:val="clear" w:color="auto" w:fill="FFFFFF"/>
        </w:rPr>
        <w:t>Therefore</w:t>
      </w:r>
      <w:r w:rsidR="00A5058E" w:rsidRPr="003475EB">
        <w:rPr>
          <w:rFonts w:ascii="Calibri" w:hAnsi="Calibri" w:cs="Calibri"/>
          <w:color w:val="000000" w:themeColor="text1"/>
          <w:shd w:val="clear" w:color="auto" w:fill="FFFFFF"/>
        </w:rPr>
        <w:t>,</w:t>
      </w:r>
      <w:r w:rsidR="000A6DC2" w:rsidRPr="003475EB">
        <w:rPr>
          <w:rFonts w:ascii="Calibri" w:hAnsi="Calibri" w:cs="Calibri"/>
          <w:color w:val="000000" w:themeColor="text1"/>
          <w:shd w:val="clear" w:color="auto" w:fill="FFFFFF"/>
        </w:rPr>
        <w:t xml:space="preserve"> </w:t>
      </w:r>
      <w:r w:rsidR="00D15EF8" w:rsidRPr="003475EB">
        <w:rPr>
          <w:rFonts w:ascii="Calibri" w:hAnsi="Calibri" w:cs="Calibri"/>
          <w:color w:val="000000" w:themeColor="text1"/>
          <w:shd w:val="clear" w:color="auto" w:fill="FFFFFF"/>
        </w:rPr>
        <w:t xml:space="preserve">alternative methods have been </w:t>
      </w:r>
      <w:r w:rsidR="003C41FB" w:rsidRPr="003475EB">
        <w:rPr>
          <w:rFonts w:ascii="Calibri" w:hAnsi="Calibri" w:cs="Calibri"/>
          <w:color w:val="000000" w:themeColor="text1"/>
          <w:shd w:val="clear" w:color="auto" w:fill="FFFFFF"/>
        </w:rPr>
        <w:t>proposed</w:t>
      </w:r>
      <w:r w:rsidR="00D15EF8" w:rsidRPr="003475EB">
        <w:rPr>
          <w:rFonts w:ascii="Calibri" w:hAnsi="Calibri" w:cs="Calibri"/>
          <w:color w:val="000000" w:themeColor="text1"/>
          <w:shd w:val="clear" w:color="auto" w:fill="FFFFFF"/>
        </w:rPr>
        <w:t xml:space="preserve"> to </w:t>
      </w:r>
      <w:r w:rsidR="000A6DC2" w:rsidRPr="003475EB">
        <w:rPr>
          <w:rFonts w:ascii="Calibri" w:hAnsi="Calibri" w:cs="Calibri"/>
          <w:color w:val="000000" w:themeColor="text1"/>
          <w:shd w:val="clear" w:color="auto" w:fill="FFFFFF"/>
        </w:rPr>
        <w:t>overcome these undesirable side effects</w:t>
      </w:r>
      <w:r w:rsidR="00917A57" w:rsidRPr="003475EB">
        <w:rPr>
          <w:rFonts w:ascii="Calibri" w:hAnsi="Calibri" w:cs="Calibri"/>
          <w:color w:val="000000" w:themeColor="text1"/>
          <w:shd w:val="clear" w:color="auto" w:fill="FFFFFF"/>
        </w:rPr>
        <w:t xml:space="preserve">, particularly </w:t>
      </w:r>
      <w:proofErr w:type="gramStart"/>
      <w:r w:rsidR="003A3E6D" w:rsidRPr="003475EB">
        <w:rPr>
          <w:rFonts w:ascii="Calibri" w:hAnsi="Calibri" w:cs="Calibri"/>
          <w:color w:val="000000" w:themeColor="text1"/>
          <w:shd w:val="clear" w:color="auto" w:fill="FFFFFF"/>
        </w:rPr>
        <w:t>in regard to</w:t>
      </w:r>
      <w:proofErr w:type="gramEnd"/>
      <w:r w:rsidR="00F23136">
        <w:rPr>
          <w:rFonts w:ascii="Calibri" w:hAnsi="Calibri" w:cs="Calibri"/>
          <w:color w:val="000000" w:themeColor="text1"/>
          <w:shd w:val="clear" w:color="auto" w:fill="FFFFFF"/>
        </w:rPr>
        <w:t xml:space="preserve"> </w:t>
      </w:r>
      <w:r w:rsidR="003A3E6D" w:rsidRPr="003475EB">
        <w:rPr>
          <w:rFonts w:ascii="Calibri" w:hAnsi="Calibri" w:cs="Calibri"/>
          <w:color w:val="000000" w:themeColor="text1"/>
          <w:shd w:val="clear" w:color="auto" w:fill="FFFFFF"/>
        </w:rPr>
        <w:t xml:space="preserve">damage to </w:t>
      </w:r>
      <w:r w:rsidR="00D34DFD" w:rsidRPr="003475EB">
        <w:rPr>
          <w:rFonts w:ascii="Calibri" w:hAnsi="Calibri" w:cs="Calibri"/>
          <w:color w:val="000000" w:themeColor="text1"/>
          <w:shd w:val="clear" w:color="auto" w:fill="FFFFFF"/>
        </w:rPr>
        <w:t xml:space="preserve">the </w:t>
      </w:r>
      <w:r w:rsidR="00917A57" w:rsidRPr="003475EB">
        <w:rPr>
          <w:rFonts w:ascii="Calibri" w:hAnsi="Calibri" w:cs="Calibri"/>
          <w:color w:val="000000" w:themeColor="text1"/>
          <w:shd w:val="clear" w:color="auto" w:fill="FFFFFF"/>
        </w:rPr>
        <w:t>organs of interest</w:t>
      </w:r>
      <w:r w:rsidR="00942D5C" w:rsidRPr="003475EB">
        <w:rPr>
          <w:rFonts w:ascii="Calibri" w:hAnsi="Calibri" w:cs="Calibri"/>
          <w:color w:val="000000" w:themeColor="text1"/>
          <w:shd w:val="clear" w:color="auto" w:fill="FFFFFF"/>
        </w:rPr>
        <w:t>.</w:t>
      </w:r>
      <w:r w:rsidR="008F7A3E" w:rsidRPr="003475EB">
        <w:rPr>
          <w:rFonts w:ascii="Calibri" w:hAnsi="Calibri" w:cs="Calibri"/>
          <w:color w:val="000000" w:themeColor="text1"/>
          <w:shd w:val="clear" w:color="auto" w:fill="FFFFFF"/>
        </w:rPr>
        <w:t xml:space="preserve"> </w:t>
      </w:r>
      <w:r w:rsidR="00942D5C" w:rsidRPr="003475EB">
        <w:rPr>
          <w:rFonts w:ascii="Calibri" w:hAnsi="Calibri" w:cs="Calibri"/>
          <w:color w:val="000000" w:themeColor="text1"/>
          <w:shd w:val="clear" w:color="auto" w:fill="FFFFFF"/>
        </w:rPr>
        <w:t>T</w:t>
      </w:r>
      <w:r w:rsidR="008F7A3E" w:rsidRPr="003475EB">
        <w:rPr>
          <w:rFonts w:ascii="Calibri" w:hAnsi="Calibri" w:cs="Calibri"/>
          <w:color w:val="000000" w:themeColor="text1"/>
          <w:shd w:val="clear" w:color="auto" w:fill="FFFFFF"/>
        </w:rPr>
        <w:t>hese</w:t>
      </w:r>
      <w:r w:rsidR="00942D5C" w:rsidRPr="003475EB">
        <w:rPr>
          <w:rFonts w:ascii="Calibri" w:hAnsi="Calibri" w:cs="Calibri"/>
          <w:color w:val="000000" w:themeColor="text1"/>
          <w:shd w:val="clear" w:color="auto" w:fill="FFFFFF"/>
        </w:rPr>
        <w:t xml:space="preserve"> methods</w:t>
      </w:r>
      <w:r w:rsidR="008F7A3E" w:rsidRPr="003475EB">
        <w:rPr>
          <w:rFonts w:ascii="Calibri" w:hAnsi="Calibri" w:cs="Calibri"/>
          <w:color w:val="000000" w:themeColor="text1"/>
          <w:shd w:val="clear" w:color="auto" w:fill="FFFFFF"/>
        </w:rPr>
        <w:t xml:space="preserve"> include</w:t>
      </w:r>
      <w:r w:rsidR="00D15EF8" w:rsidRPr="003475EB">
        <w:rPr>
          <w:rFonts w:ascii="Calibri" w:hAnsi="Calibri" w:cs="Calibri"/>
          <w:color w:val="000000" w:themeColor="text1"/>
          <w:shd w:val="clear" w:color="auto" w:fill="FFFFFF"/>
        </w:rPr>
        <w:t xml:space="preserve"> shielded irradiation</w:t>
      </w:r>
      <w:r w:rsidR="00675D19" w:rsidRPr="003475EB">
        <w:rPr>
          <w:rFonts w:ascii="Calibri" w:hAnsi="Calibri" w:cs="Calibri"/>
          <w:color w:val="000000" w:themeColor="text1"/>
          <w:shd w:val="clear" w:color="auto" w:fill="FFFFFF"/>
        </w:rPr>
        <w:t xml:space="preserve"> of recipient mice</w:t>
      </w:r>
      <w:r w:rsidR="00D15EF8" w:rsidRPr="003475EB">
        <w:rPr>
          <w:rFonts w:ascii="Calibri" w:hAnsi="Calibri" w:cs="Calibri"/>
          <w:color w:val="000000" w:themeColor="text1"/>
          <w:shd w:val="clear" w:color="auto" w:fill="FFFFFF"/>
        </w:rPr>
        <w:t xml:space="preserve"> and </w:t>
      </w:r>
      <w:r w:rsidR="00675D19" w:rsidRPr="003475EB">
        <w:rPr>
          <w:rFonts w:ascii="Calibri" w:hAnsi="Calibri" w:cs="Calibri"/>
          <w:color w:val="000000" w:themeColor="text1"/>
          <w:shd w:val="clear" w:color="auto" w:fill="FFFFFF"/>
        </w:rPr>
        <w:t xml:space="preserve">the adoptive </w:t>
      </w:r>
      <w:r w:rsidR="00037F19">
        <w:rPr>
          <w:rFonts w:ascii="Calibri" w:hAnsi="Calibri" w:cs="Calibri"/>
          <w:color w:val="000000" w:themeColor="text1"/>
          <w:shd w:val="clear" w:color="auto" w:fill="FFFFFF"/>
        </w:rPr>
        <w:t>BMT</w:t>
      </w:r>
      <w:r w:rsidR="00037F19" w:rsidRPr="003475EB">
        <w:rPr>
          <w:rFonts w:ascii="Calibri" w:hAnsi="Calibri" w:cs="Calibri"/>
          <w:color w:val="000000" w:themeColor="text1"/>
          <w:shd w:val="clear" w:color="auto" w:fill="FFFFFF"/>
        </w:rPr>
        <w:t xml:space="preserve"> </w:t>
      </w:r>
      <w:r w:rsidR="00675D19" w:rsidRPr="003475EB">
        <w:rPr>
          <w:rFonts w:ascii="Calibri" w:hAnsi="Calibri" w:cs="Calibri"/>
          <w:color w:val="000000" w:themeColor="text1"/>
          <w:shd w:val="clear" w:color="auto" w:fill="FFFFFF"/>
        </w:rPr>
        <w:t>to non-conditioned mice</w:t>
      </w:r>
      <w:r w:rsidR="00CE74CA" w:rsidRPr="003475EB">
        <w:rPr>
          <w:rFonts w:ascii="Calibri" w:hAnsi="Calibri" w:cs="Calibri"/>
          <w:color w:val="000000" w:themeColor="text1"/>
          <w:shd w:val="clear" w:color="auto" w:fill="FFFFFF"/>
          <w:vertAlign w:val="superscript"/>
        </w:rPr>
        <w:t>9,</w:t>
      </w:r>
      <w:r w:rsidR="00CE74CA" w:rsidRPr="003475EB">
        <w:rPr>
          <w:rFonts w:ascii="Calibri" w:hAnsi="Calibri" w:cs="Calibri"/>
          <w:color w:val="000000" w:themeColor="text1"/>
          <w:shd w:val="clear" w:color="auto" w:fill="FFFFFF"/>
        </w:rPr>
        <w:fldChar w:fldCharType="begin"/>
      </w:r>
      <w:r w:rsidR="00CE74CA" w:rsidRPr="003475EB">
        <w:rPr>
          <w:rFonts w:ascii="Calibri" w:hAnsi="Calibri" w:cs="Calibri"/>
          <w:color w:val="000000" w:themeColor="text1"/>
          <w:shd w:val="clear" w:color="auto" w:fill="FFFFFF"/>
        </w:rPr>
        <w:instrText xml:space="preserve"> ADDIN ZOTERO_ITEM CSL_CITATION {"citationID":"DVDLLpSB","properties":{"formattedCitation":"\\super 18\\nosupersub{}","plainCitation":"18","noteIndex":0},"citationItems":[{"id":44,"uris":["http://zotero.org/users/local/r2R059Ry/items/235NV3WH"],"uri":["http://zotero.org/users/local/r2R059Ry/items/235NV3WH"],"itemData":{"id":44,"type":"article-journal","abstract":"Hematopoietic stem cell (HSC) transplantation represents a curative treatment for various hematological disorders. However, delayed reconstitution of innate and adaptive immunity often causes fatal complications. HSC maintenance and lineage differentiation are supported by stromal niches, and we now ﬁnd that bone marrow stroma cells (BMSCs) are severely and permanently damaged by the pre-conditioning irradiation required for efﬁcient HSC transplantation. Using mouse models, we show that stromal insufﬁciency limits the number of donor-derived HSCs and B lymphopoiesis. Intra-bone transplantation of primary, but not cultured, BMSCs quantitatively reconstitutes stroma function in vivo, which is mediated by a multipotent NT5E+ (CD73)+ ENGÀ (CD105)À LY6A+ (SCA1)+ BMSC subpopulation. BMSC co-transplantation doubles the number of functional, donor-derived HSCs and signiﬁcantly reduces clinically relevant side effects associated with HSC transplantation including neutropenia and humoral immunodeﬁciency. These data demonstrate the potential of stroma recovery to improve HSC transplantation.","container-title":"Cell Stem Cell","DOI":"10.1016/j.stem.2017.07.004","ISSN":"19345909","issue":"2","journalAbbreviation":"Cell Stem Cell","language":"en","page":"241-255.e6","source":"DOI.org (Crossref)","title":"Long-Term Engraftment of Primary Bone Marrow Stromal Cells Repairs Niche Damage and Improves Hematopoietic Stem Cell Transplantation","volume":"21","author":[{"family":"Abbuehl","given":"Jean-Paul"},{"family":"Tatarova","given":"Zuzana"},{"family":"Held","given":"Werner"},{"family":"Huelsken","given":"Joerg"}],"issued":{"date-parts":[["2017",8]]}}}],"schema":"https://github.com/citation-style-language/schema/raw/master/csl-citation.json"} </w:instrText>
      </w:r>
      <w:r w:rsidR="00CE74CA" w:rsidRPr="003475EB">
        <w:rPr>
          <w:rFonts w:ascii="Calibri" w:hAnsi="Calibri" w:cs="Calibri"/>
          <w:color w:val="000000" w:themeColor="text1"/>
          <w:shd w:val="clear" w:color="auto" w:fill="FFFFFF"/>
        </w:rPr>
        <w:fldChar w:fldCharType="separate"/>
      </w:r>
      <w:r w:rsidR="00CE74CA" w:rsidRPr="003475EB">
        <w:rPr>
          <w:rFonts w:ascii="Calibri" w:hAnsi="Calibri" w:cs="Calibri"/>
          <w:color w:val="000000" w:themeColor="text1"/>
          <w:vertAlign w:val="superscript"/>
        </w:rPr>
        <w:t>17</w:t>
      </w:r>
      <w:r w:rsidR="00CE74CA" w:rsidRPr="003475EB">
        <w:rPr>
          <w:rFonts w:ascii="Calibri" w:hAnsi="Calibri" w:cs="Calibri"/>
          <w:color w:val="000000" w:themeColor="text1"/>
          <w:shd w:val="clear" w:color="auto" w:fill="FFFFFF"/>
        </w:rPr>
        <w:fldChar w:fldCharType="end"/>
      </w:r>
      <w:r w:rsidR="00D15EF8" w:rsidRPr="003475EB">
        <w:rPr>
          <w:rFonts w:ascii="Calibri" w:hAnsi="Calibri" w:cs="Calibri"/>
          <w:color w:val="000000" w:themeColor="text1"/>
          <w:shd w:val="clear" w:color="auto" w:fill="FFFFFF"/>
        </w:rPr>
        <w:t>.</w:t>
      </w:r>
      <w:r w:rsidR="0042361F" w:rsidRPr="003475EB">
        <w:rPr>
          <w:rFonts w:ascii="Calibri" w:hAnsi="Calibri" w:cs="Calibri"/>
          <w:color w:val="000000" w:themeColor="text1"/>
          <w:shd w:val="clear" w:color="auto" w:fill="FFFFFF"/>
        </w:rPr>
        <w:t xml:space="preserve"> </w:t>
      </w:r>
      <w:r w:rsidR="00917A57" w:rsidRPr="003475EB">
        <w:rPr>
          <w:rFonts w:ascii="Calibri" w:hAnsi="Calibri" w:cs="Calibri"/>
          <w:color w:val="000000" w:themeColor="text1"/>
          <w:shd w:val="clear" w:color="auto" w:fill="FFFFFF"/>
        </w:rPr>
        <w:t>S</w:t>
      </w:r>
      <w:r w:rsidR="0063564F" w:rsidRPr="003475EB">
        <w:rPr>
          <w:rFonts w:ascii="Calibri" w:hAnsi="Calibri" w:cs="Calibri"/>
          <w:color w:val="000000" w:themeColor="text1"/>
          <w:shd w:val="clear" w:color="auto" w:fill="FFFFFF"/>
        </w:rPr>
        <w:t>hield</w:t>
      </w:r>
      <w:r w:rsidR="0004172B" w:rsidRPr="003475EB">
        <w:rPr>
          <w:rFonts w:ascii="Calibri" w:hAnsi="Calibri" w:cs="Calibri"/>
          <w:color w:val="000000" w:themeColor="text1"/>
          <w:shd w:val="clear" w:color="auto" w:fill="FFFFFF"/>
        </w:rPr>
        <w:t xml:space="preserve">ing the </w:t>
      </w:r>
      <w:r w:rsidR="008B5752" w:rsidRPr="003475EB">
        <w:rPr>
          <w:rFonts w:ascii="Calibri" w:hAnsi="Calibri" w:cs="Calibri"/>
          <w:color w:val="000000" w:themeColor="text1"/>
          <w:shd w:val="clear" w:color="auto" w:fill="FFFFFF"/>
        </w:rPr>
        <w:t>thorax</w:t>
      </w:r>
      <w:r w:rsidR="0004172B" w:rsidRPr="003475EB">
        <w:rPr>
          <w:rFonts w:ascii="Calibri" w:hAnsi="Calibri" w:cs="Calibri"/>
          <w:color w:val="000000" w:themeColor="text1"/>
          <w:shd w:val="clear" w:color="auto" w:fill="FFFFFF"/>
        </w:rPr>
        <w:t xml:space="preserve">, </w:t>
      </w:r>
      <w:r w:rsidR="008B5752" w:rsidRPr="003475EB">
        <w:rPr>
          <w:rFonts w:ascii="Calibri" w:hAnsi="Calibri" w:cs="Calibri"/>
          <w:color w:val="000000" w:themeColor="text1"/>
          <w:shd w:val="clear" w:color="auto" w:fill="FFFFFF"/>
        </w:rPr>
        <w:t>abdominal cavity</w:t>
      </w:r>
      <w:r w:rsidR="003A3E6D" w:rsidRPr="003475EB">
        <w:rPr>
          <w:rFonts w:ascii="Calibri" w:hAnsi="Calibri" w:cs="Calibri"/>
          <w:color w:val="000000" w:themeColor="text1"/>
          <w:shd w:val="clear" w:color="auto" w:fill="FFFFFF"/>
        </w:rPr>
        <w:t xml:space="preserve">, </w:t>
      </w:r>
      <w:proofErr w:type="gramStart"/>
      <w:r w:rsidR="003A3E6D" w:rsidRPr="003475EB">
        <w:rPr>
          <w:rFonts w:ascii="Calibri" w:hAnsi="Calibri" w:cs="Calibri"/>
          <w:color w:val="000000" w:themeColor="text1"/>
          <w:shd w:val="clear" w:color="auto" w:fill="FFFFFF"/>
        </w:rPr>
        <w:t>head</w:t>
      </w:r>
      <w:proofErr w:type="gramEnd"/>
      <w:r w:rsidR="00083B97" w:rsidRPr="003475EB">
        <w:rPr>
          <w:rFonts w:ascii="Calibri" w:hAnsi="Calibri" w:cs="Calibri"/>
          <w:color w:val="000000" w:themeColor="text1"/>
          <w:shd w:val="clear" w:color="auto" w:fill="FFFFFF"/>
        </w:rPr>
        <w:t xml:space="preserve"> or other</w:t>
      </w:r>
      <w:r w:rsidR="007849B6" w:rsidRPr="003475EB">
        <w:rPr>
          <w:rFonts w:ascii="Calibri" w:hAnsi="Calibri" w:cs="Calibri"/>
          <w:color w:val="000000" w:themeColor="text1"/>
          <w:shd w:val="clear" w:color="auto" w:fill="FFFFFF"/>
        </w:rPr>
        <w:t xml:space="preserve"> </w:t>
      </w:r>
      <w:r w:rsidR="008F7A3E" w:rsidRPr="003475EB">
        <w:rPr>
          <w:rFonts w:ascii="Calibri" w:hAnsi="Calibri" w:cs="Calibri"/>
          <w:color w:val="000000" w:themeColor="text1"/>
          <w:shd w:val="clear" w:color="auto" w:fill="FFFFFF"/>
        </w:rPr>
        <w:t>regions</w:t>
      </w:r>
      <w:r w:rsidR="0004172B" w:rsidRPr="003475EB">
        <w:rPr>
          <w:rFonts w:ascii="Calibri" w:hAnsi="Calibri" w:cs="Calibri"/>
          <w:color w:val="000000" w:themeColor="text1"/>
          <w:shd w:val="clear" w:color="auto" w:fill="FFFFFF"/>
        </w:rPr>
        <w:t xml:space="preserve"> </w:t>
      </w:r>
      <w:r w:rsidR="00917A57" w:rsidRPr="003475EB">
        <w:rPr>
          <w:rFonts w:ascii="Calibri" w:hAnsi="Calibri" w:cs="Calibri"/>
          <w:color w:val="000000" w:themeColor="text1"/>
          <w:shd w:val="clear" w:color="auto" w:fill="FFFFFF"/>
        </w:rPr>
        <w:t>from</w:t>
      </w:r>
      <w:r w:rsidR="007A31B1" w:rsidRPr="003475EB">
        <w:rPr>
          <w:rFonts w:ascii="Calibri" w:hAnsi="Calibri" w:cs="Calibri"/>
          <w:color w:val="000000" w:themeColor="text1"/>
          <w:shd w:val="clear" w:color="auto" w:fill="FFFFFF"/>
        </w:rPr>
        <w:t xml:space="preserve"> irradiation</w:t>
      </w:r>
      <w:r w:rsidR="00917A57" w:rsidRPr="003475EB">
        <w:rPr>
          <w:rFonts w:ascii="Calibri" w:hAnsi="Calibri" w:cs="Calibri"/>
          <w:color w:val="000000" w:themeColor="text1"/>
          <w:shd w:val="clear" w:color="auto" w:fill="FFFFFF"/>
        </w:rPr>
        <w:t xml:space="preserve"> by </w:t>
      </w:r>
      <w:r w:rsidR="00942D5C" w:rsidRPr="003475EB">
        <w:rPr>
          <w:rFonts w:ascii="Calibri" w:hAnsi="Calibri" w:cs="Calibri"/>
          <w:color w:val="000000" w:themeColor="text1"/>
          <w:shd w:val="clear" w:color="auto" w:fill="FFFFFF"/>
        </w:rPr>
        <w:t xml:space="preserve">the </w:t>
      </w:r>
      <w:r w:rsidR="00D34DFD" w:rsidRPr="003475EB">
        <w:rPr>
          <w:rFonts w:ascii="Calibri" w:hAnsi="Calibri" w:cs="Calibri"/>
          <w:color w:val="000000" w:themeColor="text1"/>
          <w:shd w:val="clear" w:color="auto" w:fill="FFFFFF"/>
        </w:rPr>
        <w:t>placement</w:t>
      </w:r>
      <w:r w:rsidR="00942D5C" w:rsidRPr="003475EB">
        <w:rPr>
          <w:rFonts w:ascii="Calibri" w:hAnsi="Calibri" w:cs="Calibri"/>
          <w:color w:val="000000" w:themeColor="text1"/>
          <w:shd w:val="clear" w:color="auto" w:fill="FFFFFF"/>
        </w:rPr>
        <w:t xml:space="preserve"> </w:t>
      </w:r>
      <w:r w:rsidR="00917A57" w:rsidRPr="003475EB">
        <w:rPr>
          <w:rFonts w:ascii="Calibri" w:hAnsi="Calibri" w:cs="Calibri"/>
          <w:color w:val="000000" w:themeColor="text1"/>
          <w:shd w:val="clear" w:color="auto" w:fill="FFFFFF"/>
        </w:rPr>
        <w:t xml:space="preserve">of a lead </w:t>
      </w:r>
      <w:r w:rsidR="003D0F7A" w:rsidRPr="003475EB">
        <w:rPr>
          <w:rFonts w:ascii="Calibri" w:hAnsi="Calibri" w:cs="Calibri"/>
          <w:color w:val="000000" w:themeColor="text1"/>
          <w:shd w:val="clear" w:color="auto" w:fill="FFFFFF"/>
        </w:rPr>
        <w:t>barriers</w:t>
      </w:r>
      <w:r w:rsidR="00917A57" w:rsidRPr="003475EB">
        <w:rPr>
          <w:rFonts w:ascii="Calibri" w:hAnsi="Calibri" w:cs="Calibri"/>
          <w:color w:val="000000" w:themeColor="text1"/>
          <w:shd w:val="clear" w:color="auto" w:fill="FFFFFF"/>
        </w:rPr>
        <w:t xml:space="preserve"> </w:t>
      </w:r>
      <w:r w:rsidR="00B258A6" w:rsidRPr="003475EB">
        <w:rPr>
          <w:rFonts w:ascii="Calibri" w:hAnsi="Calibri" w:cs="Calibri"/>
          <w:color w:val="000000" w:themeColor="text1"/>
          <w:shd w:val="clear" w:color="auto" w:fill="FFFFFF"/>
        </w:rPr>
        <w:t>keep</w:t>
      </w:r>
      <w:r w:rsidR="003A3E6D" w:rsidRPr="003475EB">
        <w:rPr>
          <w:rFonts w:ascii="Calibri" w:hAnsi="Calibri" w:cs="Calibri"/>
          <w:color w:val="000000" w:themeColor="text1"/>
          <w:shd w:val="clear" w:color="auto" w:fill="FFFFFF"/>
        </w:rPr>
        <w:t>s</w:t>
      </w:r>
      <w:r w:rsidR="00B258A6" w:rsidRPr="003475EB">
        <w:rPr>
          <w:rFonts w:ascii="Calibri" w:hAnsi="Calibri" w:cs="Calibri"/>
          <w:color w:val="000000" w:themeColor="text1"/>
          <w:shd w:val="clear" w:color="auto" w:fill="FFFFFF"/>
        </w:rPr>
        <w:t xml:space="preserve"> tissue</w:t>
      </w:r>
      <w:r w:rsidR="00917A57" w:rsidRPr="003475EB">
        <w:rPr>
          <w:rFonts w:ascii="Calibri" w:hAnsi="Calibri" w:cs="Calibri"/>
          <w:color w:val="000000" w:themeColor="text1"/>
          <w:shd w:val="clear" w:color="auto" w:fill="FFFFFF"/>
        </w:rPr>
        <w:t>s</w:t>
      </w:r>
      <w:r w:rsidR="0004172B" w:rsidRPr="003475EB">
        <w:rPr>
          <w:rFonts w:ascii="Calibri" w:hAnsi="Calibri" w:cs="Calibri"/>
          <w:color w:val="000000" w:themeColor="text1"/>
          <w:shd w:val="clear" w:color="auto" w:fill="FFFFFF"/>
        </w:rPr>
        <w:t xml:space="preserve"> of interest</w:t>
      </w:r>
      <w:r w:rsidR="00B258A6" w:rsidRPr="003475EB">
        <w:rPr>
          <w:rFonts w:ascii="Calibri" w:hAnsi="Calibri" w:cs="Calibri"/>
          <w:color w:val="000000" w:themeColor="text1"/>
          <w:shd w:val="clear" w:color="auto" w:fill="FFFFFF"/>
        </w:rPr>
        <w:t xml:space="preserve"> protect</w:t>
      </w:r>
      <w:r w:rsidR="00CE79B6" w:rsidRPr="003475EB">
        <w:rPr>
          <w:rFonts w:ascii="Calibri" w:hAnsi="Calibri" w:cs="Calibri"/>
          <w:color w:val="000000" w:themeColor="text1"/>
          <w:shd w:val="clear" w:color="auto" w:fill="FFFFFF"/>
        </w:rPr>
        <w:t>ed</w:t>
      </w:r>
      <w:r w:rsidR="00B258A6" w:rsidRPr="003475EB">
        <w:rPr>
          <w:rFonts w:ascii="Calibri" w:hAnsi="Calibri" w:cs="Calibri"/>
          <w:color w:val="000000" w:themeColor="text1"/>
          <w:shd w:val="clear" w:color="auto" w:fill="FFFFFF"/>
        </w:rPr>
        <w:t xml:space="preserve"> from the</w:t>
      </w:r>
      <w:r w:rsidR="00917A57" w:rsidRPr="003475EB">
        <w:rPr>
          <w:rFonts w:ascii="Calibri" w:hAnsi="Calibri" w:cs="Calibri"/>
          <w:color w:val="000000" w:themeColor="text1"/>
          <w:shd w:val="clear" w:color="auto" w:fill="FFFFFF"/>
        </w:rPr>
        <w:t xml:space="preserve"> damaging effects of</w:t>
      </w:r>
      <w:r w:rsidR="00B258A6" w:rsidRPr="003475EB">
        <w:rPr>
          <w:rFonts w:ascii="Calibri" w:hAnsi="Calibri" w:cs="Calibri"/>
          <w:color w:val="000000" w:themeColor="text1"/>
          <w:shd w:val="clear" w:color="auto" w:fill="FFFFFF"/>
        </w:rPr>
        <w:t xml:space="preserve"> irradiation and </w:t>
      </w:r>
      <w:r w:rsidR="003A3E6D" w:rsidRPr="003475EB">
        <w:rPr>
          <w:rFonts w:ascii="Calibri" w:hAnsi="Calibri" w:cs="Calibri"/>
          <w:color w:val="000000" w:themeColor="text1"/>
          <w:shd w:val="clear" w:color="auto" w:fill="FFFFFF"/>
        </w:rPr>
        <w:t>maintains</w:t>
      </w:r>
      <w:r w:rsidR="00917A57" w:rsidRPr="003475EB">
        <w:rPr>
          <w:rFonts w:ascii="Calibri" w:hAnsi="Calibri" w:cs="Calibri"/>
          <w:color w:val="000000" w:themeColor="text1"/>
          <w:shd w:val="clear" w:color="auto" w:fill="FFFFFF"/>
        </w:rPr>
        <w:t xml:space="preserve"> </w:t>
      </w:r>
      <w:r w:rsidR="00B258A6" w:rsidRPr="003475EB">
        <w:rPr>
          <w:rFonts w:ascii="Calibri" w:hAnsi="Calibri" w:cs="Calibri"/>
          <w:color w:val="000000" w:themeColor="text1"/>
          <w:shd w:val="clear" w:color="auto" w:fill="FFFFFF"/>
        </w:rPr>
        <w:t>the</w:t>
      </w:r>
      <w:r w:rsidR="00A45344" w:rsidRPr="003475EB">
        <w:rPr>
          <w:rFonts w:ascii="Calibri" w:hAnsi="Calibri" w:cs="Calibri"/>
          <w:color w:val="000000" w:themeColor="text1"/>
          <w:shd w:val="clear" w:color="auto" w:fill="FFFFFF"/>
        </w:rPr>
        <w:t>ir</w:t>
      </w:r>
      <w:r w:rsidR="00B258A6" w:rsidRPr="003475EB">
        <w:rPr>
          <w:rFonts w:ascii="Calibri" w:hAnsi="Calibri" w:cs="Calibri"/>
          <w:color w:val="000000" w:themeColor="text1"/>
          <w:shd w:val="clear" w:color="auto" w:fill="FFFFFF"/>
        </w:rPr>
        <w:t xml:space="preserve"> resident immune cell population.</w:t>
      </w:r>
      <w:r w:rsidR="008D089E" w:rsidRPr="003475EB">
        <w:rPr>
          <w:rFonts w:ascii="Calibri" w:hAnsi="Calibri" w:cs="Calibri"/>
          <w:color w:val="000000" w:themeColor="text1"/>
          <w:shd w:val="clear" w:color="auto" w:fill="FFFFFF"/>
        </w:rPr>
        <w:t xml:space="preserve"> </w:t>
      </w:r>
      <w:r w:rsidR="00675D19" w:rsidRPr="003475EB">
        <w:rPr>
          <w:rFonts w:ascii="Calibri" w:hAnsi="Calibri" w:cs="Calibri"/>
          <w:color w:val="000000" w:themeColor="text1"/>
          <w:shd w:val="clear" w:color="auto" w:fill="FFFFFF"/>
        </w:rPr>
        <w:t>On the other hand, t</w:t>
      </w:r>
      <w:r w:rsidR="00942D5C" w:rsidRPr="003475EB">
        <w:rPr>
          <w:rFonts w:ascii="Calibri" w:hAnsi="Calibri" w:cs="Calibri"/>
          <w:color w:val="000000" w:themeColor="text1"/>
          <w:shd w:val="clear" w:color="auto" w:fill="FFFFFF"/>
        </w:rPr>
        <w:t>he a</w:t>
      </w:r>
      <w:r w:rsidR="00B91A4C" w:rsidRPr="003475EB">
        <w:rPr>
          <w:rFonts w:ascii="Calibri" w:hAnsi="Calibri" w:cs="Calibri"/>
          <w:color w:val="000000" w:themeColor="text1"/>
          <w:shd w:val="clear" w:color="auto" w:fill="FFFFFF"/>
        </w:rPr>
        <w:t xml:space="preserve">doptive </w:t>
      </w:r>
      <w:r w:rsidR="00037F19">
        <w:rPr>
          <w:rFonts w:ascii="Calibri" w:hAnsi="Calibri" w:cs="Calibri"/>
          <w:color w:val="000000" w:themeColor="text1"/>
          <w:shd w:val="clear" w:color="auto" w:fill="FFFFFF"/>
        </w:rPr>
        <w:t>BMT</w:t>
      </w:r>
      <w:r w:rsidR="00037F19" w:rsidRPr="003475EB">
        <w:rPr>
          <w:rFonts w:ascii="Calibri" w:hAnsi="Calibri" w:cs="Calibri"/>
          <w:color w:val="000000" w:themeColor="text1"/>
          <w:shd w:val="clear" w:color="auto" w:fill="FFFFFF"/>
        </w:rPr>
        <w:t xml:space="preserve"> </w:t>
      </w:r>
      <w:r w:rsidR="00B91A4C" w:rsidRPr="003475EB">
        <w:rPr>
          <w:rFonts w:ascii="Calibri" w:hAnsi="Calibri" w:cs="Calibri"/>
          <w:color w:val="000000" w:themeColor="text1"/>
          <w:shd w:val="clear" w:color="auto" w:fill="FFFFFF"/>
        </w:rPr>
        <w:t>of HS</w:t>
      </w:r>
      <w:r w:rsidR="003A3E6D" w:rsidRPr="003475EB">
        <w:rPr>
          <w:rFonts w:ascii="Calibri" w:hAnsi="Calibri" w:cs="Calibri"/>
          <w:color w:val="000000" w:themeColor="text1"/>
          <w:shd w:val="clear" w:color="auto" w:fill="FFFFFF"/>
        </w:rPr>
        <w:t>P</w:t>
      </w:r>
      <w:r w:rsidR="00B91A4C" w:rsidRPr="003475EB">
        <w:rPr>
          <w:rFonts w:ascii="Calibri" w:hAnsi="Calibri" w:cs="Calibri"/>
          <w:color w:val="000000" w:themeColor="text1"/>
          <w:shd w:val="clear" w:color="auto" w:fill="FFFFFF"/>
        </w:rPr>
        <w:t>C</w:t>
      </w:r>
      <w:r w:rsidR="00917A57" w:rsidRPr="003475EB">
        <w:rPr>
          <w:rFonts w:ascii="Calibri" w:hAnsi="Calibri" w:cs="Calibri"/>
          <w:color w:val="000000" w:themeColor="text1"/>
          <w:shd w:val="clear" w:color="auto" w:fill="FFFFFF"/>
        </w:rPr>
        <w:t>s</w:t>
      </w:r>
      <w:r w:rsidR="00B91A4C" w:rsidRPr="003475EB">
        <w:rPr>
          <w:rFonts w:ascii="Calibri" w:hAnsi="Calibri" w:cs="Calibri"/>
          <w:color w:val="000000" w:themeColor="text1"/>
          <w:shd w:val="clear" w:color="auto" w:fill="FFFFFF"/>
        </w:rPr>
        <w:t xml:space="preserve"> </w:t>
      </w:r>
      <w:r w:rsidR="00675D19" w:rsidRPr="003475EB">
        <w:rPr>
          <w:rFonts w:ascii="Calibri" w:hAnsi="Calibri" w:cs="Calibri"/>
          <w:color w:val="000000" w:themeColor="text1"/>
          <w:shd w:val="clear" w:color="auto" w:fill="FFFFFF"/>
        </w:rPr>
        <w:t>to non-conditioned mice</w:t>
      </w:r>
      <w:r w:rsidR="00B91A4C" w:rsidRPr="003475EB">
        <w:rPr>
          <w:rFonts w:ascii="Calibri" w:hAnsi="Calibri" w:cs="Calibri"/>
          <w:color w:val="000000" w:themeColor="text1"/>
          <w:shd w:val="clear" w:color="auto" w:fill="FFFFFF"/>
        </w:rPr>
        <w:t xml:space="preserve"> </w:t>
      </w:r>
      <w:r w:rsidR="00D34DFD" w:rsidRPr="003475EB">
        <w:rPr>
          <w:rFonts w:ascii="Calibri" w:hAnsi="Calibri" w:cs="Calibri"/>
          <w:color w:val="000000" w:themeColor="text1"/>
          <w:shd w:val="clear" w:color="auto" w:fill="FFFFFF"/>
        </w:rPr>
        <w:t>has</w:t>
      </w:r>
      <w:r w:rsidR="00B258A6" w:rsidRPr="003475EB">
        <w:rPr>
          <w:rFonts w:ascii="Calibri" w:hAnsi="Calibri" w:cs="Calibri"/>
          <w:color w:val="000000" w:themeColor="text1"/>
          <w:shd w:val="clear" w:color="auto" w:fill="FFFFFF"/>
        </w:rPr>
        <w:t xml:space="preserve"> </w:t>
      </w:r>
      <w:r w:rsidR="00CE79B6" w:rsidRPr="003475EB">
        <w:rPr>
          <w:rFonts w:ascii="Calibri" w:hAnsi="Calibri" w:cs="Calibri"/>
          <w:color w:val="000000" w:themeColor="text1"/>
          <w:shd w:val="clear" w:color="auto" w:fill="FFFFFF"/>
        </w:rPr>
        <w:t>a</w:t>
      </w:r>
      <w:r w:rsidR="00083B97" w:rsidRPr="003475EB">
        <w:rPr>
          <w:rFonts w:ascii="Calibri" w:hAnsi="Calibri" w:cs="Calibri"/>
          <w:color w:val="000000" w:themeColor="text1"/>
          <w:shd w:val="clear" w:color="auto" w:fill="FFFFFF"/>
        </w:rPr>
        <w:t>n</w:t>
      </w:r>
      <w:r w:rsidR="00CE79B6" w:rsidRPr="003475EB">
        <w:rPr>
          <w:rFonts w:ascii="Calibri" w:hAnsi="Calibri" w:cs="Calibri"/>
          <w:color w:val="000000" w:themeColor="text1"/>
          <w:shd w:val="clear" w:color="auto" w:fill="FFFFFF"/>
        </w:rPr>
        <w:t xml:space="preserve"> </w:t>
      </w:r>
      <w:r w:rsidR="00B258A6" w:rsidRPr="003475EB">
        <w:rPr>
          <w:rFonts w:ascii="Calibri" w:hAnsi="Calibri" w:cs="Calibri"/>
          <w:color w:val="000000" w:themeColor="text1"/>
          <w:shd w:val="clear" w:color="auto" w:fill="FFFFFF"/>
        </w:rPr>
        <w:t xml:space="preserve">additional advantage </w:t>
      </w:r>
      <w:r w:rsidR="00D34DFD" w:rsidRPr="003475EB">
        <w:rPr>
          <w:rFonts w:ascii="Calibri" w:hAnsi="Calibri" w:cs="Calibri"/>
          <w:color w:val="000000" w:themeColor="text1"/>
          <w:shd w:val="clear" w:color="auto" w:fill="FFFFFF"/>
        </w:rPr>
        <w:t>because it preserves</w:t>
      </w:r>
      <w:r w:rsidR="00CE79B6" w:rsidRPr="003475EB">
        <w:rPr>
          <w:rFonts w:ascii="Calibri" w:hAnsi="Calibri" w:cs="Calibri"/>
          <w:color w:val="000000" w:themeColor="text1"/>
          <w:shd w:val="clear" w:color="auto" w:fill="FFFFFF"/>
        </w:rPr>
        <w:t xml:space="preserve"> the</w:t>
      </w:r>
      <w:r w:rsidR="00B258A6" w:rsidRPr="003475EB">
        <w:rPr>
          <w:rFonts w:ascii="Calibri" w:hAnsi="Calibri" w:cs="Calibri"/>
          <w:color w:val="000000" w:themeColor="text1"/>
          <w:shd w:val="clear" w:color="auto" w:fill="FFFFFF"/>
        </w:rPr>
        <w:t xml:space="preserve"> </w:t>
      </w:r>
      <w:r w:rsidR="00917A57" w:rsidRPr="003475EB">
        <w:rPr>
          <w:rFonts w:ascii="Calibri" w:hAnsi="Calibri" w:cs="Calibri"/>
          <w:color w:val="000000" w:themeColor="text1"/>
          <w:shd w:val="clear" w:color="auto" w:fill="FFFFFF"/>
        </w:rPr>
        <w:t xml:space="preserve">native </w:t>
      </w:r>
      <w:r w:rsidR="00B258A6" w:rsidRPr="003475EB">
        <w:rPr>
          <w:rFonts w:ascii="Calibri" w:hAnsi="Calibri" w:cs="Calibri"/>
          <w:color w:val="000000" w:themeColor="text1"/>
          <w:shd w:val="clear" w:color="auto" w:fill="FFFFFF"/>
        </w:rPr>
        <w:t>hematopoietic niche</w:t>
      </w:r>
      <w:r w:rsidR="00A36D2F" w:rsidRPr="003475EB">
        <w:rPr>
          <w:rFonts w:ascii="Calibri" w:hAnsi="Calibri" w:cs="Calibri"/>
          <w:color w:val="000000" w:themeColor="text1"/>
          <w:shd w:val="clear" w:color="auto" w:fill="FFFFFF"/>
        </w:rPr>
        <w:t>.</w:t>
      </w:r>
      <w:r w:rsidR="00166255" w:rsidRPr="003475EB">
        <w:rPr>
          <w:rFonts w:ascii="Calibri" w:hAnsi="Calibri" w:cs="Calibri"/>
          <w:color w:val="000000" w:themeColor="text1"/>
          <w:shd w:val="clear" w:color="auto" w:fill="FFFFFF"/>
        </w:rPr>
        <w:t xml:space="preserve"> </w:t>
      </w:r>
      <w:r w:rsidR="00144D12" w:rsidRPr="003475EB">
        <w:rPr>
          <w:rFonts w:ascii="Calibri" w:hAnsi="Calibri" w:cs="Calibri"/>
          <w:color w:val="000000" w:themeColor="text1"/>
          <w:shd w:val="clear" w:color="auto" w:fill="FFFFFF"/>
        </w:rPr>
        <w:t xml:space="preserve">In this </w:t>
      </w:r>
      <w:r w:rsidR="008F7A3E" w:rsidRPr="003475EB">
        <w:rPr>
          <w:rFonts w:ascii="Calibri" w:hAnsi="Calibri" w:cs="Calibri"/>
          <w:color w:val="000000" w:themeColor="text1"/>
          <w:shd w:val="clear" w:color="auto" w:fill="FFFFFF"/>
        </w:rPr>
        <w:t>manuscript</w:t>
      </w:r>
      <w:r w:rsidR="00144D12" w:rsidRPr="003475EB">
        <w:rPr>
          <w:rFonts w:ascii="Calibri" w:hAnsi="Calibri" w:cs="Calibri"/>
          <w:color w:val="000000" w:themeColor="text1"/>
          <w:shd w:val="clear" w:color="auto" w:fill="FFFFFF"/>
        </w:rPr>
        <w:t xml:space="preserve">, we describe the </w:t>
      </w:r>
      <w:r w:rsidR="00CE79B6" w:rsidRPr="003475EB">
        <w:rPr>
          <w:rFonts w:ascii="Calibri" w:hAnsi="Calibri" w:cs="Calibri"/>
          <w:color w:val="000000" w:themeColor="text1"/>
          <w:shd w:val="clear" w:color="auto" w:fill="FFFFFF"/>
        </w:rPr>
        <w:t xml:space="preserve">protocols and results of </w:t>
      </w:r>
      <w:r w:rsidR="00B91A4C" w:rsidRPr="003475EB">
        <w:rPr>
          <w:rFonts w:ascii="Calibri" w:hAnsi="Calibri" w:cs="Calibri"/>
          <w:color w:val="000000" w:themeColor="text1"/>
          <w:shd w:val="clear" w:color="auto" w:fill="FFFFFF"/>
        </w:rPr>
        <w:t>HS</w:t>
      </w:r>
      <w:r w:rsidR="003A3E6D" w:rsidRPr="003475EB">
        <w:rPr>
          <w:rFonts w:ascii="Calibri" w:hAnsi="Calibri" w:cs="Calibri"/>
          <w:color w:val="000000" w:themeColor="text1"/>
          <w:shd w:val="clear" w:color="auto" w:fill="FFFFFF"/>
        </w:rPr>
        <w:t>P</w:t>
      </w:r>
      <w:r w:rsidR="00B91A4C" w:rsidRPr="003475EB">
        <w:rPr>
          <w:rFonts w:ascii="Calibri" w:hAnsi="Calibri" w:cs="Calibri"/>
          <w:color w:val="000000" w:themeColor="text1"/>
          <w:shd w:val="clear" w:color="auto" w:fill="FFFFFF"/>
        </w:rPr>
        <w:t>C engraftment after</w:t>
      </w:r>
      <w:r w:rsidR="00144D12" w:rsidRPr="003475EB">
        <w:rPr>
          <w:rFonts w:ascii="Calibri" w:hAnsi="Calibri" w:cs="Calibri"/>
          <w:color w:val="000000" w:themeColor="text1"/>
          <w:shd w:val="clear" w:color="auto" w:fill="FFFFFF"/>
        </w:rPr>
        <w:t xml:space="preserve"> </w:t>
      </w:r>
      <w:r w:rsidR="000D699E" w:rsidRPr="003475EB">
        <w:rPr>
          <w:rFonts w:ascii="Calibri" w:hAnsi="Calibri" w:cs="Calibri"/>
          <w:color w:val="000000" w:themeColor="text1"/>
          <w:shd w:val="clear" w:color="auto" w:fill="FFFFFF"/>
        </w:rPr>
        <w:t xml:space="preserve">several </w:t>
      </w:r>
      <w:r w:rsidR="00621756" w:rsidRPr="003475EB">
        <w:rPr>
          <w:rFonts w:ascii="Calibri" w:hAnsi="Calibri" w:cs="Calibri"/>
          <w:color w:val="000000" w:themeColor="text1"/>
          <w:shd w:val="clear" w:color="auto" w:fill="FFFFFF"/>
        </w:rPr>
        <w:t>transplantation</w:t>
      </w:r>
      <w:r w:rsidR="000D699E" w:rsidRPr="003475EB">
        <w:rPr>
          <w:rFonts w:ascii="Calibri" w:hAnsi="Calibri" w:cs="Calibri"/>
          <w:color w:val="000000" w:themeColor="text1"/>
          <w:shd w:val="clear" w:color="auto" w:fill="FFFFFF"/>
        </w:rPr>
        <w:t xml:space="preserve"> regimens</w:t>
      </w:r>
      <w:r w:rsidR="00917A57" w:rsidRPr="003475EB">
        <w:rPr>
          <w:rFonts w:ascii="Calibri" w:hAnsi="Calibri" w:cs="Calibri"/>
          <w:color w:val="000000" w:themeColor="text1"/>
          <w:shd w:val="clear" w:color="auto" w:fill="FFFFFF"/>
        </w:rPr>
        <w:t xml:space="preserve"> in mice</w:t>
      </w:r>
      <w:r w:rsidR="008F7A3E" w:rsidRPr="003475EB">
        <w:rPr>
          <w:rFonts w:ascii="Calibri" w:hAnsi="Calibri" w:cs="Calibri"/>
          <w:color w:val="000000" w:themeColor="text1"/>
          <w:shd w:val="clear" w:color="auto" w:fill="FFFFFF"/>
        </w:rPr>
        <w:t>, specifically</w:t>
      </w:r>
      <w:r w:rsidR="00675D19" w:rsidRPr="003475EB">
        <w:rPr>
          <w:rFonts w:ascii="Calibri" w:hAnsi="Calibri" w:cs="Calibri"/>
          <w:color w:val="000000" w:themeColor="text1"/>
          <w:shd w:val="clear" w:color="auto" w:fill="FFFFFF"/>
        </w:rPr>
        <w:t xml:space="preserve"> the delivery of HSPC to</w:t>
      </w:r>
      <w:r w:rsidR="000D699E" w:rsidRPr="003475EB">
        <w:rPr>
          <w:rFonts w:ascii="Calibri" w:hAnsi="Calibri" w:cs="Calibri"/>
          <w:color w:val="000000" w:themeColor="text1"/>
          <w:shd w:val="clear" w:color="auto" w:fill="FFFFFF"/>
        </w:rPr>
        <w:t xml:space="preserve"> </w:t>
      </w:r>
      <w:r w:rsidR="00B91A4C" w:rsidRPr="003475EB">
        <w:rPr>
          <w:rFonts w:ascii="Calibri" w:hAnsi="Calibri" w:cs="Calibri"/>
          <w:color w:val="000000" w:themeColor="text1"/>
          <w:shd w:val="clear" w:color="auto" w:fill="FFFFFF"/>
        </w:rPr>
        <w:t>TBI</w:t>
      </w:r>
      <w:r w:rsidR="00675D19" w:rsidRPr="003475EB">
        <w:rPr>
          <w:rFonts w:ascii="Calibri" w:hAnsi="Calibri" w:cs="Calibri"/>
          <w:color w:val="000000" w:themeColor="text1"/>
          <w:shd w:val="clear" w:color="auto" w:fill="FFFFFF"/>
        </w:rPr>
        <w:t xml:space="preserve"> mice</w:t>
      </w:r>
      <w:r w:rsidR="00B91A4C" w:rsidRPr="003475EB">
        <w:rPr>
          <w:rFonts w:ascii="Calibri" w:hAnsi="Calibri" w:cs="Calibri"/>
          <w:color w:val="000000" w:themeColor="text1"/>
          <w:shd w:val="clear" w:color="auto" w:fill="FFFFFF"/>
        </w:rPr>
        <w:t xml:space="preserve">, </w:t>
      </w:r>
      <w:r w:rsidR="00675D19" w:rsidRPr="003475EB">
        <w:rPr>
          <w:rFonts w:ascii="Calibri" w:hAnsi="Calibri" w:cs="Calibri"/>
          <w:color w:val="000000" w:themeColor="text1"/>
          <w:shd w:val="clear" w:color="auto" w:fill="FFFFFF"/>
        </w:rPr>
        <w:t xml:space="preserve">to mice </w:t>
      </w:r>
      <w:r w:rsidR="00B91A4C" w:rsidRPr="00BE2A2E">
        <w:rPr>
          <w:rFonts w:ascii="Calibri" w:hAnsi="Calibri" w:cs="Calibri"/>
          <w:color w:val="000000" w:themeColor="text1"/>
          <w:shd w:val="clear" w:color="auto" w:fill="FFFFFF"/>
        </w:rPr>
        <w:t xml:space="preserve">partially shielded </w:t>
      </w:r>
      <w:r w:rsidR="00675D19" w:rsidRPr="00BE2A2E">
        <w:rPr>
          <w:rFonts w:ascii="Calibri" w:hAnsi="Calibri" w:cs="Calibri"/>
          <w:color w:val="000000" w:themeColor="text1"/>
          <w:shd w:val="clear" w:color="auto" w:fill="FFFFFF"/>
        </w:rPr>
        <w:t xml:space="preserve">from </w:t>
      </w:r>
      <w:r w:rsidR="00B91A4C" w:rsidRPr="00BE2A2E">
        <w:rPr>
          <w:rFonts w:ascii="Calibri" w:hAnsi="Calibri" w:cs="Calibri"/>
          <w:color w:val="000000" w:themeColor="text1"/>
          <w:shd w:val="clear" w:color="auto" w:fill="FFFFFF"/>
        </w:rPr>
        <w:t xml:space="preserve">irradiation, and </w:t>
      </w:r>
      <w:r w:rsidR="00675D19" w:rsidRPr="00BE2A2E">
        <w:rPr>
          <w:rFonts w:ascii="Calibri" w:hAnsi="Calibri" w:cs="Calibri"/>
          <w:color w:val="000000" w:themeColor="text1"/>
          <w:shd w:val="clear" w:color="auto" w:fill="FFFFFF"/>
        </w:rPr>
        <w:t>to non-conditioned mice</w:t>
      </w:r>
      <w:r w:rsidR="00B91A4C" w:rsidRPr="00BE2A2E">
        <w:rPr>
          <w:rFonts w:ascii="Calibri" w:hAnsi="Calibri" w:cs="Calibri"/>
          <w:color w:val="000000" w:themeColor="text1"/>
          <w:shd w:val="clear" w:color="auto" w:fill="FFFFFF"/>
        </w:rPr>
        <w:t>.</w:t>
      </w:r>
      <w:r w:rsidR="006F4DC9" w:rsidRPr="00BE2A2E">
        <w:rPr>
          <w:rFonts w:ascii="Calibri" w:hAnsi="Calibri" w:cs="Calibri"/>
          <w:color w:val="000000" w:themeColor="text1"/>
          <w:shd w:val="clear" w:color="auto" w:fill="FFFFFF"/>
        </w:rPr>
        <w:t xml:space="preserve"> </w:t>
      </w:r>
      <w:r w:rsidR="005F3794" w:rsidRPr="003475EB">
        <w:rPr>
          <w:rFonts w:ascii="Calibri" w:hAnsi="Calibri" w:cs="Calibri"/>
          <w:color w:val="000000" w:themeColor="text1"/>
          <w:shd w:val="clear" w:color="auto" w:fill="FFFFFF"/>
        </w:rPr>
        <w:t>The overall goal is to</w:t>
      </w:r>
      <w:r w:rsidR="00144D12" w:rsidRPr="003475EB">
        <w:rPr>
          <w:rFonts w:ascii="Calibri" w:hAnsi="Calibri" w:cs="Calibri"/>
          <w:color w:val="000000" w:themeColor="text1"/>
          <w:shd w:val="clear" w:color="auto" w:fill="FFFFFF"/>
        </w:rPr>
        <w:t xml:space="preserve"> help </w:t>
      </w:r>
      <w:r w:rsidR="00CE79B6" w:rsidRPr="003475EB">
        <w:rPr>
          <w:rFonts w:ascii="Calibri" w:hAnsi="Calibri" w:cs="Calibri"/>
          <w:color w:val="000000" w:themeColor="text1"/>
          <w:shd w:val="clear" w:color="auto" w:fill="FFFFFF"/>
        </w:rPr>
        <w:t xml:space="preserve">researchers </w:t>
      </w:r>
      <w:r w:rsidR="00144D12" w:rsidRPr="003475EB">
        <w:rPr>
          <w:rFonts w:ascii="Calibri" w:hAnsi="Calibri" w:cs="Calibri"/>
          <w:color w:val="000000" w:themeColor="text1"/>
          <w:shd w:val="clear" w:color="auto" w:fill="FFFFFF"/>
        </w:rPr>
        <w:t>understand the differen</w:t>
      </w:r>
      <w:r w:rsidR="00CE79B6" w:rsidRPr="003475EB">
        <w:rPr>
          <w:rFonts w:ascii="Calibri" w:hAnsi="Calibri" w:cs="Calibri"/>
          <w:color w:val="000000" w:themeColor="text1"/>
          <w:shd w:val="clear" w:color="auto" w:fill="FFFFFF"/>
        </w:rPr>
        <w:t>t</w:t>
      </w:r>
      <w:r w:rsidR="00144D12" w:rsidRPr="003475EB">
        <w:rPr>
          <w:rFonts w:ascii="Calibri" w:hAnsi="Calibri" w:cs="Calibri"/>
          <w:color w:val="000000" w:themeColor="text1"/>
          <w:shd w:val="clear" w:color="auto" w:fill="FFFFFF"/>
        </w:rPr>
        <w:t xml:space="preserve"> </w:t>
      </w:r>
      <w:r w:rsidR="00CE79B6" w:rsidRPr="003475EB">
        <w:rPr>
          <w:rFonts w:ascii="Calibri" w:hAnsi="Calibri" w:cs="Calibri"/>
          <w:color w:val="000000" w:themeColor="text1"/>
          <w:shd w:val="clear" w:color="auto" w:fill="FFFFFF"/>
        </w:rPr>
        <w:t xml:space="preserve">physiological </w:t>
      </w:r>
      <w:r w:rsidR="00C3054B" w:rsidRPr="003475EB">
        <w:rPr>
          <w:rFonts w:ascii="Calibri" w:hAnsi="Calibri" w:cs="Calibri"/>
          <w:color w:val="000000" w:themeColor="text1"/>
          <w:shd w:val="clear" w:color="auto" w:fill="FFFFFF"/>
        </w:rPr>
        <w:t xml:space="preserve">effects </w:t>
      </w:r>
      <w:r w:rsidR="00144D12" w:rsidRPr="003475EB">
        <w:rPr>
          <w:rFonts w:ascii="Calibri" w:hAnsi="Calibri" w:cs="Calibri"/>
          <w:color w:val="000000" w:themeColor="text1"/>
          <w:shd w:val="clear" w:color="auto" w:fill="FFFFFF"/>
        </w:rPr>
        <w:t xml:space="preserve">of each method </w:t>
      </w:r>
      <w:r w:rsidR="00C3054B" w:rsidRPr="003475EB">
        <w:rPr>
          <w:rFonts w:ascii="Calibri" w:hAnsi="Calibri" w:cs="Calibri"/>
          <w:color w:val="000000" w:themeColor="text1"/>
          <w:shd w:val="clear" w:color="auto" w:fill="FFFFFF"/>
        </w:rPr>
        <w:t>as well as how they</w:t>
      </w:r>
      <w:r w:rsidR="00144D12" w:rsidRPr="003475EB">
        <w:rPr>
          <w:rFonts w:ascii="Calibri" w:hAnsi="Calibri" w:cs="Calibri"/>
          <w:color w:val="000000" w:themeColor="text1"/>
          <w:shd w:val="clear" w:color="auto" w:fill="FFFFFF"/>
        </w:rPr>
        <w:t xml:space="preserve"> </w:t>
      </w:r>
      <w:r w:rsidR="00C3054B" w:rsidRPr="003475EB">
        <w:rPr>
          <w:rFonts w:ascii="Calibri" w:hAnsi="Calibri" w:cs="Calibri"/>
          <w:color w:val="000000" w:themeColor="text1"/>
          <w:shd w:val="clear" w:color="auto" w:fill="FFFFFF"/>
        </w:rPr>
        <w:t>a</w:t>
      </w:r>
      <w:r w:rsidR="00144D12" w:rsidRPr="003475EB">
        <w:rPr>
          <w:rFonts w:ascii="Calibri" w:hAnsi="Calibri" w:cs="Calibri"/>
          <w:color w:val="000000" w:themeColor="text1"/>
          <w:shd w:val="clear" w:color="auto" w:fill="FFFFFF"/>
        </w:rPr>
        <w:t>ffect experimental outcomes</w:t>
      </w:r>
      <w:r w:rsidR="00C3054B" w:rsidRPr="003475EB">
        <w:rPr>
          <w:rFonts w:ascii="Calibri" w:hAnsi="Calibri" w:cs="Calibri"/>
          <w:color w:val="000000" w:themeColor="text1"/>
          <w:shd w:val="clear" w:color="auto" w:fill="FFFFFF"/>
        </w:rPr>
        <w:t xml:space="preserve"> in the setting of </w:t>
      </w:r>
      <w:r w:rsidR="00104599" w:rsidRPr="003475EB">
        <w:rPr>
          <w:rFonts w:ascii="Calibri" w:hAnsi="Calibri" w:cs="Calibri"/>
          <w:color w:val="000000" w:themeColor="text1"/>
          <w:shd w:val="clear" w:color="auto" w:fill="FFFFFF"/>
        </w:rPr>
        <w:t>CH</w:t>
      </w:r>
      <w:r w:rsidR="00C3054B" w:rsidRPr="003475EB">
        <w:rPr>
          <w:rFonts w:ascii="Calibri" w:hAnsi="Calibri" w:cs="Calibri"/>
          <w:color w:val="000000" w:themeColor="text1"/>
          <w:shd w:val="clear" w:color="auto" w:fill="FFFFFF"/>
        </w:rPr>
        <w:t xml:space="preserve"> and cardiovascular disease</w:t>
      </w:r>
      <w:r w:rsidR="00144D12" w:rsidRPr="003475EB">
        <w:rPr>
          <w:rFonts w:ascii="Calibri" w:hAnsi="Calibri" w:cs="Calibri"/>
          <w:color w:val="000000" w:themeColor="text1"/>
          <w:shd w:val="clear" w:color="auto" w:fill="FFFFFF"/>
        </w:rPr>
        <w:t>.</w:t>
      </w:r>
    </w:p>
    <w:p w14:paraId="237AD7DD" w14:textId="77777777" w:rsidR="00D15131" w:rsidRPr="003475EB" w:rsidRDefault="00D15131" w:rsidP="000C770D">
      <w:pPr>
        <w:jc w:val="both"/>
        <w:rPr>
          <w:rFonts w:ascii="Calibri" w:hAnsi="Calibri" w:cs="Calibri"/>
          <w:b/>
          <w:color w:val="000000" w:themeColor="text1"/>
        </w:rPr>
      </w:pPr>
    </w:p>
    <w:p w14:paraId="6D1AF870" w14:textId="62BC7764" w:rsidR="00815956" w:rsidRPr="003475EB" w:rsidRDefault="006305D7" w:rsidP="000C770D">
      <w:pPr>
        <w:jc w:val="both"/>
        <w:rPr>
          <w:rStyle w:val="Hyperlink"/>
          <w:rFonts w:ascii="Calibri" w:hAnsi="Calibri" w:cs="Calibri"/>
          <w:color w:val="000000" w:themeColor="text1"/>
          <w:u w:val="none"/>
        </w:rPr>
      </w:pPr>
      <w:bookmarkStart w:id="0" w:name="_Hlk51661116"/>
      <w:r w:rsidRPr="003475EB">
        <w:rPr>
          <w:rFonts w:ascii="Calibri" w:hAnsi="Calibri" w:cs="Calibri"/>
          <w:b/>
          <w:color w:val="000000" w:themeColor="text1"/>
        </w:rPr>
        <w:t>PROTOCOL:</w:t>
      </w:r>
    </w:p>
    <w:p w14:paraId="2DEDFAAA" w14:textId="6CA4E502" w:rsidR="00815956" w:rsidRPr="00BE2A2E" w:rsidRDefault="00815956" w:rsidP="000C770D">
      <w:pPr>
        <w:jc w:val="both"/>
        <w:rPr>
          <w:rStyle w:val="Hyperlink"/>
          <w:rFonts w:ascii="Calibri" w:hAnsi="Calibri" w:cs="Calibri"/>
          <w:color w:val="000000" w:themeColor="text1"/>
          <w:u w:val="none"/>
        </w:rPr>
      </w:pPr>
      <w:r w:rsidRPr="00BE2A2E">
        <w:rPr>
          <w:rStyle w:val="Hyperlink"/>
          <w:rFonts w:ascii="Calibri" w:hAnsi="Calibri" w:cs="Calibri"/>
          <w:color w:val="000000" w:themeColor="text1"/>
          <w:u w:val="none"/>
        </w:rPr>
        <w:t>All procedures involving animal subjects have been approved by the Institutional Animal Care and Use Committee (IACUC) at the University of Virginia.</w:t>
      </w:r>
    </w:p>
    <w:p w14:paraId="0CF26E0C" w14:textId="219EB60D" w:rsidR="00C17E24" w:rsidRPr="00BE2A2E" w:rsidRDefault="00C17E24" w:rsidP="000C770D">
      <w:pPr>
        <w:jc w:val="both"/>
        <w:rPr>
          <w:rStyle w:val="Hyperlink"/>
          <w:rFonts w:ascii="Calibri" w:hAnsi="Calibri" w:cs="Calibri"/>
          <w:color w:val="000000" w:themeColor="text1"/>
          <w:u w:val="none"/>
        </w:rPr>
      </w:pPr>
    </w:p>
    <w:p w14:paraId="2B83BE4B" w14:textId="4D15844D" w:rsidR="00C17E24" w:rsidRPr="00BE2A2E" w:rsidRDefault="00C17E24" w:rsidP="000C770D">
      <w:pPr>
        <w:pStyle w:val="NormalWeb"/>
        <w:spacing w:before="0" w:beforeAutospacing="0" w:after="0" w:afterAutospacing="0"/>
        <w:rPr>
          <w:b/>
          <w:bCs/>
          <w:color w:val="000000" w:themeColor="text1"/>
        </w:rPr>
      </w:pPr>
      <w:r w:rsidRPr="00BE2A2E">
        <w:rPr>
          <w:b/>
          <w:bCs/>
          <w:color w:val="000000" w:themeColor="text1"/>
        </w:rPr>
        <w:t xml:space="preserve">1. Prior to </w:t>
      </w:r>
      <w:r w:rsidR="00AC3DE2">
        <w:rPr>
          <w:b/>
          <w:bCs/>
          <w:color w:val="000000" w:themeColor="text1"/>
        </w:rPr>
        <w:t>preconditioning</w:t>
      </w:r>
    </w:p>
    <w:p w14:paraId="7CBDB83E" w14:textId="77777777" w:rsidR="00C17E24" w:rsidRPr="00BE2A2E" w:rsidRDefault="00C17E24" w:rsidP="000C770D">
      <w:pPr>
        <w:pStyle w:val="NormalWeb"/>
        <w:spacing w:before="0" w:beforeAutospacing="0" w:after="0" w:afterAutospacing="0"/>
        <w:rPr>
          <w:b/>
          <w:bCs/>
          <w:color w:val="000000" w:themeColor="text1"/>
        </w:rPr>
      </w:pPr>
    </w:p>
    <w:p w14:paraId="60BAD282" w14:textId="58FA6CEA" w:rsidR="00C17E24" w:rsidRPr="00BE2A2E" w:rsidRDefault="00C17E24" w:rsidP="000C770D">
      <w:pPr>
        <w:jc w:val="both"/>
        <w:rPr>
          <w:rFonts w:ascii="Calibri" w:eastAsia="Batang" w:hAnsi="Calibri" w:cs="Calibri"/>
          <w:color w:val="000000" w:themeColor="text1"/>
          <w:lang w:val="en-AU" w:eastAsia="en-US"/>
        </w:rPr>
      </w:pPr>
      <w:r w:rsidRPr="00BE2A2E">
        <w:rPr>
          <w:rFonts w:ascii="Calibri" w:hAnsi="Calibri" w:cs="Calibri"/>
          <w:color w:val="000000" w:themeColor="text1"/>
          <w:lang w:val="en-AU"/>
        </w:rPr>
        <w:t xml:space="preserve">1.1. Place </w:t>
      </w:r>
      <w:r w:rsidR="003650EC">
        <w:rPr>
          <w:rFonts w:ascii="Calibri" w:hAnsi="Calibri" w:cs="Calibri"/>
          <w:color w:val="000000" w:themeColor="text1"/>
          <w:lang w:val="en-AU"/>
        </w:rPr>
        <w:t xml:space="preserve">the </w:t>
      </w:r>
      <w:r w:rsidRPr="00BE2A2E">
        <w:rPr>
          <w:rFonts w:ascii="Calibri" w:hAnsi="Calibri" w:cs="Calibri"/>
          <w:color w:val="000000" w:themeColor="text1"/>
          <w:lang w:val="en-AU"/>
        </w:rPr>
        <w:t xml:space="preserve">recipient mice on antibiotic-supplemented water </w:t>
      </w:r>
      <w:r w:rsidRPr="00BE2A2E">
        <w:rPr>
          <w:rFonts w:ascii="Calibri" w:hAnsi="Calibri" w:cs="Calibri"/>
          <w:color w:val="000000" w:themeColor="text1"/>
        </w:rPr>
        <w:t>(5</w:t>
      </w:r>
      <w:r w:rsidR="00E81FF9" w:rsidRPr="00BE2A2E">
        <w:rPr>
          <w:rFonts w:ascii="Calibri" w:hAnsi="Calibri" w:cs="Calibri"/>
          <w:color w:val="000000" w:themeColor="text1"/>
        </w:rPr>
        <w:t xml:space="preserve"> </w:t>
      </w:r>
      <w:r w:rsidRPr="00BE2A2E">
        <w:rPr>
          <w:rFonts w:ascii="Calibri" w:hAnsi="Calibri" w:cs="Calibri"/>
          <w:color w:val="000000" w:themeColor="text1"/>
        </w:rPr>
        <w:t>mM sulfamethoxazole, 0.86 mM trimethoprim)</w:t>
      </w:r>
      <w:r w:rsidRPr="00BE2A2E">
        <w:rPr>
          <w:rFonts w:ascii="Calibri" w:hAnsi="Calibri" w:cs="Calibri"/>
          <w:color w:val="000000" w:themeColor="text1"/>
          <w:lang w:val="en-AU"/>
        </w:rPr>
        <w:t xml:space="preserve"> ~24 h prior to irradiation. This is necessary to prevent infection, as the immune system will be suppressed following irradiation</w:t>
      </w:r>
      <w:r w:rsidR="00E81FF9" w:rsidRPr="00BE2A2E">
        <w:rPr>
          <w:rFonts w:ascii="Calibri" w:hAnsi="Calibri" w:cs="Calibri"/>
          <w:color w:val="000000" w:themeColor="text1"/>
          <w:lang w:val="en-AU"/>
        </w:rPr>
        <w:t>,</w:t>
      </w:r>
      <w:r w:rsidR="003A3E6D" w:rsidRPr="00BE2A2E">
        <w:rPr>
          <w:rFonts w:ascii="Calibri" w:hAnsi="Calibri" w:cs="Calibri"/>
          <w:color w:val="000000" w:themeColor="text1"/>
          <w:lang w:val="en-AU"/>
        </w:rPr>
        <w:t xml:space="preserve"> and </w:t>
      </w:r>
      <w:r w:rsidRPr="00BE2A2E">
        <w:rPr>
          <w:rFonts w:ascii="Calibri" w:hAnsi="Calibri" w:cs="Calibri"/>
          <w:color w:val="000000" w:themeColor="text1"/>
          <w:lang w:val="en-AU"/>
        </w:rPr>
        <w:t xml:space="preserve">maintained for 2 weeks following irradiation. </w:t>
      </w:r>
      <w:r w:rsidRPr="00BE2A2E">
        <w:rPr>
          <w:rFonts w:ascii="Calibri" w:eastAsia="Batang" w:hAnsi="Calibri" w:cs="Calibri"/>
          <w:color w:val="000000" w:themeColor="text1"/>
          <w:lang w:val="en-AU" w:eastAsia="en-US"/>
        </w:rPr>
        <w:t xml:space="preserve">At this point, </w:t>
      </w:r>
      <w:r w:rsidR="002459BA">
        <w:rPr>
          <w:rFonts w:ascii="Calibri" w:eastAsia="Batang" w:hAnsi="Calibri" w:cs="Calibri"/>
          <w:color w:val="000000" w:themeColor="text1"/>
          <w:lang w:val="en-AU" w:eastAsia="en-US"/>
        </w:rPr>
        <w:t xml:space="preserve">supplement </w:t>
      </w:r>
      <w:r w:rsidRPr="00BE2A2E">
        <w:rPr>
          <w:rFonts w:ascii="Calibri" w:eastAsia="Batang" w:hAnsi="Calibri" w:cs="Calibri"/>
          <w:color w:val="000000" w:themeColor="text1"/>
          <w:lang w:val="en-AU" w:eastAsia="en-US"/>
        </w:rPr>
        <w:t xml:space="preserve">mice </w:t>
      </w:r>
      <w:r w:rsidR="002459BA">
        <w:rPr>
          <w:rFonts w:ascii="Calibri" w:eastAsia="Batang" w:hAnsi="Calibri" w:cs="Calibri"/>
          <w:color w:val="000000" w:themeColor="text1"/>
          <w:lang w:val="en-AU" w:eastAsia="en-US"/>
        </w:rPr>
        <w:t>with</w:t>
      </w:r>
      <w:r w:rsidR="00A70244">
        <w:rPr>
          <w:rFonts w:ascii="Calibri" w:eastAsia="Batang" w:hAnsi="Calibri" w:cs="Calibri"/>
          <w:color w:val="000000" w:themeColor="text1"/>
          <w:lang w:val="en-AU" w:eastAsia="en-US"/>
        </w:rPr>
        <w:t xml:space="preserve"> </w:t>
      </w:r>
      <w:r w:rsidRPr="00BE2A2E">
        <w:rPr>
          <w:rFonts w:ascii="Calibri" w:eastAsia="Batang" w:hAnsi="Calibri" w:cs="Calibri"/>
          <w:color w:val="000000" w:themeColor="text1"/>
          <w:lang w:val="en-AU" w:eastAsia="en-US"/>
        </w:rPr>
        <w:t xml:space="preserve">a </w:t>
      </w:r>
      <w:r w:rsidR="001A3C61">
        <w:rPr>
          <w:rFonts w:ascii="Calibri" w:eastAsia="Batang" w:hAnsi="Calibri" w:cs="Calibri"/>
          <w:color w:val="000000" w:themeColor="text1"/>
          <w:lang w:val="en-AU" w:eastAsia="en-US"/>
        </w:rPr>
        <w:t>nutritional/hydration gel</w:t>
      </w:r>
      <w:r w:rsidRPr="00BE2A2E">
        <w:rPr>
          <w:rFonts w:ascii="Calibri" w:eastAsia="Batang" w:hAnsi="Calibri" w:cs="Calibri"/>
          <w:color w:val="000000" w:themeColor="text1"/>
          <w:lang w:val="en-AU" w:eastAsia="en-US"/>
        </w:rPr>
        <w:t xml:space="preserve"> to encourage feeding and to prevent</w:t>
      </w:r>
      <w:r w:rsidR="007849B6" w:rsidRPr="00BE2A2E">
        <w:rPr>
          <w:rFonts w:ascii="Calibri" w:eastAsia="Batang" w:hAnsi="Calibri" w:cs="Calibri"/>
          <w:color w:val="000000" w:themeColor="text1"/>
          <w:lang w:val="en-AU" w:eastAsia="en-US"/>
        </w:rPr>
        <w:t xml:space="preserve"> weight loss and </w:t>
      </w:r>
      <w:r w:rsidRPr="00BE2A2E">
        <w:rPr>
          <w:rFonts w:ascii="Calibri" w:eastAsia="Batang" w:hAnsi="Calibri" w:cs="Calibri"/>
          <w:color w:val="000000" w:themeColor="text1"/>
          <w:lang w:val="en-AU" w:eastAsia="en-US"/>
        </w:rPr>
        <w:t>dehydration after irradiation.</w:t>
      </w:r>
    </w:p>
    <w:p w14:paraId="3A15C79C" w14:textId="2FE0AC9B" w:rsidR="005F3794" w:rsidRPr="00BE2A2E" w:rsidRDefault="005F3794" w:rsidP="000C770D">
      <w:pPr>
        <w:jc w:val="both"/>
        <w:rPr>
          <w:rFonts w:ascii="Calibri" w:eastAsia="Batang" w:hAnsi="Calibri" w:cs="Calibri"/>
          <w:b/>
          <w:bCs/>
          <w:color w:val="000000" w:themeColor="text1"/>
          <w:lang w:eastAsia="en-US"/>
        </w:rPr>
      </w:pPr>
    </w:p>
    <w:p w14:paraId="594A7CE4" w14:textId="1FC95A6E" w:rsidR="005F3794" w:rsidRPr="00FC7B44" w:rsidRDefault="00C17E24" w:rsidP="000C770D">
      <w:pPr>
        <w:jc w:val="both"/>
        <w:rPr>
          <w:rFonts w:ascii="Calibri" w:eastAsia="Batang" w:hAnsi="Calibri" w:cs="Calibri"/>
          <w:b/>
          <w:bCs/>
          <w:color w:val="000000" w:themeColor="text1"/>
          <w:highlight w:val="yellow"/>
          <w:lang w:eastAsia="ja-JP"/>
        </w:rPr>
      </w:pPr>
      <w:r w:rsidRPr="00FC7B44">
        <w:rPr>
          <w:rFonts w:ascii="Calibri" w:eastAsia="Batang" w:hAnsi="Calibri" w:cs="Calibri"/>
          <w:b/>
          <w:bCs/>
          <w:color w:val="000000" w:themeColor="text1"/>
          <w:highlight w:val="yellow"/>
          <w:lang w:eastAsia="en-US"/>
        </w:rPr>
        <w:t xml:space="preserve">2. </w:t>
      </w:r>
      <w:r w:rsidR="005F3794" w:rsidRPr="00FC7B44">
        <w:rPr>
          <w:rFonts w:ascii="Calibri" w:eastAsia="Batang" w:hAnsi="Calibri" w:cs="Calibri"/>
          <w:b/>
          <w:bCs/>
          <w:color w:val="000000" w:themeColor="text1"/>
          <w:highlight w:val="yellow"/>
          <w:lang w:eastAsia="en-US"/>
        </w:rPr>
        <w:t xml:space="preserve">Preconditioning </w:t>
      </w:r>
      <w:r w:rsidR="00784721" w:rsidRPr="00FC7B44">
        <w:rPr>
          <w:rFonts w:ascii="Calibri" w:eastAsia="Batang" w:hAnsi="Calibri" w:cs="Calibri"/>
          <w:b/>
          <w:bCs/>
          <w:color w:val="000000" w:themeColor="text1"/>
          <w:highlight w:val="yellow"/>
          <w:lang w:eastAsia="ja-JP"/>
        </w:rPr>
        <w:t>of recipient mice (optional)</w:t>
      </w:r>
    </w:p>
    <w:p w14:paraId="30FCB1D2" w14:textId="34205967" w:rsidR="005F3794" w:rsidRDefault="005F3794" w:rsidP="000C770D">
      <w:pPr>
        <w:jc w:val="both"/>
        <w:rPr>
          <w:rFonts w:ascii="Calibri" w:eastAsia="Batang" w:hAnsi="Calibri" w:cs="Calibri"/>
          <w:b/>
          <w:bCs/>
          <w:color w:val="000000" w:themeColor="text1"/>
          <w:highlight w:val="yellow"/>
          <w:lang w:eastAsia="en-US"/>
        </w:rPr>
      </w:pPr>
    </w:p>
    <w:p w14:paraId="526CCC8E" w14:textId="77777777" w:rsidR="003B778B" w:rsidRPr="00BE2A2E" w:rsidRDefault="003B778B" w:rsidP="000C770D">
      <w:pPr>
        <w:pStyle w:val="NormalWeb"/>
        <w:spacing w:before="0" w:beforeAutospacing="0" w:after="0" w:afterAutospacing="0"/>
        <w:rPr>
          <w:b/>
          <w:bCs/>
          <w:color w:val="000000" w:themeColor="text1"/>
        </w:rPr>
      </w:pPr>
      <w:r w:rsidRPr="00BE2A2E">
        <w:rPr>
          <w:color w:val="000000" w:themeColor="text1"/>
        </w:rPr>
        <w:t xml:space="preserve">[Place </w:t>
      </w:r>
      <w:r w:rsidRPr="00BE2A2E">
        <w:rPr>
          <w:b/>
          <w:bCs/>
          <w:color w:val="000000" w:themeColor="text1"/>
        </w:rPr>
        <w:t>Figure 1</w:t>
      </w:r>
      <w:r w:rsidRPr="00BE2A2E">
        <w:rPr>
          <w:color w:val="000000" w:themeColor="text1"/>
        </w:rPr>
        <w:t xml:space="preserve"> here]</w:t>
      </w:r>
    </w:p>
    <w:p w14:paraId="581299AF" w14:textId="77777777" w:rsidR="003B778B" w:rsidRPr="00FC7B44" w:rsidRDefault="003B778B" w:rsidP="000C770D">
      <w:pPr>
        <w:jc w:val="both"/>
        <w:rPr>
          <w:rFonts w:ascii="Calibri" w:eastAsia="Batang" w:hAnsi="Calibri" w:cs="Calibri"/>
          <w:b/>
          <w:bCs/>
          <w:color w:val="000000" w:themeColor="text1"/>
          <w:highlight w:val="yellow"/>
          <w:lang w:eastAsia="en-US"/>
        </w:rPr>
      </w:pPr>
    </w:p>
    <w:p w14:paraId="53B897EE" w14:textId="77777777" w:rsidR="005E376D" w:rsidRPr="00C960DC" w:rsidRDefault="005E376D" w:rsidP="000C770D">
      <w:pPr>
        <w:pStyle w:val="NormalWeb"/>
        <w:spacing w:before="0" w:beforeAutospacing="0" w:after="0" w:afterAutospacing="0"/>
        <w:rPr>
          <w:b/>
          <w:bCs/>
          <w:color w:val="000000" w:themeColor="text1"/>
        </w:rPr>
      </w:pPr>
      <w:r w:rsidRPr="00C960DC">
        <w:rPr>
          <w:b/>
          <w:bCs/>
          <w:color w:val="000000" w:themeColor="text1"/>
        </w:rPr>
        <w:t>2.1. Total body irradiation</w:t>
      </w:r>
    </w:p>
    <w:p w14:paraId="6BA95721" w14:textId="4FEDA61E" w:rsidR="005E376D" w:rsidRPr="00C960DC" w:rsidRDefault="005E376D" w:rsidP="000C770D">
      <w:pPr>
        <w:pStyle w:val="NormalWeb"/>
        <w:spacing w:before="0" w:beforeAutospacing="0" w:after="0" w:afterAutospacing="0"/>
        <w:rPr>
          <w:b/>
          <w:bCs/>
          <w:color w:val="000000" w:themeColor="text1"/>
        </w:rPr>
      </w:pPr>
    </w:p>
    <w:p w14:paraId="5A808CBD" w14:textId="4058F14F" w:rsidR="005E376D" w:rsidRPr="00C960DC" w:rsidRDefault="005E376D" w:rsidP="000C770D">
      <w:pPr>
        <w:pStyle w:val="NormalWeb"/>
        <w:spacing w:before="0" w:beforeAutospacing="0" w:after="0" w:afterAutospacing="0"/>
        <w:rPr>
          <w:color w:val="000000" w:themeColor="text1"/>
        </w:rPr>
      </w:pPr>
      <w:r w:rsidRPr="00C960DC">
        <w:rPr>
          <w:color w:val="000000" w:themeColor="text1"/>
        </w:rPr>
        <w:t>2.1.1. Place recipient mice into a uniformly sliced pie-cage, or a</w:t>
      </w:r>
      <w:r w:rsidR="0067513B" w:rsidRPr="00AC51BD">
        <w:rPr>
          <w:color w:val="000000" w:themeColor="text1"/>
        </w:rPr>
        <w:t xml:space="preserve"> mouse cage in the reflective </w:t>
      </w:r>
      <w:r w:rsidR="0067513B" w:rsidRPr="00AC51BD">
        <w:rPr>
          <w:color w:val="000000" w:themeColor="text1"/>
        </w:rPr>
        <w:lastRenderedPageBreak/>
        <w:t xml:space="preserve">chamber </w:t>
      </w:r>
      <w:r w:rsidRPr="00C960DC">
        <w:rPr>
          <w:color w:val="000000" w:themeColor="text1"/>
        </w:rPr>
        <w:t>within the calculated radius that receive same irradiation dose</w:t>
      </w:r>
      <w:r w:rsidR="00A45344" w:rsidRPr="00C960DC">
        <w:rPr>
          <w:color w:val="000000" w:themeColor="text1"/>
        </w:rPr>
        <w:t>;</w:t>
      </w:r>
      <w:r w:rsidRPr="00C960DC">
        <w:rPr>
          <w:color w:val="000000" w:themeColor="text1"/>
        </w:rPr>
        <w:t xml:space="preserve"> however, a maximum of </w:t>
      </w:r>
      <w:r w:rsidR="007D0240">
        <w:rPr>
          <w:color w:val="000000" w:themeColor="text1"/>
        </w:rPr>
        <w:t>8</w:t>
      </w:r>
      <w:r w:rsidR="0067513B" w:rsidRPr="00AC51BD">
        <w:rPr>
          <w:color w:val="000000" w:themeColor="text1"/>
        </w:rPr>
        <w:t xml:space="preserve"> mice per pie-cage and </w:t>
      </w:r>
      <w:r w:rsidR="007D0240">
        <w:rPr>
          <w:color w:val="000000" w:themeColor="text1"/>
        </w:rPr>
        <w:t>5</w:t>
      </w:r>
      <w:r w:rsidRPr="00C960DC">
        <w:rPr>
          <w:color w:val="000000" w:themeColor="text1"/>
        </w:rPr>
        <w:t xml:space="preserve"> mice per </w:t>
      </w:r>
      <w:r w:rsidR="0067513B" w:rsidRPr="00AC51BD">
        <w:rPr>
          <w:color w:val="000000" w:themeColor="text1"/>
        </w:rPr>
        <w:t>mouse</w:t>
      </w:r>
      <w:r w:rsidR="0067513B" w:rsidRPr="00C960DC">
        <w:rPr>
          <w:color w:val="000000" w:themeColor="text1"/>
        </w:rPr>
        <w:t xml:space="preserve"> </w:t>
      </w:r>
      <w:r w:rsidRPr="00C960DC">
        <w:rPr>
          <w:color w:val="000000" w:themeColor="text1"/>
        </w:rPr>
        <w:t>cage is recommended to ensure uniform irradiation</w:t>
      </w:r>
      <w:r w:rsidR="001F440D" w:rsidRPr="00AC51BD">
        <w:rPr>
          <w:color w:val="000000" w:themeColor="text1"/>
        </w:rPr>
        <w:t xml:space="preserve"> (</w:t>
      </w:r>
      <w:r w:rsidR="001F440D" w:rsidRPr="00FC7B44">
        <w:rPr>
          <w:b/>
          <w:bCs/>
          <w:color w:val="000000" w:themeColor="text1"/>
        </w:rPr>
        <w:t>Figure 1A,B</w:t>
      </w:r>
      <w:r w:rsidR="001F440D" w:rsidRPr="00AC51BD">
        <w:rPr>
          <w:color w:val="000000" w:themeColor="text1"/>
        </w:rPr>
        <w:t>)</w:t>
      </w:r>
      <w:r w:rsidRPr="00C960DC">
        <w:rPr>
          <w:color w:val="000000" w:themeColor="text1"/>
        </w:rPr>
        <w:t>.</w:t>
      </w:r>
    </w:p>
    <w:p w14:paraId="10A42354" w14:textId="77777777" w:rsidR="005E376D" w:rsidRPr="00C960DC" w:rsidRDefault="005E376D" w:rsidP="000C770D">
      <w:pPr>
        <w:pStyle w:val="NormalWeb"/>
        <w:spacing w:before="0" w:beforeAutospacing="0" w:after="0" w:afterAutospacing="0"/>
        <w:rPr>
          <w:color w:val="000000" w:themeColor="text1"/>
        </w:rPr>
      </w:pPr>
    </w:p>
    <w:p w14:paraId="03EBF9E1" w14:textId="10A16ACF" w:rsidR="005E376D" w:rsidRPr="00C960DC" w:rsidRDefault="005E376D" w:rsidP="000C770D">
      <w:pPr>
        <w:pStyle w:val="NormalWeb"/>
        <w:spacing w:before="0" w:beforeAutospacing="0" w:after="0" w:afterAutospacing="0"/>
        <w:rPr>
          <w:color w:val="000000" w:themeColor="text1"/>
        </w:rPr>
      </w:pPr>
      <w:r w:rsidRPr="00C960DC">
        <w:rPr>
          <w:color w:val="000000" w:themeColor="text1"/>
        </w:rPr>
        <w:t>2.1.</w:t>
      </w:r>
      <w:proofErr w:type="gramStart"/>
      <w:r w:rsidRPr="00C960DC">
        <w:rPr>
          <w:color w:val="000000" w:themeColor="text1"/>
        </w:rPr>
        <w:t>2.To</w:t>
      </w:r>
      <w:proofErr w:type="gramEnd"/>
      <w:r w:rsidRPr="00C960DC">
        <w:rPr>
          <w:color w:val="000000" w:themeColor="text1"/>
        </w:rPr>
        <w:t xml:space="preserve"> achieve complete myeloablation, </w:t>
      </w:r>
      <w:r w:rsidR="008F0AE1">
        <w:rPr>
          <w:color w:val="000000" w:themeColor="text1"/>
        </w:rPr>
        <w:t xml:space="preserve">ensure that </w:t>
      </w:r>
      <w:r w:rsidRPr="00C960DC">
        <w:rPr>
          <w:color w:val="000000" w:themeColor="text1"/>
        </w:rPr>
        <w:t xml:space="preserve">recipient mice receive a total </w:t>
      </w:r>
      <w:r w:rsidR="00022594" w:rsidRPr="00C960DC">
        <w:rPr>
          <w:color w:val="000000" w:themeColor="text1"/>
        </w:rPr>
        <w:t xml:space="preserve">radiation </w:t>
      </w:r>
      <w:r w:rsidRPr="00C960DC">
        <w:rPr>
          <w:color w:val="000000" w:themeColor="text1"/>
        </w:rPr>
        <w:t>dose of 1</w:t>
      </w:r>
      <w:r w:rsidR="00CB28D1" w:rsidRPr="00C960DC">
        <w:rPr>
          <w:color w:val="000000" w:themeColor="text1"/>
        </w:rPr>
        <w:t>1 Gy</w:t>
      </w:r>
      <w:r w:rsidRPr="00C960DC">
        <w:rPr>
          <w:color w:val="000000" w:themeColor="text1"/>
        </w:rPr>
        <w:t xml:space="preserve"> </w:t>
      </w:r>
      <w:r w:rsidR="00022594" w:rsidRPr="00C960DC">
        <w:rPr>
          <w:color w:val="000000" w:themeColor="text1"/>
        </w:rPr>
        <w:t>in two 5.5 Gy fractions separated by a</w:t>
      </w:r>
      <w:r w:rsidRPr="00C960DC">
        <w:rPr>
          <w:color w:val="000000" w:themeColor="text1"/>
        </w:rPr>
        <w:t xml:space="preserve"> 4</w:t>
      </w:r>
      <w:r w:rsidR="0070503C">
        <w:rPr>
          <w:color w:val="000000" w:themeColor="text1"/>
        </w:rPr>
        <w:t>–</w:t>
      </w:r>
      <w:r w:rsidRPr="00C960DC">
        <w:rPr>
          <w:color w:val="000000" w:themeColor="text1"/>
        </w:rPr>
        <w:t>24 h interval.</w:t>
      </w:r>
    </w:p>
    <w:p w14:paraId="0EDDCE3C" w14:textId="77777777" w:rsidR="005E376D" w:rsidRPr="00C960DC" w:rsidRDefault="005E376D" w:rsidP="000C770D">
      <w:pPr>
        <w:pStyle w:val="ListParagraph"/>
        <w:ind w:left="0"/>
        <w:rPr>
          <w:b/>
          <w:bCs/>
          <w:color w:val="000000" w:themeColor="text1"/>
        </w:rPr>
      </w:pPr>
    </w:p>
    <w:p w14:paraId="6E3D8EB0" w14:textId="458AE536" w:rsidR="005E376D" w:rsidRPr="00BE2A2E" w:rsidRDefault="006674E2" w:rsidP="000C770D">
      <w:pPr>
        <w:pStyle w:val="NormalWeb"/>
        <w:spacing w:before="0" w:beforeAutospacing="0" w:after="0" w:afterAutospacing="0"/>
        <w:rPr>
          <w:color w:val="000000" w:themeColor="text1"/>
        </w:rPr>
      </w:pPr>
      <w:r w:rsidRPr="00C960DC">
        <w:rPr>
          <w:color w:val="000000" w:themeColor="text1"/>
        </w:rPr>
        <w:t>N</w:t>
      </w:r>
      <w:r>
        <w:rPr>
          <w:color w:val="000000" w:themeColor="text1"/>
        </w:rPr>
        <w:t>OTE</w:t>
      </w:r>
      <w:r w:rsidR="005E376D" w:rsidRPr="00C960DC">
        <w:rPr>
          <w:color w:val="000000" w:themeColor="text1"/>
        </w:rPr>
        <w:t xml:space="preserve">: While optimal engraftment can be obtained by implementing a 4 h interval between </w:t>
      </w:r>
      <w:r w:rsidR="001A3C61" w:rsidRPr="00C960DC">
        <w:rPr>
          <w:color w:val="000000" w:themeColor="text1"/>
        </w:rPr>
        <w:t>fractions</w:t>
      </w:r>
      <w:r w:rsidR="005E376D" w:rsidRPr="00C960DC">
        <w:rPr>
          <w:color w:val="000000" w:themeColor="text1"/>
        </w:rPr>
        <w:t xml:space="preserve">, </w:t>
      </w:r>
      <w:r w:rsidR="00A45344" w:rsidRPr="00C960DC">
        <w:rPr>
          <w:color w:val="000000" w:themeColor="text1"/>
        </w:rPr>
        <w:t>this can be extended</w:t>
      </w:r>
      <w:r w:rsidR="005E376D" w:rsidRPr="00C960DC">
        <w:rPr>
          <w:color w:val="000000" w:themeColor="text1"/>
        </w:rPr>
        <w:t xml:space="preserve"> to</w:t>
      </w:r>
      <w:r w:rsidR="00A45344" w:rsidRPr="00C960DC">
        <w:rPr>
          <w:color w:val="000000" w:themeColor="text1"/>
        </w:rPr>
        <w:t xml:space="preserve"> a</w:t>
      </w:r>
      <w:r w:rsidR="005E376D" w:rsidRPr="00C960DC">
        <w:rPr>
          <w:color w:val="000000" w:themeColor="text1"/>
        </w:rPr>
        <w:t xml:space="preserve"> 24 h interval</w:t>
      </w:r>
      <w:r>
        <w:rPr>
          <w:color w:val="000000" w:themeColor="text1"/>
        </w:rPr>
        <w:t>,</w:t>
      </w:r>
      <w:r w:rsidR="005E376D" w:rsidRPr="00C960DC">
        <w:rPr>
          <w:color w:val="000000" w:themeColor="text1"/>
        </w:rPr>
        <w:t xml:space="preserve"> which </w:t>
      </w:r>
      <w:r w:rsidR="00A45344" w:rsidRPr="00C960DC">
        <w:rPr>
          <w:color w:val="000000" w:themeColor="text1"/>
        </w:rPr>
        <w:t>can be helpful when</w:t>
      </w:r>
      <w:r w:rsidR="005E376D" w:rsidRPr="00C960DC">
        <w:rPr>
          <w:color w:val="000000" w:themeColor="text1"/>
        </w:rPr>
        <w:t xml:space="preserve"> labor and/or </w:t>
      </w:r>
      <w:r w:rsidR="00A45344" w:rsidRPr="00C960DC">
        <w:rPr>
          <w:color w:val="000000" w:themeColor="text1"/>
        </w:rPr>
        <w:t xml:space="preserve">the </w:t>
      </w:r>
      <w:r w:rsidR="005E376D" w:rsidRPr="00C960DC">
        <w:rPr>
          <w:color w:val="000000" w:themeColor="text1"/>
        </w:rPr>
        <w:t xml:space="preserve">irradiator </w:t>
      </w:r>
      <w:r w:rsidR="00A45344" w:rsidRPr="00C960DC">
        <w:rPr>
          <w:color w:val="000000" w:themeColor="text1"/>
        </w:rPr>
        <w:t>is un</w:t>
      </w:r>
      <w:r w:rsidR="005E376D" w:rsidRPr="00C960DC">
        <w:rPr>
          <w:color w:val="000000" w:themeColor="text1"/>
        </w:rPr>
        <w:t>availabl</w:t>
      </w:r>
      <w:r w:rsidR="00A45344" w:rsidRPr="00C960DC">
        <w:rPr>
          <w:color w:val="000000" w:themeColor="text1"/>
        </w:rPr>
        <w:t>e</w:t>
      </w:r>
      <w:r w:rsidR="005E376D" w:rsidRPr="00C960DC">
        <w:rPr>
          <w:color w:val="000000" w:themeColor="text1"/>
        </w:rPr>
        <w:t>.</w:t>
      </w:r>
    </w:p>
    <w:p w14:paraId="4A97ED4C" w14:textId="77777777" w:rsidR="005E376D" w:rsidRPr="00BE2A2E" w:rsidRDefault="005E376D" w:rsidP="000C770D">
      <w:pPr>
        <w:pStyle w:val="NormalWeb"/>
        <w:spacing w:before="0" w:beforeAutospacing="0" w:after="0" w:afterAutospacing="0"/>
        <w:rPr>
          <w:color w:val="000000" w:themeColor="text1"/>
        </w:rPr>
      </w:pPr>
    </w:p>
    <w:p w14:paraId="41776416" w14:textId="77777777" w:rsidR="005E376D" w:rsidRPr="00FC7B44" w:rsidRDefault="005E376D" w:rsidP="000C770D">
      <w:pPr>
        <w:pStyle w:val="ListParagraph"/>
        <w:numPr>
          <w:ilvl w:val="1"/>
          <w:numId w:val="33"/>
        </w:numPr>
        <w:ind w:left="0" w:firstLine="0"/>
        <w:rPr>
          <w:color w:val="000000" w:themeColor="text1"/>
          <w:highlight w:val="yellow"/>
        </w:rPr>
      </w:pPr>
      <w:r w:rsidRPr="00BE2A2E">
        <w:rPr>
          <w:b/>
          <w:bCs/>
          <w:color w:val="000000" w:themeColor="text1"/>
        </w:rPr>
        <w:t xml:space="preserve"> </w:t>
      </w:r>
      <w:r w:rsidRPr="00FC7B44">
        <w:rPr>
          <w:b/>
          <w:bCs/>
          <w:color w:val="000000" w:themeColor="text1"/>
          <w:highlight w:val="yellow"/>
        </w:rPr>
        <w:t>Partially shielded irradiation</w:t>
      </w:r>
    </w:p>
    <w:p w14:paraId="1C4773EA" w14:textId="77777777" w:rsidR="005E376D" w:rsidRPr="008F0AE1" w:rsidRDefault="005E376D" w:rsidP="000C770D">
      <w:pPr>
        <w:jc w:val="both"/>
        <w:rPr>
          <w:rFonts w:ascii="Calibri" w:hAnsi="Calibri" w:cs="Calibri"/>
          <w:color w:val="000000" w:themeColor="text1"/>
        </w:rPr>
      </w:pPr>
    </w:p>
    <w:p w14:paraId="1CC344E5" w14:textId="2B048223" w:rsidR="005E376D" w:rsidRPr="008F0AE1" w:rsidRDefault="005E376D" w:rsidP="000C770D">
      <w:pPr>
        <w:pStyle w:val="NormalWeb"/>
        <w:spacing w:before="0" w:beforeAutospacing="0" w:after="0" w:afterAutospacing="0"/>
        <w:rPr>
          <w:color w:val="000000" w:themeColor="text1"/>
        </w:rPr>
      </w:pPr>
      <w:r w:rsidRPr="008F0AE1">
        <w:rPr>
          <w:color w:val="000000" w:themeColor="text1"/>
        </w:rPr>
        <w:t>2.2.1. Anesthetize the recipient mice by intraperitoneal injection of ketamine (80</w:t>
      </w:r>
      <w:r w:rsidR="00581485">
        <w:rPr>
          <w:color w:val="000000" w:themeColor="text1"/>
        </w:rPr>
        <w:t>–</w:t>
      </w:r>
      <w:r w:rsidRPr="008F0AE1">
        <w:rPr>
          <w:color w:val="000000" w:themeColor="text1"/>
        </w:rPr>
        <w:t>100 mg/kg) and xylazine (5</w:t>
      </w:r>
      <w:r w:rsidR="00581485">
        <w:rPr>
          <w:color w:val="000000" w:themeColor="text1"/>
        </w:rPr>
        <w:t>–</w:t>
      </w:r>
      <w:r w:rsidRPr="008F0AE1">
        <w:rPr>
          <w:color w:val="000000" w:themeColor="text1"/>
        </w:rPr>
        <w:t>10 mg/kg). T</w:t>
      </w:r>
      <w:r w:rsidR="00A45344" w:rsidRPr="008F0AE1">
        <w:rPr>
          <w:color w:val="000000" w:themeColor="text1"/>
        </w:rPr>
        <w:t>he</w:t>
      </w:r>
      <w:r w:rsidRPr="008F0AE1">
        <w:rPr>
          <w:color w:val="000000" w:themeColor="text1"/>
        </w:rPr>
        <w:t xml:space="preserve"> restrain</w:t>
      </w:r>
      <w:r w:rsidR="00A45344" w:rsidRPr="008F0AE1">
        <w:rPr>
          <w:color w:val="000000" w:themeColor="text1"/>
        </w:rPr>
        <w:t>t</w:t>
      </w:r>
      <w:r w:rsidRPr="008F0AE1">
        <w:rPr>
          <w:color w:val="000000" w:themeColor="text1"/>
        </w:rPr>
        <w:t xml:space="preserve"> </w:t>
      </w:r>
      <w:r w:rsidR="00A45344" w:rsidRPr="008F0AE1">
        <w:rPr>
          <w:color w:val="000000" w:themeColor="text1"/>
        </w:rPr>
        <w:t>of mouse</w:t>
      </w:r>
      <w:r w:rsidRPr="008F0AE1">
        <w:rPr>
          <w:color w:val="000000" w:themeColor="text1"/>
        </w:rPr>
        <w:t xml:space="preserve"> movement is critical to ensure the uniform irradiation </w:t>
      </w:r>
      <w:r w:rsidR="00A45344" w:rsidRPr="008F0AE1">
        <w:rPr>
          <w:color w:val="000000" w:themeColor="text1"/>
        </w:rPr>
        <w:t>and</w:t>
      </w:r>
      <w:r w:rsidRPr="008F0AE1">
        <w:rPr>
          <w:color w:val="000000" w:themeColor="text1"/>
        </w:rPr>
        <w:t xml:space="preserve"> effective protect</w:t>
      </w:r>
      <w:r w:rsidR="00FB5B8A">
        <w:rPr>
          <w:color w:val="000000" w:themeColor="text1"/>
        </w:rPr>
        <w:t>ion of</w:t>
      </w:r>
      <w:r w:rsidRPr="008F0AE1">
        <w:rPr>
          <w:color w:val="000000" w:themeColor="text1"/>
        </w:rPr>
        <w:t xml:space="preserve"> the targeting organs during the shielding process.</w:t>
      </w:r>
    </w:p>
    <w:p w14:paraId="0A36C230" w14:textId="77777777" w:rsidR="005E376D" w:rsidRPr="008F0AE1" w:rsidRDefault="005E376D" w:rsidP="000C770D">
      <w:pPr>
        <w:jc w:val="both"/>
        <w:rPr>
          <w:rFonts w:ascii="Calibri" w:hAnsi="Calibri" w:cs="Calibri"/>
          <w:color w:val="000000" w:themeColor="text1"/>
          <w:highlight w:val="yellow"/>
        </w:rPr>
      </w:pPr>
    </w:p>
    <w:p w14:paraId="14A55241" w14:textId="67013A6D" w:rsidR="005E376D" w:rsidRPr="008F0AE1" w:rsidRDefault="005E376D" w:rsidP="000C770D">
      <w:pPr>
        <w:pStyle w:val="NormalWeb"/>
        <w:spacing w:before="0" w:beforeAutospacing="0" w:after="0" w:afterAutospacing="0"/>
        <w:rPr>
          <w:color w:val="000000" w:themeColor="text1"/>
          <w:highlight w:val="yellow"/>
        </w:rPr>
      </w:pPr>
      <w:r w:rsidRPr="008F0AE1">
        <w:rPr>
          <w:color w:val="000000" w:themeColor="text1"/>
          <w:highlight w:val="yellow"/>
        </w:rPr>
        <w:t xml:space="preserve">2.2.2. For </w:t>
      </w:r>
      <w:r w:rsidR="005A5031" w:rsidRPr="008F0AE1">
        <w:rPr>
          <w:color w:val="000000" w:themeColor="text1"/>
          <w:highlight w:val="yellow"/>
        </w:rPr>
        <w:t xml:space="preserve">thorax </w:t>
      </w:r>
      <w:r w:rsidRPr="008F0AE1">
        <w:rPr>
          <w:color w:val="000000" w:themeColor="text1"/>
          <w:highlight w:val="yellow"/>
        </w:rPr>
        <w:t>and abdomen shielding</w:t>
      </w:r>
      <w:r w:rsidR="008F0AE1">
        <w:rPr>
          <w:color w:val="000000" w:themeColor="text1"/>
          <w:highlight w:val="yellow"/>
        </w:rPr>
        <w:t xml:space="preserve">, orient </w:t>
      </w:r>
      <w:r w:rsidR="00ED5AC8" w:rsidRPr="00AC51BD">
        <w:rPr>
          <w:rFonts w:eastAsia="SimSun"/>
          <w:iCs/>
          <w:color w:val="000000" w:themeColor="text1"/>
          <w:highlight w:val="yellow"/>
          <w:lang w:eastAsia="zh-CN"/>
        </w:rPr>
        <w:t xml:space="preserve">the radiation </w:t>
      </w:r>
      <w:r w:rsidR="001F440D" w:rsidRPr="00C960DC">
        <w:rPr>
          <w:rFonts w:eastAsia="SimSun"/>
          <w:iCs/>
          <w:color w:val="000000" w:themeColor="text1"/>
          <w:highlight w:val="yellow"/>
          <w:lang w:eastAsia="zh-CN"/>
        </w:rPr>
        <w:t>beam</w:t>
      </w:r>
      <w:r w:rsidR="00ED5AC8" w:rsidRPr="00AC51BD">
        <w:rPr>
          <w:rFonts w:eastAsia="SimSun"/>
          <w:iCs/>
          <w:color w:val="000000" w:themeColor="text1"/>
          <w:highlight w:val="yellow"/>
          <w:lang w:eastAsia="zh-CN"/>
        </w:rPr>
        <w:t xml:space="preserve"> of the</w:t>
      </w:r>
      <w:r w:rsidRPr="00AC51BD">
        <w:rPr>
          <w:rFonts w:eastAsia="SimSun"/>
          <w:iCs/>
          <w:color w:val="000000" w:themeColor="text1"/>
          <w:highlight w:val="yellow"/>
          <w:lang w:eastAsia="zh-CN"/>
        </w:rPr>
        <w:t xml:space="preserve"> X-ray irradiator</w:t>
      </w:r>
      <w:r w:rsidR="007E455F" w:rsidRPr="00AC51BD">
        <w:rPr>
          <w:rFonts w:eastAsia="SimSun"/>
          <w:iCs/>
          <w:color w:val="000000" w:themeColor="text1"/>
          <w:highlight w:val="yellow"/>
          <w:lang w:eastAsia="zh-CN"/>
        </w:rPr>
        <w:t xml:space="preserve"> </w:t>
      </w:r>
      <w:r w:rsidR="001256FE" w:rsidRPr="00AC51BD">
        <w:rPr>
          <w:rFonts w:eastAsia="SimSun"/>
          <w:iCs/>
          <w:color w:val="000000" w:themeColor="text1"/>
          <w:highlight w:val="yellow"/>
          <w:lang w:eastAsia="zh-CN"/>
        </w:rPr>
        <w:t>vertically to</w:t>
      </w:r>
      <w:r w:rsidR="007E455F" w:rsidRPr="00AC51BD">
        <w:rPr>
          <w:rFonts w:eastAsia="SimSun"/>
          <w:iCs/>
          <w:color w:val="000000" w:themeColor="text1"/>
          <w:highlight w:val="yellow"/>
          <w:lang w:eastAsia="zh-CN"/>
        </w:rPr>
        <w:t xml:space="preserve"> the mouse</w:t>
      </w:r>
      <w:r w:rsidR="001F440D" w:rsidRPr="00C960DC">
        <w:rPr>
          <w:rFonts w:eastAsia="SimSun"/>
          <w:iCs/>
          <w:color w:val="000000" w:themeColor="text1"/>
          <w:highlight w:val="yellow"/>
          <w:lang w:eastAsia="zh-CN"/>
        </w:rPr>
        <w:t xml:space="preserve"> (</w:t>
      </w:r>
      <w:r w:rsidR="001F440D" w:rsidRPr="00AC51BD">
        <w:rPr>
          <w:rFonts w:eastAsia="SimSun"/>
          <w:b/>
          <w:bCs/>
          <w:iCs/>
          <w:color w:val="000000" w:themeColor="text1"/>
          <w:highlight w:val="yellow"/>
          <w:lang w:eastAsia="zh-CN"/>
        </w:rPr>
        <w:t>Figure 1C</w:t>
      </w:r>
      <w:r w:rsidR="001F440D" w:rsidRPr="00C960DC">
        <w:rPr>
          <w:rFonts w:eastAsia="SimSun"/>
          <w:iCs/>
          <w:color w:val="000000" w:themeColor="text1"/>
          <w:highlight w:val="yellow"/>
          <w:lang w:eastAsia="zh-CN"/>
        </w:rPr>
        <w:t>)</w:t>
      </w:r>
      <w:r w:rsidRPr="00AC51BD">
        <w:rPr>
          <w:rFonts w:eastAsia="SimSun"/>
          <w:iCs/>
          <w:color w:val="000000" w:themeColor="text1"/>
          <w:highlight w:val="yellow"/>
          <w:lang w:eastAsia="zh-CN"/>
        </w:rPr>
        <w:t>.</w:t>
      </w:r>
    </w:p>
    <w:p w14:paraId="4F07EA47" w14:textId="77777777" w:rsidR="00B4573A" w:rsidRPr="00120F94" w:rsidRDefault="00B4573A" w:rsidP="000C770D">
      <w:pPr>
        <w:pStyle w:val="NormalWeb"/>
        <w:spacing w:before="0" w:beforeAutospacing="0" w:after="0" w:afterAutospacing="0"/>
        <w:rPr>
          <w:rFonts w:eastAsia="SimSun"/>
          <w:iCs/>
          <w:color w:val="000000" w:themeColor="text1"/>
          <w:highlight w:val="yellow"/>
          <w:lang w:eastAsia="zh-CN"/>
        </w:rPr>
      </w:pPr>
    </w:p>
    <w:p w14:paraId="255138B1" w14:textId="6EBFE715" w:rsidR="005E376D" w:rsidRPr="00C960DC" w:rsidRDefault="005E376D" w:rsidP="000C770D">
      <w:pPr>
        <w:pStyle w:val="NormalWeb"/>
        <w:spacing w:before="0" w:beforeAutospacing="0" w:after="0" w:afterAutospacing="0"/>
        <w:rPr>
          <w:rFonts w:eastAsia="SimSun"/>
          <w:color w:val="000000" w:themeColor="text1"/>
          <w:highlight w:val="yellow"/>
          <w:lang w:eastAsia="zh-CN"/>
        </w:rPr>
      </w:pPr>
      <w:r w:rsidRPr="00C960DC">
        <w:rPr>
          <w:color w:val="000000" w:themeColor="text1"/>
          <w:highlight w:val="yellow"/>
        </w:rPr>
        <w:t>2.2.2.1</w:t>
      </w:r>
      <w:r w:rsidR="00D40510">
        <w:rPr>
          <w:color w:val="000000" w:themeColor="text1"/>
          <w:highlight w:val="yellow"/>
        </w:rPr>
        <w:t>.</w:t>
      </w:r>
      <w:r w:rsidRPr="00C960DC">
        <w:rPr>
          <w:color w:val="000000" w:themeColor="text1"/>
          <w:highlight w:val="yellow"/>
        </w:rPr>
        <w:t xml:space="preserve"> Position the anesthetized mice onto a flat plate</w:t>
      </w:r>
      <w:r w:rsidR="002076B7" w:rsidRPr="00C960DC">
        <w:rPr>
          <w:color w:val="000000" w:themeColor="text1"/>
          <w:highlight w:val="yellow"/>
        </w:rPr>
        <w:t>, centering the</w:t>
      </w:r>
      <w:r w:rsidRPr="00C960DC">
        <w:rPr>
          <w:color w:val="000000" w:themeColor="text1"/>
          <w:highlight w:val="yellow"/>
        </w:rPr>
        <w:t xml:space="preserve"> radiation source from above</w:t>
      </w:r>
      <w:r w:rsidR="002076B7" w:rsidRPr="00C960DC">
        <w:rPr>
          <w:color w:val="000000" w:themeColor="text1"/>
          <w:highlight w:val="yellow"/>
        </w:rPr>
        <w:t>.</w:t>
      </w:r>
      <w:r w:rsidRPr="00C960DC">
        <w:rPr>
          <w:color w:val="000000" w:themeColor="text1"/>
          <w:highlight w:val="yellow"/>
        </w:rPr>
        <w:t xml:space="preserve"> </w:t>
      </w:r>
      <w:r w:rsidR="00896895" w:rsidRPr="00C960DC">
        <w:rPr>
          <w:color w:val="000000" w:themeColor="text1"/>
          <w:highlight w:val="yellow"/>
        </w:rPr>
        <w:t>Place the mice</w:t>
      </w:r>
      <w:r w:rsidR="002076B7" w:rsidRPr="00C960DC">
        <w:rPr>
          <w:color w:val="000000" w:themeColor="text1"/>
          <w:highlight w:val="yellow"/>
        </w:rPr>
        <w:t xml:space="preserve"> inverted</w:t>
      </w:r>
      <w:r w:rsidRPr="00C960DC">
        <w:rPr>
          <w:color w:val="000000" w:themeColor="text1"/>
          <w:highlight w:val="yellow"/>
        </w:rPr>
        <w:t xml:space="preserve"> to each other in a supine position with arms and legs fully extended</w:t>
      </w:r>
      <w:r w:rsidR="001F440D" w:rsidRPr="00C960DC">
        <w:rPr>
          <w:color w:val="000000" w:themeColor="text1"/>
          <w:highlight w:val="yellow"/>
        </w:rPr>
        <w:t xml:space="preserve"> (</w:t>
      </w:r>
      <w:r w:rsidR="001F440D" w:rsidRPr="00AC51BD">
        <w:rPr>
          <w:b/>
          <w:bCs/>
          <w:color w:val="000000" w:themeColor="text1"/>
          <w:highlight w:val="yellow"/>
        </w:rPr>
        <w:t>Figure 1</w:t>
      </w:r>
      <w:proofErr w:type="gramStart"/>
      <w:r w:rsidR="001F440D" w:rsidRPr="00AC51BD">
        <w:rPr>
          <w:b/>
          <w:bCs/>
          <w:color w:val="000000" w:themeColor="text1"/>
          <w:highlight w:val="yellow"/>
        </w:rPr>
        <w:t>D,E</w:t>
      </w:r>
      <w:proofErr w:type="gramEnd"/>
      <w:r w:rsidR="001F440D" w:rsidRPr="00C960DC">
        <w:rPr>
          <w:color w:val="000000" w:themeColor="text1"/>
          <w:highlight w:val="yellow"/>
        </w:rPr>
        <w:t>).</w:t>
      </w:r>
    </w:p>
    <w:p w14:paraId="7B5DA730" w14:textId="77777777" w:rsidR="00B4573A" w:rsidRPr="00C960DC" w:rsidRDefault="00B4573A" w:rsidP="000C770D">
      <w:pPr>
        <w:pStyle w:val="NormalWeb"/>
        <w:spacing w:before="0" w:beforeAutospacing="0" w:after="0" w:afterAutospacing="0"/>
        <w:rPr>
          <w:rFonts w:eastAsia="SimSun"/>
          <w:color w:val="000000" w:themeColor="text1"/>
          <w:highlight w:val="yellow"/>
          <w:lang w:eastAsia="zh-CN"/>
        </w:rPr>
      </w:pPr>
    </w:p>
    <w:p w14:paraId="37F8B72B" w14:textId="125F8EB0" w:rsidR="005E376D" w:rsidRPr="00AC51BD" w:rsidRDefault="005E376D" w:rsidP="000C770D">
      <w:pPr>
        <w:pStyle w:val="NormalWeb"/>
        <w:spacing w:before="0" w:beforeAutospacing="0" w:after="0" w:afterAutospacing="0"/>
        <w:rPr>
          <w:color w:val="auto"/>
          <w:highlight w:val="yellow"/>
        </w:rPr>
      </w:pPr>
      <w:r w:rsidRPr="00C960DC">
        <w:rPr>
          <w:color w:val="000000" w:themeColor="text1"/>
          <w:highlight w:val="yellow"/>
        </w:rPr>
        <w:t>N</w:t>
      </w:r>
      <w:r w:rsidR="008F0AE1">
        <w:rPr>
          <w:color w:val="000000" w:themeColor="text1"/>
          <w:highlight w:val="yellow"/>
        </w:rPr>
        <w:t>OTE</w:t>
      </w:r>
      <w:r w:rsidR="00CB28D1" w:rsidRPr="00C960DC">
        <w:rPr>
          <w:color w:val="000000" w:themeColor="text1"/>
          <w:highlight w:val="yellow"/>
        </w:rPr>
        <w:t>:</w:t>
      </w:r>
      <w:r w:rsidRPr="00C960DC">
        <w:rPr>
          <w:color w:val="000000" w:themeColor="text1"/>
          <w:highlight w:val="yellow"/>
        </w:rPr>
        <w:t xml:space="preserve"> X-ray irradiator facility</w:t>
      </w:r>
      <w:r w:rsidR="008F0AE1">
        <w:rPr>
          <w:color w:val="000000" w:themeColor="text1"/>
          <w:highlight w:val="yellow"/>
        </w:rPr>
        <w:t>, for this experiment,</w:t>
      </w:r>
      <w:r w:rsidR="002076B7" w:rsidRPr="00C960DC">
        <w:rPr>
          <w:color w:val="000000" w:themeColor="text1"/>
          <w:highlight w:val="yellow"/>
        </w:rPr>
        <w:t xml:space="preserve"> allows that</w:t>
      </w:r>
      <w:r w:rsidRPr="00C960DC">
        <w:rPr>
          <w:color w:val="000000" w:themeColor="text1"/>
          <w:highlight w:val="yellow"/>
        </w:rPr>
        <w:t xml:space="preserve"> two mice at a time can be positioned within the </w:t>
      </w:r>
      <w:r w:rsidRPr="00AC51BD">
        <w:rPr>
          <w:color w:val="auto"/>
          <w:highlight w:val="yellow"/>
        </w:rPr>
        <w:t xml:space="preserve">effective radius </w:t>
      </w:r>
      <w:r w:rsidR="002076B7" w:rsidRPr="00AC51BD">
        <w:rPr>
          <w:color w:val="auto"/>
          <w:highlight w:val="yellow"/>
        </w:rPr>
        <w:t>that allows</w:t>
      </w:r>
      <w:r w:rsidRPr="00AC51BD">
        <w:rPr>
          <w:color w:val="auto"/>
          <w:highlight w:val="yellow"/>
        </w:rPr>
        <w:t xml:space="preserve"> uniform irra</w:t>
      </w:r>
      <w:r w:rsidR="002076B7" w:rsidRPr="00AC51BD">
        <w:rPr>
          <w:color w:val="auto"/>
          <w:highlight w:val="yellow"/>
        </w:rPr>
        <w:t>dia</w:t>
      </w:r>
      <w:r w:rsidRPr="00AC51BD">
        <w:rPr>
          <w:color w:val="auto"/>
          <w:highlight w:val="yellow"/>
        </w:rPr>
        <w:t>tion. While the effective radius is calcu</w:t>
      </w:r>
      <w:r w:rsidR="002076B7" w:rsidRPr="00AC51BD">
        <w:rPr>
          <w:color w:val="auto"/>
          <w:highlight w:val="yellow"/>
        </w:rPr>
        <w:t>la</w:t>
      </w:r>
      <w:r w:rsidRPr="00AC51BD">
        <w:rPr>
          <w:color w:val="auto"/>
          <w:highlight w:val="yellow"/>
        </w:rPr>
        <w:t xml:space="preserve">ted based on the distance between </w:t>
      </w:r>
      <w:r w:rsidR="00A75084">
        <w:rPr>
          <w:color w:val="auto"/>
          <w:highlight w:val="yellow"/>
        </w:rPr>
        <w:t xml:space="preserve">the </w:t>
      </w:r>
      <w:r w:rsidRPr="00AC51BD">
        <w:rPr>
          <w:color w:val="auto"/>
          <w:highlight w:val="yellow"/>
        </w:rPr>
        <w:t xml:space="preserve">radiation source and the </w:t>
      </w:r>
      <w:r w:rsidR="008D6AD5" w:rsidRPr="00C960DC">
        <w:rPr>
          <w:color w:val="auto"/>
          <w:highlight w:val="yellow"/>
        </w:rPr>
        <w:t>tray</w:t>
      </w:r>
      <w:r w:rsidRPr="00AC51BD">
        <w:rPr>
          <w:color w:val="auto"/>
          <w:highlight w:val="yellow"/>
        </w:rPr>
        <w:t xml:space="preserve">, </w:t>
      </w:r>
      <w:r w:rsidR="002076B7" w:rsidRPr="00AC51BD">
        <w:rPr>
          <w:color w:val="auto"/>
          <w:highlight w:val="yellow"/>
        </w:rPr>
        <w:t>the number of</w:t>
      </w:r>
      <w:r w:rsidRPr="00AC51BD">
        <w:rPr>
          <w:color w:val="auto"/>
          <w:highlight w:val="yellow"/>
        </w:rPr>
        <w:t xml:space="preserve"> animals</w:t>
      </w:r>
      <w:r w:rsidR="002076B7" w:rsidRPr="00AC51BD">
        <w:rPr>
          <w:color w:val="auto"/>
          <w:highlight w:val="yellow"/>
        </w:rPr>
        <w:t xml:space="preserve"> that</w:t>
      </w:r>
      <w:r w:rsidRPr="00AC51BD">
        <w:rPr>
          <w:color w:val="auto"/>
          <w:highlight w:val="yellow"/>
        </w:rPr>
        <w:t xml:space="preserve"> can be </w:t>
      </w:r>
      <w:r w:rsidR="002076B7" w:rsidRPr="00AC51BD">
        <w:rPr>
          <w:color w:val="auto"/>
          <w:highlight w:val="yellow"/>
        </w:rPr>
        <w:t xml:space="preserve">simultaneously </w:t>
      </w:r>
      <w:r w:rsidRPr="00AC51BD">
        <w:rPr>
          <w:color w:val="auto"/>
          <w:highlight w:val="yellow"/>
        </w:rPr>
        <w:t xml:space="preserve">irradiated </w:t>
      </w:r>
      <w:r w:rsidR="002076B7" w:rsidRPr="00AC51BD">
        <w:rPr>
          <w:color w:val="auto"/>
          <w:highlight w:val="yellow"/>
        </w:rPr>
        <w:t>will depend upon the specific</w:t>
      </w:r>
      <w:r w:rsidRPr="00AC51BD">
        <w:rPr>
          <w:color w:val="auto"/>
          <w:highlight w:val="yellow"/>
        </w:rPr>
        <w:t xml:space="preserve"> irradiator</w:t>
      </w:r>
      <w:r w:rsidR="002076B7" w:rsidRPr="00AC51BD">
        <w:rPr>
          <w:color w:val="auto"/>
          <w:highlight w:val="yellow"/>
        </w:rPr>
        <w:t>.</w:t>
      </w:r>
    </w:p>
    <w:p w14:paraId="5B97B06E" w14:textId="77777777" w:rsidR="005E376D" w:rsidRPr="00AC51BD" w:rsidRDefault="005E376D" w:rsidP="000C770D">
      <w:pPr>
        <w:pStyle w:val="NormalWeb"/>
        <w:spacing w:before="0" w:beforeAutospacing="0" w:after="0" w:afterAutospacing="0"/>
        <w:rPr>
          <w:color w:val="auto"/>
          <w:highlight w:val="yellow"/>
        </w:rPr>
      </w:pPr>
    </w:p>
    <w:p w14:paraId="080DF689" w14:textId="5310F1CF" w:rsidR="007723E6" w:rsidRPr="007723E6" w:rsidRDefault="005E376D" w:rsidP="000C770D">
      <w:pPr>
        <w:pStyle w:val="NormalWeb"/>
        <w:spacing w:before="0" w:beforeAutospacing="0" w:after="0" w:afterAutospacing="0"/>
        <w:rPr>
          <w:color w:val="auto"/>
          <w:highlight w:val="yellow"/>
        </w:rPr>
      </w:pPr>
      <w:r w:rsidRPr="00AC51BD">
        <w:rPr>
          <w:color w:val="auto"/>
          <w:highlight w:val="yellow"/>
        </w:rPr>
        <w:t xml:space="preserve">2.2.2.2. Fasten the paws of the mice onto the plate using tape to ensure the mice </w:t>
      </w:r>
      <w:r w:rsidR="002076B7" w:rsidRPr="00AC51BD">
        <w:rPr>
          <w:color w:val="auto"/>
          <w:highlight w:val="yellow"/>
        </w:rPr>
        <w:t xml:space="preserve">are immobilized </w:t>
      </w:r>
      <w:r w:rsidRPr="00AC51BD">
        <w:rPr>
          <w:color w:val="auto"/>
          <w:highlight w:val="yellow"/>
        </w:rPr>
        <w:t>during the irradiation procedure.</w:t>
      </w:r>
      <w:r w:rsidR="007723E6">
        <w:rPr>
          <w:color w:val="auto"/>
          <w:highlight w:val="yellow"/>
        </w:rPr>
        <w:t xml:space="preserve"> </w:t>
      </w:r>
      <w:r w:rsidR="005F65C5" w:rsidRPr="00033A94">
        <w:rPr>
          <w:color w:val="000000" w:themeColor="text1"/>
          <w:highlight w:val="yellow"/>
        </w:rPr>
        <w:t>Place lead shielding so that it covers regions that require protection.</w:t>
      </w:r>
    </w:p>
    <w:p w14:paraId="12A54D43" w14:textId="77777777" w:rsidR="007723E6" w:rsidRDefault="007723E6" w:rsidP="000C770D">
      <w:pPr>
        <w:autoSpaceDE w:val="0"/>
        <w:autoSpaceDN w:val="0"/>
        <w:adjustRightInd w:val="0"/>
        <w:jc w:val="both"/>
        <w:rPr>
          <w:rFonts w:ascii="Calibri" w:hAnsi="Calibri" w:cs="Calibri"/>
          <w:highlight w:val="yellow"/>
        </w:rPr>
      </w:pPr>
    </w:p>
    <w:p w14:paraId="56C04010" w14:textId="4C1982AB" w:rsidR="00A6416E" w:rsidRPr="00F34287" w:rsidRDefault="007723E6" w:rsidP="000C770D">
      <w:pPr>
        <w:autoSpaceDE w:val="0"/>
        <w:autoSpaceDN w:val="0"/>
        <w:adjustRightInd w:val="0"/>
        <w:jc w:val="both"/>
        <w:rPr>
          <w:rFonts w:ascii="Calibri" w:hAnsi="Calibri" w:cs="Calibri"/>
          <w:highlight w:val="yellow"/>
        </w:rPr>
      </w:pPr>
      <w:r>
        <w:rPr>
          <w:rFonts w:ascii="Calibri" w:hAnsi="Calibri" w:cs="Calibri"/>
          <w:highlight w:val="yellow"/>
        </w:rPr>
        <w:t xml:space="preserve">2.2.2.3. </w:t>
      </w:r>
      <w:r w:rsidR="00EF4B4B" w:rsidRPr="00FC7B44">
        <w:rPr>
          <w:rFonts w:ascii="Calibri" w:hAnsi="Calibri" w:cs="Calibri"/>
          <w:highlight w:val="yellow"/>
        </w:rPr>
        <w:t xml:space="preserve">For thorax shielding, </w:t>
      </w:r>
      <w:r w:rsidR="008F0AE1">
        <w:rPr>
          <w:rFonts w:ascii="Calibri" w:hAnsi="Calibri" w:cs="Calibri"/>
          <w:highlight w:val="yellow"/>
        </w:rPr>
        <w:t xml:space="preserve">prepare </w:t>
      </w:r>
      <w:r w:rsidR="00EF4B4B" w:rsidRPr="00FC7B44">
        <w:rPr>
          <w:rFonts w:ascii="Calibri" w:hAnsi="Calibri" w:cs="Calibri"/>
          <w:highlight w:val="yellow"/>
        </w:rPr>
        <w:t>the lead shield by measuring the length from the mouse’s xiphisternum bone to the thymus and calculat</w:t>
      </w:r>
      <w:r w:rsidR="008F0AE1">
        <w:rPr>
          <w:rFonts w:ascii="Calibri" w:hAnsi="Calibri" w:cs="Calibri"/>
          <w:highlight w:val="yellow"/>
        </w:rPr>
        <w:t>ing</w:t>
      </w:r>
      <w:r w:rsidR="00EF4B4B" w:rsidRPr="00FC7B44">
        <w:rPr>
          <w:rFonts w:ascii="Calibri" w:hAnsi="Calibri" w:cs="Calibri"/>
          <w:highlight w:val="yellow"/>
        </w:rPr>
        <w:t xml:space="preserve"> the thickness that </w:t>
      </w:r>
      <w:r w:rsidR="00A75084">
        <w:rPr>
          <w:rFonts w:ascii="Calibri" w:hAnsi="Calibri" w:cs="Calibri"/>
          <w:highlight w:val="yellow"/>
        </w:rPr>
        <w:t xml:space="preserve">will </w:t>
      </w:r>
      <w:r w:rsidR="00EF4B4B" w:rsidRPr="00FC7B44">
        <w:rPr>
          <w:rFonts w:ascii="Calibri" w:hAnsi="Calibri" w:cs="Calibri"/>
          <w:highlight w:val="yellow"/>
        </w:rPr>
        <w:t>provide sufficient protection from the source of irradiation. Place the lead shielding so that the lower end aligns with the xiphisternum bone. The upper end of the lead barrier will fit near the thymu</w:t>
      </w:r>
      <w:r w:rsidR="00A6416E">
        <w:rPr>
          <w:rFonts w:ascii="Calibri" w:hAnsi="Calibri" w:cs="Calibri"/>
          <w:highlight w:val="yellow"/>
        </w:rPr>
        <w:t xml:space="preserve">s </w:t>
      </w:r>
      <w:r w:rsidR="00A6416E" w:rsidRPr="00F34287">
        <w:rPr>
          <w:rFonts w:ascii="Calibri" w:hAnsi="Calibri" w:cs="Calibri"/>
          <w:highlight w:val="yellow"/>
        </w:rPr>
        <w:t>(</w:t>
      </w:r>
      <w:r w:rsidR="00A6416E" w:rsidRPr="00033A94">
        <w:rPr>
          <w:rFonts w:ascii="Calibri" w:hAnsi="Calibri" w:cs="Calibri"/>
          <w:b/>
          <w:bCs/>
          <w:highlight w:val="yellow"/>
        </w:rPr>
        <w:t>Figure 1D</w:t>
      </w:r>
      <w:r w:rsidR="00A6416E" w:rsidRPr="00F34287">
        <w:rPr>
          <w:rFonts w:ascii="Calibri" w:hAnsi="Calibri" w:cs="Calibri"/>
          <w:highlight w:val="yellow"/>
        </w:rPr>
        <w:t>)</w:t>
      </w:r>
      <w:r w:rsidR="00EF4B4B" w:rsidRPr="00FC7B44">
        <w:rPr>
          <w:rFonts w:ascii="Calibri" w:hAnsi="Calibri" w:cs="Calibri"/>
          <w:highlight w:val="yellow"/>
        </w:rPr>
        <w:t>.</w:t>
      </w:r>
    </w:p>
    <w:p w14:paraId="2674676C" w14:textId="09B6A640" w:rsidR="00EF4B4B" w:rsidRPr="00033A94" w:rsidRDefault="00EF4B4B" w:rsidP="000C770D">
      <w:pPr>
        <w:autoSpaceDE w:val="0"/>
        <w:autoSpaceDN w:val="0"/>
        <w:adjustRightInd w:val="0"/>
        <w:jc w:val="both"/>
        <w:rPr>
          <w:rFonts w:ascii="Calibri" w:hAnsi="Calibri" w:cs="Calibri"/>
          <w:highlight w:val="yellow"/>
        </w:rPr>
      </w:pPr>
    </w:p>
    <w:p w14:paraId="6B3DF6E0" w14:textId="1758C509" w:rsidR="00025491" w:rsidRPr="00C960DC" w:rsidRDefault="00025491" w:rsidP="000C770D">
      <w:pPr>
        <w:autoSpaceDE w:val="0"/>
        <w:autoSpaceDN w:val="0"/>
        <w:adjustRightInd w:val="0"/>
        <w:jc w:val="both"/>
        <w:rPr>
          <w:highlight w:val="yellow"/>
        </w:rPr>
      </w:pPr>
      <w:r w:rsidRPr="00C960DC">
        <w:rPr>
          <w:rFonts w:ascii="Calibri" w:hAnsi="Calibri" w:cs="Calibri"/>
          <w:highlight w:val="yellow"/>
        </w:rPr>
        <w:t>2.</w:t>
      </w:r>
      <w:r w:rsidR="007723E6">
        <w:rPr>
          <w:rFonts w:ascii="Calibri" w:hAnsi="Calibri" w:cs="Calibri"/>
          <w:highlight w:val="yellow"/>
        </w:rPr>
        <w:t xml:space="preserve">2.2.4. </w:t>
      </w:r>
      <w:r w:rsidR="00EF4B4B" w:rsidRPr="00033A94">
        <w:rPr>
          <w:rFonts w:ascii="Calibri" w:hAnsi="Calibri" w:cs="Calibri"/>
          <w:color w:val="000000" w:themeColor="text1"/>
          <w:highlight w:val="yellow"/>
        </w:rPr>
        <w:t xml:space="preserve">For abdomen shielding, </w:t>
      </w:r>
      <w:r w:rsidR="008F0AE1">
        <w:rPr>
          <w:rFonts w:ascii="Calibri" w:hAnsi="Calibri" w:cs="Calibri"/>
          <w:color w:val="000000" w:themeColor="text1"/>
          <w:highlight w:val="yellow"/>
        </w:rPr>
        <w:t xml:space="preserve">prepare </w:t>
      </w:r>
      <w:r w:rsidR="00EF4B4B" w:rsidRPr="00033A94">
        <w:rPr>
          <w:rFonts w:ascii="Calibri" w:hAnsi="Calibri" w:cs="Calibri"/>
          <w:color w:val="000000" w:themeColor="text1"/>
          <w:highlight w:val="yellow"/>
        </w:rPr>
        <w:t xml:space="preserve">the lead shield by measuring the length from the mouse’s anus to the diaphragm and calculating the thickness that </w:t>
      </w:r>
      <w:r w:rsidR="00A75084">
        <w:rPr>
          <w:rFonts w:ascii="Calibri" w:hAnsi="Calibri" w:cs="Calibri"/>
          <w:color w:val="000000" w:themeColor="text1"/>
          <w:highlight w:val="yellow"/>
        </w:rPr>
        <w:t xml:space="preserve">will </w:t>
      </w:r>
      <w:r w:rsidR="00EF4B4B" w:rsidRPr="00033A94">
        <w:rPr>
          <w:rFonts w:ascii="Calibri" w:hAnsi="Calibri" w:cs="Calibri"/>
          <w:color w:val="000000" w:themeColor="text1"/>
          <w:highlight w:val="yellow"/>
        </w:rPr>
        <w:t>provide sufficient protection from the source of irradiation. Place the lead shielding so that the lower end aligns with the anus. The upper end of the lead shield will fit below the diaphragm</w:t>
      </w:r>
      <w:r w:rsidR="00A6416E">
        <w:rPr>
          <w:rFonts w:ascii="Calibri" w:hAnsi="Calibri" w:cs="Calibri"/>
          <w:color w:val="000000" w:themeColor="text1"/>
          <w:highlight w:val="yellow"/>
        </w:rPr>
        <w:t xml:space="preserve"> </w:t>
      </w:r>
      <w:r w:rsidR="00A6416E" w:rsidRPr="00DB76BC">
        <w:rPr>
          <w:rFonts w:ascii="Calibri" w:hAnsi="Calibri" w:cs="Calibri"/>
          <w:color w:val="000000" w:themeColor="text1"/>
          <w:highlight w:val="yellow"/>
        </w:rPr>
        <w:t>(</w:t>
      </w:r>
      <w:r w:rsidR="00A6416E" w:rsidRPr="00033A94">
        <w:rPr>
          <w:rFonts w:ascii="Calibri" w:hAnsi="Calibri" w:cs="Calibri"/>
          <w:b/>
          <w:bCs/>
          <w:color w:val="000000" w:themeColor="text1"/>
          <w:highlight w:val="yellow"/>
        </w:rPr>
        <w:t>Figure 1E</w:t>
      </w:r>
      <w:r w:rsidR="00A6416E" w:rsidRPr="00DB76BC">
        <w:rPr>
          <w:rFonts w:ascii="Calibri" w:hAnsi="Calibri" w:cs="Calibri"/>
          <w:color w:val="000000" w:themeColor="text1"/>
          <w:highlight w:val="yellow"/>
        </w:rPr>
        <w:t>)</w:t>
      </w:r>
      <w:r w:rsidR="00EF4B4B" w:rsidRPr="00033A94">
        <w:rPr>
          <w:rFonts w:ascii="Calibri" w:hAnsi="Calibri" w:cs="Calibri"/>
          <w:color w:val="000000" w:themeColor="text1"/>
          <w:highlight w:val="yellow"/>
        </w:rPr>
        <w:t>.</w:t>
      </w:r>
    </w:p>
    <w:p w14:paraId="37FE2D43" w14:textId="7F5C510E" w:rsidR="00025491" w:rsidRDefault="00025491" w:rsidP="000C770D">
      <w:pPr>
        <w:pStyle w:val="NormalWeb"/>
        <w:spacing w:before="0" w:beforeAutospacing="0" w:after="0" w:afterAutospacing="0"/>
        <w:rPr>
          <w:bCs/>
          <w:color w:val="auto"/>
          <w:highlight w:val="yellow"/>
        </w:rPr>
      </w:pPr>
    </w:p>
    <w:p w14:paraId="139E8338" w14:textId="00F12574" w:rsidR="007723E6" w:rsidRDefault="007723E6" w:rsidP="000C770D">
      <w:pPr>
        <w:pStyle w:val="NormalWeb"/>
        <w:spacing w:before="0" w:beforeAutospacing="0" w:after="0" w:afterAutospacing="0"/>
        <w:rPr>
          <w:color w:val="000000" w:themeColor="text1"/>
          <w:highlight w:val="yellow"/>
        </w:rPr>
      </w:pPr>
      <w:r>
        <w:rPr>
          <w:bCs/>
          <w:color w:val="auto"/>
          <w:highlight w:val="yellow"/>
        </w:rPr>
        <w:lastRenderedPageBreak/>
        <w:t xml:space="preserve">NOTE: </w:t>
      </w:r>
      <w:r w:rsidRPr="00033A94">
        <w:rPr>
          <w:color w:val="000000" w:themeColor="text1"/>
          <w:highlight w:val="yellow"/>
        </w:rPr>
        <w:t xml:space="preserve">Localizing the lead shield to be consistent among cohorts may reduce some variation </w:t>
      </w:r>
      <w:proofErr w:type="gramStart"/>
      <w:r w:rsidRPr="00033A94">
        <w:rPr>
          <w:color w:val="000000" w:themeColor="text1"/>
          <w:highlight w:val="yellow"/>
        </w:rPr>
        <w:t>with regard to</w:t>
      </w:r>
      <w:proofErr w:type="gramEnd"/>
      <w:r w:rsidRPr="00033A94">
        <w:rPr>
          <w:color w:val="000000" w:themeColor="text1"/>
          <w:highlight w:val="yellow"/>
        </w:rPr>
        <w:t xml:space="preserve"> the size of the mice.</w:t>
      </w:r>
    </w:p>
    <w:p w14:paraId="3E367B27" w14:textId="77777777" w:rsidR="007723E6" w:rsidRPr="008F0AE1" w:rsidRDefault="007723E6" w:rsidP="000C770D">
      <w:pPr>
        <w:pStyle w:val="NormalWeb"/>
        <w:spacing w:before="0" w:beforeAutospacing="0" w:after="0" w:afterAutospacing="0"/>
        <w:rPr>
          <w:bCs/>
          <w:color w:val="auto"/>
          <w:highlight w:val="yellow"/>
        </w:rPr>
      </w:pPr>
    </w:p>
    <w:p w14:paraId="34B807A0" w14:textId="5DAB4002" w:rsidR="00ED5AC8" w:rsidRPr="007723E6" w:rsidRDefault="005E376D" w:rsidP="000C770D">
      <w:pPr>
        <w:pStyle w:val="NormalWeb"/>
        <w:spacing w:before="0" w:beforeAutospacing="0" w:after="0" w:afterAutospacing="0"/>
        <w:rPr>
          <w:color w:val="auto"/>
          <w:highlight w:val="yellow"/>
        </w:rPr>
      </w:pPr>
      <w:r w:rsidRPr="008F0AE1">
        <w:rPr>
          <w:color w:val="auto"/>
          <w:highlight w:val="yellow"/>
        </w:rPr>
        <w:t>2.2.3. For head shielding</w:t>
      </w:r>
      <w:r w:rsidR="007723E6">
        <w:rPr>
          <w:color w:val="auto"/>
          <w:highlight w:val="yellow"/>
        </w:rPr>
        <w:t xml:space="preserve">, orient </w:t>
      </w:r>
      <w:r w:rsidR="00ED5AC8" w:rsidRPr="00C960DC">
        <w:rPr>
          <w:rFonts w:eastAsia="SimSun"/>
          <w:iCs/>
          <w:color w:val="auto"/>
          <w:highlight w:val="yellow"/>
          <w:lang w:eastAsia="zh-CN"/>
        </w:rPr>
        <w:t>the radiation beam of the Cesium irradiator horizontally to the mouse.</w:t>
      </w:r>
    </w:p>
    <w:p w14:paraId="7EC37D0B" w14:textId="77777777" w:rsidR="00B4573A" w:rsidRPr="00C960DC" w:rsidRDefault="00B4573A" w:rsidP="000C770D">
      <w:pPr>
        <w:pStyle w:val="NormalWeb"/>
        <w:spacing w:before="0" w:beforeAutospacing="0" w:after="0" w:afterAutospacing="0"/>
        <w:rPr>
          <w:color w:val="auto"/>
          <w:highlight w:val="yellow"/>
        </w:rPr>
      </w:pPr>
    </w:p>
    <w:p w14:paraId="20A147B2" w14:textId="0DC363DF" w:rsidR="005E376D" w:rsidRPr="00C960DC" w:rsidRDefault="005E376D" w:rsidP="000C770D">
      <w:pPr>
        <w:pStyle w:val="NormalWeb"/>
        <w:spacing w:before="0" w:beforeAutospacing="0" w:after="0" w:afterAutospacing="0"/>
        <w:rPr>
          <w:color w:val="auto"/>
          <w:highlight w:val="yellow"/>
        </w:rPr>
      </w:pPr>
      <w:r w:rsidRPr="00C960DC">
        <w:rPr>
          <w:color w:val="auto"/>
          <w:highlight w:val="yellow"/>
        </w:rPr>
        <w:t>2.2.3.1. Carefully tape the forepaws of an anesthetized mouse to the abdomen. This ensures that the arms get a full dose of irradiation and are not covered by the shield.</w:t>
      </w:r>
    </w:p>
    <w:p w14:paraId="66483C12" w14:textId="77777777" w:rsidR="005E376D" w:rsidRPr="00C960DC" w:rsidRDefault="005E376D" w:rsidP="000C770D">
      <w:pPr>
        <w:pStyle w:val="NormalWeb"/>
        <w:spacing w:before="0" w:beforeAutospacing="0" w:after="0" w:afterAutospacing="0"/>
        <w:rPr>
          <w:color w:val="auto"/>
          <w:highlight w:val="yellow"/>
        </w:rPr>
      </w:pPr>
    </w:p>
    <w:p w14:paraId="65E3F4FB" w14:textId="5222DD18" w:rsidR="007D42BE" w:rsidRPr="00033A94" w:rsidRDefault="007D42BE" w:rsidP="000C770D">
      <w:pPr>
        <w:pStyle w:val="NormalWeb"/>
        <w:spacing w:before="0" w:beforeAutospacing="0" w:after="0" w:afterAutospacing="0"/>
        <w:rPr>
          <w:color w:val="auto"/>
          <w:highlight w:val="yellow"/>
        </w:rPr>
      </w:pPr>
      <w:r w:rsidRPr="00C960DC">
        <w:rPr>
          <w:rFonts w:eastAsia="Times New Roman"/>
          <w:color w:val="auto"/>
          <w:highlight w:val="yellow"/>
          <w:lang w:eastAsia="ko-KR"/>
        </w:rPr>
        <w:t xml:space="preserve">2.2.3.2. </w:t>
      </w:r>
      <w:r w:rsidR="00EF4B4B" w:rsidRPr="00033A94">
        <w:rPr>
          <w:rFonts w:eastAsia="Times New Roman"/>
          <w:color w:val="auto"/>
          <w:highlight w:val="yellow"/>
          <w:lang w:eastAsia="ko-KR"/>
        </w:rPr>
        <w:t>For head shielding,</w:t>
      </w:r>
      <w:r w:rsidR="007723E6">
        <w:rPr>
          <w:rFonts w:eastAsia="Times New Roman"/>
          <w:color w:val="auto"/>
          <w:highlight w:val="yellow"/>
          <w:lang w:eastAsia="ko-KR"/>
        </w:rPr>
        <w:t xml:space="preserve"> place</w:t>
      </w:r>
      <w:r w:rsidR="00EF4B4B" w:rsidRPr="00033A94">
        <w:rPr>
          <w:rFonts w:eastAsia="Times New Roman"/>
          <w:color w:val="auto"/>
          <w:highlight w:val="yellow"/>
          <w:lang w:eastAsia="ko-KR"/>
        </w:rPr>
        <w:t xml:space="preserve"> the mouse in a conical restrainer</w:t>
      </w:r>
      <w:r w:rsidR="008A6E7E">
        <w:rPr>
          <w:rFonts w:eastAsia="Times New Roman"/>
          <w:color w:val="auto"/>
          <w:highlight w:val="yellow"/>
          <w:lang w:eastAsia="ko-KR"/>
        </w:rPr>
        <w:t>,</w:t>
      </w:r>
      <w:r w:rsidR="00EF4B4B" w:rsidRPr="00033A94">
        <w:rPr>
          <w:rFonts w:eastAsia="Times New Roman"/>
          <w:color w:val="auto"/>
          <w:highlight w:val="yellow"/>
          <w:lang w:eastAsia="ko-KR"/>
        </w:rPr>
        <w:t xml:space="preserve"> which fits inside a lead shield. Once the mouse is inside the conical restrainer, slide the restrainer into the slot within the lead shield (</w:t>
      </w:r>
      <w:r w:rsidR="00EF4B4B" w:rsidRPr="00033A94">
        <w:rPr>
          <w:rFonts w:eastAsia="Times New Roman"/>
          <w:b/>
          <w:bCs/>
          <w:color w:val="auto"/>
          <w:highlight w:val="yellow"/>
          <w:lang w:eastAsia="ko-KR"/>
        </w:rPr>
        <w:t>Figure 1F</w:t>
      </w:r>
      <w:r w:rsidR="00EF4B4B" w:rsidRPr="00033A94">
        <w:rPr>
          <w:rFonts w:eastAsia="Times New Roman"/>
          <w:color w:val="auto"/>
          <w:highlight w:val="yellow"/>
          <w:lang w:eastAsia="ko-KR"/>
        </w:rPr>
        <w:t>). The lead shield should completely cover the mouse’s head and ears (~3.2 cm), leaving the rest of the mouse’s body exposed for irradiation. The position of the restrainer inside the shield can be adjusted to fit different sized animals by sliding it further inside or outside the shield.</w:t>
      </w:r>
    </w:p>
    <w:p w14:paraId="7C357885" w14:textId="3FBBD5C4" w:rsidR="005E376D" w:rsidRPr="00C960DC" w:rsidRDefault="005E376D" w:rsidP="000C770D">
      <w:pPr>
        <w:pStyle w:val="NormalWeb"/>
        <w:spacing w:before="0" w:beforeAutospacing="0" w:after="0" w:afterAutospacing="0"/>
        <w:rPr>
          <w:color w:val="auto"/>
          <w:highlight w:val="yellow"/>
        </w:rPr>
      </w:pPr>
    </w:p>
    <w:p w14:paraId="5F550134" w14:textId="4EF1FDA4" w:rsidR="005E376D" w:rsidRPr="00C960DC" w:rsidRDefault="005E376D" w:rsidP="000C770D">
      <w:pPr>
        <w:pStyle w:val="NormalWeb"/>
        <w:spacing w:before="0" w:beforeAutospacing="0" w:after="0" w:afterAutospacing="0"/>
        <w:rPr>
          <w:bCs/>
          <w:color w:val="auto"/>
          <w:highlight w:val="yellow"/>
        </w:rPr>
      </w:pPr>
      <w:r w:rsidRPr="00C960DC">
        <w:rPr>
          <w:color w:val="auto"/>
          <w:highlight w:val="yellow"/>
        </w:rPr>
        <w:t>2.2.</w:t>
      </w:r>
      <w:r w:rsidR="00BF56E9" w:rsidRPr="00C960DC">
        <w:rPr>
          <w:color w:val="auto"/>
          <w:highlight w:val="yellow"/>
        </w:rPr>
        <w:t>3.2</w:t>
      </w:r>
      <w:r w:rsidRPr="00C960DC">
        <w:rPr>
          <w:color w:val="auto"/>
          <w:highlight w:val="yellow"/>
        </w:rPr>
        <w:t xml:space="preserve">. </w:t>
      </w:r>
      <w:r w:rsidR="007723E6">
        <w:rPr>
          <w:color w:val="auto"/>
          <w:highlight w:val="yellow"/>
        </w:rPr>
        <w:t>Place m</w:t>
      </w:r>
      <w:r w:rsidRPr="00C960DC">
        <w:rPr>
          <w:color w:val="auto"/>
          <w:highlight w:val="yellow"/>
        </w:rPr>
        <w:t>ice inside the irradiator, perpendicular to the source for irradiation.</w:t>
      </w:r>
    </w:p>
    <w:p w14:paraId="5B1C045A" w14:textId="77777777" w:rsidR="005E376D" w:rsidRPr="00C960DC" w:rsidRDefault="005E376D" w:rsidP="000C770D">
      <w:pPr>
        <w:pStyle w:val="NormalWeb"/>
        <w:spacing w:before="0" w:beforeAutospacing="0" w:after="0" w:afterAutospacing="0"/>
        <w:rPr>
          <w:color w:val="auto"/>
          <w:highlight w:val="yellow"/>
          <w:lang w:eastAsia="ko-KR"/>
        </w:rPr>
      </w:pPr>
    </w:p>
    <w:p w14:paraId="5CDFD014" w14:textId="40413DA8" w:rsidR="005E376D" w:rsidRPr="00C960DC" w:rsidRDefault="005E376D" w:rsidP="000C770D">
      <w:pPr>
        <w:pStyle w:val="NormalWeb"/>
        <w:spacing w:before="0" w:beforeAutospacing="0" w:after="0" w:afterAutospacing="0"/>
        <w:rPr>
          <w:color w:val="auto"/>
          <w:highlight w:val="yellow"/>
        </w:rPr>
      </w:pPr>
      <w:r w:rsidRPr="00C960DC">
        <w:rPr>
          <w:color w:val="auto"/>
          <w:highlight w:val="yellow"/>
        </w:rPr>
        <w:t>2.2.</w:t>
      </w:r>
      <w:r w:rsidR="00BF56E9" w:rsidRPr="00C960DC">
        <w:rPr>
          <w:color w:val="auto"/>
          <w:highlight w:val="yellow"/>
        </w:rPr>
        <w:t>4</w:t>
      </w:r>
      <w:r w:rsidRPr="00C960DC">
        <w:rPr>
          <w:color w:val="auto"/>
          <w:highlight w:val="yellow"/>
        </w:rPr>
        <w:t xml:space="preserve">. Expose mice to two </w:t>
      </w:r>
      <w:r w:rsidR="006F29B5" w:rsidRPr="00C960DC">
        <w:rPr>
          <w:color w:val="auto"/>
          <w:highlight w:val="yellow"/>
        </w:rPr>
        <w:t xml:space="preserve">5.5 Gy </w:t>
      </w:r>
      <w:r w:rsidR="00022594" w:rsidRPr="00C960DC">
        <w:rPr>
          <w:color w:val="auto"/>
          <w:highlight w:val="yellow"/>
        </w:rPr>
        <w:t xml:space="preserve">fractions </w:t>
      </w:r>
      <w:r w:rsidRPr="00C960DC">
        <w:rPr>
          <w:color w:val="auto"/>
          <w:highlight w:val="yellow"/>
        </w:rPr>
        <w:t>of irradiation (</w:t>
      </w:r>
      <w:r w:rsidR="008415A2" w:rsidRPr="00C960DC">
        <w:rPr>
          <w:color w:val="auto"/>
          <w:highlight w:val="yellow"/>
        </w:rPr>
        <w:t>total dose of 11</w:t>
      </w:r>
      <w:r w:rsidR="008A6E7E">
        <w:rPr>
          <w:color w:val="auto"/>
          <w:highlight w:val="yellow"/>
        </w:rPr>
        <w:t xml:space="preserve"> </w:t>
      </w:r>
      <w:r w:rsidR="008415A2" w:rsidRPr="00C960DC">
        <w:rPr>
          <w:color w:val="auto"/>
          <w:highlight w:val="yellow"/>
        </w:rPr>
        <w:t>Gy</w:t>
      </w:r>
      <w:r w:rsidRPr="00FC7B44">
        <w:rPr>
          <w:color w:val="auto"/>
          <w:highlight w:val="yellow"/>
        </w:rPr>
        <w:t xml:space="preserve">) </w:t>
      </w:r>
      <w:r w:rsidR="006F29B5" w:rsidRPr="00C960DC">
        <w:rPr>
          <w:color w:val="auto"/>
          <w:highlight w:val="yellow"/>
        </w:rPr>
        <w:t xml:space="preserve">separated by a </w:t>
      </w:r>
      <w:r w:rsidR="004022E2" w:rsidRPr="00C960DC">
        <w:rPr>
          <w:color w:val="auto"/>
          <w:highlight w:val="yellow"/>
        </w:rPr>
        <w:t>4</w:t>
      </w:r>
      <w:r w:rsidR="008A6E7E">
        <w:rPr>
          <w:color w:val="auto"/>
          <w:highlight w:val="yellow"/>
        </w:rPr>
        <w:t>–</w:t>
      </w:r>
      <w:r w:rsidR="006F29B5" w:rsidRPr="00C960DC">
        <w:rPr>
          <w:color w:val="auto"/>
          <w:highlight w:val="yellow"/>
        </w:rPr>
        <w:t>24 h interval</w:t>
      </w:r>
      <w:r w:rsidRPr="00FC7B44">
        <w:rPr>
          <w:color w:val="auto"/>
          <w:highlight w:val="yellow"/>
        </w:rPr>
        <w:t>.</w:t>
      </w:r>
    </w:p>
    <w:p w14:paraId="113E71E0" w14:textId="77777777" w:rsidR="005E376D" w:rsidRPr="00C960DC" w:rsidRDefault="005E376D" w:rsidP="000C770D">
      <w:pPr>
        <w:pStyle w:val="NormalWeb"/>
        <w:spacing w:before="0" w:beforeAutospacing="0" w:after="0" w:afterAutospacing="0"/>
        <w:rPr>
          <w:color w:val="auto"/>
          <w:highlight w:val="yellow"/>
        </w:rPr>
      </w:pPr>
    </w:p>
    <w:p w14:paraId="23A3535A" w14:textId="49CF1420" w:rsidR="005E376D" w:rsidRDefault="005E376D" w:rsidP="000C770D">
      <w:pPr>
        <w:jc w:val="both"/>
        <w:rPr>
          <w:rFonts w:ascii="Calibri" w:eastAsia="Batang" w:hAnsi="Calibri" w:cs="Calibri"/>
          <w:highlight w:val="yellow"/>
          <w:lang w:eastAsia="en-US"/>
        </w:rPr>
      </w:pPr>
      <w:r w:rsidRPr="00C960DC">
        <w:rPr>
          <w:rFonts w:ascii="Calibri" w:hAnsi="Calibri" w:cs="Calibri"/>
          <w:highlight w:val="yellow"/>
        </w:rPr>
        <w:t>2.2.</w:t>
      </w:r>
      <w:r w:rsidR="004022E2" w:rsidRPr="00C960DC">
        <w:rPr>
          <w:rFonts w:ascii="Calibri" w:hAnsi="Calibri" w:cs="Calibri"/>
          <w:highlight w:val="yellow"/>
        </w:rPr>
        <w:t>5</w:t>
      </w:r>
      <w:r w:rsidRPr="00C960DC">
        <w:rPr>
          <w:rFonts w:ascii="Calibri" w:hAnsi="Calibri" w:cs="Calibri"/>
          <w:highlight w:val="yellow"/>
        </w:rPr>
        <w:t xml:space="preserve">. </w:t>
      </w:r>
      <w:r w:rsidRPr="00C960DC">
        <w:rPr>
          <w:rFonts w:ascii="Calibri" w:eastAsia="Batang" w:hAnsi="Calibri" w:cs="Calibri"/>
          <w:highlight w:val="yellow"/>
          <w:lang w:eastAsia="en-US"/>
        </w:rPr>
        <w:t xml:space="preserve">After each irradiation </w:t>
      </w:r>
      <w:r w:rsidR="00022594" w:rsidRPr="00C960DC">
        <w:rPr>
          <w:rFonts w:ascii="Calibri" w:eastAsia="Batang" w:hAnsi="Calibri" w:cs="Calibri"/>
          <w:highlight w:val="yellow"/>
          <w:lang w:eastAsia="en-US"/>
        </w:rPr>
        <w:t>fraction</w:t>
      </w:r>
      <w:r w:rsidRPr="00C960DC">
        <w:rPr>
          <w:rFonts w:ascii="Calibri" w:eastAsia="Batang" w:hAnsi="Calibri" w:cs="Calibri"/>
          <w:highlight w:val="yellow"/>
          <w:lang w:eastAsia="en-US"/>
        </w:rPr>
        <w:t xml:space="preserve">, place the cages with anesthetized mice on heated mats </w:t>
      </w:r>
      <w:r w:rsidR="006F29B5" w:rsidRPr="00C960DC">
        <w:rPr>
          <w:rFonts w:ascii="Calibri" w:eastAsia="Batang" w:hAnsi="Calibri" w:cs="Calibri"/>
          <w:highlight w:val="yellow"/>
          <w:lang w:eastAsia="en-US"/>
        </w:rPr>
        <w:t>or under red heat lamps to</w:t>
      </w:r>
      <w:r w:rsidRPr="00FC7B44">
        <w:rPr>
          <w:rFonts w:ascii="Calibri" w:eastAsia="Batang" w:hAnsi="Calibri" w:cs="Calibri"/>
          <w:highlight w:val="yellow"/>
          <w:lang w:eastAsia="en-US"/>
        </w:rPr>
        <w:t xml:space="preserve"> prevent hypothermia and aid in the recovery from anesthesia.</w:t>
      </w:r>
    </w:p>
    <w:p w14:paraId="0A20AE08" w14:textId="00F15E53" w:rsidR="00F827F4" w:rsidRDefault="00F827F4" w:rsidP="000C770D">
      <w:pPr>
        <w:jc w:val="both"/>
        <w:rPr>
          <w:rFonts w:ascii="Calibri" w:eastAsia="Batang" w:hAnsi="Calibri" w:cs="Calibri"/>
          <w:highlight w:val="yellow"/>
          <w:lang w:eastAsia="en-US"/>
        </w:rPr>
      </w:pPr>
    </w:p>
    <w:p w14:paraId="55A408DA" w14:textId="4E0B580E" w:rsidR="005E376D" w:rsidRPr="007723E6" w:rsidRDefault="008A6E7E" w:rsidP="000C770D">
      <w:pPr>
        <w:jc w:val="both"/>
        <w:rPr>
          <w:rFonts w:ascii="Calibri" w:eastAsia="Batang" w:hAnsi="Calibri" w:cs="Calibri"/>
          <w:lang w:eastAsia="en-US"/>
        </w:rPr>
      </w:pPr>
      <w:r w:rsidRPr="00F827F4">
        <w:rPr>
          <w:rFonts w:ascii="Calibri" w:eastAsia="Batang" w:hAnsi="Calibri" w:cs="Calibri"/>
          <w:lang w:eastAsia="en-US"/>
        </w:rPr>
        <w:t>N</w:t>
      </w:r>
      <w:r>
        <w:rPr>
          <w:rFonts w:ascii="Calibri" w:eastAsia="Batang" w:hAnsi="Calibri" w:cs="Calibri"/>
          <w:lang w:eastAsia="en-US"/>
        </w:rPr>
        <w:t>OTE</w:t>
      </w:r>
      <w:r w:rsidR="00F827F4" w:rsidRPr="00F827F4">
        <w:rPr>
          <w:rFonts w:ascii="Calibri" w:eastAsia="Batang" w:hAnsi="Calibri" w:cs="Calibri"/>
          <w:lang w:eastAsia="en-US"/>
        </w:rPr>
        <w:t>: Caution must be taken to</w:t>
      </w:r>
      <w:r w:rsidR="000C770D">
        <w:rPr>
          <w:rFonts w:ascii="Calibri" w:eastAsia="Batang" w:hAnsi="Calibri" w:cs="Calibri"/>
          <w:lang w:eastAsia="en-US"/>
        </w:rPr>
        <w:t xml:space="preserve"> not</w:t>
      </w:r>
      <w:r w:rsidR="00F827F4" w:rsidRPr="00F827F4">
        <w:rPr>
          <w:rFonts w:ascii="Calibri" w:eastAsia="Batang" w:hAnsi="Calibri" w:cs="Calibri"/>
          <w:lang w:eastAsia="en-US"/>
        </w:rPr>
        <w:t xml:space="preserve"> overheat the anesthetized mouse when using a lamp since they cannot escape </w:t>
      </w:r>
      <w:r w:rsidR="00F827F4" w:rsidRPr="007723E6">
        <w:rPr>
          <w:rFonts w:ascii="Calibri" w:eastAsia="Batang" w:hAnsi="Calibri" w:cs="Calibri"/>
          <w:lang w:eastAsia="en-US"/>
        </w:rPr>
        <w:t>the heat.</w:t>
      </w:r>
      <w:r w:rsidR="007723E6" w:rsidRPr="007723E6">
        <w:rPr>
          <w:rFonts w:ascii="Calibri" w:eastAsia="Batang" w:hAnsi="Calibri" w:cs="Calibri"/>
          <w:lang w:eastAsia="en-US"/>
        </w:rPr>
        <w:t xml:space="preserve"> </w:t>
      </w:r>
      <w:r w:rsidR="00CB28D1" w:rsidRPr="007723E6">
        <w:rPr>
          <w:rFonts w:ascii="Calibri" w:eastAsia="Batang" w:hAnsi="Calibri" w:cs="Calibri"/>
          <w:lang w:eastAsia="en-US"/>
        </w:rPr>
        <w:t xml:space="preserve">As </w:t>
      </w:r>
      <w:r w:rsidR="005E376D" w:rsidRPr="007723E6">
        <w:rPr>
          <w:rFonts w:ascii="Calibri" w:eastAsia="Batang" w:hAnsi="Calibri" w:cs="Calibri"/>
          <w:lang w:eastAsia="en-US"/>
        </w:rPr>
        <w:t xml:space="preserve">described above, the positioning of animals and the thickness of lead shield </w:t>
      </w:r>
      <w:r w:rsidR="002076B7" w:rsidRPr="007723E6">
        <w:rPr>
          <w:rFonts w:ascii="Calibri" w:eastAsia="Batang" w:hAnsi="Calibri" w:cs="Calibri"/>
          <w:lang w:eastAsia="en-US"/>
        </w:rPr>
        <w:t xml:space="preserve">can </w:t>
      </w:r>
      <w:r w:rsidR="005E376D" w:rsidRPr="007723E6">
        <w:rPr>
          <w:rFonts w:ascii="Calibri" w:eastAsia="Batang" w:hAnsi="Calibri" w:cs="Calibri"/>
          <w:lang w:eastAsia="en-US"/>
        </w:rPr>
        <w:t xml:space="preserve">differ </w:t>
      </w:r>
      <w:r w:rsidR="005E376D" w:rsidRPr="007723E6">
        <w:rPr>
          <w:rFonts w:ascii="Calibri" w:eastAsia="Batang" w:hAnsi="Calibri" w:cs="Calibri"/>
          <w:color w:val="000000" w:themeColor="text1"/>
          <w:lang w:eastAsia="en-US"/>
        </w:rPr>
        <w:t xml:space="preserve">between studies based </w:t>
      </w:r>
      <w:r w:rsidR="002076B7" w:rsidRPr="007723E6">
        <w:rPr>
          <w:rFonts w:ascii="Calibri" w:eastAsia="Batang" w:hAnsi="Calibri" w:cs="Calibri"/>
          <w:color w:val="000000" w:themeColor="text1"/>
          <w:lang w:eastAsia="en-US"/>
        </w:rPr>
        <w:t>up</w:t>
      </w:r>
      <w:r w:rsidR="005E376D" w:rsidRPr="007723E6">
        <w:rPr>
          <w:rFonts w:ascii="Calibri" w:eastAsia="Batang" w:hAnsi="Calibri" w:cs="Calibri"/>
          <w:color w:val="000000" w:themeColor="text1"/>
          <w:lang w:eastAsia="en-US"/>
        </w:rPr>
        <w:t xml:space="preserve">on the </w:t>
      </w:r>
      <w:r w:rsidR="002076B7" w:rsidRPr="007723E6">
        <w:rPr>
          <w:rFonts w:ascii="Calibri" w:eastAsia="Batang" w:hAnsi="Calibri" w:cs="Calibri"/>
          <w:color w:val="000000" w:themeColor="text1"/>
          <w:lang w:eastAsia="en-US"/>
        </w:rPr>
        <w:t xml:space="preserve">specific </w:t>
      </w:r>
      <w:r w:rsidR="005E376D" w:rsidRPr="007723E6">
        <w:rPr>
          <w:rFonts w:ascii="Calibri" w:eastAsia="Batang" w:hAnsi="Calibri" w:cs="Calibri"/>
          <w:color w:val="000000" w:themeColor="text1"/>
          <w:lang w:eastAsia="en-US"/>
        </w:rPr>
        <w:t xml:space="preserve">features </w:t>
      </w:r>
      <w:r w:rsidR="002076B7" w:rsidRPr="007723E6">
        <w:rPr>
          <w:rFonts w:ascii="Calibri" w:eastAsia="Batang" w:hAnsi="Calibri" w:cs="Calibri"/>
          <w:color w:val="000000" w:themeColor="text1"/>
          <w:lang w:eastAsia="en-US"/>
        </w:rPr>
        <w:t xml:space="preserve">of the </w:t>
      </w:r>
      <w:r w:rsidR="005E376D" w:rsidRPr="007723E6">
        <w:rPr>
          <w:rFonts w:ascii="Calibri" w:eastAsia="Batang" w:hAnsi="Calibri" w:cs="Calibri"/>
          <w:color w:val="000000" w:themeColor="text1"/>
          <w:lang w:eastAsia="en-US"/>
        </w:rPr>
        <w:t>irradiator (radiation type/direction</w:t>
      </w:r>
      <w:r w:rsidR="002076B7" w:rsidRPr="007723E6">
        <w:rPr>
          <w:rFonts w:ascii="Calibri" w:eastAsia="Batang" w:hAnsi="Calibri" w:cs="Calibri"/>
          <w:color w:val="000000" w:themeColor="text1"/>
          <w:lang w:eastAsia="en-US"/>
        </w:rPr>
        <w:t xml:space="preserve"> of beam</w:t>
      </w:r>
      <w:r w:rsidR="00611CD9">
        <w:rPr>
          <w:rFonts w:ascii="Calibri" w:eastAsia="Batang" w:hAnsi="Calibri" w:cs="Calibri"/>
          <w:color w:val="000000" w:themeColor="text1"/>
          <w:lang w:eastAsia="en-US"/>
        </w:rPr>
        <w:t>,</w:t>
      </w:r>
      <w:r w:rsidR="005E376D" w:rsidRPr="007723E6">
        <w:rPr>
          <w:rFonts w:ascii="Calibri" w:eastAsia="Batang" w:hAnsi="Calibri" w:cs="Calibri"/>
          <w:color w:val="000000" w:themeColor="text1"/>
          <w:lang w:eastAsia="en-US"/>
        </w:rPr>
        <w:t xml:space="preserve"> etc.). Researchers </w:t>
      </w:r>
      <w:r w:rsidR="002076B7" w:rsidRPr="007723E6">
        <w:rPr>
          <w:rFonts w:ascii="Calibri" w:eastAsia="Batang" w:hAnsi="Calibri" w:cs="Calibri"/>
          <w:color w:val="000000" w:themeColor="text1"/>
          <w:lang w:eastAsia="en-US"/>
        </w:rPr>
        <w:t>will need to adjust</w:t>
      </w:r>
      <w:r w:rsidR="005E376D" w:rsidRPr="007723E6">
        <w:rPr>
          <w:rFonts w:ascii="Calibri" w:eastAsia="Batang" w:hAnsi="Calibri" w:cs="Calibri"/>
          <w:color w:val="000000" w:themeColor="text1"/>
          <w:lang w:eastAsia="en-US"/>
        </w:rPr>
        <w:t xml:space="preserve"> their experiments accordingly.</w:t>
      </w:r>
    </w:p>
    <w:p w14:paraId="10F468EB" w14:textId="77777777" w:rsidR="005E376D" w:rsidRPr="00BE2A2E" w:rsidRDefault="005E376D" w:rsidP="000C770D">
      <w:pPr>
        <w:pStyle w:val="NormalWeb"/>
        <w:spacing w:before="0" w:beforeAutospacing="0" w:after="0" w:afterAutospacing="0"/>
        <w:rPr>
          <w:color w:val="000000" w:themeColor="text1"/>
        </w:rPr>
      </w:pPr>
    </w:p>
    <w:p w14:paraId="0B69AB0F" w14:textId="77777777" w:rsidR="005E376D" w:rsidRPr="00033A94" w:rsidRDefault="005E376D" w:rsidP="000C770D">
      <w:pPr>
        <w:pStyle w:val="NormalWeb"/>
        <w:spacing w:before="0" w:beforeAutospacing="0" w:after="0" w:afterAutospacing="0"/>
        <w:rPr>
          <w:b/>
          <w:bCs/>
          <w:color w:val="000000" w:themeColor="text1"/>
          <w:highlight w:val="yellow"/>
        </w:rPr>
      </w:pPr>
      <w:r w:rsidRPr="00033A94">
        <w:rPr>
          <w:b/>
          <w:bCs/>
          <w:color w:val="000000" w:themeColor="text1"/>
          <w:highlight w:val="yellow"/>
        </w:rPr>
        <w:t>3. Bone isolation</w:t>
      </w:r>
    </w:p>
    <w:p w14:paraId="6FD40DF3" w14:textId="77777777" w:rsidR="005E376D" w:rsidRPr="00033A94" w:rsidRDefault="005E376D" w:rsidP="000C770D">
      <w:pPr>
        <w:pStyle w:val="NormalWeb"/>
        <w:spacing w:before="0" w:beforeAutospacing="0" w:after="0" w:afterAutospacing="0"/>
        <w:rPr>
          <w:b/>
          <w:bCs/>
          <w:color w:val="000000" w:themeColor="text1"/>
          <w:highlight w:val="yellow"/>
          <w:lang w:eastAsia="ko-KR"/>
        </w:rPr>
      </w:pPr>
    </w:p>
    <w:p w14:paraId="352829A0" w14:textId="60CDE7CF" w:rsidR="005E376D" w:rsidRPr="00033A94" w:rsidRDefault="00611CD9" w:rsidP="000C770D">
      <w:pPr>
        <w:pStyle w:val="NormalWeb"/>
        <w:spacing w:before="0" w:beforeAutospacing="0" w:after="0" w:afterAutospacing="0"/>
        <w:rPr>
          <w:color w:val="000000" w:themeColor="text1"/>
          <w:highlight w:val="yellow"/>
        </w:rPr>
      </w:pPr>
      <w:r w:rsidRPr="00033A94">
        <w:rPr>
          <w:color w:val="000000" w:themeColor="text1"/>
          <w:highlight w:val="yellow"/>
        </w:rPr>
        <w:t>N</w:t>
      </w:r>
      <w:r>
        <w:rPr>
          <w:color w:val="000000" w:themeColor="text1"/>
          <w:highlight w:val="yellow"/>
        </w:rPr>
        <w:t>OTE</w:t>
      </w:r>
      <w:r w:rsidR="005E376D" w:rsidRPr="00033A94">
        <w:rPr>
          <w:color w:val="000000" w:themeColor="text1"/>
          <w:highlight w:val="yellow"/>
        </w:rPr>
        <w:t>: Ideally, donor mice and recipient mice should be similar in age</w:t>
      </w:r>
      <w:r w:rsidR="00AC3DE2">
        <w:rPr>
          <w:color w:val="000000" w:themeColor="text1"/>
          <w:highlight w:val="yellow"/>
        </w:rPr>
        <w:t>, and</w:t>
      </w:r>
      <w:r w:rsidR="005E376D" w:rsidRPr="00033A94">
        <w:rPr>
          <w:color w:val="000000" w:themeColor="text1"/>
          <w:highlight w:val="yellow"/>
        </w:rPr>
        <w:t xml:space="preserve"> within 8</w:t>
      </w:r>
      <w:r w:rsidR="00656F90">
        <w:rPr>
          <w:color w:val="000000" w:themeColor="text1"/>
          <w:highlight w:val="yellow"/>
        </w:rPr>
        <w:t>–</w:t>
      </w:r>
      <w:r w:rsidR="005E376D" w:rsidRPr="00033A94">
        <w:rPr>
          <w:color w:val="000000" w:themeColor="text1"/>
          <w:highlight w:val="yellow"/>
        </w:rPr>
        <w:t>12 week</w:t>
      </w:r>
      <w:r w:rsidR="00AC3DE2">
        <w:rPr>
          <w:color w:val="000000" w:themeColor="text1"/>
          <w:highlight w:val="yellow"/>
        </w:rPr>
        <w:t>s</w:t>
      </w:r>
      <w:r w:rsidR="005E376D" w:rsidRPr="00033A94">
        <w:rPr>
          <w:color w:val="000000" w:themeColor="text1"/>
          <w:highlight w:val="yellow"/>
        </w:rPr>
        <w:t xml:space="preserve"> old. Using at least 3 mice as donors </w:t>
      </w:r>
      <w:r w:rsidR="00656F90">
        <w:rPr>
          <w:color w:val="000000" w:themeColor="text1"/>
          <w:highlight w:val="yellow"/>
        </w:rPr>
        <w:t>(</w:t>
      </w:r>
      <w:r w:rsidR="005E376D" w:rsidRPr="00033A94">
        <w:rPr>
          <w:color w:val="000000" w:themeColor="text1"/>
          <w:highlight w:val="yellow"/>
        </w:rPr>
        <w:t>rather than single donor</w:t>
      </w:r>
      <w:r w:rsidR="00656F90">
        <w:rPr>
          <w:color w:val="000000" w:themeColor="text1"/>
          <w:highlight w:val="yellow"/>
        </w:rPr>
        <w:t>)</w:t>
      </w:r>
      <w:r w:rsidR="005E376D" w:rsidRPr="00033A94">
        <w:rPr>
          <w:color w:val="000000" w:themeColor="text1"/>
          <w:highlight w:val="yellow"/>
        </w:rPr>
        <w:t xml:space="preserve"> is preferred </w:t>
      </w:r>
      <w:r w:rsidR="002076B7" w:rsidRPr="00033A94">
        <w:rPr>
          <w:color w:val="000000" w:themeColor="text1"/>
          <w:highlight w:val="yellow"/>
        </w:rPr>
        <w:t xml:space="preserve">to minimize </w:t>
      </w:r>
      <w:r w:rsidR="005E376D" w:rsidRPr="00033A94">
        <w:rPr>
          <w:color w:val="000000" w:themeColor="text1"/>
          <w:highlight w:val="yellow"/>
        </w:rPr>
        <w:t xml:space="preserve">for heterogeneity </w:t>
      </w:r>
      <w:r w:rsidR="002076B7" w:rsidRPr="00033A94">
        <w:rPr>
          <w:color w:val="000000" w:themeColor="text1"/>
          <w:highlight w:val="yellow"/>
        </w:rPr>
        <w:t>(</w:t>
      </w:r>
      <w:r w:rsidR="005E376D" w:rsidRPr="00033A94">
        <w:rPr>
          <w:color w:val="000000" w:themeColor="text1"/>
          <w:highlight w:val="yellow"/>
        </w:rPr>
        <w:t xml:space="preserve">even </w:t>
      </w:r>
      <w:r w:rsidR="002076B7" w:rsidRPr="00033A94">
        <w:rPr>
          <w:color w:val="000000" w:themeColor="text1"/>
          <w:highlight w:val="yellow"/>
        </w:rPr>
        <w:t xml:space="preserve">when using mice </w:t>
      </w:r>
      <w:r w:rsidR="005E376D" w:rsidRPr="00033A94">
        <w:rPr>
          <w:color w:val="000000" w:themeColor="text1"/>
          <w:highlight w:val="yellow"/>
        </w:rPr>
        <w:t>with</w:t>
      </w:r>
      <w:r w:rsidR="002076B7" w:rsidRPr="00033A94">
        <w:rPr>
          <w:color w:val="000000" w:themeColor="text1"/>
          <w:highlight w:val="yellow"/>
        </w:rPr>
        <w:t xml:space="preserve"> the</w:t>
      </w:r>
      <w:r w:rsidR="005E376D" w:rsidRPr="00033A94">
        <w:rPr>
          <w:color w:val="000000" w:themeColor="text1"/>
          <w:highlight w:val="yellow"/>
        </w:rPr>
        <w:t xml:space="preserve"> same genotype</w:t>
      </w:r>
      <w:r w:rsidR="002076B7" w:rsidRPr="00033A94">
        <w:rPr>
          <w:color w:val="000000" w:themeColor="text1"/>
          <w:highlight w:val="yellow"/>
        </w:rPr>
        <w:t>)</w:t>
      </w:r>
      <w:r w:rsidR="005E376D" w:rsidRPr="00033A94">
        <w:rPr>
          <w:color w:val="000000" w:themeColor="text1"/>
          <w:highlight w:val="yellow"/>
        </w:rPr>
        <w:t>.</w:t>
      </w:r>
      <w:r w:rsidR="007D0240">
        <w:rPr>
          <w:color w:val="000000" w:themeColor="text1"/>
          <w:highlight w:val="yellow"/>
        </w:rPr>
        <w:t xml:space="preserve"> </w:t>
      </w:r>
      <w:r w:rsidR="005E376D" w:rsidRPr="00033A94">
        <w:rPr>
          <w:color w:val="000000" w:themeColor="text1"/>
          <w:highlight w:val="yellow"/>
        </w:rPr>
        <w:t xml:space="preserve">Approximately, 40 million unfractionated bone marrow cells </w:t>
      </w:r>
      <w:r w:rsidR="002076B7" w:rsidRPr="00033A94">
        <w:rPr>
          <w:color w:val="000000" w:themeColor="text1"/>
          <w:highlight w:val="yellow"/>
        </w:rPr>
        <w:t xml:space="preserve">can be obtained </w:t>
      </w:r>
      <w:r w:rsidR="005E376D" w:rsidRPr="00033A94">
        <w:rPr>
          <w:color w:val="000000" w:themeColor="text1"/>
          <w:highlight w:val="yellow"/>
        </w:rPr>
        <w:t xml:space="preserve">from </w:t>
      </w:r>
      <w:r w:rsidR="00656F90">
        <w:rPr>
          <w:color w:val="000000" w:themeColor="text1"/>
          <w:highlight w:val="yellow"/>
        </w:rPr>
        <w:t>six</w:t>
      </w:r>
      <w:r w:rsidR="00656F90" w:rsidRPr="00033A94">
        <w:rPr>
          <w:color w:val="000000" w:themeColor="text1"/>
          <w:highlight w:val="yellow"/>
        </w:rPr>
        <w:t xml:space="preserve"> </w:t>
      </w:r>
      <w:r w:rsidR="005E376D" w:rsidRPr="00033A94">
        <w:rPr>
          <w:color w:val="000000" w:themeColor="text1"/>
          <w:highlight w:val="yellow"/>
        </w:rPr>
        <w:t>bones (</w:t>
      </w:r>
      <w:r w:rsidR="00656F90">
        <w:rPr>
          <w:color w:val="000000" w:themeColor="text1"/>
          <w:highlight w:val="yellow"/>
        </w:rPr>
        <w:t>two</w:t>
      </w:r>
      <w:r w:rsidR="00656F90" w:rsidRPr="00033A94">
        <w:rPr>
          <w:color w:val="000000" w:themeColor="text1"/>
          <w:highlight w:val="yellow"/>
        </w:rPr>
        <w:t xml:space="preserve"> </w:t>
      </w:r>
      <w:r w:rsidR="005E376D" w:rsidRPr="00033A94">
        <w:rPr>
          <w:color w:val="000000" w:themeColor="text1"/>
          <w:highlight w:val="yellow"/>
        </w:rPr>
        <w:t xml:space="preserve">femurs, </w:t>
      </w:r>
      <w:r w:rsidR="00656F90">
        <w:rPr>
          <w:color w:val="000000" w:themeColor="text1"/>
          <w:highlight w:val="yellow"/>
        </w:rPr>
        <w:t>two</w:t>
      </w:r>
      <w:r w:rsidR="00656F90" w:rsidRPr="00033A94">
        <w:rPr>
          <w:color w:val="000000" w:themeColor="text1"/>
          <w:highlight w:val="yellow"/>
        </w:rPr>
        <w:t xml:space="preserve"> </w:t>
      </w:r>
      <w:r w:rsidR="005E376D" w:rsidRPr="00033A94">
        <w:rPr>
          <w:color w:val="000000" w:themeColor="text1"/>
          <w:highlight w:val="yellow"/>
        </w:rPr>
        <w:t xml:space="preserve">tibias, and </w:t>
      </w:r>
      <w:r w:rsidR="00656F90">
        <w:rPr>
          <w:color w:val="000000" w:themeColor="text1"/>
          <w:highlight w:val="yellow"/>
        </w:rPr>
        <w:t>two</w:t>
      </w:r>
      <w:r w:rsidR="00656F90" w:rsidRPr="00033A94">
        <w:rPr>
          <w:color w:val="000000" w:themeColor="text1"/>
          <w:highlight w:val="yellow"/>
        </w:rPr>
        <w:t xml:space="preserve"> </w:t>
      </w:r>
      <w:r w:rsidR="005E376D" w:rsidRPr="00033A94">
        <w:rPr>
          <w:color w:val="000000" w:themeColor="text1"/>
          <w:highlight w:val="yellow"/>
        </w:rPr>
        <w:t>humeri) of a single mouse</w:t>
      </w:r>
      <w:r w:rsidR="00FD7A56" w:rsidRPr="00033A94">
        <w:rPr>
          <w:color w:val="000000" w:themeColor="text1"/>
          <w:highlight w:val="yellow"/>
        </w:rPr>
        <w:t>. T</w:t>
      </w:r>
      <w:r w:rsidR="005E376D" w:rsidRPr="00033A94">
        <w:rPr>
          <w:color w:val="000000" w:themeColor="text1"/>
          <w:highlight w:val="yellow"/>
        </w:rPr>
        <w:t>ransplant</w:t>
      </w:r>
      <w:r w:rsidR="00FD7A56" w:rsidRPr="00033A94">
        <w:rPr>
          <w:color w:val="000000" w:themeColor="text1"/>
          <w:highlight w:val="yellow"/>
        </w:rPr>
        <w:t>ation of</w:t>
      </w:r>
      <w:r w:rsidR="005E376D" w:rsidRPr="00033A94">
        <w:rPr>
          <w:color w:val="000000" w:themeColor="text1"/>
          <w:highlight w:val="yellow"/>
        </w:rPr>
        <w:t xml:space="preserve"> 5 million bone marrow cells </w:t>
      </w:r>
      <w:r w:rsidR="00FD7A56" w:rsidRPr="00033A94">
        <w:rPr>
          <w:color w:val="000000" w:themeColor="text1"/>
          <w:highlight w:val="yellow"/>
        </w:rPr>
        <w:t>to</w:t>
      </w:r>
      <w:r w:rsidR="005E376D" w:rsidRPr="00033A94">
        <w:rPr>
          <w:color w:val="000000" w:themeColor="text1"/>
          <w:highlight w:val="yellow"/>
        </w:rPr>
        <w:t xml:space="preserve"> each recipient m</w:t>
      </w:r>
      <w:r w:rsidR="00FD7A56" w:rsidRPr="00033A94">
        <w:rPr>
          <w:color w:val="000000" w:themeColor="text1"/>
          <w:highlight w:val="yellow"/>
        </w:rPr>
        <w:t>ouse</w:t>
      </w:r>
      <w:r w:rsidR="005E376D" w:rsidRPr="00033A94">
        <w:rPr>
          <w:color w:val="000000" w:themeColor="text1"/>
          <w:highlight w:val="yellow"/>
        </w:rPr>
        <w:t xml:space="preserve"> will</w:t>
      </w:r>
      <w:r w:rsidR="00FD7A56" w:rsidRPr="00033A94">
        <w:rPr>
          <w:color w:val="000000" w:themeColor="text1"/>
          <w:highlight w:val="yellow"/>
        </w:rPr>
        <w:t xml:space="preserve"> typically</w:t>
      </w:r>
      <w:r w:rsidR="005E376D" w:rsidRPr="00033A94">
        <w:rPr>
          <w:color w:val="000000" w:themeColor="text1"/>
          <w:highlight w:val="yellow"/>
        </w:rPr>
        <w:t xml:space="preserve"> </w:t>
      </w:r>
      <w:r w:rsidR="00FD7A56" w:rsidRPr="00033A94">
        <w:rPr>
          <w:color w:val="000000" w:themeColor="text1"/>
          <w:highlight w:val="yellow"/>
        </w:rPr>
        <w:t xml:space="preserve">ensure </w:t>
      </w:r>
      <w:r w:rsidR="005E376D" w:rsidRPr="00033A94">
        <w:rPr>
          <w:color w:val="000000" w:themeColor="text1"/>
          <w:highlight w:val="yellow"/>
        </w:rPr>
        <w:t>engra</w:t>
      </w:r>
      <w:r w:rsidR="00FD7A56" w:rsidRPr="00033A94">
        <w:rPr>
          <w:color w:val="000000" w:themeColor="text1"/>
          <w:highlight w:val="yellow"/>
        </w:rPr>
        <w:t>ft</w:t>
      </w:r>
      <w:r w:rsidR="005E376D" w:rsidRPr="00033A94">
        <w:rPr>
          <w:color w:val="000000" w:themeColor="text1"/>
          <w:highlight w:val="yellow"/>
        </w:rPr>
        <w:t>ment</w:t>
      </w:r>
      <w:r w:rsidR="00FD7A56" w:rsidRPr="00033A94">
        <w:rPr>
          <w:color w:val="000000" w:themeColor="text1"/>
          <w:highlight w:val="yellow"/>
        </w:rPr>
        <w:t>.</w:t>
      </w:r>
    </w:p>
    <w:p w14:paraId="60D1ACD3" w14:textId="77777777" w:rsidR="005E376D" w:rsidRPr="007723E6" w:rsidRDefault="005E376D" w:rsidP="000C770D">
      <w:pPr>
        <w:pStyle w:val="ListParagraph"/>
        <w:ind w:left="0"/>
        <w:rPr>
          <w:color w:val="000000" w:themeColor="text1"/>
        </w:rPr>
      </w:pPr>
    </w:p>
    <w:p w14:paraId="66E0025A" w14:textId="5536C167" w:rsidR="005E376D" w:rsidRPr="00033A94" w:rsidRDefault="005E376D" w:rsidP="000C770D">
      <w:pPr>
        <w:pStyle w:val="ListParagraph"/>
        <w:ind w:left="0"/>
        <w:rPr>
          <w:color w:val="000000" w:themeColor="text1"/>
          <w:highlight w:val="yellow"/>
        </w:rPr>
      </w:pPr>
      <w:r w:rsidRPr="007723E6">
        <w:rPr>
          <w:color w:val="000000" w:themeColor="text1"/>
        </w:rPr>
        <w:t>3.1. Euthanize donor mice by cervical</w:t>
      </w:r>
      <w:r w:rsidR="00FD7A56" w:rsidRPr="007723E6">
        <w:rPr>
          <w:color w:val="000000" w:themeColor="text1"/>
        </w:rPr>
        <w:t xml:space="preserve"> dislocation w</w:t>
      </w:r>
      <w:r w:rsidRPr="007723E6">
        <w:rPr>
          <w:color w:val="000000" w:themeColor="text1"/>
        </w:rPr>
        <w:t>ithout anesthesia (preferred method to avoid chemical contamination of cells) and place each mouse onto an absorb</w:t>
      </w:r>
      <w:r w:rsidR="00FD7A56" w:rsidRPr="007723E6">
        <w:rPr>
          <w:color w:val="000000" w:themeColor="text1"/>
        </w:rPr>
        <w:t>e</w:t>
      </w:r>
      <w:r w:rsidRPr="007723E6">
        <w:rPr>
          <w:color w:val="000000" w:themeColor="text1"/>
        </w:rPr>
        <w:t>nt pad.</w:t>
      </w:r>
    </w:p>
    <w:p w14:paraId="3AC71F85" w14:textId="77777777" w:rsidR="005E376D" w:rsidRPr="00033A94" w:rsidRDefault="005E376D" w:rsidP="000C770D">
      <w:pPr>
        <w:pStyle w:val="ListParagraph"/>
        <w:ind w:left="0"/>
        <w:rPr>
          <w:color w:val="000000" w:themeColor="text1"/>
          <w:highlight w:val="yellow"/>
        </w:rPr>
      </w:pPr>
    </w:p>
    <w:p w14:paraId="04110F95" w14:textId="680060B1" w:rsidR="005E376D" w:rsidRPr="00033A94" w:rsidRDefault="005E376D" w:rsidP="000C770D">
      <w:pPr>
        <w:pStyle w:val="ListParagraph"/>
        <w:ind w:left="0"/>
        <w:rPr>
          <w:color w:val="000000" w:themeColor="text1"/>
          <w:highlight w:val="yellow"/>
        </w:rPr>
      </w:pPr>
      <w:r w:rsidRPr="00033A94">
        <w:rPr>
          <w:color w:val="000000" w:themeColor="text1"/>
          <w:highlight w:val="yellow"/>
        </w:rPr>
        <w:t>3.2. Disinfect the skin using</w:t>
      </w:r>
      <w:r w:rsidR="00FD7A56" w:rsidRPr="00033A94">
        <w:rPr>
          <w:color w:val="000000" w:themeColor="text1"/>
          <w:highlight w:val="yellow"/>
        </w:rPr>
        <w:t xml:space="preserve"> a</w:t>
      </w:r>
      <w:r w:rsidRPr="00033A94">
        <w:rPr>
          <w:color w:val="000000" w:themeColor="text1"/>
          <w:highlight w:val="yellow"/>
        </w:rPr>
        <w:t xml:space="preserve"> 70% ethanol spray.</w:t>
      </w:r>
    </w:p>
    <w:p w14:paraId="1D8F6793" w14:textId="77777777" w:rsidR="005E376D" w:rsidRPr="00033A94" w:rsidRDefault="005E376D" w:rsidP="000C770D">
      <w:pPr>
        <w:pStyle w:val="ListParagraph"/>
        <w:ind w:left="0"/>
        <w:rPr>
          <w:color w:val="000000" w:themeColor="text1"/>
          <w:highlight w:val="yellow"/>
        </w:rPr>
      </w:pPr>
    </w:p>
    <w:p w14:paraId="21853ED5" w14:textId="7E70B852" w:rsidR="005E376D" w:rsidRPr="00033A94" w:rsidRDefault="005E376D" w:rsidP="000C770D">
      <w:pPr>
        <w:jc w:val="both"/>
        <w:rPr>
          <w:rFonts w:ascii="Calibri" w:hAnsi="Calibri" w:cs="Calibri"/>
          <w:color w:val="000000" w:themeColor="text1"/>
          <w:highlight w:val="yellow"/>
          <w:lang w:val="en-AU"/>
        </w:rPr>
      </w:pPr>
      <w:r w:rsidRPr="00033A94">
        <w:rPr>
          <w:rFonts w:ascii="Calibri" w:eastAsia="Batang" w:hAnsi="Calibri" w:cs="Calibri"/>
          <w:color w:val="000000" w:themeColor="text1"/>
          <w:highlight w:val="yellow"/>
          <w:lang w:val="en-AU"/>
        </w:rPr>
        <w:lastRenderedPageBreak/>
        <w:t xml:space="preserve">3.3. Make a small transverse cut in the skin below the rib cage and hold the skin tightly at either side of the incision, tear in opposite directions toward the head and feet. </w:t>
      </w:r>
      <w:r w:rsidR="00896895" w:rsidRPr="00033A94">
        <w:rPr>
          <w:rFonts w:ascii="Calibri" w:eastAsia="Batang" w:hAnsi="Calibri" w:cs="Calibri"/>
          <w:color w:val="000000" w:themeColor="text1"/>
          <w:highlight w:val="yellow"/>
          <w:lang w:val="en-AU"/>
        </w:rPr>
        <w:t xml:space="preserve">Peel off the skin from all </w:t>
      </w:r>
      <w:r w:rsidR="00D06E93">
        <w:rPr>
          <w:rFonts w:ascii="Calibri" w:eastAsia="Batang" w:hAnsi="Calibri" w:cs="Calibri"/>
          <w:color w:val="000000" w:themeColor="text1"/>
          <w:highlight w:val="yellow"/>
          <w:lang w:val="en-AU"/>
        </w:rPr>
        <w:t xml:space="preserve">the </w:t>
      </w:r>
      <w:r w:rsidR="00896895" w:rsidRPr="00033A94">
        <w:rPr>
          <w:rFonts w:ascii="Calibri" w:eastAsia="Batang" w:hAnsi="Calibri" w:cs="Calibri"/>
          <w:color w:val="000000" w:themeColor="text1"/>
          <w:highlight w:val="yellow"/>
          <w:lang w:val="en-AU"/>
        </w:rPr>
        <w:t>limbs.</w:t>
      </w:r>
    </w:p>
    <w:p w14:paraId="0FC82F59" w14:textId="77777777" w:rsidR="005E376D" w:rsidRPr="00033A94" w:rsidRDefault="005E376D" w:rsidP="000C770D">
      <w:pPr>
        <w:pStyle w:val="ListParagraph"/>
        <w:ind w:left="0"/>
        <w:rPr>
          <w:color w:val="000000" w:themeColor="text1"/>
          <w:highlight w:val="yellow"/>
        </w:rPr>
      </w:pPr>
    </w:p>
    <w:p w14:paraId="0DCD2521" w14:textId="455C2211" w:rsidR="005E376D" w:rsidRPr="00033A94" w:rsidRDefault="005E376D" w:rsidP="000C770D">
      <w:pPr>
        <w:jc w:val="both"/>
        <w:rPr>
          <w:rFonts w:ascii="Calibri" w:eastAsia="Batang" w:hAnsi="Calibri" w:cs="Calibri"/>
          <w:color w:val="000000" w:themeColor="text1"/>
          <w:highlight w:val="yellow"/>
          <w:lang w:val="en-AU"/>
        </w:rPr>
      </w:pPr>
      <w:r w:rsidRPr="00033A94">
        <w:rPr>
          <w:rFonts w:ascii="Calibri" w:eastAsia="Batang" w:hAnsi="Calibri" w:cs="Calibri"/>
          <w:color w:val="000000" w:themeColor="text1"/>
          <w:highlight w:val="yellow"/>
          <w:lang w:val="en-AU"/>
        </w:rPr>
        <w:t xml:space="preserve">3.4. Cut </w:t>
      </w:r>
      <w:r w:rsidR="00492054" w:rsidRPr="00033A94">
        <w:rPr>
          <w:rFonts w:ascii="Calibri" w:eastAsia="Batang" w:hAnsi="Calibri" w:cs="Calibri"/>
          <w:color w:val="000000" w:themeColor="text1"/>
          <w:highlight w:val="yellow"/>
          <w:lang w:val="en-AU"/>
        </w:rPr>
        <w:t>over</w:t>
      </w:r>
      <w:r w:rsidRPr="00033A94">
        <w:rPr>
          <w:rFonts w:ascii="Calibri" w:eastAsia="Batang" w:hAnsi="Calibri" w:cs="Calibri"/>
          <w:color w:val="000000" w:themeColor="text1"/>
          <w:highlight w:val="yellow"/>
          <w:lang w:val="en-AU"/>
        </w:rPr>
        <w:t xml:space="preserve"> the shoulders and the elbow </w:t>
      </w:r>
      <w:proofErr w:type="gramStart"/>
      <w:r w:rsidRPr="00033A94">
        <w:rPr>
          <w:rFonts w:ascii="Calibri" w:eastAsia="Batang" w:hAnsi="Calibri" w:cs="Calibri"/>
          <w:color w:val="000000" w:themeColor="text1"/>
          <w:highlight w:val="yellow"/>
          <w:lang w:val="en-AU"/>
        </w:rPr>
        <w:t>joints, and</w:t>
      </w:r>
      <w:proofErr w:type="gramEnd"/>
      <w:r w:rsidRPr="00033A94">
        <w:rPr>
          <w:rFonts w:ascii="Calibri" w:eastAsia="Batang" w:hAnsi="Calibri" w:cs="Calibri"/>
          <w:color w:val="000000" w:themeColor="text1"/>
          <w:highlight w:val="yellow"/>
          <w:lang w:val="en-AU"/>
        </w:rPr>
        <w:t xml:space="preserve"> remove the attached mus</w:t>
      </w:r>
      <w:r w:rsidR="00FD7A56" w:rsidRPr="00033A94">
        <w:rPr>
          <w:rFonts w:ascii="Calibri" w:eastAsia="Batang" w:hAnsi="Calibri" w:cs="Calibri"/>
          <w:color w:val="000000" w:themeColor="text1"/>
          <w:highlight w:val="yellow"/>
          <w:lang w:val="en-AU"/>
        </w:rPr>
        <w:t>c</w:t>
      </w:r>
      <w:r w:rsidRPr="00033A94">
        <w:rPr>
          <w:rFonts w:ascii="Calibri" w:eastAsia="Batang" w:hAnsi="Calibri" w:cs="Calibri"/>
          <w:color w:val="000000" w:themeColor="text1"/>
          <w:highlight w:val="yellow"/>
          <w:lang w:val="en-AU"/>
        </w:rPr>
        <w:t>les and co</w:t>
      </w:r>
      <w:r w:rsidR="00FD7A56" w:rsidRPr="00033A94">
        <w:rPr>
          <w:rFonts w:ascii="Calibri" w:eastAsia="Batang" w:hAnsi="Calibri" w:cs="Calibri"/>
          <w:color w:val="000000" w:themeColor="text1"/>
          <w:highlight w:val="yellow"/>
          <w:lang w:val="en-AU"/>
        </w:rPr>
        <w:t>n</w:t>
      </w:r>
      <w:r w:rsidRPr="00033A94">
        <w:rPr>
          <w:rFonts w:ascii="Calibri" w:eastAsia="Batang" w:hAnsi="Calibri" w:cs="Calibri"/>
          <w:color w:val="000000" w:themeColor="text1"/>
          <w:highlight w:val="yellow"/>
          <w:lang w:val="en-AU"/>
        </w:rPr>
        <w:t xml:space="preserve">nective tissues </w:t>
      </w:r>
      <w:r w:rsidR="00FD7A56" w:rsidRPr="00033A94">
        <w:rPr>
          <w:rFonts w:ascii="Calibri" w:eastAsia="Batang" w:hAnsi="Calibri" w:cs="Calibri"/>
          <w:color w:val="000000" w:themeColor="text1"/>
          <w:highlight w:val="yellow"/>
          <w:lang w:val="en-AU"/>
        </w:rPr>
        <w:t>with the aid of a</w:t>
      </w:r>
      <w:r w:rsidRPr="00033A94">
        <w:rPr>
          <w:rFonts w:ascii="Calibri" w:eastAsia="Batang" w:hAnsi="Calibri" w:cs="Calibri"/>
          <w:color w:val="000000" w:themeColor="text1"/>
          <w:highlight w:val="yellow"/>
          <w:lang w:val="en-AU"/>
        </w:rPr>
        <w:t xml:space="preserve"> Kimwipe to </w:t>
      </w:r>
      <w:r w:rsidR="00FD7A56" w:rsidRPr="00033A94">
        <w:rPr>
          <w:rFonts w:ascii="Calibri" w:eastAsia="Batang" w:hAnsi="Calibri" w:cs="Calibri"/>
          <w:color w:val="000000" w:themeColor="text1"/>
          <w:highlight w:val="yellow"/>
          <w:lang w:val="en-AU"/>
        </w:rPr>
        <w:t>obtain</w:t>
      </w:r>
      <w:r w:rsidRPr="00033A94">
        <w:rPr>
          <w:rFonts w:ascii="Calibri" w:eastAsia="Batang" w:hAnsi="Calibri" w:cs="Calibri"/>
          <w:color w:val="000000" w:themeColor="text1"/>
          <w:highlight w:val="yellow"/>
          <w:lang w:val="en-AU"/>
        </w:rPr>
        <w:t xml:space="preserve"> the humeri.</w:t>
      </w:r>
    </w:p>
    <w:p w14:paraId="12161485" w14:textId="77777777" w:rsidR="005E376D" w:rsidRPr="00033A94" w:rsidRDefault="005E376D" w:rsidP="000C770D">
      <w:pPr>
        <w:jc w:val="both"/>
        <w:rPr>
          <w:rFonts w:ascii="Calibri" w:eastAsia="Batang" w:hAnsi="Calibri" w:cs="Calibri"/>
          <w:color w:val="000000" w:themeColor="text1"/>
          <w:highlight w:val="yellow"/>
          <w:lang w:val="en-AU"/>
        </w:rPr>
      </w:pPr>
    </w:p>
    <w:p w14:paraId="741DE843" w14:textId="1BB06CFC" w:rsidR="005E376D" w:rsidRPr="00033A94" w:rsidRDefault="005E376D" w:rsidP="000C770D">
      <w:pPr>
        <w:jc w:val="both"/>
        <w:rPr>
          <w:rFonts w:ascii="Calibri" w:eastAsia="Batang" w:hAnsi="Calibri" w:cs="Calibri"/>
          <w:color w:val="000000" w:themeColor="text1"/>
          <w:highlight w:val="yellow"/>
          <w:lang w:val="en-AU"/>
        </w:rPr>
      </w:pPr>
      <w:r w:rsidRPr="00033A94">
        <w:rPr>
          <w:rFonts w:ascii="Calibri" w:hAnsi="Calibri" w:cs="Calibri"/>
          <w:color w:val="000000" w:themeColor="text1"/>
          <w:highlight w:val="yellow"/>
          <w:lang w:val="en-AU"/>
        </w:rPr>
        <w:t>3.5.</w:t>
      </w:r>
      <w:r w:rsidRPr="00033A94">
        <w:rPr>
          <w:rFonts w:ascii="Calibri" w:eastAsia="Batang" w:hAnsi="Calibri" w:cs="Calibri"/>
          <w:color w:val="000000" w:themeColor="text1"/>
          <w:highlight w:val="yellow"/>
          <w:lang w:val="en-AU"/>
        </w:rPr>
        <w:t xml:space="preserve"> Carefully dislocate the hip joints between </w:t>
      </w:r>
      <w:r w:rsidR="00DF14FC">
        <w:rPr>
          <w:rFonts w:ascii="Calibri" w:eastAsia="Batang" w:hAnsi="Calibri" w:cs="Calibri"/>
          <w:color w:val="000000" w:themeColor="text1"/>
          <w:highlight w:val="yellow"/>
          <w:lang w:val="en-AU"/>
        </w:rPr>
        <w:t xml:space="preserve">the </w:t>
      </w:r>
      <w:r w:rsidRPr="00033A94">
        <w:rPr>
          <w:rFonts w:ascii="Calibri" w:eastAsia="Batang" w:hAnsi="Calibri" w:cs="Calibri"/>
          <w:color w:val="000000" w:themeColor="text1"/>
          <w:highlight w:val="yellow"/>
          <w:lang w:val="en-AU"/>
        </w:rPr>
        <w:t>femur and hip bones. Us</w:t>
      </w:r>
      <w:r w:rsidR="00FD7A56" w:rsidRPr="00033A94">
        <w:rPr>
          <w:rFonts w:ascii="Calibri" w:eastAsia="Batang" w:hAnsi="Calibri" w:cs="Calibri"/>
          <w:color w:val="000000" w:themeColor="text1"/>
          <w:highlight w:val="yellow"/>
          <w:lang w:val="en-AU"/>
        </w:rPr>
        <w:t>e</w:t>
      </w:r>
      <w:r w:rsidRPr="00033A94">
        <w:rPr>
          <w:rFonts w:ascii="Calibri" w:eastAsia="Batang" w:hAnsi="Calibri" w:cs="Calibri"/>
          <w:color w:val="000000" w:themeColor="text1"/>
          <w:highlight w:val="yellow"/>
          <w:lang w:val="en-AU"/>
        </w:rPr>
        <w:t xml:space="preserve"> blunt scissors to cut along </w:t>
      </w:r>
      <w:r w:rsidR="001C69A6">
        <w:rPr>
          <w:rFonts w:ascii="Calibri" w:eastAsia="Batang" w:hAnsi="Calibri" w:cs="Calibri"/>
          <w:color w:val="000000" w:themeColor="text1"/>
          <w:highlight w:val="yellow"/>
          <w:lang w:val="en-AU"/>
        </w:rPr>
        <w:t xml:space="preserve">the </w:t>
      </w:r>
      <w:r w:rsidRPr="00033A94">
        <w:rPr>
          <w:rFonts w:ascii="Calibri" w:eastAsia="Batang" w:hAnsi="Calibri" w:cs="Calibri"/>
          <w:color w:val="000000" w:themeColor="text1"/>
          <w:highlight w:val="yellow"/>
          <w:lang w:val="en-AU"/>
        </w:rPr>
        <w:t>femur head and d</w:t>
      </w:r>
      <w:r w:rsidR="00FD7A56" w:rsidRPr="00033A94">
        <w:rPr>
          <w:rFonts w:ascii="Calibri" w:eastAsia="Batang" w:hAnsi="Calibri" w:cs="Calibri"/>
          <w:color w:val="000000" w:themeColor="text1"/>
          <w:highlight w:val="yellow"/>
          <w:lang w:val="en-AU"/>
        </w:rPr>
        <w:t>e</w:t>
      </w:r>
      <w:r w:rsidRPr="00033A94">
        <w:rPr>
          <w:rFonts w:ascii="Calibri" w:eastAsia="Batang" w:hAnsi="Calibri" w:cs="Calibri"/>
          <w:color w:val="000000" w:themeColor="text1"/>
          <w:highlight w:val="yellow"/>
          <w:lang w:val="en-AU"/>
        </w:rPr>
        <w:t xml:space="preserve">tach the legs. Cut over the knee joint to separate </w:t>
      </w:r>
      <w:r w:rsidR="001C69A6">
        <w:rPr>
          <w:rFonts w:ascii="Calibri" w:eastAsia="Batang" w:hAnsi="Calibri" w:cs="Calibri"/>
          <w:color w:val="000000" w:themeColor="text1"/>
          <w:highlight w:val="yellow"/>
          <w:lang w:val="en-AU"/>
        </w:rPr>
        <w:t xml:space="preserve">the </w:t>
      </w:r>
      <w:r w:rsidRPr="00033A94">
        <w:rPr>
          <w:rFonts w:ascii="Calibri" w:eastAsia="Batang" w:hAnsi="Calibri" w:cs="Calibri"/>
          <w:color w:val="000000" w:themeColor="text1"/>
          <w:highlight w:val="yellow"/>
          <w:lang w:val="en-AU"/>
        </w:rPr>
        <w:t>femur and tibia, and carefully remove the attached mus</w:t>
      </w:r>
      <w:r w:rsidR="00FD7A56" w:rsidRPr="00033A94">
        <w:rPr>
          <w:rFonts w:ascii="Calibri" w:eastAsia="Batang" w:hAnsi="Calibri" w:cs="Calibri"/>
          <w:color w:val="000000" w:themeColor="text1"/>
          <w:highlight w:val="yellow"/>
          <w:lang w:val="en-AU"/>
        </w:rPr>
        <w:t>c</w:t>
      </w:r>
      <w:r w:rsidRPr="00033A94">
        <w:rPr>
          <w:rFonts w:ascii="Calibri" w:eastAsia="Batang" w:hAnsi="Calibri" w:cs="Calibri"/>
          <w:color w:val="000000" w:themeColor="text1"/>
          <w:highlight w:val="yellow"/>
          <w:lang w:val="en-AU"/>
        </w:rPr>
        <w:t xml:space="preserve">les and connective tissues </w:t>
      </w:r>
      <w:r w:rsidR="00FD7A56" w:rsidRPr="00033A94">
        <w:rPr>
          <w:rFonts w:ascii="Calibri" w:eastAsia="Batang" w:hAnsi="Calibri" w:cs="Calibri"/>
          <w:color w:val="000000" w:themeColor="text1"/>
          <w:highlight w:val="yellow"/>
          <w:lang w:val="en-AU"/>
        </w:rPr>
        <w:t>with the aid of a</w:t>
      </w:r>
      <w:r w:rsidRPr="00033A94">
        <w:rPr>
          <w:rFonts w:ascii="Calibri" w:eastAsia="Batang" w:hAnsi="Calibri" w:cs="Calibri"/>
          <w:color w:val="000000" w:themeColor="text1"/>
          <w:highlight w:val="yellow"/>
          <w:lang w:val="en-AU"/>
        </w:rPr>
        <w:t xml:space="preserve"> Kimwipe to harvest </w:t>
      </w:r>
      <w:r w:rsidR="00DB2D3D">
        <w:rPr>
          <w:rFonts w:ascii="Calibri" w:eastAsia="Batang" w:hAnsi="Calibri" w:cs="Calibri"/>
          <w:color w:val="000000" w:themeColor="text1"/>
          <w:highlight w:val="yellow"/>
          <w:lang w:val="en-AU"/>
        </w:rPr>
        <w:t xml:space="preserve">the </w:t>
      </w:r>
      <w:r w:rsidRPr="00033A94">
        <w:rPr>
          <w:rFonts w:ascii="Calibri" w:eastAsia="Batang" w:hAnsi="Calibri" w:cs="Calibri"/>
          <w:color w:val="000000" w:themeColor="text1"/>
          <w:highlight w:val="yellow"/>
          <w:lang w:val="en-AU"/>
        </w:rPr>
        <w:t>femur and tibia.</w:t>
      </w:r>
    </w:p>
    <w:p w14:paraId="3A644A27" w14:textId="77777777" w:rsidR="005E376D" w:rsidRPr="00033A94" w:rsidRDefault="005E376D" w:rsidP="000C770D">
      <w:pPr>
        <w:jc w:val="both"/>
        <w:rPr>
          <w:rFonts w:ascii="Calibri" w:hAnsi="Calibri" w:cs="Calibri"/>
          <w:color w:val="000000" w:themeColor="text1"/>
          <w:highlight w:val="yellow"/>
          <w:lang w:val="en-AU"/>
        </w:rPr>
      </w:pPr>
    </w:p>
    <w:p w14:paraId="37597942" w14:textId="110C2D33" w:rsidR="00450437" w:rsidRPr="007723E6" w:rsidRDefault="00E44E4D" w:rsidP="000C770D">
      <w:pPr>
        <w:jc w:val="both"/>
        <w:rPr>
          <w:rFonts w:ascii="Calibri" w:hAnsi="Calibri" w:cs="Calibri"/>
          <w:color w:val="000000" w:themeColor="text1"/>
          <w:highlight w:val="yellow"/>
          <w:lang w:val="en-AU"/>
        </w:rPr>
      </w:pPr>
      <w:r w:rsidRPr="00033A94">
        <w:rPr>
          <w:rFonts w:ascii="Calibri" w:hAnsi="Calibri" w:cs="Calibri"/>
          <w:color w:val="000000" w:themeColor="text1"/>
          <w:highlight w:val="yellow"/>
          <w:lang w:val="en-AU"/>
        </w:rPr>
        <w:t>N</w:t>
      </w:r>
      <w:r>
        <w:rPr>
          <w:rFonts w:ascii="Calibri" w:hAnsi="Calibri" w:cs="Calibri"/>
          <w:color w:val="000000" w:themeColor="text1"/>
          <w:highlight w:val="yellow"/>
          <w:lang w:val="en-AU"/>
        </w:rPr>
        <w:t>OTE</w:t>
      </w:r>
      <w:r w:rsidR="005E376D" w:rsidRPr="00033A94">
        <w:rPr>
          <w:rFonts w:ascii="Calibri" w:hAnsi="Calibri" w:cs="Calibri"/>
          <w:color w:val="000000" w:themeColor="text1"/>
          <w:highlight w:val="yellow"/>
          <w:lang w:val="en-AU"/>
        </w:rPr>
        <w:t xml:space="preserve">: </w:t>
      </w:r>
      <w:r w:rsidR="00896895" w:rsidRPr="00033A94">
        <w:rPr>
          <w:rFonts w:ascii="Calibri" w:hAnsi="Calibri" w:cs="Calibri"/>
          <w:color w:val="000000" w:themeColor="text1"/>
          <w:highlight w:val="yellow"/>
          <w:lang w:val="en-AU"/>
        </w:rPr>
        <w:t xml:space="preserve">Pay </w:t>
      </w:r>
      <w:r w:rsidR="00896895" w:rsidRPr="00033A94">
        <w:rPr>
          <w:rFonts w:ascii="Calibri" w:eastAsia="Batang" w:hAnsi="Calibri" w:cs="Calibri"/>
          <w:color w:val="000000" w:themeColor="text1"/>
          <w:highlight w:val="yellow"/>
          <w:lang w:val="en-AU"/>
        </w:rPr>
        <w:t xml:space="preserve">special </w:t>
      </w:r>
      <w:r w:rsidR="00FD7A56" w:rsidRPr="00033A94">
        <w:rPr>
          <w:rFonts w:ascii="Calibri" w:eastAsia="Batang" w:hAnsi="Calibri" w:cs="Calibri"/>
          <w:color w:val="000000" w:themeColor="text1"/>
          <w:highlight w:val="yellow"/>
          <w:lang w:val="en-AU"/>
        </w:rPr>
        <w:t>attention to</w:t>
      </w:r>
      <w:r w:rsidR="005E376D" w:rsidRPr="00033A94">
        <w:rPr>
          <w:rFonts w:ascii="Calibri" w:eastAsia="Batang" w:hAnsi="Calibri" w:cs="Calibri"/>
          <w:color w:val="000000" w:themeColor="text1"/>
          <w:highlight w:val="yellow"/>
          <w:lang w:val="en-AU"/>
        </w:rPr>
        <w:t xml:space="preserve"> keep the bone epiphysis intact</w:t>
      </w:r>
      <w:r w:rsidR="005E376D" w:rsidRPr="00033A94">
        <w:rPr>
          <w:rFonts w:ascii="Calibri" w:hAnsi="Calibri" w:cs="Calibri"/>
          <w:color w:val="000000" w:themeColor="text1"/>
          <w:highlight w:val="yellow"/>
          <w:lang w:val="en-AU"/>
        </w:rPr>
        <w:t xml:space="preserve"> during this step. </w:t>
      </w:r>
      <w:r w:rsidR="00BD661A" w:rsidRPr="00033A94">
        <w:rPr>
          <w:rFonts w:ascii="Calibri" w:hAnsi="Calibri" w:cs="Calibri"/>
          <w:color w:val="000000" w:themeColor="text1"/>
          <w:highlight w:val="yellow"/>
          <w:lang w:val="en-AU"/>
        </w:rPr>
        <w:t xml:space="preserve">Discard any </w:t>
      </w:r>
      <w:r w:rsidR="005E376D" w:rsidRPr="00033A94">
        <w:rPr>
          <w:rFonts w:ascii="Calibri" w:hAnsi="Calibri" w:cs="Calibri"/>
          <w:color w:val="000000" w:themeColor="text1"/>
          <w:highlight w:val="yellow"/>
          <w:lang w:val="en-AU"/>
        </w:rPr>
        <w:t xml:space="preserve">broken bones due to loss of sterility. </w:t>
      </w:r>
      <w:r w:rsidR="00450437" w:rsidRPr="00033A94">
        <w:rPr>
          <w:rFonts w:ascii="Calibri" w:hAnsi="Calibri" w:cs="Calibri"/>
          <w:highlight w:val="yellow"/>
        </w:rPr>
        <w:t xml:space="preserve">Hip bones and spine bones can be collected in addition to </w:t>
      </w:r>
      <w:r w:rsidR="00434F7C">
        <w:rPr>
          <w:rFonts w:ascii="Calibri" w:hAnsi="Calibri" w:cs="Calibri"/>
          <w:highlight w:val="yellow"/>
        </w:rPr>
        <w:t xml:space="preserve">the </w:t>
      </w:r>
      <w:r w:rsidR="00450437" w:rsidRPr="00033A94">
        <w:rPr>
          <w:rFonts w:ascii="Calibri" w:hAnsi="Calibri" w:cs="Calibri"/>
          <w:highlight w:val="yellow"/>
        </w:rPr>
        <w:t>femur, tibia</w:t>
      </w:r>
      <w:r w:rsidR="00434F7C">
        <w:rPr>
          <w:rFonts w:ascii="Calibri" w:hAnsi="Calibri" w:cs="Calibri"/>
          <w:highlight w:val="yellow"/>
        </w:rPr>
        <w:t>,</w:t>
      </w:r>
      <w:r w:rsidR="00450437" w:rsidRPr="00033A94">
        <w:rPr>
          <w:rFonts w:ascii="Calibri" w:hAnsi="Calibri" w:cs="Calibri"/>
          <w:highlight w:val="yellow"/>
        </w:rPr>
        <w:t xml:space="preserve"> and humerus. To collect spine bones, </w:t>
      </w:r>
      <w:r w:rsidR="005B6356">
        <w:rPr>
          <w:rFonts w:ascii="Calibri" w:hAnsi="Calibri" w:cs="Calibri"/>
          <w:highlight w:val="yellow"/>
        </w:rPr>
        <w:t xml:space="preserve">a </w:t>
      </w:r>
      <w:r w:rsidR="00450437" w:rsidRPr="00033A94">
        <w:rPr>
          <w:rFonts w:ascii="Calibri" w:hAnsi="Calibri" w:cs="Calibri"/>
          <w:highlight w:val="yellow"/>
        </w:rPr>
        <w:t xml:space="preserve">mortar and </w:t>
      </w:r>
      <w:r w:rsidR="005B6356">
        <w:rPr>
          <w:rFonts w:ascii="Calibri" w:hAnsi="Calibri" w:cs="Calibri"/>
          <w:highlight w:val="yellow"/>
        </w:rPr>
        <w:t xml:space="preserve">a </w:t>
      </w:r>
      <w:r w:rsidR="00450437" w:rsidRPr="00033A94">
        <w:rPr>
          <w:rFonts w:ascii="Calibri" w:hAnsi="Calibri" w:cs="Calibri"/>
          <w:highlight w:val="yellow"/>
        </w:rPr>
        <w:t xml:space="preserve">pestle can be used to crush </w:t>
      </w:r>
      <w:r w:rsidR="005B6356">
        <w:rPr>
          <w:rFonts w:ascii="Calibri" w:hAnsi="Calibri" w:cs="Calibri"/>
          <w:highlight w:val="yellow"/>
        </w:rPr>
        <w:t xml:space="preserve">the </w:t>
      </w:r>
      <w:r w:rsidR="00450437" w:rsidRPr="00033A94">
        <w:rPr>
          <w:rFonts w:ascii="Calibri" w:hAnsi="Calibri" w:cs="Calibri"/>
          <w:highlight w:val="yellow"/>
        </w:rPr>
        <w:t>bones into pieces and harvest the bone marrow cells.</w:t>
      </w:r>
    </w:p>
    <w:p w14:paraId="064E6CA3" w14:textId="77777777" w:rsidR="00450437" w:rsidRPr="00033A94" w:rsidRDefault="00450437" w:rsidP="000C770D">
      <w:pPr>
        <w:jc w:val="both"/>
        <w:rPr>
          <w:rFonts w:ascii="Calibri" w:hAnsi="Calibri" w:cs="Calibri"/>
          <w:color w:val="000000" w:themeColor="text1"/>
          <w:highlight w:val="yellow"/>
        </w:rPr>
      </w:pPr>
    </w:p>
    <w:p w14:paraId="3284BC50" w14:textId="6ADCD21A" w:rsidR="00492054" w:rsidRPr="00033A94" w:rsidRDefault="005E376D" w:rsidP="000C770D">
      <w:pPr>
        <w:jc w:val="both"/>
        <w:rPr>
          <w:rFonts w:ascii="Calibri" w:hAnsi="Calibri" w:cs="Calibri"/>
          <w:color w:val="000000" w:themeColor="text1"/>
          <w:highlight w:val="yellow"/>
          <w:lang w:val="en-AU"/>
        </w:rPr>
      </w:pPr>
      <w:r w:rsidRPr="00033A94">
        <w:rPr>
          <w:rFonts w:ascii="Calibri" w:hAnsi="Calibri" w:cs="Calibri"/>
          <w:color w:val="000000" w:themeColor="text1"/>
          <w:highlight w:val="yellow"/>
          <w:lang w:val="en-AU"/>
        </w:rPr>
        <w:t xml:space="preserve">3.6. </w:t>
      </w:r>
      <w:r w:rsidR="00492054" w:rsidRPr="00033A94">
        <w:rPr>
          <w:rFonts w:ascii="Calibri" w:hAnsi="Calibri" w:cs="Calibri"/>
          <w:color w:val="000000" w:themeColor="text1"/>
          <w:highlight w:val="yellow"/>
          <w:lang w:val="en-AU"/>
        </w:rPr>
        <w:t xml:space="preserve">Place the isolated bones from mice of </w:t>
      </w:r>
      <w:r w:rsidR="009A6CCA">
        <w:rPr>
          <w:rFonts w:ascii="Calibri" w:hAnsi="Calibri" w:cs="Calibri"/>
          <w:color w:val="000000" w:themeColor="text1"/>
          <w:highlight w:val="yellow"/>
          <w:lang w:val="en-AU"/>
        </w:rPr>
        <w:t xml:space="preserve">the </w:t>
      </w:r>
      <w:r w:rsidR="00492054" w:rsidRPr="00033A94">
        <w:rPr>
          <w:rFonts w:ascii="Calibri" w:hAnsi="Calibri" w:cs="Calibri"/>
          <w:color w:val="000000" w:themeColor="text1"/>
          <w:highlight w:val="yellow"/>
          <w:lang w:val="en-AU"/>
        </w:rPr>
        <w:t xml:space="preserve">same genotype into correspondingly 50 </w:t>
      </w:r>
      <w:r w:rsidR="00CB28D1" w:rsidRPr="00033A94">
        <w:rPr>
          <w:rFonts w:ascii="Calibri" w:hAnsi="Calibri" w:cs="Calibri"/>
          <w:color w:val="000000" w:themeColor="text1"/>
          <w:highlight w:val="yellow"/>
          <w:lang w:val="en-AU"/>
        </w:rPr>
        <w:t xml:space="preserve">mL </w:t>
      </w:r>
      <w:r w:rsidR="00492054" w:rsidRPr="00033A94">
        <w:rPr>
          <w:rFonts w:ascii="Calibri" w:hAnsi="Calibri" w:cs="Calibri"/>
          <w:color w:val="000000" w:themeColor="text1"/>
          <w:highlight w:val="yellow"/>
          <w:lang w:val="en-AU"/>
        </w:rPr>
        <w:t>conical tube containing 20 m</w:t>
      </w:r>
      <w:r w:rsidR="00CB28D1" w:rsidRPr="00033A94">
        <w:rPr>
          <w:rFonts w:ascii="Calibri" w:hAnsi="Calibri" w:cs="Calibri"/>
          <w:color w:val="000000" w:themeColor="text1"/>
          <w:highlight w:val="yellow"/>
          <w:lang w:val="en-AU"/>
        </w:rPr>
        <w:t>L</w:t>
      </w:r>
      <w:r w:rsidR="00492054" w:rsidRPr="00033A94">
        <w:rPr>
          <w:rFonts w:ascii="Calibri" w:hAnsi="Calibri" w:cs="Calibri"/>
          <w:color w:val="000000" w:themeColor="text1"/>
          <w:highlight w:val="yellow"/>
          <w:lang w:val="en-AU"/>
        </w:rPr>
        <w:t xml:space="preserve"> ice-cold sterile </w:t>
      </w:r>
      <w:proofErr w:type="gramStart"/>
      <w:r w:rsidR="00492054" w:rsidRPr="00033A94">
        <w:rPr>
          <w:rFonts w:ascii="Calibri" w:hAnsi="Calibri" w:cs="Calibri"/>
          <w:color w:val="000000" w:themeColor="text1"/>
          <w:highlight w:val="yellow"/>
          <w:lang w:val="en-AU"/>
        </w:rPr>
        <w:t>PBS, and</w:t>
      </w:r>
      <w:proofErr w:type="gramEnd"/>
      <w:r w:rsidR="00492054" w:rsidRPr="00033A94">
        <w:rPr>
          <w:rFonts w:ascii="Calibri" w:hAnsi="Calibri" w:cs="Calibri"/>
          <w:color w:val="000000" w:themeColor="text1"/>
          <w:highlight w:val="yellow"/>
          <w:lang w:val="en-AU"/>
        </w:rPr>
        <w:t xml:space="preserve"> keep it on ice until </w:t>
      </w:r>
      <w:r w:rsidR="00FD7A56" w:rsidRPr="00033A94">
        <w:rPr>
          <w:rFonts w:ascii="Calibri" w:hAnsi="Calibri" w:cs="Calibri"/>
          <w:color w:val="000000" w:themeColor="text1"/>
          <w:highlight w:val="yellow"/>
          <w:lang w:val="en-AU"/>
        </w:rPr>
        <w:t xml:space="preserve">further </w:t>
      </w:r>
      <w:r w:rsidR="00492054" w:rsidRPr="00033A94">
        <w:rPr>
          <w:rFonts w:ascii="Calibri" w:hAnsi="Calibri" w:cs="Calibri"/>
          <w:color w:val="000000" w:themeColor="text1"/>
          <w:highlight w:val="yellow"/>
          <w:lang w:val="en-AU"/>
        </w:rPr>
        <w:t>use.</w:t>
      </w:r>
      <w:r w:rsidR="00FD7A56" w:rsidRPr="00033A94">
        <w:rPr>
          <w:rFonts w:ascii="Calibri" w:hAnsi="Calibri" w:cs="Calibri"/>
          <w:color w:val="000000" w:themeColor="text1"/>
          <w:highlight w:val="yellow"/>
          <w:lang w:val="en-AU"/>
        </w:rPr>
        <w:t xml:space="preserve"> </w:t>
      </w:r>
      <w:r w:rsidR="00BD661A" w:rsidRPr="00033A94">
        <w:rPr>
          <w:rFonts w:ascii="Calibri" w:hAnsi="Calibri" w:cs="Calibri"/>
          <w:color w:val="000000" w:themeColor="text1"/>
          <w:highlight w:val="yellow"/>
          <w:lang w:val="en-AU"/>
        </w:rPr>
        <w:t xml:space="preserve">Pay </w:t>
      </w:r>
      <w:r w:rsidR="00BD661A" w:rsidRPr="00033A94">
        <w:rPr>
          <w:rFonts w:ascii="Calibri" w:eastAsia="Batang" w:hAnsi="Calibri" w:cs="Calibri"/>
          <w:color w:val="000000" w:themeColor="text1"/>
          <w:highlight w:val="yellow"/>
          <w:lang w:val="en-AU"/>
        </w:rPr>
        <w:t xml:space="preserve">special </w:t>
      </w:r>
      <w:r w:rsidR="00FD7A56" w:rsidRPr="00033A94">
        <w:rPr>
          <w:rFonts w:ascii="Calibri" w:eastAsia="Batang" w:hAnsi="Calibri" w:cs="Calibri"/>
          <w:color w:val="000000" w:themeColor="text1"/>
          <w:highlight w:val="yellow"/>
          <w:lang w:val="en-AU"/>
        </w:rPr>
        <w:t>attention to</w:t>
      </w:r>
      <w:r w:rsidR="00492054" w:rsidRPr="00033A94">
        <w:rPr>
          <w:rFonts w:ascii="Calibri" w:hAnsi="Calibri" w:cs="Calibri"/>
          <w:color w:val="000000" w:themeColor="text1"/>
          <w:highlight w:val="yellow"/>
          <w:lang w:val="en-AU"/>
        </w:rPr>
        <w:t xml:space="preserve"> correctly place the bones into tubes with matched genotypes.</w:t>
      </w:r>
    </w:p>
    <w:p w14:paraId="653FB60D" w14:textId="77777777" w:rsidR="005E376D" w:rsidRPr="00033A94" w:rsidRDefault="005E376D" w:rsidP="000C770D">
      <w:pPr>
        <w:jc w:val="both"/>
        <w:rPr>
          <w:rFonts w:ascii="Calibri" w:hAnsi="Calibri" w:cs="Calibri"/>
          <w:color w:val="000000" w:themeColor="text1"/>
          <w:highlight w:val="yellow"/>
          <w:lang w:val="en-AU"/>
        </w:rPr>
      </w:pPr>
    </w:p>
    <w:p w14:paraId="58380589" w14:textId="15485023" w:rsidR="005E376D" w:rsidRPr="00BE2A2E" w:rsidRDefault="005E376D" w:rsidP="000C770D">
      <w:pPr>
        <w:jc w:val="both"/>
        <w:rPr>
          <w:rFonts w:ascii="Calibri" w:hAnsi="Calibri" w:cs="Calibri"/>
          <w:color w:val="000000" w:themeColor="text1"/>
          <w:lang w:val="en-AU"/>
        </w:rPr>
      </w:pPr>
      <w:r w:rsidRPr="00033A94">
        <w:rPr>
          <w:rFonts w:ascii="Calibri" w:hAnsi="Calibri" w:cs="Calibri"/>
          <w:color w:val="000000" w:themeColor="text1"/>
          <w:highlight w:val="yellow"/>
          <w:lang w:val="en-AU"/>
        </w:rPr>
        <w:t>3.</w:t>
      </w:r>
      <w:r w:rsidR="00492054" w:rsidRPr="00033A94">
        <w:rPr>
          <w:rFonts w:ascii="Calibri" w:hAnsi="Calibri" w:cs="Calibri"/>
          <w:color w:val="000000" w:themeColor="text1"/>
          <w:highlight w:val="yellow"/>
          <w:lang w:val="en-AU"/>
        </w:rPr>
        <w:t>7</w:t>
      </w:r>
      <w:r w:rsidRPr="00033A94">
        <w:rPr>
          <w:rFonts w:ascii="Calibri" w:hAnsi="Calibri" w:cs="Calibri"/>
          <w:color w:val="000000" w:themeColor="text1"/>
          <w:highlight w:val="yellow"/>
          <w:lang w:val="en-AU"/>
        </w:rPr>
        <w:t xml:space="preserve">. Repeat the above steps for each donor animal changing gloves in between each mouse. Also, </w:t>
      </w:r>
      <w:r w:rsidR="00BD661A" w:rsidRPr="00033A94">
        <w:rPr>
          <w:rFonts w:ascii="Calibri" w:hAnsi="Calibri" w:cs="Calibri"/>
          <w:color w:val="000000" w:themeColor="text1"/>
          <w:highlight w:val="yellow"/>
          <w:lang w:val="en-AU"/>
        </w:rPr>
        <w:t xml:space="preserve">clean </w:t>
      </w:r>
      <w:r w:rsidRPr="00033A94">
        <w:rPr>
          <w:rFonts w:ascii="Calibri" w:hAnsi="Calibri" w:cs="Calibri"/>
          <w:color w:val="000000" w:themeColor="text1"/>
          <w:highlight w:val="yellow"/>
          <w:lang w:val="en-AU"/>
        </w:rPr>
        <w:t>scissors and other instruments with 70% ethano</w:t>
      </w:r>
      <w:r w:rsidR="00FD7A56" w:rsidRPr="00033A94">
        <w:rPr>
          <w:rFonts w:ascii="Calibri" w:hAnsi="Calibri" w:cs="Calibri"/>
          <w:color w:val="000000" w:themeColor="text1"/>
          <w:highlight w:val="yellow"/>
          <w:lang w:val="en-AU"/>
        </w:rPr>
        <w:t>l between each mouse.</w:t>
      </w:r>
    </w:p>
    <w:p w14:paraId="7839396D" w14:textId="77777777" w:rsidR="005E376D" w:rsidRPr="00BE2A2E" w:rsidRDefault="005E376D" w:rsidP="000C770D">
      <w:pPr>
        <w:pStyle w:val="ListParagraph"/>
        <w:ind w:left="0"/>
        <w:rPr>
          <w:color w:val="000000" w:themeColor="text1"/>
        </w:rPr>
      </w:pPr>
    </w:p>
    <w:p w14:paraId="465CF093" w14:textId="77777777" w:rsidR="005E376D" w:rsidRPr="00C960DC" w:rsidRDefault="005E376D" w:rsidP="000C770D">
      <w:pPr>
        <w:pStyle w:val="NormalWeb"/>
        <w:spacing w:before="0" w:beforeAutospacing="0" w:after="0" w:afterAutospacing="0"/>
        <w:rPr>
          <w:b/>
          <w:bCs/>
          <w:color w:val="000000" w:themeColor="text1"/>
          <w:lang w:eastAsia="ko-KR"/>
        </w:rPr>
      </w:pPr>
      <w:r w:rsidRPr="00C960DC">
        <w:rPr>
          <w:b/>
          <w:bCs/>
          <w:color w:val="000000" w:themeColor="text1"/>
        </w:rPr>
        <w:t>4. Bone marrow cell isolation</w:t>
      </w:r>
    </w:p>
    <w:p w14:paraId="7686197B" w14:textId="77777777" w:rsidR="005E376D" w:rsidRPr="00C960DC" w:rsidRDefault="005E376D" w:rsidP="000C770D">
      <w:pPr>
        <w:pStyle w:val="NormalWeb"/>
        <w:spacing w:before="0" w:beforeAutospacing="0" w:after="0" w:afterAutospacing="0"/>
        <w:rPr>
          <w:b/>
          <w:bCs/>
          <w:color w:val="000000" w:themeColor="text1"/>
          <w:lang w:eastAsia="ko-KR"/>
        </w:rPr>
      </w:pPr>
    </w:p>
    <w:p w14:paraId="118C7AF9" w14:textId="1B2EA5EB" w:rsidR="005E376D" w:rsidRPr="00C960DC" w:rsidRDefault="00D86ACB" w:rsidP="000C770D">
      <w:pPr>
        <w:pStyle w:val="NormalWeb"/>
        <w:spacing w:before="0" w:beforeAutospacing="0" w:after="0" w:afterAutospacing="0"/>
        <w:rPr>
          <w:color w:val="000000" w:themeColor="text1"/>
          <w:lang w:eastAsia="ko-KR"/>
        </w:rPr>
      </w:pPr>
      <w:r w:rsidRPr="00C960DC">
        <w:rPr>
          <w:color w:val="000000" w:themeColor="text1"/>
          <w:lang w:eastAsia="ko-KR"/>
        </w:rPr>
        <w:t>N</w:t>
      </w:r>
      <w:r>
        <w:rPr>
          <w:color w:val="000000" w:themeColor="text1"/>
          <w:lang w:eastAsia="ko-KR"/>
        </w:rPr>
        <w:t>OTE</w:t>
      </w:r>
      <w:r w:rsidR="005E376D" w:rsidRPr="00C960DC">
        <w:rPr>
          <w:color w:val="000000" w:themeColor="text1"/>
          <w:lang w:eastAsia="ko-KR"/>
        </w:rPr>
        <w:t xml:space="preserve">: </w:t>
      </w:r>
      <w:r w:rsidR="00BD661A" w:rsidRPr="00C960DC">
        <w:rPr>
          <w:color w:val="000000" w:themeColor="text1"/>
          <w:lang w:eastAsia="ko-KR"/>
        </w:rPr>
        <w:t xml:space="preserve">Perform the </w:t>
      </w:r>
      <w:r w:rsidR="005E376D" w:rsidRPr="00C960DC">
        <w:rPr>
          <w:color w:val="000000" w:themeColor="text1"/>
          <w:lang w:eastAsia="ko-KR"/>
        </w:rPr>
        <w:t>following steps in a biosafety class II cabinet.</w:t>
      </w:r>
    </w:p>
    <w:p w14:paraId="55565C87" w14:textId="77777777" w:rsidR="005E376D" w:rsidRPr="00C960DC" w:rsidRDefault="005E376D" w:rsidP="000C770D">
      <w:pPr>
        <w:pStyle w:val="NormalWeb"/>
        <w:spacing w:before="0" w:beforeAutospacing="0" w:after="0" w:afterAutospacing="0"/>
        <w:rPr>
          <w:color w:val="000000" w:themeColor="text1"/>
        </w:rPr>
      </w:pPr>
    </w:p>
    <w:p w14:paraId="6D28781D" w14:textId="679FD82C" w:rsidR="005E376D" w:rsidRPr="00C960DC" w:rsidRDefault="005E376D" w:rsidP="000C770D">
      <w:pPr>
        <w:pStyle w:val="NormalWeb"/>
        <w:spacing w:before="0" w:beforeAutospacing="0" w:after="0" w:afterAutospacing="0"/>
        <w:rPr>
          <w:color w:val="000000" w:themeColor="text1"/>
        </w:rPr>
      </w:pPr>
      <w:r w:rsidRPr="00C960DC">
        <w:rPr>
          <w:color w:val="000000" w:themeColor="text1"/>
        </w:rPr>
        <w:t xml:space="preserve">4.1. </w:t>
      </w:r>
      <w:r w:rsidR="00492054" w:rsidRPr="00C960DC">
        <w:rPr>
          <w:color w:val="000000" w:themeColor="text1"/>
        </w:rPr>
        <w:t>Preparation of tube sets</w:t>
      </w:r>
      <w:r w:rsidRPr="00C960DC">
        <w:rPr>
          <w:color w:val="000000" w:themeColor="text1"/>
        </w:rPr>
        <w:t xml:space="preserve">: Make a small hole in the bottom of a sterile 0.5 mL microcentrifuge </w:t>
      </w:r>
      <w:r w:rsidR="007723E6">
        <w:rPr>
          <w:color w:val="000000" w:themeColor="text1"/>
        </w:rPr>
        <w:t xml:space="preserve">tube </w:t>
      </w:r>
      <w:r w:rsidRPr="00C960DC">
        <w:rPr>
          <w:color w:val="000000" w:themeColor="text1"/>
        </w:rPr>
        <w:t xml:space="preserve">using an 18 G needle and place it into a </w:t>
      </w:r>
      <w:r w:rsidR="00492054" w:rsidRPr="00C960DC">
        <w:rPr>
          <w:color w:val="000000" w:themeColor="text1"/>
        </w:rPr>
        <w:t xml:space="preserve">sterile </w:t>
      </w:r>
      <w:r w:rsidRPr="00C960DC">
        <w:rPr>
          <w:color w:val="000000" w:themeColor="text1"/>
        </w:rPr>
        <w:t>1.5</w:t>
      </w:r>
      <w:r w:rsidR="00D86ACB">
        <w:rPr>
          <w:color w:val="000000" w:themeColor="text1"/>
        </w:rPr>
        <w:t xml:space="preserve"> </w:t>
      </w:r>
      <w:r w:rsidRPr="00C960DC">
        <w:rPr>
          <w:color w:val="000000" w:themeColor="text1"/>
        </w:rPr>
        <w:t>mL microcentrifuge tube</w:t>
      </w:r>
      <w:r w:rsidR="00D86ACB">
        <w:rPr>
          <w:color w:val="000000" w:themeColor="text1"/>
        </w:rPr>
        <w:t>,</w:t>
      </w:r>
      <w:r w:rsidR="00492054" w:rsidRPr="00C960DC">
        <w:rPr>
          <w:color w:val="000000" w:themeColor="text1"/>
        </w:rPr>
        <w:t xml:space="preserve"> which contains 100 μL of ice-cold sterile PBS </w:t>
      </w:r>
      <w:r w:rsidR="00D86ACB">
        <w:rPr>
          <w:color w:val="000000" w:themeColor="text1"/>
        </w:rPr>
        <w:t>at</w:t>
      </w:r>
      <w:r w:rsidR="00D86ACB" w:rsidRPr="00C960DC">
        <w:rPr>
          <w:color w:val="000000" w:themeColor="text1"/>
        </w:rPr>
        <w:t xml:space="preserve"> </w:t>
      </w:r>
      <w:r w:rsidR="00492054" w:rsidRPr="00C960DC">
        <w:rPr>
          <w:color w:val="000000" w:themeColor="text1"/>
        </w:rPr>
        <w:t>the bottom.</w:t>
      </w:r>
    </w:p>
    <w:p w14:paraId="4494DEE8" w14:textId="77777777" w:rsidR="005E376D" w:rsidRPr="00C960DC" w:rsidRDefault="005E376D" w:rsidP="000C770D">
      <w:pPr>
        <w:pStyle w:val="ListParagraph"/>
        <w:ind w:left="0"/>
        <w:rPr>
          <w:color w:val="000000" w:themeColor="text1"/>
        </w:rPr>
      </w:pPr>
    </w:p>
    <w:p w14:paraId="1AB9DE03" w14:textId="5CB90AA2" w:rsidR="00492054" w:rsidRPr="00C960DC" w:rsidRDefault="00D86ACB" w:rsidP="000C770D">
      <w:pPr>
        <w:pStyle w:val="ListParagraph"/>
        <w:ind w:left="0"/>
        <w:rPr>
          <w:color w:val="000000" w:themeColor="text1"/>
        </w:rPr>
      </w:pPr>
      <w:r w:rsidRPr="00C960DC">
        <w:rPr>
          <w:color w:val="000000" w:themeColor="text1"/>
        </w:rPr>
        <w:t>N</w:t>
      </w:r>
      <w:r>
        <w:rPr>
          <w:color w:val="000000" w:themeColor="text1"/>
        </w:rPr>
        <w:t>OTE</w:t>
      </w:r>
      <w:r w:rsidR="00492054" w:rsidRPr="00C960DC">
        <w:rPr>
          <w:color w:val="000000" w:themeColor="text1"/>
        </w:rPr>
        <w:t xml:space="preserve">: As only </w:t>
      </w:r>
      <w:r>
        <w:rPr>
          <w:color w:val="000000" w:themeColor="text1"/>
        </w:rPr>
        <w:t>six</w:t>
      </w:r>
      <w:r w:rsidRPr="00C960DC">
        <w:rPr>
          <w:color w:val="000000" w:themeColor="text1"/>
        </w:rPr>
        <w:t xml:space="preserve"> </w:t>
      </w:r>
      <w:r w:rsidR="00492054" w:rsidRPr="00C960DC">
        <w:rPr>
          <w:color w:val="000000" w:themeColor="text1"/>
        </w:rPr>
        <w:t>bones can fit into the 0.5</w:t>
      </w:r>
      <w:r w:rsidR="00CB28D1" w:rsidRPr="00C960DC">
        <w:rPr>
          <w:color w:val="000000" w:themeColor="text1"/>
        </w:rPr>
        <w:t xml:space="preserve"> </w:t>
      </w:r>
      <w:r w:rsidR="00492054" w:rsidRPr="00C960DC">
        <w:rPr>
          <w:color w:val="000000" w:themeColor="text1"/>
        </w:rPr>
        <w:t>mL microcentrifuge tube</w:t>
      </w:r>
      <w:r>
        <w:rPr>
          <w:color w:val="000000" w:themeColor="text1"/>
        </w:rPr>
        <w:t>,</w:t>
      </w:r>
      <w:r w:rsidR="00492054" w:rsidRPr="00C960DC">
        <w:rPr>
          <w:color w:val="000000" w:themeColor="text1"/>
        </w:rPr>
        <w:t xml:space="preserve"> </w:t>
      </w:r>
      <w:r>
        <w:rPr>
          <w:color w:val="000000" w:themeColor="text1"/>
        </w:rPr>
        <w:t>i</w:t>
      </w:r>
      <w:r w:rsidR="00492054" w:rsidRPr="00C960DC">
        <w:rPr>
          <w:color w:val="000000" w:themeColor="text1"/>
        </w:rPr>
        <w:t xml:space="preserve">t is recommended to prepare </w:t>
      </w:r>
      <w:r w:rsidR="00492054" w:rsidRPr="00C960DC">
        <w:rPr>
          <w:color w:val="000000" w:themeColor="text1"/>
          <w:lang w:eastAsia="ko-KR"/>
        </w:rPr>
        <w:t xml:space="preserve">sufficient tube sets to </w:t>
      </w:r>
      <w:r w:rsidR="00FD7A56" w:rsidRPr="00C960DC">
        <w:rPr>
          <w:color w:val="000000" w:themeColor="text1"/>
          <w:lang w:eastAsia="ko-KR"/>
        </w:rPr>
        <w:t>process</w:t>
      </w:r>
      <w:r w:rsidR="00492054" w:rsidRPr="00C960DC">
        <w:rPr>
          <w:color w:val="000000" w:themeColor="text1"/>
          <w:lang w:eastAsia="ko-KR"/>
        </w:rPr>
        <w:t xml:space="preserve"> all </w:t>
      </w:r>
      <w:r>
        <w:rPr>
          <w:color w:val="000000" w:themeColor="text1"/>
          <w:lang w:eastAsia="ko-KR"/>
        </w:rPr>
        <w:t xml:space="preserve">the </w:t>
      </w:r>
      <w:r w:rsidR="00492054" w:rsidRPr="00C960DC">
        <w:rPr>
          <w:color w:val="000000" w:themeColor="text1"/>
          <w:lang w:eastAsia="ko-KR"/>
        </w:rPr>
        <w:t xml:space="preserve">bones at </w:t>
      </w:r>
      <w:r w:rsidR="00FD7A56" w:rsidRPr="00C960DC">
        <w:rPr>
          <w:color w:val="000000" w:themeColor="text1"/>
          <w:lang w:eastAsia="ko-KR"/>
        </w:rPr>
        <w:t>the same</w:t>
      </w:r>
      <w:r w:rsidR="00492054" w:rsidRPr="00C960DC">
        <w:rPr>
          <w:color w:val="000000" w:themeColor="text1"/>
          <w:lang w:eastAsia="ko-KR"/>
        </w:rPr>
        <w:t xml:space="preserve"> time.</w:t>
      </w:r>
    </w:p>
    <w:p w14:paraId="6D108829" w14:textId="77777777" w:rsidR="005E376D" w:rsidRPr="00C960DC" w:rsidRDefault="005E376D" w:rsidP="000C770D">
      <w:pPr>
        <w:pStyle w:val="ListParagraph"/>
        <w:ind w:left="0"/>
        <w:rPr>
          <w:color w:val="000000" w:themeColor="text1"/>
          <w:lang w:eastAsia="ko-KR"/>
        </w:rPr>
      </w:pPr>
    </w:p>
    <w:p w14:paraId="2E4470ED" w14:textId="2EB37E8D" w:rsidR="005E376D" w:rsidRPr="00C960DC" w:rsidRDefault="005E376D" w:rsidP="000C770D">
      <w:pPr>
        <w:pStyle w:val="ListParagraph"/>
        <w:ind w:left="0"/>
        <w:rPr>
          <w:color w:val="000000" w:themeColor="text1"/>
          <w:lang w:eastAsia="ko-KR"/>
        </w:rPr>
      </w:pPr>
      <w:r w:rsidRPr="00C960DC">
        <w:rPr>
          <w:color w:val="000000" w:themeColor="text1"/>
          <w:lang w:eastAsia="ko-KR"/>
        </w:rPr>
        <w:t xml:space="preserve">4.2. </w:t>
      </w:r>
      <w:r w:rsidR="00492054" w:rsidRPr="00C960DC">
        <w:rPr>
          <w:color w:val="000000" w:themeColor="text1"/>
          <w:lang w:eastAsia="ko-KR"/>
        </w:rPr>
        <w:t>Aspirate the PBS and transfer the isolated bones onto a</w:t>
      </w:r>
      <w:r w:rsidR="00492054" w:rsidRPr="00C960DC">
        <w:rPr>
          <w:color w:val="000000" w:themeColor="text1"/>
        </w:rPr>
        <w:t xml:space="preserve"> sterile</w:t>
      </w:r>
      <w:r w:rsidR="00492054" w:rsidRPr="00C960DC">
        <w:rPr>
          <w:color w:val="000000" w:themeColor="text1"/>
          <w:lang w:eastAsia="ko-KR"/>
        </w:rPr>
        <w:t xml:space="preserve"> 100 mm cell culture dish. Holding each bone using fine forceps, carefully cut the epiphyses off each end using small scissors</w:t>
      </w:r>
      <w:r w:rsidR="00FD7A56" w:rsidRPr="00C960DC">
        <w:rPr>
          <w:color w:val="000000" w:themeColor="text1"/>
          <w:lang w:eastAsia="ko-KR"/>
        </w:rPr>
        <w:t xml:space="preserve"> that were sterilized in an autoclave</w:t>
      </w:r>
      <w:r w:rsidR="00492054" w:rsidRPr="00C960DC">
        <w:rPr>
          <w:color w:val="000000" w:themeColor="text1"/>
          <w:lang w:eastAsia="ko-KR"/>
        </w:rPr>
        <w:t xml:space="preserve">. </w:t>
      </w:r>
      <w:r w:rsidR="00CC4458" w:rsidRPr="00C960DC">
        <w:rPr>
          <w:color w:val="000000" w:themeColor="text1"/>
          <w:lang w:eastAsia="ko-KR"/>
        </w:rPr>
        <w:t>P</w:t>
      </w:r>
      <w:r w:rsidR="00492054" w:rsidRPr="00C960DC">
        <w:rPr>
          <w:color w:val="000000" w:themeColor="text1"/>
          <w:lang w:eastAsia="ko-KR"/>
        </w:rPr>
        <w:t>lace the</w:t>
      </w:r>
      <w:r w:rsidR="00CC4458" w:rsidRPr="00C960DC">
        <w:rPr>
          <w:color w:val="000000" w:themeColor="text1"/>
          <w:lang w:eastAsia="ko-KR"/>
        </w:rPr>
        <w:t xml:space="preserve"> cut bones</w:t>
      </w:r>
      <w:r w:rsidR="00492054" w:rsidRPr="00C960DC">
        <w:rPr>
          <w:color w:val="000000" w:themeColor="text1"/>
          <w:lang w:eastAsia="ko-KR"/>
        </w:rPr>
        <w:t xml:space="preserve"> into</w:t>
      </w:r>
      <w:r w:rsidR="00CC4458" w:rsidRPr="00C960DC">
        <w:rPr>
          <w:color w:val="000000" w:themeColor="text1"/>
          <w:lang w:eastAsia="ko-KR"/>
        </w:rPr>
        <w:t xml:space="preserve"> </w:t>
      </w:r>
      <w:r w:rsidR="00492054" w:rsidRPr="00C960DC">
        <w:rPr>
          <w:color w:val="000000" w:themeColor="text1"/>
          <w:lang w:eastAsia="ko-KR"/>
        </w:rPr>
        <w:t xml:space="preserve">the </w:t>
      </w:r>
      <w:r w:rsidR="00CC4458" w:rsidRPr="00C960DC">
        <w:rPr>
          <w:color w:val="000000" w:themeColor="text1"/>
          <w:lang w:eastAsia="ko-KR"/>
        </w:rPr>
        <w:t>prepared tube sets</w:t>
      </w:r>
      <w:r w:rsidR="00492054" w:rsidRPr="00C960DC">
        <w:rPr>
          <w:color w:val="000000" w:themeColor="text1"/>
          <w:lang w:eastAsia="ko-KR"/>
        </w:rPr>
        <w:t>.</w:t>
      </w:r>
    </w:p>
    <w:p w14:paraId="12ACFA75" w14:textId="77777777" w:rsidR="005E376D" w:rsidRPr="00C960DC" w:rsidRDefault="005E376D" w:rsidP="000C770D">
      <w:pPr>
        <w:pStyle w:val="ListParagraph"/>
        <w:ind w:left="0"/>
        <w:rPr>
          <w:color w:val="000000" w:themeColor="text1"/>
          <w:lang w:eastAsia="ko-KR"/>
        </w:rPr>
      </w:pPr>
    </w:p>
    <w:p w14:paraId="1111237D" w14:textId="41D9C89C" w:rsidR="005E376D" w:rsidRPr="00C960DC" w:rsidRDefault="005E376D" w:rsidP="000C770D">
      <w:pPr>
        <w:pStyle w:val="ListParagraph"/>
        <w:ind w:left="0"/>
        <w:rPr>
          <w:color w:val="000000" w:themeColor="text1"/>
          <w:lang w:eastAsia="ko-KR"/>
        </w:rPr>
      </w:pPr>
      <w:r w:rsidRPr="00C960DC">
        <w:rPr>
          <w:color w:val="000000" w:themeColor="text1"/>
          <w:lang w:eastAsia="ko-KR"/>
        </w:rPr>
        <w:t xml:space="preserve">4.3. </w:t>
      </w:r>
      <w:r w:rsidR="00492054" w:rsidRPr="00C960DC">
        <w:rPr>
          <w:color w:val="000000" w:themeColor="text1"/>
          <w:lang w:eastAsia="ko-KR"/>
        </w:rPr>
        <w:t>Centrifuge</w:t>
      </w:r>
      <w:r w:rsidRPr="00C960DC">
        <w:rPr>
          <w:color w:val="000000" w:themeColor="text1"/>
          <w:lang w:eastAsia="ko-KR"/>
        </w:rPr>
        <w:t xml:space="preserve"> the tubes at 10,000 x </w:t>
      </w:r>
      <w:r w:rsidR="004D7791" w:rsidRPr="00120F94">
        <w:rPr>
          <w:i/>
          <w:iCs/>
          <w:color w:val="000000" w:themeColor="text1"/>
          <w:lang w:eastAsia="ko-KR"/>
        </w:rPr>
        <w:t>g</w:t>
      </w:r>
      <w:r w:rsidRPr="00C960DC">
        <w:rPr>
          <w:color w:val="000000" w:themeColor="text1"/>
          <w:lang w:eastAsia="ko-KR"/>
        </w:rPr>
        <w:t xml:space="preserve"> for 35 s at 4</w:t>
      </w:r>
      <w:r w:rsidR="00302DEA">
        <w:rPr>
          <w:color w:val="000000" w:themeColor="text1"/>
          <w:lang w:eastAsia="ko-KR"/>
        </w:rPr>
        <w:t xml:space="preserve"> </w:t>
      </w:r>
      <w:r w:rsidRPr="00C960DC">
        <w:rPr>
          <w:color w:val="000000" w:themeColor="text1"/>
          <w:lang w:eastAsia="ko-KR"/>
        </w:rPr>
        <w:t>°C.</w:t>
      </w:r>
    </w:p>
    <w:p w14:paraId="598B22BD" w14:textId="77777777" w:rsidR="005E376D" w:rsidRPr="00C960DC" w:rsidRDefault="005E376D" w:rsidP="000C770D">
      <w:pPr>
        <w:pStyle w:val="ListParagraph"/>
        <w:ind w:left="0"/>
        <w:rPr>
          <w:color w:val="000000" w:themeColor="text1"/>
          <w:lang w:eastAsia="ko-KR"/>
        </w:rPr>
      </w:pPr>
    </w:p>
    <w:p w14:paraId="13F05337" w14:textId="5AF1E7C1" w:rsidR="00CB28D1" w:rsidRPr="00C960DC" w:rsidRDefault="005E376D" w:rsidP="000C770D">
      <w:pPr>
        <w:jc w:val="both"/>
        <w:rPr>
          <w:rFonts w:ascii="Calibri" w:hAnsi="Calibri" w:cs="Calibri"/>
          <w:color w:val="000000" w:themeColor="text1"/>
        </w:rPr>
      </w:pPr>
      <w:r w:rsidRPr="00C960DC">
        <w:rPr>
          <w:rFonts w:ascii="Calibri" w:hAnsi="Calibri" w:cs="Calibri"/>
          <w:color w:val="000000" w:themeColor="text1"/>
        </w:rPr>
        <w:t xml:space="preserve">4.4. After centrifugation, confirm that the bone marrow has been successfully </w:t>
      </w:r>
      <w:r w:rsidR="00CC4458" w:rsidRPr="00C960DC">
        <w:rPr>
          <w:rFonts w:ascii="Calibri" w:hAnsi="Calibri" w:cs="Calibri"/>
          <w:color w:val="000000" w:themeColor="text1"/>
        </w:rPr>
        <w:t>removed</w:t>
      </w:r>
      <w:r w:rsidRPr="00C960DC">
        <w:rPr>
          <w:rFonts w:ascii="Calibri" w:hAnsi="Calibri" w:cs="Calibri"/>
          <w:color w:val="000000" w:themeColor="text1"/>
        </w:rPr>
        <w:t xml:space="preserve"> </w:t>
      </w:r>
      <w:r w:rsidR="00AC3DE2">
        <w:rPr>
          <w:rFonts w:ascii="Calibri" w:hAnsi="Calibri" w:cs="Calibri"/>
          <w:color w:val="000000" w:themeColor="text1"/>
        </w:rPr>
        <w:t>from</w:t>
      </w:r>
      <w:r w:rsidR="00AC3DE2" w:rsidRPr="00C960DC">
        <w:rPr>
          <w:rFonts w:ascii="Calibri" w:hAnsi="Calibri" w:cs="Calibri"/>
          <w:color w:val="000000" w:themeColor="text1"/>
        </w:rPr>
        <w:t xml:space="preserve"> </w:t>
      </w:r>
      <w:r w:rsidRPr="00C960DC">
        <w:rPr>
          <w:rFonts w:ascii="Calibri" w:hAnsi="Calibri" w:cs="Calibri"/>
          <w:color w:val="000000" w:themeColor="text1"/>
        </w:rPr>
        <w:t xml:space="preserve">the bones. Bones should appear white and translucent </w:t>
      </w:r>
      <w:r w:rsidR="00BD661A" w:rsidRPr="00C960DC">
        <w:rPr>
          <w:rFonts w:ascii="Calibri" w:hAnsi="Calibri" w:cs="Calibri"/>
          <w:color w:val="000000" w:themeColor="text1"/>
        </w:rPr>
        <w:t xml:space="preserve">with </w:t>
      </w:r>
      <w:r w:rsidRPr="00C960DC">
        <w:rPr>
          <w:rFonts w:ascii="Calibri" w:hAnsi="Calibri" w:cs="Calibri"/>
          <w:color w:val="000000" w:themeColor="text1"/>
        </w:rPr>
        <w:t>a</w:t>
      </w:r>
      <w:r w:rsidR="00CC4458" w:rsidRPr="00C960DC">
        <w:rPr>
          <w:rFonts w:ascii="Calibri" w:hAnsi="Calibri" w:cs="Calibri"/>
          <w:color w:val="000000" w:themeColor="text1"/>
        </w:rPr>
        <w:t xml:space="preserve"> relatively</w:t>
      </w:r>
      <w:r w:rsidRPr="00C960DC">
        <w:rPr>
          <w:rFonts w:ascii="Calibri" w:hAnsi="Calibri" w:cs="Calibri"/>
          <w:color w:val="000000" w:themeColor="text1"/>
        </w:rPr>
        <w:t xml:space="preserve"> large red pellet at the bottom of the 1.5 mL microcentrifuge tube. Discard the 0.5 mL microcentrifuge tube.</w:t>
      </w:r>
    </w:p>
    <w:p w14:paraId="4F2A7B20" w14:textId="77777777" w:rsidR="00CB28D1" w:rsidRPr="00C960DC" w:rsidRDefault="00CB28D1" w:rsidP="000C770D">
      <w:pPr>
        <w:jc w:val="both"/>
        <w:rPr>
          <w:rFonts w:ascii="Calibri" w:hAnsi="Calibri" w:cs="Calibri"/>
          <w:color w:val="000000" w:themeColor="text1"/>
        </w:rPr>
      </w:pPr>
    </w:p>
    <w:p w14:paraId="49C08C91" w14:textId="0D54C436" w:rsidR="005E376D" w:rsidRPr="00C960DC" w:rsidRDefault="00F604DA" w:rsidP="000C770D">
      <w:pPr>
        <w:jc w:val="both"/>
        <w:rPr>
          <w:rFonts w:ascii="Calibri" w:hAnsi="Calibri" w:cs="Calibri"/>
          <w:color w:val="000000" w:themeColor="text1"/>
        </w:rPr>
      </w:pPr>
      <w:r w:rsidRPr="00C960DC">
        <w:rPr>
          <w:rFonts w:ascii="Calibri" w:hAnsi="Calibri" w:cs="Calibri"/>
          <w:color w:val="000000" w:themeColor="text1"/>
        </w:rPr>
        <w:t>N</w:t>
      </w:r>
      <w:r>
        <w:rPr>
          <w:rFonts w:ascii="Calibri" w:hAnsi="Calibri" w:cs="Calibri"/>
          <w:color w:val="000000" w:themeColor="text1"/>
        </w:rPr>
        <w:t>OTE</w:t>
      </w:r>
      <w:r w:rsidR="00CC4458" w:rsidRPr="00C960DC">
        <w:rPr>
          <w:rFonts w:ascii="Calibri" w:hAnsi="Calibri" w:cs="Calibri"/>
          <w:color w:val="000000" w:themeColor="text1"/>
        </w:rPr>
        <w:t xml:space="preserve">: </w:t>
      </w:r>
      <w:r w:rsidR="005E376D" w:rsidRPr="00C960DC">
        <w:rPr>
          <w:rFonts w:ascii="Calibri" w:hAnsi="Calibri" w:cs="Calibri"/>
          <w:color w:val="000000" w:themeColor="text1"/>
        </w:rPr>
        <w:t>If the visual inspection fails</w:t>
      </w:r>
      <w:r w:rsidR="00CC4458" w:rsidRPr="00C960DC">
        <w:rPr>
          <w:rFonts w:ascii="Calibri" w:hAnsi="Calibri" w:cs="Calibri"/>
          <w:color w:val="000000" w:themeColor="text1"/>
        </w:rPr>
        <w:t xml:space="preserve"> to detect bone marrow at the bottom of the 1.5 mL tube</w:t>
      </w:r>
      <w:r w:rsidR="005E376D" w:rsidRPr="00C960DC">
        <w:rPr>
          <w:rFonts w:ascii="Calibri" w:hAnsi="Calibri" w:cs="Calibri"/>
          <w:color w:val="000000" w:themeColor="text1"/>
        </w:rPr>
        <w:t>, cut the bone again and repeat step 4.3.</w:t>
      </w:r>
    </w:p>
    <w:p w14:paraId="00AADAE1" w14:textId="77777777" w:rsidR="00492054" w:rsidRPr="00C960DC" w:rsidRDefault="00492054" w:rsidP="000C770D">
      <w:pPr>
        <w:jc w:val="both"/>
        <w:rPr>
          <w:rFonts w:ascii="Calibri" w:hAnsi="Calibri" w:cs="Calibri"/>
          <w:color w:val="000000" w:themeColor="text1"/>
        </w:rPr>
      </w:pPr>
    </w:p>
    <w:p w14:paraId="359B9533" w14:textId="07F81114" w:rsidR="00492054" w:rsidRPr="00C960DC" w:rsidRDefault="00492054" w:rsidP="000C770D">
      <w:pPr>
        <w:jc w:val="both"/>
        <w:rPr>
          <w:rFonts w:ascii="Calibri" w:hAnsi="Calibri" w:cs="Calibri"/>
          <w:color w:val="000000" w:themeColor="text1"/>
        </w:rPr>
      </w:pPr>
      <w:r w:rsidRPr="00C960DC">
        <w:rPr>
          <w:rFonts w:ascii="Calibri" w:hAnsi="Calibri" w:cs="Calibri"/>
          <w:color w:val="000000" w:themeColor="text1"/>
        </w:rPr>
        <w:t>4.5. Resuspend the bone marrow in 1</w:t>
      </w:r>
      <w:r w:rsidR="00CB28D1" w:rsidRPr="00C960DC">
        <w:rPr>
          <w:rFonts w:ascii="Calibri" w:hAnsi="Calibri" w:cs="Calibri"/>
          <w:color w:val="000000" w:themeColor="text1"/>
        </w:rPr>
        <w:t xml:space="preserve"> mL </w:t>
      </w:r>
      <w:r w:rsidRPr="00C960DC">
        <w:rPr>
          <w:rFonts w:ascii="Calibri" w:hAnsi="Calibri" w:cs="Calibri"/>
          <w:color w:val="000000" w:themeColor="text1"/>
        </w:rPr>
        <w:t xml:space="preserve">of ice-cold PBS, then transfer the cell suspension from </w:t>
      </w:r>
      <w:r w:rsidR="00937A03">
        <w:rPr>
          <w:rFonts w:ascii="Calibri" w:hAnsi="Calibri" w:cs="Calibri"/>
          <w:color w:val="000000" w:themeColor="text1"/>
        </w:rPr>
        <w:t xml:space="preserve">the </w:t>
      </w:r>
      <w:r w:rsidRPr="00C960DC">
        <w:rPr>
          <w:rFonts w:ascii="Calibri" w:hAnsi="Calibri" w:cs="Calibri"/>
          <w:color w:val="000000" w:themeColor="text1"/>
        </w:rPr>
        <w:t>same genotype to a matched 50 m</w:t>
      </w:r>
      <w:r w:rsidR="00CB28D1" w:rsidRPr="00C960DC">
        <w:rPr>
          <w:rFonts w:ascii="Calibri" w:hAnsi="Calibri" w:cs="Calibri"/>
          <w:color w:val="000000" w:themeColor="text1"/>
        </w:rPr>
        <w:t>L</w:t>
      </w:r>
      <w:r w:rsidRPr="00C960DC">
        <w:rPr>
          <w:rFonts w:ascii="Calibri" w:hAnsi="Calibri" w:cs="Calibri"/>
          <w:color w:val="000000" w:themeColor="text1"/>
        </w:rPr>
        <w:t xml:space="preserve"> conical tube.</w:t>
      </w:r>
    </w:p>
    <w:p w14:paraId="2CB7867E" w14:textId="77777777" w:rsidR="00492054" w:rsidRPr="00C960DC" w:rsidRDefault="00492054" w:rsidP="000C770D">
      <w:pPr>
        <w:pStyle w:val="ListParagraph"/>
        <w:ind w:left="0"/>
        <w:rPr>
          <w:color w:val="000000" w:themeColor="text1"/>
        </w:rPr>
      </w:pPr>
    </w:p>
    <w:p w14:paraId="17AF6139" w14:textId="52B3EE5A" w:rsidR="00492054" w:rsidRPr="00C960DC" w:rsidRDefault="00492054" w:rsidP="000C770D">
      <w:pPr>
        <w:pStyle w:val="ListParagraph"/>
        <w:ind w:left="0"/>
        <w:rPr>
          <w:color w:val="000000" w:themeColor="text1"/>
          <w:lang w:eastAsia="ko-KR"/>
        </w:rPr>
      </w:pPr>
      <w:r w:rsidRPr="00C960DC">
        <w:rPr>
          <w:color w:val="000000" w:themeColor="text1"/>
          <w:lang w:eastAsia="ko-KR"/>
        </w:rPr>
        <w:t>4.6. Dissociate the cells by passing them through an 18 G needle with a 10</w:t>
      </w:r>
      <w:r w:rsidR="00CB28D1" w:rsidRPr="00C960DC">
        <w:rPr>
          <w:color w:val="000000" w:themeColor="text1"/>
          <w:lang w:eastAsia="ko-KR"/>
        </w:rPr>
        <w:t xml:space="preserve"> </w:t>
      </w:r>
      <w:r w:rsidRPr="00C960DC">
        <w:rPr>
          <w:color w:val="000000" w:themeColor="text1"/>
          <w:lang w:eastAsia="ko-KR"/>
        </w:rPr>
        <w:t>m</w:t>
      </w:r>
      <w:r w:rsidR="00CB28D1" w:rsidRPr="00C960DC">
        <w:rPr>
          <w:color w:val="000000" w:themeColor="text1"/>
          <w:lang w:eastAsia="ko-KR"/>
        </w:rPr>
        <w:t>L</w:t>
      </w:r>
      <w:r w:rsidRPr="00C960DC">
        <w:rPr>
          <w:color w:val="000000" w:themeColor="text1"/>
          <w:lang w:eastAsia="ko-KR"/>
        </w:rPr>
        <w:t xml:space="preserve"> syringe </w:t>
      </w:r>
      <w:r w:rsidR="00AC2DA2">
        <w:rPr>
          <w:color w:val="000000" w:themeColor="text1"/>
          <w:lang w:eastAsia="ko-KR"/>
        </w:rPr>
        <w:t>10</w:t>
      </w:r>
      <w:r w:rsidR="00AC2DA2" w:rsidRPr="00C960DC">
        <w:rPr>
          <w:color w:val="000000" w:themeColor="text1"/>
          <w:lang w:eastAsia="ko-KR"/>
        </w:rPr>
        <w:t xml:space="preserve"> </w:t>
      </w:r>
      <w:r w:rsidRPr="00C960DC">
        <w:rPr>
          <w:color w:val="000000" w:themeColor="text1"/>
          <w:lang w:eastAsia="ko-KR"/>
        </w:rPr>
        <w:t>times.</w:t>
      </w:r>
    </w:p>
    <w:p w14:paraId="374678B5" w14:textId="77777777" w:rsidR="005E376D" w:rsidRPr="00C960DC" w:rsidRDefault="005E376D" w:rsidP="000C770D">
      <w:pPr>
        <w:pStyle w:val="ListParagraph"/>
        <w:ind w:left="0"/>
        <w:rPr>
          <w:color w:val="000000" w:themeColor="text1"/>
          <w:lang w:eastAsia="ko-KR"/>
        </w:rPr>
      </w:pPr>
    </w:p>
    <w:p w14:paraId="259197BD" w14:textId="7748BFD1" w:rsidR="005E376D" w:rsidRPr="00C960DC" w:rsidRDefault="005E376D" w:rsidP="000C770D">
      <w:pPr>
        <w:pStyle w:val="ListParagraph"/>
        <w:ind w:left="0"/>
        <w:rPr>
          <w:color w:val="000000" w:themeColor="text1"/>
          <w:lang w:eastAsia="ko-KR"/>
        </w:rPr>
      </w:pPr>
      <w:r w:rsidRPr="00C960DC">
        <w:rPr>
          <w:color w:val="000000" w:themeColor="text1"/>
          <w:lang w:eastAsia="ko-KR"/>
        </w:rPr>
        <w:t>4.7. Filter single cell suspensions through a 70 μm cell strainer</w:t>
      </w:r>
      <w:r w:rsidR="00C74E04" w:rsidRPr="00C960DC">
        <w:rPr>
          <w:color w:val="000000" w:themeColor="text1"/>
          <w:lang w:eastAsia="ko-KR"/>
        </w:rPr>
        <w:t xml:space="preserve">. Add additional ice-cold PBS to </w:t>
      </w:r>
      <w:r w:rsidRPr="00C960DC">
        <w:rPr>
          <w:color w:val="000000" w:themeColor="text1"/>
          <w:lang w:eastAsia="ko-KR"/>
        </w:rPr>
        <w:t xml:space="preserve">a final volume of 10 </w:t>
      </w:r>
      <w:proofErr w:type="gramStart"/>
      <w:r w:rsidRPr="00C960DC">
        <w:rPr>
          <w:color w:val="000000" w:themeColor="text1"/>
          <w:lang w:eastAsia="ko-KR"/>
        </w:rPr>
        <w:t>mL</w:t>
      </w:r>
      <w:r w:rsidR="00C74E04" w:rsidRPr="00C960DC">
        <w:rPr>
          <w:color w:val="000000" w:themeColor="text1"/>
          <w:lang w:eastAsia="ko-KR"/>
        </w:rPr>
        <w:t>,</w:t>
      </w:r>
      <w:r w:rsidRPr="00C960DC">
        <w:rPr>
          <w:color w:val="000000" w:themeColor="text1"/>
          <w:lang w:eastAsia="ko-KR"/>
        </w:rPr>
        <w:t xml:space="preserve"> </w:t>
      </w:r>
      <w:r w:rsidR="00C74E04" w:rsidRPr="00C960DC">
        <w:rPr>
          <w:color w:val="000000" w:themeColor="text1"/>
          <w:lang w:eastAsia="ko-KR"/>
        </w:rPr>
        <w:t>and</w:t>
      </w:r>
      <w:proofErr w:type="gramEnd"/>
      <w:r w:rsidR="00C74E04" w:rsidRPr="00C960DC">
        <w:rPr>
          <w:color w:val="000000" w:themeColor="text1"/>
          <w:lang w:eastAsia="ko-KR"/>
        </w:rPr>
        <w:t xml:space="preserve"> resuspend the cells </w:t>
      </w:r>
      <w:r w:rsidR="00CB28D1" w:rsidRPr="00C960DC">
        <w:rPr>
          <w:color w:val="000000" w:themeColor="text1"/>
          <w:lang w:eastAsia="ko-KR"/>
        </w:rPr>
        <w:t>through the gentle use of pipette-aid</w:t>
      </w:r>
      <w:r w:rsidR="00881B3E" w:rsidRPr="00C960DC">
        <w:rPr>
          <w:color w:val="000000" w:themeColor="text1"/>
          <w:lang w:eastAsia="ko-KR"/>
        </w:rPr>
        <w:t>.</w:t>
      </w:r>
    </w:p>
    <w:p w14:paraId="5D76FB49" w14:textId="77777777" w:rsidR="005E376D" w:rsidRPr="00C960DC" w:rsidRDefault="005E376D" w:rsidP="000C770D">
      <w:pPr>
        <w:pStyle w:val="ListParagraph"/>
        <w:ind w:left="0"/>
        <w:rPr>
          <w:color w:val="000000" w:themeColor="text1"/>
          <w:lang w:eastAsia="ko-KR"/>
        </w:rPr>
      </w:pPr>
    </w:p>
    <w:p w14:paraId="38930041" w14:textId="5528593A" w:rsidR="005E376D" w:rsidRPr="00C960DC" w:rsidRDefault="005E376D" w:rsidP="000C770D">
      <w:pPr>
        <w:pStyle w:val="ListParagraph"/>
        <w:ind w:left="0"/>
        <w:rPr>
          <w:color w:val="000000" w:themeColor="text1"/>
          <w:lang w:eastAsia="ko-KR"/>
        </w:rPr>
      </w:pPr>
      <w:r w:rsidRPr="00C960DC">
        <w:rPr>
          <w:color w:val="000000" w:themeColor="text1"/>
          <w:lang w:eastAsia="ko-KR"/>
        </w:rPr>
        <w:t xml:space="preserve">4.8. Centrifuge at 310 x </w:t>
      </w:r>
      <w:r w:rsidRPr="00120F94">
        <w:rPr>
          <w:i/>
          <w:iCs/>
          <w:color w:val="000000" w:themeColor="text1"/>
          <w:lang w:eastAsia="ko-KR"/>
        </w:rPr>
        <w:t>g</w:t>
      </w:r>
      <w:r w:rsidRPr="00C960DC">
        <w:rPr>
          <w:color w:val="000000" w:themeColor="text1"/>
          <w:lang w:eastAsia="ko-KR"/>
        </w:rPr>
        <w:t xml:space="preserve"> for 10 min at 4</w:t>
      </w:r>
      <w:r w:rsidR="00AC2DA2">
        <w:rPr>
          <w:color w:val="000000" w:themeColor="text1"/>
          <w:lang w:eastAsia="ko-KR"/>
        </w:rPr>
        <w:t xml:space="preserve"> </w:t>
      </w:r>
      <w:r w:rsidRPr="00C960DC">
        <w:rPr>
          <w:color w:val="000000" w:themeColor="text1"/>
          <w:lang w:eastAsia="ko-KR"/>
        </w:rPr>
        <w:t>°C.</w:t>
      </w:r>
    </w:p>
    <w:p w14:paraId="7A7D8431" w14:textId="77777777" w:rsidR="005E376D" w:rsidRPr="00C960DC" w:rsidRDefault="005E376D" w:rsidP="000C770D">
      <w:pPr>
        <w:pStyle w:val="ListParagraph"/>
        <w:ind w:left="0"/>
        <w:rPr>
          <w:color w:val="000000" w:themeColor="text1"/>
          <w:lang w:eastAsia="ko-KR"/>
        </w:rPr>
      </w:pPr>
    </w:p>
    <w:p w14:paraId="3C45500D" w14:textId="5BCBD47A" w:rsidR="005E376D" w:rsidRPr="00C960DC" w:rsidRDefault="005E376D" w:rsidP="000C770D">
      <w:pPr>
        <w:pStyle w:val="ListParagraph"/>
        <w:ind w:left="0"/>
        <w:rPr>
          <w:color w:val="000000" w:themeColor="text1"/>
          <w:lang w:eastAsia="ko-KR"/>
        </w:rPr>
      </w:pPr>
      <w:r w:rsidRPr="00C960DC">
        <w:rPr>
          <w:color w:val="000000" w:themeColor="text1"/>
          <w:lang w:eastAsia="ko-KR"/>
        </w:rPr>
        <w:t xml:space="preserve">4.9. Aspirate the supernatant and resuspend the cell pellet with 10 mL of </w:t>
      </w:r>
      <w:r w:rsidR="00E0530F" w:rsidRPr="00C960DC">
        <w:rPr>
          <w:color w:val="000000" w:themeColor="text1"/>
          <w:lang w:eastAsia="ko-KR"/>
        </w:rPr>
        <w:t xml:space="preserve">serum-free </w:t>
      </w:r>
      <w:r w:rsidRPr="00C960DC">
        <w:rPr>
          <w:color w:val="000000" w:themeColor="text1"/>
          <w:lang w:eastAsia="ko-KR"/>
        </w:rPr>
        <w:t>RPMI media.</w:t>
      </w:r>
      <w:r w:rsidR="00944D9E" w:rsidRPr="00C960DC">
        <w:rPr>
          <w:color w:val="000000" w:themeColor="text1"/>
          <w:lang w:eastAsia="ko-KR"/>
        </w:rPr>
        <w:t xml:space="preserve"> Spare 30</w:t>
      </w:r>
      <w:r w:rsidR="00C56649" w:rsidRPr="00C960DC">
        <w:rPr>
          <w:color w:val="000000" w:themeColor="text1"/>
          <w:lang w:eastAsia="ko-KR"/>
        </w:rPr>
        <w:t xml:space="preserve"> </w:t>
      </w:r>
      <w:r w:rsidR="00944D9E" w:rsidRPr="00C960DC">
        <w:rPr>
          <w:color w:val="000000" w:themeColor="text1"/>
          <w:lang w:eastAsia="ko-KR"/>
        </w:rPr>
        <w:t xml:space="preserve">μL </w:t>
      </w:r>
      <w:r w:rsidR="00AC3DE2">
        <w:rPr>
          <w:color w:val="000000" w:themeColor="text1"/>
          <w:lang w:eastAsia="ko-KR"/>
        </w:rPr>
        <w:t>of this material for</w:t>
      </w:r>
      <w:r w:rsidR="00AC3DE2" w:rsidRPr="00C960DC">
        <w:rPr>
          <w:color w:val="000000" w:themeColor="text1"/>
          <w:lang w:eastAsia="ko-KR"/>
        </w:rPr>
        <w:t xml:space="preserve"> </w:t>
      </w:r>
      <w:r w:rsidR="00944D9E" w:rsidRPr="00C960DC">
        <w:rPr>
          <w:color w:val="000000" w:themeColor="text1"/>
          <w:lang w:eastAsia="ko-KR"/>
        </w:rPr>
        <w:t>cell count</w:t>
      </w:r>
      <w:r w:rsidR="00C56649" w:rsidRPr="00C960DC">
        <w:rPr>
          <w:color w:val="000000" w:themeColor="text1"/>
          <w:lang w:eastAsia="ko-KR"/>
        </w:rPr>
        <w:t>ing</w:t>
      </w:r>
      <w:r w:rsidR="00944D9E" w:rsidRPr="00C960DC">
        <w:rPr>
          <w:color w:val="000000" w:themeColor="text1"/>
          <w:lang w:eastAsia="ko-KR"/>
        </w:rPr>
        <w:t>.</w:t>
      </w:r>
    </w:p>
    <w:p w14:paraId="781AD475" w14:textId="77777777" w:rsidR="005E376D" w:rsidRPr="00C960DC" w:rsidRDefault="005E376D" w:rsidP="000C770D">
      <w:pPr>
        <w:jc w:val="both"/>
        <w:rPr>
          <w:rFonts w:ascii="Calibri" w:hAnsi="Calibri" w:cs="Calibri"/>
          <w:color w:val="000000" w:themeColor="text1"/>
        </w:rPr>
      </w:pPr>
    </w:p>
    <w:p w14:paraId="32204BB9" w14:textId="35A327BC" w:rsidR="00CB28D1" w:rsidRPr="00C960DC" w:rsidRDefault="005E376D" w:rsidP="000C770D">
      <w:pPr>
        <w:jc w:val="both"/>
        <w:rPr>
          <w:rFonts w:ascii="Calibri" w:hAnsi="Calibri" w:cs="Calibri"/>
          <w:color w:val="000000" w:themeColor="text1"/>
          <w:lang w:val="en-AU"/>
        </w:rPr>
      </w:pPr>
      <w:r w:rsidRPr="00C960DC">
        <w:rPr>
          <w:rFonts w:ascii="Calibri" w:hAnsi="Calibri" w:cs="Calibri"/>
          <w:color w:val="000000" w:themeColor="text1"/>
        </w:rPr>
        <w:t>4.1</w:t>
      </w:r>
      <w:r w:rsidR="00C74E04" w:rsidRPr="00C960DC">
        <w:rPr>
          <w:rFonts w:ascii="Calibri" w:hAnsi="Calibri" w:cs="Calibri"/>
          <w:color w:val="000000" w:themeColor="text1"/>
        </w:rPr>
        <w:t>0</w:t>
      </w:r>
      <w:r w:rsidRPr="00C960DC">
        <w:rPr>
          <w:rFonts w:ascii="Calibri" w:hAnsi="Calibri" w:cs="Calibri"/>
          <w:color w:val="000000" w:themeColor="text1"/>
        </w:rPr>
        <w:t xml:space="preserve">. </w:t>
      </w:r>
      <w:r w:rsidR="00CC4458" w:rsidRPr="00C960DC">
        <w:rPr>
          <w:rFonts w:ascii="Calibri" w:hAnsi="Calibri" w:cs="Calibri"/>
          <w:color w:val="000000" w:themeColor="text1"/>
        </w:rPr>
        <w:t>Determine</w:t>
      </w:r>
      <w:r w:rsidRPr="00C960DC">
        <w:rPr>
          <w:rFonts w:ascii="Calibri" w:hAnsi="Calibri" w:cs="Calibri"/>
          <w:color w:val="000000" w:themeColor="text1"/>
        </w:rPr>
        <w:t xml:space="preserve"> cell</w:t>
      </w:r>
      <w:r w:rsidR="00E0530F" w:rsidRPr="00C960DC">
        <w:rPr>
          <w:rFonts w:ascii="Calibri" w:hAnsi="Calibri" w:cs="Calibri"/>
          <w:color w:val="000000" w:themeColor="text1"/>
        </w:rPr>
        <w:t xml:space="preserve"> concentration</w:t>
      </w:r>
      <w:r w:rsidRPr="00C960DC">
        <w:rPr>
          <w:rFonts w:ascii="Calibri" w:hAnsi="Calibri" w:cs="Calibri"/>
          <w:color w:val="000000" w:themeColor="text1"/>
        </w:rPr>
        <w:t xml:space="preserve"> </w:t>
      </w:r>
      <w:r w:rsidR="001256FE" w:rsidRPr="00C960DC">
        <w:rPr>
          <w:rFonts w:ascii="Calibri" w:hAnsi="Calibri" w:cs="Calibri"/>
          <w:color w:val="000000" w:themeColor="text1"/>
        </w:rPr>
        <w:t>with</w:t>
      </w:r>
      <w:r w:rsidRPr="00C960DC">
        <w:rPr>
          <w:rFonts w:ascii="Calibri" w:hAnsi="Calibri" w:cs="Calibri"/>
          <w:color w:val="000000" w:themeColor="text1"/>
        </w:rPr>
        <w:t xml:space="preserve"> </w:t>
      </w:r>
      <w:r w:rsidR="00E0530F" w:rsidRPr="00C960DC">
        <w:rPr>
          <w:rFonts w:ascii="Calibri" w:hAnsi="Calibri" w:cs="Calibri"/>
          <w:color w:val="000000" w:themeColor="text1"/>
        </w:rPr>
        <w:t xml:space="preserve">a </w:t>
      </w:r>
      <w:r w:rsidRPr="00C960DC">
        <w:rPr>
          <w:rFonts w:ascii="Calibri" w:hAnsi="Calibri" w:cs="Calibri"/>
          <w:color w:val="000000" w:themeColor="text1"/>
        </w:rPr>
        <w:t xml:space="preserve">cell </w:t>
      </w:r>
      <w:proofErr w:type="gramStart"/>
      <w:r w:rsidRPr="00C960DC">
        <w:rPr>
          <w:rFonts w:ascii="Calibri" w:hAnsi="Calibri" w:cs="Calibri"/>
          <w:color w:val="000000" w:themeColor="text1"/>
        </w:rPr>
        <w:t>counter</w:t>
      </w:r>
      <w:r w:rsidR="00E0530F" w:rsidRPr="00C960DC">
        <w:rPr>
          <w:rFonts w:ascii="Calibri" w:hAnsi="Calibri" w:cs="Calibri"/>
          <w:color w:val="000000" w:themeColor="text1"/>
        </w:rPr>
        <w:t>,</w:t>
      </w:r>
      <w:r w:rsidRPr="00C960DC">
        <w:rPr>
          <w:rFonts w:ascii="Calibri" w:hAnsi="Calibri" w:cs="Calibri"/>
          <w:color w:val="000000" w:themeColor="text1"/>
        </w:rPr>
        <w:t xml:space="preserve"> and</w:t>
      </w:r>
      <w:proofErr w:type="gramEnd"/>
      <w:r w:rsidRPr="00C960DC">
        <w:rPr>
          <w:rFonts w:ascii="Calibri" w:hAnsi="Calibri" w:cs="Calibri"/>
          <w:color w:val="000000" w:themeColor="text1"/>
        </w:rPr>
        <w:t xml:space="preserve"> </w:t>
      </w:r>
      <w:r w:rsidRPr="00C960DC">
        <w:rPr>
          <w:rFonts w:ascii="Calibri" w:hAnsi="Calibri" w:cs="Calibri"/>
          <w:color w:val="000000" w:themeColor="text1"/>
          <w:lang w:val="en-AU"/>
        </w:rPr>
        <w:t xml:space="preserve">calculate the volume of </w:t>
      </w:r>
      <w:r w:rsidR="00E0530F" w:rsidRPr="00C960DC">
        <w:rPr>
          <w:rFonts w:ascii="Calibri" w:hAnsi="Calibri" w:cs="Calibri"/>
          <w:color w:val="000000" w:themeColor="text1"/>
          <w:lang w:val="en-AU"/>
        </w:rPr>
        <w:t>cell suspension</w:t>
      </w:r>
      <w:r w:rsidR="00CC4458" w:rsidRPr="00C960DC">
        <w:rPr>
          <w:rFonts w:ascii="Calibri" w:hAnsi="Calibri" w:cs="Calibri"/>
          <w:color w:val="000000" w:themeColor="text1"/>
          <w:lang w:val="en-AU"/>
        </w:rPr>
        <w:t xml:space="preserve"> required</w:t>
      </w:r>
      <w:r w:rsidR="00E0530F" w:rsidRPr="00C960DC">
        <w:rPr>
          <w:rFonts w:ascii="Calibri" w:hAnsi="Calibri" w:cs="Calibri"/>
          <w:color w:val="000000" w:themeColor="text1"/>
          <w:lang w:val="en-AU"/>
        </w:rPr>
        <w:t xml:space="preserve"> for </w:t>
      </w:r>
      <w:r w:rsidR="00CC4458" w:rsidRPr="00C960DC">
        <w:rPr>
          <w:rFonts w:ascii="Calibri" w:hAnsi="Calibri" w:cs="Calibri"/>
          <w:color w:val="000000" w:themeColor="text1"/>
          <w:lang w:val="en-AU"/>
        </w:rPr>
        <w:t>the transplant</w:t>
      </w:r>
      <w:r w:rsidR="001256FE" w:rsidRPr="00C960DC">
        <w:rPr>
          <w:rFonts w:ascii="Calibri" w:hAnsi="Calibri" w:cs="Calibri"/>
          <w:color w:val="000000" w:themeColor="text1"/>
          <w:lang w:val="en-AU"/>
        </w:rPr>
        <w:t xml:space="preserve">ation. </w:t>
      </w:r>
      <w:r w:rsidR="00E0530F" w:rsidRPr="00C960DC">
        <w:rPr>
          <w:rFonts w:ascii="Calibri" w:hAnsi="Calibri" w:cs="Calibri"/>
          <w:color w:val="000000" w:themeColor="text1"/>
          <w:lang w:val="en-AU"/>
        </w:rPr>
        <w:t>For</w:t>
      </w:r>
      <w:r w:rsidR="00CC4458" w:rsidRPr="00C960DC">
        <w:rPr>
          <w:rFonts w:ascii="Calibri" w:hAnsi="Calibri" w:cs="Calibri"/>
          <w:color w:val="000000" w:themeColor="text1"/>
          <w:lang w:val="en-AU"/>
        </w:rPr>
        <w:t xml:space="preserve"> the example of a</w:t>
      </w:r>
      <w:r w:rsidR="00E0530F" w:rsidRPr="00C960DC">
        <w:rPr>
          <w:rFonts w:ascii="Calibri" w:hAnsi="Calibri" w:cs="Calibri"/>
          <w:color w:val="000000" w:themeColor="text1"/>
          <w:lang w:val="en-AU"/>
        </w:rPr>
        <w:t xml:space="preserve"> 100% BMT, 5</w:t>
      </w:r>
      <w:r w:rsidR="00E0530F" w:rsidRPr="00C960DC">
        <w:rPr>
          <w:rFonts w:ascii="Calibri" w:hAnsi="Calibri" w:cs="Calibri"/>
          <w:color w:val="000000" w:themeColor="text1"/>
        </w:rPr>
        <w:t xml:space="preserve"> x 10</w:t>
      </w:r>
      <w:r w:rsidR="00E0530F" w:rsidRPr="00C960DC">
        <w:rPr>
          <w:rFonts w:ascii="Calibri" w:hAnsi="Calibri" w:cs="Calibri"/>
          <w:color w:val="000000" w:themeColor="text1"/>
          <w:vertAlign w:val="superscript"/>
        </w:rPr>
        <w:t>6</w:t>
      </w:r>
      <w:r w:rsidR="00E0530F" w:rsidRPr="00C960DC">
        <w:rPr>
          <w:rFonts w:ascii="Calibri" w:hAnsi="Calibri" w:cs="Calibri"/>
          <w:color w:val="000000" w:themeColor="text1"/>
        </w:rPr>
        <w:t xml:space="preserve"> bone marrow cells</w:t>
      </w:r>
      <w:r w:rsidR="00E0530F" w:rsidRPr="00C960DC">
        <w:rPr>
          <w:rFonts w:ascii="Calibri" w:hAnsi="Calibri" w:cs="Calibri"/>
          <w:color w:val="000000" w:themeColor="text1"/>
          <w:lang w:val="en-AU"/>
        </w:rPr>
        <w:t xml:space="preserve"> </w:t>
      </w:r>
      <w:r w:rsidR="008F2016">
        <w:rPr>
          <w:rFonts w:ascii="Calibri" w:hAnsi="Calibri" w:cs="Calibri"/>
          <w:color w:val="000000" w:themeColor="text1"/>
          <w:lang w:val="en-AU"/>
        </w:rPr>
        <w:t>are</w:t>
      </w:r>
      <w:r w:rsidR="00E0530F" w:rsidRPr="00C960DC">
        <w:rPr>
          <w:rFonts w:ascii="Calibri" w:hAnsi="Calibri" w:cs="Calibri"/>
          <w:color w:val="000000" w:themeColor="text1"/>
          <w:lang w:val="en-AU"/>
        </w:rPr>
        <w:t xml:space="preserve"> </w:t>
      </w:r>
      <w:r w:rsidR="001256FE" w:rsidRPr="00C960DC">
        <w:rPr>
          <w:rFonts w:ascii="Calibri" w:hAnsi="Calibri" w:cs="Calibri"/>
          <w:color w:val="000000" w:themeColor="text1"/>
          <w:lang w:val="en-AU"/>
        </w:rPr>
        <w:t xml:space="preserve">required </w:t>
      </w:r>
      <w:r w:rsidR="00E0530F" w:rsidRPr="00C960DC">
        <w:rPr>
          <w:rFonts w:ascii="Calibri" w:hAnsi="Calibri" w:cs="Calibri"/>
          <w:color w:val="000000" w:themeColor="text1"/>
          <w:lang w:val="en-AU"/>
        </w:rPr>
        <w:t>for each recipient mouse.</w:t>
      </w:r>
    </w:p>
    <w:p w14:paraId="7CB4A4CB" w14:textId="77777777" w:rsidR="00CB28D1" w:rsidRPr="00C960DC" w:rsidRDefault="00CB28D1" w:rsidP="000C770D">
      <w:pPr>
        <w:jc w:val="both"/>
        <w:rPr>
          <w:rFonts w:ascii="Calibri" w:hAnsi="Calibri" w:cs="Calibri"/>
          <w:color w:val="000000" w:themeColor="text1"/>
          <w:lang w:val="en-AU"/>
        </w:rPr>
      </w:pPr>
    </w:p>
    <w:p w14:paraId="686F5C31" w14:textId="4BB29FEB" w:rsidR="00E0530F" w:rsidRPr="00C960DC" w:rsidRDefault="00BB7A69" w:rsidP="000C770D">
      <w:pPr>
        <w:jc w:val="both"/>
        <w:rPr>
          <w:rFonts w:ascii="Calibri" w:hAnsi="Calibri" w:cs="Calibri"/>
          <w:color w:val="000000" w:themeColor="text1"/>
          <w:lang w:val="en-AU"/>
        </w:rPr>
      </w:pPr>
      <w:r w:rsidRPr="00C960DC">
        <w:rPr>
          <w:rFonts w:ascii="Calibri" w:hAnsi="Calibri" w:cs="Calibri"/>
          <w:color w:val="000000" w:themeColor="text1"/>
          <w:lang w:val="en-AU"/>
        </w:rPr>
        <w:t>N</w:t>
      </w:r>
      <w:r>
        <w:rPr>
          <w:rFonts w:ascii="Calibri" w:hAnsi="Calibri" w:cs="Calibri"/>
          <w:color w:val="000000" w:themeColor="text1"/>
          <w:lang w:val="en-AU"/>
        </w:rPr>
        <w:t>OTE</w:t>
      </w:r>
      <w:r w:rsidR="00CB28D1" w:rsidRPr="00C960DC">
        <w:rPr>
          <w:rFonts w:ascii="Calibri" w:hAnsi="Calibri" w:cs="Calibri"/>
          <w:color w:val="000000" w:themeColor="text1"/>
          <w:lang w:val="en-AU"/>
        </w:rPr>
        <w:t xml:space="preserve">: </w:t>
      </w:r>
      <w:r w:rsidR="00E0530F" w:rsidRPr="00C960DC">
        <w:rPr>
          <w:rFonts w:ascii="Calibri" w:hAnsi="Calibri" w:cs="Calibri"/>
          <w:color w:val="000000" w:themeColor="text1"/>
          <w:lang w:val="en-AU"/>
        </w:rPr>
        <w:t xml:space="preserve">For </w:t>
      </w:r>
      <w:r w:rsidR="001256FE" w:rsidRPr="00C960DC">
        <w:rPr>
          <w:rFonts w:ascii="Calibri" w:hAnsi="Calibri" w:cs="Calibri"/>
          <w:color w:val="000000" w:themeColor="text1"/>
          <w:lang w:val="en-AU"/>
        </w:rPr>
        <w:t xml:space="preserve">a </w:t>
      </w:r>
      <w:r w:rsidR="00E0530F" w:rsidRPr="00C960DC">
        <w:rPr>
          <w:rFonts w:ascii="Calibri" w:hAnsi="Calibri" w:cs="Calibri"/>
          <w:color w:val="000000" w:themeColor="text1"/>
          <w:lang w:val="en-AU"/>
        </w:rPr>
        <w:t xml:space="preserve">competitive BMT, </w:t>
      </w:r>
      <w:r w:rsidR="008F2016">
        <w:rPr>
          <w:rFonts w:ascii="Calibri" w:hAnsi="Calibri" w:cs="Calibri"/>
          <w:color w:val="000000" w:themeColor="text1"/>
          <w:lang w:val="en-AU"/>
        </w:rPr>
        <w:t xml:space="preserve">prepare </w:t>
      </w:r>
      <w:r w:rsidR="00E0530F" w:rsidRPr="00C960DC">
        <w:rPr>
          <w:rFonts w:ascii="Calibri" w:hAnsi="Calibri" w:cs="Calibri"/>
          <w:color w:val="000000" w:themeColor="text1"/>
          <w:lang w:val="en-AU"/>
        </w:rPr>
        <w:t>a total of 5</w:t>
      </w:r>
      <w:r w:rsidR="00E0530F" w:rsidRPr="00C960DC">
        <w:rPr>
          <w:rFonts w:ascii="Calibri" w:hAnsi="Calibri" w:cs="Calibri"/>
          <w:color w:val="000000" w:themeColor="text1"/>
        </w:rPr>
        <w:t xml:space="preserve"> x 10</w:t>
      </w:r>
      <w:r w:rsidR="00E0530F" w:rsidRPr="00C960DC">
        <w:rPr>
          <w:rFonts w:ascii="Calibri" w:hAnsi="Calibri" w:cs="Calibri"/>
          <w:color w:val="000000" w:themeColor="text1"/>
          <w:vertAlign w:val="superscript"/>
        </w:rPr>
        <w:t>6</w:t>
      </w:r>
      <w:r w:rsidR="00E0530F" w:rsidRPr="00C960DC">
        <w:rPr>
          <w:rFonts w:ascii="Calibri" w:hAnsi="Calibri" w:cs="Calibri"/>
          <w:color w:val="000000" w:themeColor="text1"/>
        </w:rPr>
        <w:t xml:space="preserve"> </w:t>
      </w:r>
      <w:r w:rsidR="00E0530F" w:rsidRPr="00C960DC">
        <w:rPr>
          <w:rFonts w:ascii="Calibri" w:hAnsi="Calibri" w:cs="Calibri"/>
          <w:color w:val="000000" w:themeColor="text1"/>
          <w:lang w:val="en-AU"/>
        </w:rPr>
        <w:t xml:space="preserve">bone marrow cells </w:t>
      </w:r>
      <w:r w:rsidR="001256FE" w:rsidRPr="00C960DC">
        <w:rPr>
          <w:rFonts w:ascii="Calibri" w:hAnsi="Calibri" w:cs="Calibri"/>
          <w:color w:val="000000" w:themeColor="text1"/>
          <w:lang w:val="en-AU"/>
        </w:rPr>
        <w:t>compris</w:t>
      </w:r>
      <w:r w:rsidR="00533166">
        <w:rPr>
          <w:rFonts w:ascii="Calibri" w:hAnsi="Calibri" w:cs="Calibri"/>
          <w:color w:val="000000" w:themeColor="text1"/>
          <w:lang w:val="en-AU"/>
        </w:rPr>
        <w:t>ing</w:t>
      </w:r>
      <w:r w:rsidR="001256FE" w:rsidRPr="00C960DC">
        <w:rPr>
          <w:rFonts w:ascii="Calibri" w:hAnsi="Calibri" w:cs="Calibri"/>
          <w:color w:val="000000" w:themeColor="text1"/>
          <w:lang w:val="en-AU"/>
        </w:rPr>
        <w:t xml:space="preserve"> a mixture of</w:t>
      </w:r>
      <w:r w:rsidR="00944D9E" w:rsidRPr="00C960DC">
        <w:rPr>
          <w:rFonts w:ascii="Calibri" w:hAnsi="Calibri" w:cs="Calibri"/>
          <w:color w:val="000000" w:themeColor="text1"/>
          <w:lang w:val="en-AU"/>
        </w:rPr>
        <w:t xml:space="preserve"> </w:t>
      </w:r>
      <w:r w:rsidR="00E0530F" w:rsidRPr="00C960DC">
        <w:rPr>
          <w:rFonts w:ascii="Calibri" w:hAnsi="Calibri" w:cs="Calibri"/>
          <w:color w:val="000000" w:themeColor="text1"/>
          <w:lang w:val="en-AU"/>
        </w:rPr>
        <w:t>donor cells (</w:t>
      </w:r>
      <w:r w:rsidR="001256FE" w:rsidRPr="00120F94">
        <w:rPr>
          <w:rFonts w:ascii="Calibri" w:hAnsi="Calibri" w:cs="Calibri"/>
          <w:color w:val="000000" w:themeColor="text1"/>
          <w:lang w:val="en-AU"/>
        </w:rPr>
        <w:t>e.g.</w:t>
      </w:r>
      <w:r w:rsidR="00533166">
        <w:rPr>
          <w:rFonts w:ascii="Calibri" w:hAnsi="Calibri" w:cs="Calibri"/>
          <w:color w:val="000000" w:themeColor="text1"/>
          <w:lang w:val="en-AU"/>
        </w:rPr>
        <w:t>,</w:t>
      </w:r>
      <w:r w:rsidR="001256FE" w:rsidRPr="00C960DC">
        <w:rPr>
          <w:rFonts w:ascii="Calibri" w:hAnsi="Calibri" w:cs="Calibri"/>
          <w:color w:val="000000" w:themeColor="text1"/>
          <w:lang w:val="en-AU"/>
        </w:rPr>
        <w:t xml:space="preserve"> </w:t>
      </w:r>
      <w:r w:rsidR="00E0530F" w:rsidRPr="00C960DC">
        <w:rPr>
          <w:rFonts w:ascii="Calibri" w:hAnsi="Calibri" w:cs="Calibri"/>
          <w:color w:val="000000" w:themeColor="text1"/>
          <w:lang w:val="en-AU"/>
        </w:rPr>
        <w:t>CD45.2+) and competitor cells (</w:t>
      </w:r>
      <w:r w:rsidR="001256FE" w:rsidRPr="00120F94">
        <w:rPr>
          <w:rFonts w:ascii="Calibri" w:hAnsi="Calibri" w:cs="Calibri"/>
          <w:color w:val="000000" w:themeColor="text1"/>
          <w:lang w:val="en-AU"/>
        </w:rPr>
        <w:t>e.g</w:t>
      </w:r>
      <w:r w:rsidR="001256FE" w:rsidRPr="00A37C31">
        <w:rPr>
          <w:rFonts w:ascii="Calibri" w:hAnsi="Calibri" w:cs="Calibri"/>
          <w:color w:val="000000" w:themeColor="text1"/>
          <w:lang w:val="en-AU"/>
        </w:rPr>
        <w:t>.</w:t>
      </w:r>
      <w:r w:rsidR="00A37C31">
        <w:rPr>
          <w:rFonts w:ascii="Calibri" w:hAnsi="Calibri" w:cs="Calibri"/>
          <w:color w:val="000000" w:themeColor="text1"/>
          <w:lang w:val="en-AU"/>
        </w:rPr>
        <w:t>,</w:t>
      </w:r>
      <w:r w:rsidR="001256FE" w:rsidRPr="00C960DC">
        <w:rPr>
          <w:rFonts w:ascii="Calibri" w:hAnsi="Calibri" w:cs="Calibri"/>
          <w:color w:val="000000" w:themeColor="text1"/>
          <w:lang w:val="en-AU"/>
        </w:rPr>
        <w:t xml:space="preserve"> </w:t>
      </w:r>
      <w:r w:rsidR="00E0530F" w:rsidRPr="00C960DC">
        <w:rPr>
          <w:rFonts w:ascii="Calibri" w:hAnsi="Calibri" w:cs="Calibri"/>
          <w:color w:val="000000" w:themeColor="text1"/>
          <w:lang w:val="en-AU"/>
        </w:rPr>
        <w:t>CD45.1</w:t>
      </w:r>
      <w:r w:rsidR="00AC3DE2">
        <w:rPr>
          <w:rFonts w:ascii="Calibri" w:hAnsi="Calibri" w:cs="Calibri"/>
          <w:color w:val="000000" w:themeColor="text1"/>
          <w:lang w:val="en-AU"/>
        </w:rPr>
        <w:t>)</w:t>
      </w:r>
      <w:r w:rsidR="00242991">
        <w:rPr>
          <w:rFonts w:ascii="Calibri" w:hAnsi="Calibri" w:cs="Calibri"/>
          <w:color w:val="000000" w:themeColor="text1"/>
          <w:lang w:val="en-AU"/>
        </w:rPr>
        <w:t>.</w:t>
      </w:r>
      <w:r w:rsidR="007723E6">
        <w:rPr>
          <w:rFonts w:ascii="Calibri" w:hAnsi="Calibri" w:cs="Calibri"/>
          <w:color w:val="000000" w:themeColor="text1"/>
          <w:lang w:val="en-AU"/>
        </w:rPr>
        <w:t xml:space="preserve"> </w:t>
      </w:r>
      <w:r w:rsidR="001256FE" w:rsidRPr="00C960DC">
        <w:rPr>
          <w:rFonts w:ascii="Calibri" w:hAnsi="Calibri" w:cs="Calibri"/>
          <w:color w:val="000000" w:themeColor="text1"/>
          <w:lang w:val="en-AU"/>
        </w:rPr>
        <w:t>Preparing extra bone marrow cells</w:t>
      </w:r>
      <w:r w:rsidR="00E0530F" w:rsidRPr="00C960DC">
        <w:rPr>
          <w:rFonts w:ascii="Calibri" w:hAnsi="Calibri" w:cs="Calibri"/>
          <w:color w:val="000000" w:themeColor="text1"/>
          <w:lang w:val="en-AU"/>
        </w:rPr>
        <w:t xml:space="preserve"> is </w:t>
      </w:r>
      <w:r w:rsidR="00F375B3" w:rsidRPr="00C960DC">
        <w:rPr>
          <w:rFonts w:ascii="Calibri" w:hAnsi="Calibri" w:cs="Calibri"/>
          <w:color w:val="000000" w:themeColor="text1"/>
          <w:lang w:val="en-AU"/>
        </w:rPr>
        <w:t>highly recommended</w:t>
      </w:r>
      <w:r w:rsidR="00E0530F" w:rsidRPr="00C960DC">
        <w:rPr>
          <w:rFonts w:ascii="Calibri" w:hAnsi="Calibri" w:cs="Calibri"/>
          <w:color w:val="000000" w:themeColor="text1"/>
          <w:lang w:val="en-AU"/>
        </w:rPr>
        <w:t xml:space="preserve">. For example, if there are 10 recipient mice per </w:t>
      </w:r>
      <w:r w:rsidR="001256FE" w:rsidRPr="00C960DC">
        <w:rPr>
          <w:rFonts w:ascii="Calibri" w:hAnsi="Calibri" w:cs="Calibri"/>
          <w:color w:val="000000" w:themeColor="text1"/>
          <w:lang w:val="en-AU"/>
        </w:rPr>
        <w:t>experimental group</w:t>
      </w:r>
      <w:r w:rsidR="001D1883" w:rsidRPr="00C960DC">
        <w:rPr>
          <w:rFonts w:ascii="Calibri" w:hAnsi="Calibri" w:cs="Calibri"/>
          <w:color w:val="000000" w:themeColor="text1"/>
          <w:lang w:val="en-AU"/>
        </w:rPr>
        <w:t xml:space="preserve">, we </w:t>
      </w:r>
      <w:r w:rsidR="001256FE" w:rsidRPr="00C960DC">
        <w:rPr>
          <w:rFonts w:ascii="Calibri" w:hAnsi="Calibri" w:cs="Calibri"/>
          <w:color w:val="000000" w:themeColor="text1"/>
          <w:lang w:val="en-AU"/>
        </w:rPr>
        <w:t>typically</w:t>
      </w:r>
      <w:r w:rsidR="001D1883" w:rsidRPr="00C960DC">
        <w:rPr>
          <w:rFonts w:ascii="Calibri" w:hAnsi="Calibri" w:cs="Calibri"/>
          <w:color w:val="000000" w:themeColor="text1"/>
          <w:lang w:val="en-AU"/>
        </w:rPr>
        <w:t xml:space="preserve"> prepare </w:t>
      </w:r>
      <w:r w:rsidR="00F375B3" w:rsidRPr="00C960DC">
        <w:rPr>
          <w:rFonts w:ascii="Calibri" w:hAnsi="Calibri" w:cs="Calibri"/>
          <w:color w:val="000000" w:themeColor="text1"/>
          <w:lang w:val="en-AU"/>
        </w:rPr>
        <w:t>enough</w:t>
      </w:r>
      <w:r w:rsidR="001256FE" w:rsidRPr="00C960DC">
        <w:rPr>
          <w:rFonts w:ascii="Calibri" w:hAnsi="Calibri" w:cs="Calibri"/>
          <w:color w:val="000000" w:themeColor="text1"/>
          <w:lang w:val="en-AU"/>
        </w:rPr>
        <w:t xml:space="preserve"> cells</w:t>
      </w:r>
      <w:r w:rsidR="00F375B3" w:rsidRPr="00C960DC">
        <w:rPr>
          <w:rFonts w:ascii="Calibri" w:hAnsi="Calibri" w:cs="Calibri"/>
          <w:color w:val="000000" w:themeColor="text1"/>
          <w:lang w:val="en-AU"/>
        </w:rPr>
        <w:t xml:space="preserve"> for </w:t>
      </w:r>
      <w:r w:rsidR="00CB28D1" w:rsidRPr="00C960DC">
        <w:rPr>
          <w:rFonts w:ascii="Calibri" w:hAnsi="Calibri" w:cs="Calibri"/>
          <w:color w:val="000000" w:themeColor="text1"/>
          <w:lang w:val="en-AU"/>
        </w:rPr>
        <w:t xml:space="preserve">12 </w:t>
      </w:r>
      <w:r w:rsidR="00F375B3" w:rsidRPr="00C960DC">
        <w:rPr>
          <w:rFonts w:ascii="Calibri" w:hAnsi="Calibri" w:cs="Calibri"/>
          <w:color w:val="000000" w:themeColor="text1"/>
          <w:lang w:val="en-AU"/>
        </w:rPr>
        <w:t>recipient mice.</w:t>
      </w:r>
    </w:p>
    <w:p w14:paraId="25E3041E" w14:textId="77777777" w:rsidR="00E0530F" w:rsidRPr="00C960DC" w:rsidRDefault="00E0530F" w:rsidP="000C770D">
      <w:pPr>
        <w:jc w:val="both"/>
        <w:rPr>
          <w:rFonts w:ascii="Calibri" w:hAnsi="Calibri" w:cs="Calibri"/>
          <w:color w:val="000000" w:themeColor="text1"/>
          <w:lang w:val="en-AU"/>
        </w:rPr>
      </w:pPr>
    </w:p>
    <w:p w14:paraId="5C9187A9" w14:textId="3C1252F9" w:rsidR="00932ACB" w:rsidRPr="00C960DC" w:rsidRDefault="00F375B3" w:rsidP="000C770D">
      <w:pPr>
        <w:jc w:val="both"/>
        <w:rPr>
          <w:rFonts w:ascii="Calibri" w:hAnsi="Calibri" w:cs="Calibri"/>
          <w:color w:val="000000" w:themeColor="text1"/>
        </w:rPr>
      </w:pPr>
      <w:r w:rsidRPr="00C960DC">
        <w:rPr>
          <w:rFonts w:ascii="Calibri" w:hAnsi="Calibri" w:cs="Calibri"/>
          <w:color w:val="000000" w:themeColor="text1"/>
        </w:rPr>
        <w:t xml:space="preserve">4.13. </w:t>
      </w:r>
      <w:r w:rsidR="006E27CB" w:rsidRPr="00C960DC">
        <w:rPr>
          <w:rFonts w:ascii="Calibri" w:hAnsi="Calibri" w:cs="Calibri"/>
          <w:color w:val="000000" w:themeColor="text1"/>
        </w:rPr>
        <w:t>Transfer</w:t>
      </w:r>
      <w:r w:rsidR="00070D48" w:rsidRPr="00C960DC">
        <w:rPr>
          <w:rFonts w:ascii="Calibri" w:hAnsi="Calibri" w:cs="Calibri"/>
          <w:color w:val="000000" w:themeColor="text1"/>
        </w:rPr>
        <w:t xml:space="preserve"> </w:t>
      </w:r>
      <w:r w:rsidR="00F94680">
        <w:rPr>
          <w:rFonts w:ascii="Calibri" w:hAnsi="Calibri" w:cs="Calibri"/>
          <w:color w:val="000000" w:themeColor="text1"/>
        </w:rPr>
        <w:t xml:space="preserve">the </w:t>
      </w:r>
      <w:r w:rsidR="00070D48" w:rsidRPr="00C960DC">
        <w:rPr>
          <w:rFonts w:ascii="Calibri" w:hAnsi="Calibri" w:cs="Calibri"/>
          <w:color w:val="000000" w:themeColor="text1"/>
        </w:rPr>
        <w:t>calculated</w:t>
      </w:r>
      <w:r w:rsidR="006E27CB" w:rsidRPr="00C960DC">
        <w:rPr>
          <w:rFonts w:ascii="Calibri" w:hAnsi="Calibri" w:cs="Calibri"/>
          <w:color w:val="000000" w:themeColor="text1"/>
        </w:rPr>
        <w:t xml:space="preserve"> volume of cell suspension into a new 50</w:t>
      </w:r>
      <w:r w:rsidR="00CB28D1" w:rsidRPr="00C960DC">
        <w:rPr>
          <w:rFonts w:ascii="Calibri" w:hAnsi="Calibri" w:cs="Calibri"/>
          <w:color w:val="000000" w:themeColor="text1"/>
        </w:rPr>
        <w:t xml:space="preserve"> </w:t>
      </w:r>
      <w:r w:rsidR="006E27CB" w:rsidRPr="00C960DC">
        <w:rPr>
          <w:rFonts w:ascii="Calibri" w:hAnsi="Calibri" w:cs="Calibri"/>
          <w:color w:val="000000" w:themeColor="text1"/>
        </w:rPr>
        <w:t>mL conical tube.</w:t>
      </w:r>
      <w:r w:rsidR="00C56649" w:rsidRPr="00C960DC">
        <w:rPr>
          <w:rFonts w:ascii="Calibri" w:hAnsi="Calibri" w:cs="Calibri"/>
          <w:color w:val="000000" w:themeColor="text1"/>
        </w:rPr>
        <w:t xml:space="preserve"> </w:t>
      </w:r>
      <w:r w:rsidR="00932ACB" w:rsidRPr="00C960DC">
        <w:rPr>
          <w:rFonts w:ascii="Calibri" w:hAnsi="Calibri" w:cs="Calibri"/>
          <w:color w:val="000000" w:themeColor="text1"/>
        </w:rPr>
        <w:t>Centrifuge at 310 x</w:t>
      </w:r>
      <w:r w:rsidR="00CB28D1" w:rsidRPr="00C960DC">
        <w:rPr>
          <w:rFonts w:ascii="Calibri" w:hAnsi="Calibri" w:cs="Calibri"/>
          <w:color w:val="000000" w:themeColor="text1"/>
        </w:rPr>
        <w:t xml:space="preserve"> </w:t>
      </w:r>
      <w:r w:rsidR="00932ACB" w:rsidRPr="00120F94">
        <w:rPr>
          <w:rFonts w:ascii="Calibri" w:hAnsi="Calibri" w:cs="Calibri"/>
          <w:i/>
          <w:iCs/>
          <w:color w:val="000000" w:themeColor="text1"/>
        </w:rPr>
        <w:t>g</w:t>
      </w:r>
      <w:r w:rsidR="00932ACB" w:rsidRPr="00C960DC">
        <w:rPr>
          <w:rFonts w:ascii="Calibri" w:hAnsi="Calibri" w:cs="Calibri"/>
          <w:color w:val="000000" w:themeColor="text1"/>
        </w:rPr>
        <w:t xml:space="preserve"> for 10 min at 4</w:t>
      </w:r>
      <w:r w:rsidR="004A4E2F">
        <w:rPr>
          <w:rFonts w:ascii="Calibri" w:hAnsi="Calibri" w:cs="Calibri"/>
          <w:color w:val="000000" w:themeColor="text1"/>
        </w:rPr>
        <w:t xml:space="preserve"> </w:t>
      </w:r>
      <w:r w:rsidR="00932ACB" w:rsidRPr="00C960DC">
        <w:rPr>
          <w:rFonts w:ascii="Calibri" w:hAnsi="Calibri" w:cs="Calibri"/>
          <w:color w:val="000000" w:themeColor="text1"/>
        </w:rPr>
        <w:t>°C.</w:t>
      </w:r>
    </w:p>
    <w:p w14:paraId="1DF42426" w14:textId="77777777" w:rsidR="00932ACB" w:rsidRPr="00C960DC" w:rsidRDefault="00932ACB" w:rsidP="000C770D">
      <w:pPr>
        <w:jc w:val="both"/>
        <w:rPr>
          <w:rFonts w:ascii="Calibri" w:hAnsi="Calibri" w:cs="Calibri"/>
          <w:color w:val="000000" w:themeColor="text1"/>
        </w:rPr>
      </w:pPr>
    </w:p>
    <w:p w14:paraId="3153875A" w14:textId="1EADE200" w:rsidR="00932ACB" w:rsidRPr="00C960DC" w:rsidRDefault="00932ACB" w:rsidP="000C770D">
      <w:pPr>
        <w:jc w:val="both"/>
        <w:rPr>
          <w:rFonts w:ascii="Calibri" w:hAnsi="Calibri" w:cs="Calibri"/>
          <w:color w:val="000000" w:themeColor="text1"/>
        </w:rPr>
      </w:pPr>
      <w:r w:rsidRPr="00C960DC">
        <w:rPr>
          <w:rFonts w:ascii="Calibri" w:hAnsi="Calibri" w:cs="Calibri"/>
          <w:color w:val="000000" w:themeColor="text1"/>
        </w:rPr>
        <w:t xml:space="preserve">4.14. </w:t>
      </w:r>
      <w:r w:rsidR="00070D48" w:rsidRPr="00C960DC">
        <w:rPr>
          <w:rFonts w:ascii="Calibri" w:hAnsi="Calibri" w:cs="Calibri"/>
          <w:color w:val="000000" w:themeColor="text1"/>
        </w:rPr>
        <w:t xml:space="preserve">Aspirate the supernatant and resuspend the cells using </w:t>
      </w:r>
      <w:r w:rsidR="00B555F5">
        <w:rPr>
          <w:rFonts w:ascii="Calibri" w:hAnsi="Calibri" w:cs="Calibri"/>
          <w:color w:val="000000" w:themeColor="text1"/>
        </w:rPr>
        <w:t xml:space="preserve">the </w:t>
      </w:r>
      <w:r w:rsidR="00D02E9A" w:rsidRPr="00C960DC">
        <w:rPr>
          <w:rFonts w:ascii="Calibri" w:hAnsi="Calibri" w:cs="Calibri"/>
          <w:color w:val="000000" w:themeColor="text1"/>
        </w:rPr>
        <w:t xml:space="preserve">calculated </w:t>
      </w:r>
      <w:r w:rsidR="001256FE" w:rsidRPr="00C960DC">
        <w:rPr>
          <w:rFonts w:ascii="Calibri" w:hAnsi="Calibri" w:cs="Calibri"/>
          <w:color w:val="000000" w:themeColor="text1"/>
        </w:rPr>
        <w:t xml:space="preserve">amount of </w:t>
      </w:r>
      <w:r w:rsidR="00D02E9A" w:rsidRPr="00C960DC">
        <w:rPr>
          <w:rFonts w:ascii="Calibri" w:hAnsi="Calibri" w:cs="Calibri"/>
          <w:color w:val="000000" w:themeColor="text1"/>
        </w:rPr>
        <w:t>serum-free</w:t>
      </w:r>
      <w:r w:rsidR="00070D48" w:rsidRPr="00C960DC">
        <w:rPr>
          <w:rFonts w:ascii="Calibri" w:hAnsi="Calibri" w:cs="Calibri"/>
          <w:color w:val="000000" w:themeColor="text1"/>
        </w:rPr>
        <w:t xml:space="preserve"> RPMI medium</w:t>
      </w:r>
      <w:r w:rsidR="001256FE" w:rsidRPr="00C960DC">
        <w:rPr>
          <w:rFonts w:ascii="Calibri" w:hAnsi="Calibri" w:cs="Calibri"/>
          <w:color w:val="000000" w:themeColor="text1"/>
        </w:rPr>
        <w:t xml:space="preserve"> to achieve the appropriate cell density and volume. Typically</w:t>
      </w:r>
      <w:r w:rsidR="00321A5F">
        <w:rPr>
          <w:rFonts w:ascii="Calibri" w:hAnsi="Calibri" w:cs="Calibri"/>
          <w:color w:val="000000" w:themeColor="text1"/>
        </w:rPr>
        <w:t>,</w:t>
      </w:r>
      <w:r w:rsidR="001256FE" w:rsidRPr="00C960DC">
        <w:rPr>
          <w:rFonts w:ascii="Calibri" w:hAnsi="Calibri" w:cs="Calibri"/>
          <w:color w:val="000000" w:themeColor="text1"/>
        </w:rPr>
        <w:t xml:space="preserve"> </w:t>
      </w:r>
      <w:r w:rsidR="00D02E9A" w:rsidRPr="00C960DC">
        <w:rPr>
          <w:rFonts w:ascii="Calibri" w:hAnsi="Calibri" w:cs="Calibri"/>
          <w:color w:val="000000" w:themeColor="text1"/>
        </w:rPr>
        <w:t>2</w:t>
      </w:r>
      <w:r w:rsidR="00070D48" w:rsidRPr="00C960DC">
        <w:rPr>
          <w:rFonts w:ascii="Calibri" w:hAnsi="Calibri" w:cs="Calibri"/>
          <w:color w:val="000000" w:themeColor="text1"/>
        </w:rPr>
        <w:t>00 μL</w:t>
      </w:r>
      <w:r w:rsidR="00D02E9A" w:rsidRPr="00C960DC">
        <w:rPr>
          <w:rFonts w:ascii="Calibri" w:hAnsi="Calibri" w:cs="Calibri"/>
          <w:color w:val="000000" w:themeColor="text1"/>
        </w:rPr>
        <w:t xml:space="preserve"> is the optimal volume for </w:t>
      </w:r>
      <w:r w:rsidR="001256FE" w:rsidRPr="00C960DC">
        <w:rPr>
          <w:rFonts w:ascii="Calibri" w:hAnsi="Calibri" w:cs="Calibri"/>
          <w:color w:val="000000" w:themeColor="text1"/>
        </w:rPr>
        <w:t xml:space="preserve">a </w:t>
      </w:r>
      <w:r w:rsidR="00D02E9A" w:rsidRPr="00C960DC">
        <w:rPr>
          <w:rFonts w:ascii="Calibri" w:hAnsi="Calibri" w:cs="Calibri"/>
          <w:color w:val="000000" w:themeColor="text1"/>
        </w:rPr>
        <w:t>retro-orbital injection.</w:t>
      </w:r>
    </w:p>
    <w:p w14:paraId="15B798D3" w14:textId="77777777" w:rsidR="00B020ED" w:rsidRPr="00FC7B44" w:rsidRDefault="00B020ED" w:rsidP="000C770D">
      <w:pPr>
        <w:pStyle w:val="ListParagraph"/>
        <w:ind w:left="0"/>
        <w:rPr>
          <w:color w:val="000000" w:themeColor="text1"/>
          <w:highlight w:val="yellow"/>
          <w:lang w:eastAsia="ko-KR"/>
        </w:rPr>
      </w:pPr>
    </w:p>
    <w:p w14:paraId="782E5317" w14:textId="77777777" w:rsidR="005E376D" w:rsidRPr="00FC7B44" w:rsidRDefault="005E376D" w:rsidP="000C770D">
      <w:pPr>
        <w:pStyle w:val="NormalWeb"/>
        <w:spacing w:before="0" w:beforeAutospacing="0" w:after="0" w:afterAutospacing="0"/>
        <w:rPr>
          <w:b/>
          <w:bCs/>
          <w:color w:val="000000" w:themeColor="text1"/>
          <w:highlight w:val="yellow"/>
        </w:rPr>
      </w:pPr>
      <w:r w:rsidRPr="00FC7B44">
        <w:rPr>
          <w:b/>
          <w:bCs/>
          <w:color w:val="000000" w:themeColor="text1"/>
          <w:highlight w:val="yellow"/>
        </w:rPr>
        <w:t>5. Transplantation of bone marrow cells to irradiated mice</w:t>
      </w:r>
    </w:p>
    <w:p w14:paraId="24368E65" w14:textId="77777777" w:rsidR="005E376D" w:rsidRPr="00FC7B44" w:rsidRDefault="005E376D" w:rsidP="000C770D">
      <w:pPr>
        <w:pStyle w:val="NormalWeb"/>
        <w:spacing w:before="0" w:beforeAutospacing="0" w:after="0" w:afterAutospacing="0"/>
        <w:rPr>
          <w:b/>
          <w:bCs/>
          <w:color w:val="000000" w:themeColor="text1"/>
          <w:highlight w:val="yellow"/>
          <w:lang w:eastAsia="ko-KR"/>
        </w:rPr>
      </w:pPr>
    </w:p>
    <w:p w14:paraId="5C01880A" w14:textId="0FC3D57F" w:rsidR="005E376D" w:rsidRPr="00D62482" w:rsidRDefault="005E376D" w:rsidP="000C770D">
      <w:pPr>
        <w:pStyle w:val="NormalWeb"/>
        <w:spacing w:before="0" w:beforeAutospacing="0" w:after="0" w:afterAutospacing="0"/>
        <w:rPr>
          <w:color w:val="000000" w:themeColor="text1"/>
          <w:highlight w:val="yellow"/>
          <w:lang w:eastAsia="ko-KR"/>
        </w:rPr>
      </w:pPr>
      <w:r w:rsidRPr="00F10C19">
        <w:rPr>
          <w:color w:val="000000" w:themeColor="text1"/>
          <w:lang w:eastAsia="ko-KR"/>
        </w:rPr>
        <w:t xml:space="preserve">5.1. Anesthetize the recipient mice with 5 % </w:t>
      </w:r>
      <w:r w:rsidRPr="00C322EE">
        <w:rPr>
          <w:color w:val="000000" w:themeColor="text1"/>
          <w:lang w:eastAsia="ko-KR"/>
        </w:rPr>
        <w:t>isoflurane</w:t>
      </w:r>
      <w:r w:rsidRPr="0049029F">
        <w:rPr>
          <w:color w:val="000000" w:themeColor="text1"/>
          <w:lang w:eastAsia="ko-KR"/>
        </w:rPr>
        <w:t>.</w:t>
      </w:r>
    </w:p>
    <w:p w14:paraId="41CCCF2F" w14:textId="77777777" w:rsidR="005E376D" w:rsidRPr="00D62482" w:rsidRDefault="005E376D" w:rsidP="000C770D">
      <w:pPr>
        <w:pStyle w:val="NormalWeb"/>
        <w:spacing w:before="0" w:beforeAutospacing="0" w:after="0" w:afterAutospacing="0"/>
        <w:rPr>
          <w:color w:val="000000" w:themeColor="text1"/>
          <w:highlight w:val="yellow"/>
          <w:lang w:eastAsia="ko-KR"/>
        </w:rPr>
      </w:pPr>
    </w:p>
    <w:p w14:paraId="693518F6" w14:textId="66E22527" w:rsidR="005E376D" w:rsidRDefault="005E376D" w:rsidP="000C770D">
      <w:pPr>
        <w:pStyle w:val="NormalWeb"/>
        <w:spacing w:before="0" w:beforeAutospacing="0" w:after="0" w:afterAutospacing="0"/>
        <w:rPr>
          <w:color w:val="000000" w:themeColor="text1"/>
          <w:highlight w:val="yellow"/>
        </w:rPr>
      </w:pPr>
      <w:r w:rsidRPr="00D62482">
        <w:rPr>
          <w:color w:val="000000" w:themeColor="text1"/>
          <w:highlight w:val="yellow"/>
        </w:rPr>
        <w:t xml:space="preserve">5.2. While mice are anesthetized, slowly inject </w:t>
      </w:r>
      <w:r w:rsidRPr="00D62482">
        <w:rPr>
          <w:color w:val="000000" w:themeColor="text1"/>
          <w:highlight w:val="yellow"/>
          <w:lang w:eastAsia="ko-KR"/>
        </w:rPr>
        <w:t xml:space="preserve">200 μL of bone marrow cells </w:t>
      </w:r>
      <w:r w:rsidRPr="00D62482">
        <w:rPr>
          <w:color w:val="000000" w:themeColor="text1"/>
          <w:highlight w:val="yellow"/>
        </w:rPr>
        <w:t>into the retro-orbital vein using a 28</w:t>
      </w:r>
      <w:r w:rsidR="00FD3414">
        <w:rPr>
          <w:color w:val="000000" w:themeColor="text1"/>
          <w:highlight w:val="yellow"/>
        </w:rPr>
        <w:t>–</w:t>
      </w:r>
      <w:r w:rsidRPr="00D62482">
        <w:rPr>
          <w:color w:val="000000" w:themeColor="text1"/>
          <w:highlight w:val="yellow"/>
        </w:rPr>
        <w:t>30</w:t>
      </w:r>
      <w:r w:rsidR="00CB28D1" w:rsidRPr="00D62482">
        <w:rPr>
          <w:color w:val="000000" w:themeColor="text1"/>
          <w:highlight w:val="yellow"/>
        </w:rPr>
        <w:t xml:space="preserve"> </w:t>
      </w:r>
      <w:r w:rsidR="00807444" w:rsidRPr="00D62482">
        <w:rPr>
          <w:color w:val="000000" w:themeColor="text1"/>
          <w:highlight w:val="yellow"/>
        </w:rPr>
        <w:t xml:space="preserve">G needle with an </w:t>
      </w:r>
      <w:r w:rsidRPr="00D62482">
        <w:rPr>
          <w:color w:val="000000" w:themeColor="text1"/>
          <w:highlight w:val="yellow"/>
        </w:rPr>
        <w:t>insulin syringe.</w:t>
      </w:r>
    </w:p>
    <w:p w14:paraId="690D8DEF" w14:textId="77777777" w:rsidR="007723E6" w:rsidRDefault="007723E6" w:rsidP="000C770D">
      <w:pPr>
        <w:jc w:val="both"/>
        <w:rPr>
          <w:rFonts w:ascii="Calibri" w:hAnsi="Calibri" w:cs="Calibri"/>
          <w:color w:val="000000" w:themeColor="text1"/>
          <w:highlight w:val="yellow"/>
        </w:rPr>
      </w:pPr>
    </w:p>
    <w:p w14:paraId="3AC534CA" w14:textId="0CB835F8" w:rsidR="008815E4" w:rsidRPr="00B54693" w:rsidRDefault="007723E6" w:rsidP="000C770D">
      <w:pPr>
        <w:jc w:val="both"/>
        <w:rPr>
          <w:rFonts w:ascii="Calibri" w:hAnsi="Calibri" w:cs="Calibri"/>
          <w:color w:val="000000" w:themeColor="text1"/>
        </w:rPr>
      </w:pPr>
      <w:r>
        <w:rPr>
          <w:rFonts w:ascii="Calibri" w:hAnsi="Calibri" w:cs="Calibri"/>
          <w:color w:val="000000" w:themeColor="text1"/>
          <w:highlight w:val="yellow"/>
        </w:rPr>
        <w:t>5.2.1. Alternatively, perform the</w:t>
      </w:r>
      <w:r w:rsidR="008815E4" w:rsidRPr="00B54693">
        <w:rPr>
          <w:rFonts w:ascii="Calibri" w:hAnsi="Calibri" w:cs="Calibri"/>
          <w:color w:val="000000" w:themeColor="text1"/>
          <w:highlight w:val="yellow"/>
        </w:rPr>
        <w:t xml:space="preserve"> delivery of the donor cells by tail vein intravenous injection and femoral intramedullary injection, with a maximum volume of 0.2 mL and 25 μL, respectively.</w:t>
      </w:r>
    </w:p>
    <w:p w14:paraId="46C1FCCE" w14:textId="77777777" w:rsidR="00450437" w:rsidRPr="00D62482" w:rsidRDefault="00450437" w:rsidP="000C770D">
      <w:pPr>
        <w:jc w:val="both"/>
        <w:rPr>
          <w:color w:val="000000" w:themeColor="text1"/>
          <w:highlight w:val="yellow"/>
        </w:rPr>
      </w:pPr>
    </w:p>
    <w:p w14:paraId="149BE013" w14:textId="685529C8" w:rsidR="005E376D" w:rsidRPr="00BE2A2E" w:rsidRDefault="005E376D" w:rsidP="000C770D">
      <w:pPr>
        <w:pStyle w:val="NormalWeb"/>
        <w:spacing w:before="0" w:beforeAutospacing="0" w:after="0" w:afterAutospacing="0"/>
        <w:rPr>
          <w:color w:val="000000" w:themeColor="text1"/>
        </w:rPr>
      </w:pPr>
      <w:r w:rsidRPr="00D62482">
        <w:rPr>
          <w:color w:val="000000" w:themeColor="text1"/>
          <w:highlight w:val="yellow"/>
          <w:lang w:val="en-AU" w:eastAsia="ko-KR"/>
        </w:rPr>
        <w:t xml:space="preserve">5.3. Once the cells are injected, place a drop of proparacaine-containing eye-drops onto the </w:t>
      </w:r>
      <w:r w:rsidRPr="00D62482">
        <w:rPr>
          <w:color w:val="000000" w:themeColor="text1"/>
          <w:highlight w:val="yellow"/>
          <w:lang w:val="en-AU" w:eastAsia="ko-KR"/>
        </w:rPr>
        <w:lastRenderedPageBreak/>
        <w:t>surface of the eye for pain</w:t>
      </w:r>
      <w:r w:rsidR="0041513E">
        <w:rPr>
          <w:color w:val="000000" w:themeColor="text1"/>
          <w:highlight w:val="yellow"/>
          <w:lang w:val="en-AU" w:eastAsia="ko-KR"/>
        </w:rPr>
        <w:t xml:space="preserve"> </w:t>
      </w:r>
      <w:r w:rsidRPr="00D62482">
        <w:rPr>
          <w:color w:val="000000" w:themeColor="text1"/>
          <w:highlight w:val="yellow"/>
          <w:lang w:val="en-AU" w:eastAsia="ko-KR"/>
        </w:rPr>
        <w:t>relief. The animal can then be allowed to regain consciousnes</w:t>
      </w:r>
      <w:r w:rsidR="00807444" w:rsidRPr="00D62482">
        <w:rPr>
          <w:color w:val="000000" w:themeColor="text1"/>
          <w:highlight w:val="yellow"/>
          <w:lang w:val="en-AU" w:eastAsia="ko-KR"/>
        </w:rPr>
        <w:t>s.</w:t>
      </w:r>
    </w:p>
    <w:p w14:paraId="3AEFE603" w14:textId="77777777" w:rsidR="005E376D" w:rsidRPr="00BE2A2E" w:rsidRDefault="005E376D" w:rsidP="000C770D">
      <w:pPr>
        <w:pStyle w:val="NormalWeb"/>
        <w:spacing w:before="0" w:beforeAutospacing="0" w:after="0" w:afterAutospacing="0"/>
        <w:rPr>
          <w:color w:val="000000" w:themeColor="text1"/>
        </w:rPr>
      </w:pPr>
    </w:p>
    <w:p w14:paraId="2057C1E8" w14:textId="6A8706A0" w:rsidR="005E376D" w:rsidRPr="00BE2A2E" w:rsidRDefault="00807444" w:rsidP="000C770D">
      <w:pPr>
        <w:pStyle w:val="NormalWeb"/>
        <w:spacing w:before="0" w:beforeAutospacing="0" w:after="0" w:afterAutospacing="0"/>
        <w:rPr>
          <w:b/>
          <w:bCs/>
          <w:color w:val="000000" w:themeColor="text1"/>
        </w:rPr>
      </w:pPr>
      <w:r w:rsidRPr="00BE2A2E">
        <w:rPr>
          <w:b/>
          <w:bCs/>
          <w:color w:val="000000" w:themeColor="text1"/>
        </w:rPr>
        <w:t>6. T</w:t>
      </w:r>
      <w:r w:rsidR="005E376D" w:rsidRPr="00BE2A2E">
        <w:rPr>
          <w:b/>
          <w:bCs/>
          <w:color w:val="000000" w:themeColor="text1"/>
        </w:rPr>
        <w:t>ransplantation of bone marrow cells to non-conditioned mice</w:t>
      </w:r>
    </w:p>
    <w:p w14:paraId="2ABDE329" w14:textId="77777777" w:rsidR="00B020ED" w:rsidRPr="00BE2A2E" w:rsidRDefault="00B020ED" w:rsidP="000C770D">
      <w:pPr>
        <w:pStyle w:val="NormalWeb"/>
        <w:spacing w:before="0" w:beforeAutospacing="0" w:after="0" w:afterAutospacing="0"/>
        <w:rPr>
          <w:rFonts w:eastAsia="SimSun"/>
          <w:bCs/>
          <w:color w:val="000000" w:themeColor="text1"/>
          <w:lang w:eastAsia="zh-CN"/>
        </w:rPr>
      </w:pPr>
    </w:p>
    <w:p w14:paraId="61B69953" w14:textId="2630BDF1" w:rsidR="005E376D" w:rsidRPr="00BE2A2E" w:rsidRDefault="005E376D" w:rsidP="000C770D">
      <w:pPr>
        <w:pStyle w:val="NormalWeb"/>
        <w:spacing w:before="0" w:beforeAutospacing="0" w:after="0" w:afterAutospacing="0"/>
        <w:rPr>
          <w:color w:val="000000" w:themeColor="text1"/>
          <w:lang w:eastAsia="ko-KR"/>
        </w:rPr>
      </w:pPr>
      <w:r w:rsidRPr="00BE2A2E">
        <w:rPr>
          <w:rFonts w:eastAsia="SimSun"/>
          <w:bCs/>
          <w:color w:val="000000" w:themeColor="text1"/>
          <w:lang w:eastAsia="zh-CN"/>
        </w:rPr>
        <w:t>6.1</w:t>
      </w:r>
      <w:r w:rsidR="00D40510">
        <w:rPr>
          <w:rFonts w:eastAsia="SimSun"/>
          <w:bCs/>
          <w:color w:val="000000" w:themeColor="text1"/>
          <w:lang w:eastAsia="zh-CN"/>
        </w:rPr>
        <w:t>.</w:t>
      </w:r>
      <w:r w:rsidRPr="00BE2A2E">
        <w:rPr>
          <w:rFonts w:eastAsia="SimSun"/>
          <w:bCs/>
          <w:color w:val="000000" w:themeColor="text1"/>
          <w:lang w:eastAsia="zh-CN"/>
        </w:rPr>
        <w:t xml:space="preserve"> </w:t>
      </w:r>
      <w:r w:rsidRPr="00BE2A2E">
        <w:rPr>
          <w:color w:val="000000" w:themeColor="text1"/>
          <w:lang w:eastAsia="ko-KR"/>
        </w:rPr>
        <w:t>Anesthetize the recipient mice by inhalation of 5% isoflurane.</w:t>
      </w:r>
    </w:p>
    <w:p w14:paraId="35250043" w14:textId="77777777" w:rsidR="005E376D" w:rsidRPr="00BE2A2E" w:rsidRDefault="005E376D" w:rsidP="000C770D">
      <w:pPr>
        <w:pStyle w:val="NormalWeb"/>
        <w:spacing w:before="0" w:beforeAutospacing="0" w:after="0" w:afterAutospacing="0"/>
        <w:rPr>
          <w:rFonts w:eastAsia="SimSun"/>
          <w:bCs/>
          <w:color w:val="000000" w:themeColor="text1"/>
          <w:lang w:eastAsia="zh-CN"/>
        </w:rPr>
      </w:pPr>
    </w:p>
    <w:p w14:paraId="6787CE86" w14:textId="37F5F530" w:rsidR="005E376D" w:rsidRPr="00BE2A2E" w:rsidRDefault="005E376D" w:rsidP="000C770D">
      <w:pPr>
        <w:pStyle w:val="NormalWeb"/>
        <w:spacing w:before="0" w:beforeAutospacing="0" w:after="0" w:afterAutospacing="0"/>
        <w:rPr>
          <w:rFonts w:eastAsia="SimSun"/>
          <w:bCs/>
          <w:color w:val="000000" w:themeColor="text1"/>
          <w:lang w:eastAsia="zh-CN"/>
        </w:rPr>
      </w:pPr>
      <w:r w:rsidRPr="00BE2A2E">
        <w:rPr>
          <w:rFonts w:eastAsia="SimSun"/>
          <w:bCs/>
          <w:color w:val="000000" w:themeColor="text1"/>
          <w:lang w:eastAsia="zh-CN"/>
        </w:rPr>
        <w:t>6.2</w:t>
      </w:r>
      <w:r w:rsidR="00D40510">
        <w:rPr>
          <w:rFonts w:eastAsia="SimSun"/>
          <w:bCs/>
          <w:color w:val="000000" w:themeColor="text1"/>
          <w:lang w:eastAsia="zh-CN"/>
        </w:rPr>
        <w:t>.</w:t>
      </w:r>
      <w:r w:rsidRPr="00BE2A2E">
        <w:rPr>
          <w:rFonts w:eastAsia="SimSun"/>
          <w:bCs/>
          <w:color w:val="000000" w:themeColor="text1"/>
          <w:lang w:eastAsia="zh-CN"/>
        </w:rPr>
        <w:t xml:space="preserve"> </w:t>
      </w:r>
      <w:r w:rsidR="00B54693">
        <w:rPr>
          <w:rFonts w:eastAsia="SimSun"/>
          <w:bCs/>
          <w:color w:val="000000" w:themeColor="text1"/>
          <w:lang w:eastAsia="zh-CN"/>
        </w:rPr>
        <w:t xml:space="preserve">Inject </w:t>
      </w:r>
      <w:r w:rsidRPr="00BE2A2E">
        <w:rPr>
          <w:rFonts w:eastAsia="SimSun"/>
          <w:bCs/>
          <w:color w:val="000000" w:themeColor="text1"/>
          <w:lang w:eastAsia="zh-CN"/>
        </w:rPr>
        <w:t>5</w:t>
      </w:r>
      <w:r w:rsidR="001E7449" w:rsidRPr="00BE2A2E">
        <w:rPr>
          <w:rFonts w:eastAsia="SimSun"/>
          <w:bCs/>
          <w:color w:val="000000" w:themeColor="text1"/>
          <w:lang w:eastAsia="zh-CN"/>
        </w:rPr>
        <w:t xml:space="preserve"> </w:t>
      </w:r>
      <w:r w:rsidRPr="00BE2A2E">
        <w:rPr>
          <w:rFonts w:eastAsia="SimSun"/>
          <w:bCs/>
          <w:color w:val="000000" w:themeColor="text1"/>
          <w:lang w:eastAsia="zh-CN"/>
        </w:rPr>
        <w:t>x</w:t>
      </w:r>
      <w:r w:rsidR="001E7449" w:rsidRPr="00BE2A2E">
        <w:rPr>
          <w:rFonts w:eastAsia="SimSun"/>
          <w:bCs/>
          <w:color w:val="000000" w:themeColor="text1"/>
          <w:lang w:eastAsia="zh-CN"/>
        </w:rPr>
        <w:t xml:space="preserve"> </w:t>
      </w:r>
      <w:r w:rsidRPr="00BE2A2E">
        <w:rPr>
          <w:rFonts w:eastAsia="SimSun"/>
          <w:bCs/>
          <w:color w:val="000000" w:themeColor="text1"/>
          <w:lang w:eastAsia="zh-CN"/>
        </w:rPr>
        <w:t>10</w:t>
      </w:r>
      <w:r w:rsidRPr="00BE2A2E">
        <w:rPr>
          <w:rFonts w:eastAsia="SimSun"/>
          <w:bCs/>
          <w:color w:val="000000" w:themeColor="text1"/>
          <w:vertAlign w:val="superscript"/>
          <w:lang w:eastAsia="zh-CN"/>
        </w:rPr>
        <w:t>6</w:t>
      </w:r>
      <w:r w:rsidRPr="00BE2A2E">
        <w:rPr>
          <w:rFonts w:eastAsia="SimSun"/>
          <w:bCs/>
          <w:color w:val="000000" w:themeColor="text1"/>
          <w:lang w:eastAsia="zh-CN"/>
        </w:rPr>
        <w:t xml:space="preserve"> unfractionated bone marrow cells</w:t>
      </w:r>
      <w:r w:rsidRPr="00BE2A2E">
        <w:rPr>
          <w:color w:val="000000" w:themeColor="text1"/>
          <w:lang w:eastAsia="ko-KR"/>
        </w:rPr>
        <w:t xml:space="preserve"> </w:t>
      </w:r>
      <w:r w:rsidRPr="00BE2A2E">
        <w:rPr>
          <w:rFonts w:eastAsia="SimSun"/>
          <w:bCs/>
          <w:color w:val="000000" w:themeColor="text1"/>
          <w:lang w:eastAsia="zh-CN"/>
        </w:rPr>
        <w:t>from either genotype retro-orbitally into non-irradiated recipient mice with 28</w:t>
      </w:r>
      <w:r w:rsidR="008F6A21">
        <w:rPr>
          <w:rFonts w:eastAsia="SimSun"/>
          <w:bCs/>
          <w:color w:val="000000" w:themeColor="text1"/>
          <w:lang w:eastAsia="zh-CN"/>
        </w:rPr>
        <w:t>–</w:t>
      </w:r>
      <w:r w:rsidRPr="00BE2A2E">
        <w:rPr>
          <w:rFonts w:eastAsia="SimSun"/>
          <w:bCs/>
          <w:color w:val="000000" w:themeColor="text1"/>
          <w:lang w:eastAsia="zh-CN"/>
        </w:rPr>
        <w:t>30</w:t>
      </w:r>
      <w:r w:rsidR="001E7449" w:rsidRPr="00BE2A2E">
        <w:rPr>
          <w:rFonts w:eastAsia="SimSun"/>
          <w:bCs/>
          <w:color w:val="000000" w:themeColor="text1"/>
          <w:lang w:eastAsia="zh-CN"/>
        </w:rPr>
        <w:t xml:space="preserve"> </w:t>
      </w:r>
      <w:r w:rsidRPr="00BE2A2E">
        <w:rPr>
          <w:rFonts w:eastAsia="SimSun"/>
          <w:bCs/>
          <w:color w:val="000000" w:themeColor="text1"/>
          <w:lang w:eastAsia="zh-CN"/>
        </w:rPr>
        <w:t>G insulin syringe.</w:t>
      </w:r>
    </w:p>
    <w:p w14:paraId="600ACFC2" w14:textId="77777777" w:rsidR="005E376D" w:rsidRPr="00BE2A2E" w:rsidRDefault="005E376D" w:rsidP="000C770D">
      <w:pPr>
        <w:pStyle w:val="NormalWeb"/>
        <w:spacing w:before="0" w:beforeAutospacing="0" w:after="0" w:afterAutospacing="0"/>
        <w:rPr>
          <w:rFonts w:eastAsia="SimSun"/>
          <w:bCs/>
          <w:color w:val="000000" w:themeColor="text1"/>
          <w:lang w:eastAsia="zh-CN"/>
        </w:rPr>
      </w:pPr>
    </w:p>
    <w:p w14:paraId="19D12098" w14:textId="71CBFA84" w:rsidR="005E376D" w:rsidRPr="00BE2A2E" w:rsidRDefault="005E376D" w:rsidP="000C770D">
      <w:pPr>
        <w:pStyle w:val="CommentText"/>
        <w:rPr>
          <w:rFonts w:eastAsia="SimSun"/>
          <w:bCs/>
          <w:color w:val="000000" w:themeColor="text1"/>
          <w:lang w:eastAsia="zh-CN"/>
        </w:rPr>
      </w:pPr>
      <w:r w:rsidRPr="00BE2A2E">
        <w:rPr>
          <w:rFonts w:eastAsia="SimSun"/>
          <w:bCs/>
          <w:color w:val="000000" w:themeColor="text1"/>
          <w:lang w:eastAsia="zh-CN"/>
        </w:rPr>
        <w:t>6.3</w:t>
      </w:r>
      <w:r w:rsidR="00D40510">
        <w:rPr>
          <w:rFonts w:eastAsia="SimSun"/>
          <w:bCs/>
          <w:color w:val="000000" w:themeColor="text1"/>
          <w:lang w:eastAsia="zh-CN"/>
        </w:rPr>
        <w:t>.</w:t>
      </w:r>
      <w:r w:rsidRPr="00BE2A2E">
        <w:rPr>
          <w:rFonts w:eastAsia="SimSun"/>
          <w:bCs/>
          <w:color w:val="000000" w:themeColor="text1"/>
          <w:lang w:eastAsia="zh-CN"/>
        </w:rPr>
        <w:t xml:space="preserve"> Repeat </w:t>
      </w:r>
      <w:r w:rsidR="008F6A21">
        <w:rPr>
          <w:rFonts w:eastAsia="SimSun"/>
          <w:bCs/>
          <w:color w:val="000000" w:themeColor="text1"/>
          <w:lang w:eastAsia="zh-CN"/>
        </w:rPr>
        <w:t xml:space="preserve">steps </w:t>
      </w:r>
      <w:r w:rsidRPr="00BE2A2E">
        <w:rPr>
          <w:rFonts w:eastAsia="SimSun"/>
          <w:bCs/>
          <w:color w:val="000000" w:themeColor="text1"/>
          <w:lang w:eastAsia="zh-CN"/>
        </w:rPr>
        <w:t xml:space="preserve">6.1 and 6.2 over 3 consecutive days, </w:t>
      </w:r>
      <w:r w:rsidR="00AC3DE2">
        <w:rPr>
          <w:rFonts w:eastAsia="SimSun"/>
          <w:bCs/>
          <w:color w:val="000000" w:themeColor="text1"/>
          <w:lang w:eastAsia="zh-CN"/>
        </w:rPr>
        <w:t>such that the</w:t>
      </w:r>
      <w:r w:rsidRPr="00BE2A2E">
        <w:rPr>
          <w:rFonts w:eastAsia="SimSun"/>
          <w:bCs/>
          <w:color w:val="000000" w:themeColor="text1"/>
          <w:lang w:eastAsia="zh-CN"/>
        </w:rPr>
        <w:t xml:space="preserve"> recipient mice will be transplanted with a total of 1.5</w:t>
      </w:r>
      <w:r w:rsidR="001E7449" w:rsidRPr="00BE2A2E">
        <w:rPr>
          <w:rFonts w:eastAsia="SimSun"/>
          <w:bCs/>
          <w:color w:val="000000" w:themeColor="text1"/>
          <w:lang w:eastAsia="zh-CN"/>
        </w:rPr>
        <w:t xml:space="preserve"> </w:t>
      </w:r>
      <w:r w:rsidRPr="00BE2A2E">
        <w:rPr>
          <w:rFonts w:eastAsia="SimSun"/>
          <w:bCs/>
          <w:color w:val="000000" w:themeColor="text1"/>
          <w:lang w:eastAsia="zh-CN"/>
        </w:rPr>
        <w:t>x</w:t>
      </w:r>
      <w:r w:rsidR="001E7449" w:rsidRPr="00BE2A2E">
        <w:rPr>
          <w:rFonts w:eastAsia="SimSun"/>
          <w:bCs/>
          <w:color w:val="000000" w:themeColor="text1"/>
          <w:lang w:eastAsia="zh-CN"/>
        </w:rPr>
        <w:t xml:space="preserve"> </w:t>
      </w:r>
      <w:r w:rsidRPr="00BE2A2E">
        <w:rPr>
          <w:rFonts w:eastAsia="SimSun"/>
          <w:bCs/>
          <w:color w:val="000000" w:themeColor="text1"/>
          <w:lang w:eastAsia="zh-CN"/>
        </w:rPr>
        <w:t>10</w:t>
      </w:r>
      <w:r w:rsidRPr="00BE2A2E">
        <w:rPr>
          <w:rFonts w:eastAsia="SimSun"/>
          <w:bCs/>
          <w:color w:val="000000" w:themeColor="text1"/>
          <w:vertAlign w:val="superscript"/>
          <w:lang w:eastAsia="zh-CN"/>
        </w:rPr>
        <w:t xml:space="preserve">7 </w:t>
      </w:r>
      <w:r w:rsidRPr="00BE2A2E">
        <w:rPr>
          <w:rFonts w:eastAsia="SimSun"/>
          <w:bCs/>
          <w:color w:val="000000" w:themeColor="text1"/>
          <w:lang w:eastAsia="zh-CN"/>
        </w:rPr>
        <w:t>bone marrow cells.</w:t>
      </w:r>
    </w:p>
    <w:p w14:paraId="5B91019F" w14:textId="2629A3CB" w:rsidR="00807444" w:rsidRPr="00BE2A2E" w:rsidRDefault="00807444" w:rsidP="000C770D">
      <w:pPr>
        <w:pStyle w:val="CommentText"/>
        <w:rPr>
          <w:rFonts w:eastAsia="SimSun"/>
          <w:bCs/>
          <w:color w:val="000000" w:themeColor="text1"/>
          <w:lang w:eastAsia="zh-CN"/>
        </w:rPr>
      </w:pPr>
    </w:p>
    <w:p w14:paraId="267D5E17" w14:textId="48E3939C" w:rsidR="00807444" w:rsidRPr="00BE2A2E" w:rsidRDefault="008F6A21" w:rsidP="000C770D">
      <w:pPr>
        <w:pStyle w:val="NormalWeb"/>
        <w:spacing w:before="0" w:beforeAutospacing="0" w:after="0" w:afterAutospacing="0"/>
        <w:rPr>
          <w:color w:val="000000" w:themeColor="text1"/>
        </w:rPr>
      </w:pPr>
      <w:r w:rsidRPr="00BE2A2E">
        <w:rPr>
          <w:color w:val="000000" w:themeColor="text1"/>
        </w:rPr>
        <w:t>N</w:t>
      </w:r>
      <w:r>
        <w:rPr>
          <w:color w:val="000000" w:themeColor="text1"/>
        </w:rPr>
        <w:t>OTE</w:t>
      </w:r>
      <w:r w:rsidR="00807444" w:rsidRPr="00BE2A2E">
        <w:rPr>
          <w:color w:val="000000" w:themeColor="text1"/>
        </w:rPr>
        <w:t xml:space="preserve">: </w:t>
      </w:r>
      <w:r w:rsidR="00807444" w:rsidRPr="00BE2A2E">
        <w:rPr>
          <w:color w:val="000000" w:themeColor="text1"/>
          <w:lang w:eastAsia="ko-KR"/>
        </w:rPr>
        <w:t xml:space="preserve">Because the adoptive </w:t>
      </w:r>
      <w:r w:rsidR="00037F19">
        <w:rPr>
          <w:color w:val="000000" w:themeColor="text1"/>
          <w:lang w:eastAsia="ko-KR"/>
        </w:rPr>
        <w:t>BMT</w:t>
      </w:r>
      <w:r w:rsidR="00037F19" w:rsidRPr="00BE2A2E">
        <w:rPr>
          <w:color w:val="000000" w:themeColor="text1"/>
          <w:lang w:eastAsia="ko-KR"/>
        </w:rPr>
        <w:t xml:space="preserve"> </w:t>
      </w:r>
      <w:r w:rsidR="00CA425A" w:rsidRPr="003475EB">
        <w:rPr>
          <w:color w:val="000000" w:themeColor="text1"/>
          <w:shd w:val="clear" w:color="auto" w:fill="FFFFFF"/>
        </w:rPr>
        <w:t xml:space="preserve">without pre-conditioning </w:t>
      </w:r>
      <w:r w:rsidR="00807444" w:rsidRPr="00BE2A2E">
        <w:rPr>
          <w:color w:val="000000" w:themeColor="text1"/>
          <w:lang w:eastAsia="ko-KR"/>
        </w:rPr>
        <w:t>procedure requires bone marrow transplantation for 3 consecutive days, one should attempt to alternate eyes for each injection.</w:t>
      </w:r>
    </w:p>
    <w:p w14:paraId="06DC15E7" w14:textId="77777777" w:rsidR="005E376D" w:rsidRPr="00BE2A2E" w:rsidRDefault="005E376D" w:rsidP="000C770D">
      <w:pPr>
        <w:pStyle w:val="NormalWeb"/>
        <w:spacing w:before="0" w:beforeAutospacing="0" w:after="0" w:afterAutospacing="0"/>
        <w:rPr>
          <w:rFonts w:eastAsia="SimSun"/>
          <w:bCs/>
          <w:color w:val="000000" w:themeColor="text1"/>
          <w:lang w:eastAsia="zh-CN"/>
        </w:rPr>
      </w:pPr>
    </w:p>
    <w:p w14:paraId="4440F89D" w14:textId="5DA290CD" w:rsidR="005E376D" w:rsidRPr="00BE2A2E" w:rsidRDefault="005E376D" w:rsidP="000C770D">
      <w:pPr>
        <w:pStyle w:val="NormalWeb"/>
        <w:spacing w:before="0" w:beforeAutospacing="0" w:after="0" w:afterAutospacing="0"/>
        <w:rPr>
          <w:rFonts w:eastAsia="SimSun"/>
          <w:bCs/>
          <w:color w:val="000000" w:themeColor="text1"/>
          <w:lang w:eastAsia="zh-CN"/>
        </w:rPr>
      </w:pPr>
      <w:r w:rsidRPr="00BE2A2E">
        <w:rPr>
          <w:rFonts w:eastAsia="SimSun"/>
          <w:bCs/>
          <w:color w:val="000000" w:themeColor="text1"/>
          <w:lang w:eastAsia="zh-CN"/>
        </w:rPr>
        <w:t>6.4</w:t>
      </w:r>
      <w:r w:rsidR="00D40510">
        <w:rPr>
          <w:rFonts w:eastAsia="SimSun"/>
          <w:bCs/>
          <w:color w:val="000000" w:themeColor="text1"/>
          <w:lang w:eastAsia="zh-CN"/>
        </w:rPr>
        <w:t>.</w:t>
      </w:r>
      <w:r w:rsidRPr="00BE2A2E">
        <w:rPr>
          <w:rFonts w:eastAsia="SimSun"/>
          <w:bCs/>
          <w:color w:val="000000" w:themeColor="text1"/>
          <w:lang w:eastAsia="zh-CN"/>
        </w:rPr>
        <w:t xml:space="preserve"> </w:t>
      </w:r>
      <w:proofErr w:type="gramStart"/>
      <w:r w:rsidRPr="00BE2A2E">
        <w:rPr>
          <w:rFonts w:eastAsia="SimSun"/>
          <w:bCs/>
          <w:color w:val="000000" w:themeColor="text1"/>
          <w:lang w:eastAsia="zh-CN"/>
        </w:rPr>
        <w:t>Post-inj</w:t>
      </w:r>
      <w:r w:rsidR="00807444" w:rsidRPr="00BE2A2E">
        <w:rPr>
          <w:rFonts w:eastAsia="SimSun"/>
          <w:bCs/>
          <w:color w:val="000000" w:themeColor="text1"/>
          <w:lang w:eastAsia="zh-CN"/>
        </w:rPr>
        <w:t>e</w:t>
      </w:r>
      <w:r w:rsidRPr="00BE2A2E">
        <w:rPr>
          <w:rFonts w:eastAsia="SimSun"/>
          <w:bCs/>
          <w:color w:val="000000" w:themeColor="text1"/>
          <w:lang w:eastAsia="zh-CN"/>
        </w:rPr>
        <w:t>ction,</w:t>
      </w:r>
      <w:proofErr w:type="gramEnd"/>
      <w:r w:rsidR="00584A0E">
        <w:rPr>
          <w:rFonts w:eastAsia="SimSun"/>
          <w:bCs/>
          <w:color w:val="000000" w:themeColor="text1"/>
          <w:lang w:eastAsia="zh-CN"/>
        </w:rPr>
        <w:t xml:space="preserve"> </w:t>
      </w:r>
      <w:r w:rsidR="00BD661A">
        <w:rPr>
          <w:rFonts w:eastAsia="SimSun"/>
          <w:bCs/>
          <w:color w:val="000000" w:themeColor="text1"/>
          <w:lang w:eastAsia="zh-CN"/>
        </w:rPr>
        <w:t>administer</w:t>
      </w:r>
      <w:r w:rsidR="00584A0E">
        <w:rPr>
          <w:rFonts w:eastAsia="SimSun"/>
          <w:bCs/>
          <w:color w:val="000000" w:themeColor="text1"/>
          <w:lang w:eastAsia="zh-CN"/>
        </w:rPr>
        <w:t xml:space="preserve"> </w:t>
      </w:r>
      <w:r w:rsidRPr="00BE2A2E">
        <w:rPr>
          <w:color w:val="000000" w:themeColor="text1"/>
          <w:lang w:val="en-AU" w:eastAsia="ko-KR"/>
        </w:rPr>
        <w:t>a drop of proparacaine-containing eye</w:t>
      </w:r>
      <w:r w:rsidR="00C26677">
        <w:rPr>
          <w:color w:val="000000" w:themeColor="text1"/>
          <w:lang w:val="en-AU" w:eastAsia="ko-KR"/>
        </w:rPr>
        <w:t xml:space="preserve"> </w:t>
      </w:r>
      <w:r w:rsidRPr="00BE2A2E">
        <w:rPr>
          <w:color w:val="000000" w:themeColor="text1"/>
          <w:lang w:val="en-AU" w:eastAsia="ko-KR"/>
        </w:rPr>
        <w:t xml:space="preserve">drops </w:t>
      </w:r>
      <w:r w:rsidR="00807444" w:rsidRPr="00BE2A2E">
        <w:rPr>
          <w:color w:val="000000" w:themeColor="text1"/>
          <w:lang w:val="en-AU" w:eastAsia="ko-KR"/>
        </w:rPr>
        <w:t>to the affected eye</w:t>
      </w:r>
      <w:r w:rsidRPr="00BE2A2E">
        <w:rPr>
          <w:color w:val="000000" w:themeColor="text1"/>
          <w:lang w:val="en-AU" w:eastAsia="ko-KR"/>
        </w:rPr>
        <w:t>.</w:t>
      </w:r>
    </w:p>
    <w:p w14:paraId="13B72E31" w14:textId="77777777" w:rsidR="00B258A6" w:rsidRPr="003475EB" w:rsidRDefault="00B258A6" w:rsidP="000C770D">
      <w:pPr>
        <w:pStyle w:val="NormalWeb"/>
        <w:spacing w:before="0" w:beforeAutospacing="0" w:after="0" w:afterAutospacing="0"/>
        <w:rPr>
          <w:b/>
          <w:color w:val="000000" w:themeColor="text1"/>
        </w:rPr>
      </w:pPr>
    </w:p>
    <w:bookmarkEnd w:id="0"/>
    <w:p w14:paraId="0E52ABEE" w14:textId="4099ED1A" w:rsidR="000E2C9E" w:rsidRPr="003475EB" w:rsidRDefault="006305D7" w:rsidP="000C770D">
      <w:pPr>
        <w:pStyle w:val="NormalWeb"/>
        <w:spacing w:before="0" w:beforeAutospacing="0" w:after="0" w:afterAutospacing="0"/>
        <w:rPr>
          <w:b/>
          <w:color w:val="000000" w:themeColor="text1"/>
        </w:rPr>
      </w:pPr>
      <w:r w:rsidRPr="003475EB">
        <w:rPr>
          <w:b/>
          <w:color w:val="000000" w:themeColor="text1"/>
        </w:rPr>
        <w:t>REPRESENTATIVE RESULTS</w:t>
      </w:r>
      <w:r w:rsidR="00EF1462" w:rsidRPr="003475EB">
        <w:rPr>
          <w:b/>
          <w:color w:val="000000" w:themeColor="text1"/>
        </w:rPr>
        <w:t>:</w:t>
      </w:r>
    </w:p>
    <w:p w14:paraId="30E2B079" w14:textId="4743E8F8" w:rsidR="005E376D" w:rsidRDefault="005E376D" w:rsidP="000C770D">
      <w:pPr>
        <w:pStyle w:val="NormalWeb"/>
        <w:spacing w:before="0" w:beforeAutospacing="0" w:after="0" w:afterAutospacing="0"/>
        <w:rPr>
          <w:rFonts w:eastAsia="Times New Roman"/>
          <w:color w:val="000000" w:themeColor="text1"/>
          <w:lang w:eastAsia="ko-KR"/>
        </w:rPr>
      </w:pPr>
      <w:r w:rsidRPr="00BE2A2E">
        <w:rPr>
          <w:bCs/>
          <w:color w:val="000000" w:themeColor="text1"/>
        </w:rPr>
        <w:t xml:space="preserve">To compare the effect of three </w:t>
      </w:r>
      <w:r w:rsidR="00807444" w:rsidRPr="00BE2A2E">
        <w:rPr>
          <w:bCs/>
          <w:color w:val="000000" w:themeColor="text1"/>
        </w:rPr>
        <w:t>BMT/</w:t>
      </w:r>
      <w:r w:rsidRPr="00BE2A2E">
        <w:rPr>
          <w:bCs/>
          <w:color w:val="000000" w:themeColor="text1"/>
        </w:rPr>
        <w:t xml:space="preserve">pre-conditioning methods on donor cell engraftment, </w:t>
      </w:r>
      <w:r w:rsidRPr="00BE2A2E">
        <w:rPr>
          <w:color w:val="000000" w:themeColor="text1"/>
          <w:lang w:eastAsia="ko-KR"/>
        </w:rPr>
        <w:t>the fraction</w:t>
      </w:r>
      <w:r w:rsidR="00807444" w:rsidRPr="00BE2A2E">
        <w:rPr>
          <w:color w:val="000000" w:themeColor="text1"/>
          <w:lang w:eastAsia="ko-KR"/>
        </w:rPr>
        <w:t>s</w:t>
      </w:r>
      <w:r w:rsidRPr="00BE2A2E">
        <w:rPr>
          <w:color w:val="000000" w:themeColor="text1"/>
          <w:lang w:eastAsia="ko-KR"/>
        </w:rPr>
        <w:t xml:space="preserve"> of </w:t>
      </w:r>
      <w:r w:rsidRPr="00BE2A2E">
        <w:rPr>
          <w:color w:val="000000" w:themeColor="text1"/>
        </w:rPr>
        <w:t xml:space="preserve">donor cells in peripheral blood and heart tissue were analyzed by flow cytometry </w:t>
      </w:r>
      <w:r w:rsidRPr="00BE2A2E">
        <w:rPr>
          <w:color w:val="000000" w:themeColor="text1"/>
          <w:lang w:eastAsia="ko-KR"/>
        </w:rPr>
        <w:t>at 1</w:t>
      </w:r>
      <w:r w:rsidR="00185B56">
        <w:rPr>
          <w:color w:val="000000" w:themeColor="text1"/>
          <w:lang w:eastAsia="ko-KR"/>
        </w:rPr>
        <w:t>-</w:t>
      </w:r>
      <w:r w:rsidRPr="00BE2A2E">
        <w:rPr>
          <w:color w:val="000000" w:themeColor="text1"/>
          <w:lang w:eastAsia="ko-KR"/>
        </w:rPr>
        <w:t>month post-BMT</w:t>
      </w:r>
      <w:r w:rsidRPr="00BE2A2E">
        <w:rPr>
          <w:color w:val="000000" w:themeColor="text1"/>
        </w:rPr>
        <w:t>. Isolated cells were stained for specific leukocyte markers to identify the different subsets of leukocytes. In th</w:t>
      </w:r>
      <w:r w:rsidR="00B020ED" w:rsidRPr="00BE2A2E">
        <w:rPr>
          <w:color w:val="000000" w:themeColor="text1"/>
        </w:rPr>
        <w:t>ese</w:t>
      </w:r>
      <w:r w:rsidRPr="00BE2A2E">
        <w:rPr>
          <w:color w:val="000000" w:themeColor="text1"/>
        </w:rPr>
        <w:t xml:space="preserve"> experiment</w:t>
      </w:r>
      <w:r w:rsidR="00B020ED" w:rsidRPr="00BE2A2E">
        <w:rPr>
          <w:color w:val="000000" w:themeColor="text1"/>
        </w:rPr>
        <w:t>s</w:t>
      </w:r>
      <w:r w:rsidRPr="00185B56">
        <w:rPr>
          <w:color w:val="000000" w:themeColor="text1"/>
        </w:rPr>
        <w:t>,</w:t>
      </w:r>
      <w:r w:rsidR="00354159">
        <w:rPr>
          <w:color w:val="000000" w:themeColor="text1"/>
        </w:rPr>
        <w:t xml:space="preserve"> </w:t>
      </w:r>
      <w:r w:rsidR="00185B56" w:rsidRPr="00185B56">
        <w:rPr>
          <w:color w:val="000000" w:themeColor="text1"/>
        </w:rPr>
        <w:t xml:space="preserve">wild-type </w:t>
      </w:r>
      <w:r w:rsidR="00185B56">
        <w:rPr>
          <w:color w:val="000000" w:themeColor="text1"/>
        </w:rPr>
        <w:t>(</w:t>
      </w:r>
      <w:r w:rsidR="00185B56">
        <w:rPr>
          <w:i/>
          <w:iCs/>
          <w:color w:val="000000" w:themeColor="text1"/>
        </w:rPr>
        <w:t>WT)</w:t>
      </w:r>
      <w:r w:rsidRPr="00185B56">
        <w:rPr>
          <w:color w:val="000000" w:themeColor="text1"/>
        </w:rPr>
        <w:t xml:space="preserve"> C57B</w:t>
      </w:r>
      <w:r w:rsidR="005110D9" w:rsidRPr="00185B56">
        <w:rPr>
          <w:color w:val="000000" w:themeColor="text1"/>
        </w:rPr>
        <w:t>L</w:t>
      </w:r>
      <w:r w:rsidRPr="00185B56">
        <w:rPr>
          <w:color w:val="000000" w:themeColor="text1"/>
        </w:rPr>
        <w:t xml:space="preserve">/6 (CD45.2) donor bone marrow cells were delivered to </w:t>
      </w:r>
      <w:r w:rsidR="00185B56">
        <w:rPr>
          <w:i/>
          <w:iCs/>
          <w:color w:val="000000" w:themeColor="text1"/>
        </w:rPr>
        <w:t xml:space="preserve">WT </w:t>
      </w:r>
      <w:r w:rsidRPr="00185B56">
        <w:rPr>
          <w:color w:val="000000" w:themeColor="text1"/>
        </w:rPr>
        <w:t>B6.SJL-</w:t>
      </w:r>
      <w:r w:rsidRPr="00185B56">
        <w:rPr>
          <w:i/>
          <w:iCs/>
          <w:color w:val="000000" w:themeColor="text1"/>
        </w:rPr>
        <w:t>Ptprc</w:t>
      </w:r>
      <w:r w:rsidRPr="00185B56">
        <w:rPr>
          <w:i/>
          <w:iCs/>
          <w:color w:val="000000" w:themeColor="text1"/>
          <w:vertAlign w:val="superscript"/>
        </w:rPr>
        <w:t>a</w:t>
      </w:r>
      <w:r w:rsidRPr="00185B56">
        <w:rPr>
          <w:i/>
          <w:iCs/>
          <w:color w:val="000000" w:themeColor="text1"/>
        </w:rPr>
        <w:t>Prpc</w:t>
      </w:r>
      <w:r w:rsidRPr="00185B56">
        <w:rPr>
          <w:i/>
          <w:iCs/>
          <w:color w:val="000000" w:themeColor="text1"/>
          <w:vertAlign w:val="superscript"/>
        </w:rPr>
        <w:t>b</w:t>
      </w:r>
      <w:r w:rsidRPr="00185B56">
        <w:rPr>
          <w:color w:val="000000" w:themeColor="text1"/>
        </w:rPr>
        <w:t>/BoyJ (CD45.1) recipient mice</w:t>
      </w:r>
      <w:r w:rsidR="004D2AD1" w:rsidRPr="00185B56">
        <w:rPr>
          <w:color w:val="000000" w:themeColor="text1"/>
        </w:rPr>
        <w:t xml:space="preserve"> to </w:t>
      </w:r>
      <w:r w:rsidRPr="00185B56">
        <w:rPr>
          <w:color w:val="000000" w:themeColor="text1"/>
        </w:rPr>
        <w:t xml:space="preserve">distinguish donor cells from </w:t>
      </w:r>
      <w:r w:rsidRPr="00D62482">
        <w:rPr>
          <w:color w:val="000000" w:themeColor="text1"/>
        </w:rPr>
        <w:t>the recipient’s cells.</w:t>
      </w:r>
      <w:r w:rsidR="00D45722" w:rsidRPr="00D62482">
        <w:rPr>
          <w:color w:val="000000" w:themeColor="text1"/>
        </w:rPr>
        <w:t xml:space="preserve"> </w:t>
      </w:r>
      <w:r w:rsidR="00821A68" w:rsidRPr="00D62482">
        <w:rPr>
          <w:rFonts w:eastAsia="Times New Roman"/>
          <w:color w:val="000000" w:themeColor="text1"/>
          <w:lang w:eastAsia="ko-KR"/>
        </w:rPr>
        <w:t>The flow cytometry gating strategies that were used are described previously by Wang et al.</w:t>
      </w:r>
      <w:r w:rsidR="00821A68" w:rsidRPr="00D62482">
        <w:rPr>
          <w:rFonts w:eastAsia="Times New Roman"/>
          <w:color w:val="000000" w:themeColor="text1"/>
          <w:vertAlign w:val="superscript"/>
          <w:lang w:eastAsia="ko-KR"/>
        </w:rPr>
        <w:t>9</w:t>
      </w:r>
      <w:r w:rsidR="00821A68" w:rsidRPr="00D62482">
        <w:rPr>
          <w:rFonts w:eastAsia="Times New Roman"/>
          <w:color w:val="000000" w:themeColor="text1"/>
          <w:lang w:eastAsia="ko-KR"/>
        </w:rPr>
        <w:t xml:space="preserve"> in </w:t>
      </w:r>
      <w:r w:rsidR="00821A68" w:rsidRPr="00120F94">
        <w:rPr>
          <w:rFonts w:eastAsia="Times New Roman"/>
          <w:b/>
          <w:bCs/>
          <w:color w:val="000000" w:themeColor="text1"/>
          <w:lang w:eastAsia="ko-KR"/>
        </w:rPr>
        <w:t>Supplementary Figure1</w:t>
      </w:r>
      <w:r w:rsidR="00821A68" w:rsidRPr="00D62482">
        <w:rPr>
          <w:rFonts w:eastAsia="Times New Roman"/>
          <w:color w:val="000000" w:themeColor="text1"/>
          <w:lang w:eastAsia="ko-KR"/>
        </w:rPr>
        <w:t>.</w:t>
      </w:r>
    </w:p>
    <w:p w14:paraId="134D4112" w14:textId="77777777" w:rsidR="000C770D" w:rsidRPr="00BE2A2E" w:rsidRDefault="000C770D" w:rsidP="000C770D">
      <w:pPr>
        <w:pStyle w:val="NormalWeb"/>
        <w:spacing w:before="0" w:beforeAutospacing="0" w:after="0" w:afterAutospacing="0"/>
        <w:rPr>
          <w:bCs/>
          <w:color w:val="000000" w:themeColor="text1"/>
        </w:rPr>
      </w:pPr>
    </w:p>
    <w:p w14:paraId="0398E2E2" w14:textId="74DA446F" w:rsidR="005E376D" w:rsidRPr="00BE2A2E" w:rsidRDefault="00F10C19" w:rsidP="000C770D">
      <w:pPr>
        <w:pStyle w:val="NormalWeb"/>
        <w:spacing w:before="0" w:beforeAutospacing="0" w:after="0" w:afterAutospacing="0"/>
        <w:rPr>
          <w:color w:val="000000" w:themeColor="text1"/>
          <w:lang w:eastAsia="ko-KR"/>
        </w:rPr>
      </w:pPr>
      <w:r w:rsidRPr="00F10C19">
        <w:rPr>
          <w:color w:val="000000" w:themeColor="text1"/>
          <w:lang w:eastAsia="ko-KR"/>
        </w:rPr>
        <w:t xml:space="preserve">The total body irradiation (TBI) treated group received 5 </w:t>
      </w:r>
      <w:r w:rsidR="004731A4">
        <w:rPr>
          <w:color w:val="000000" w:themeColor="text1"/>
          <w:lang w:eastAsia="ko-KR"/>
        </w:rPr>
        <w:t>x</w:t>
      </w:r>
      <w:r w:rsidR="004731A4" w:rsidRPr="00F10C19">
        <w:rPr>
          <w:color w:val="000000" w:themeColor="text1"/>
          <w:lang w:eastAsia="ko-KR"/>
        </w:rPr>
        <w:t xml:space="preserve"> </w:t>
      </w:r>
      <w:r w:rsidRPr="00F10C19">
        <w:rPr>
          <w:color w:val="000000" w:themeColor="text1"/>
          <w:lang w:eastAsia="ko-KR"/>
        </w:rPr>
        <w:t>10</w:t>
      </w:r>
      <w:r w:rsidRPr="00FC7B44">
        <w:rPr>
          <w:color w:val="000000" w:themeColor="text1"/>
          <w:vertAlign w:val="superscript"/>
          <w:lang w:eastAsia="ko-KR"/>
        </w:rPr>
        <w:t>6</w:t>
      </w:r>
      <w:r w:rsidRPr="00F10C19">
        <w:rPr>
          <w:color w:val="000000" w:themeColor="text1"/>
          <w:lang w:eastAsia="ko-KR"/>
        </w:rPr>
        <w:t xml:space="preserve"> bone marrow cells following a total lethal radiation dose of 11 Gy in two 5.5 Gy fractions separated by a 4 h interval. </w:t>
      </w:r>
      <w:r w:rsidR="005E376D" w:rsidRPr="00BE2A2E">
        <w:rPr>
          <w:color w:val="000000" w:themeColor="text1"/>
          <w:lang w:eastAsia="ko-KR"/>
        </w:rPr>
        <w:t xml:space="preserve">In </w:t>
      </w:r>
      <w:r w:rsidR="00807444" w:rsidRPr="00BE2A2E">
        <w:rPr>
          <w:color w:val="000000" w:themeColor="text1"/>
          <w:lang w:eastAsia="ko-KR"/>
        </w:rPr>
        <w:t xml:space="preserve">the </w:t>
      </w:r>
      <w:r w:rsidR="005E376D" w:rsidRPr="00BE2A2E">
        <w:rPr>
          <w:color w:val="000000" w:themeColor="text1"/>
          <w:lang w:eastAsia="ko-KR"/>
        </w:rPr>
        <w:t>peripheral bloo</w:t>
      </w:r>
      <w:r w:rsidR="004D2AD1" w:rsidRPr="00BE2A2E">
        <w:rPr>
          <w:color w:val="000000" w:themeColor="text1"/>
          <w:lang w:eastAsia="ko-KR"/>
        </w:rPr>
        <w:t>d of</w:t>
      </w:r>
      <w:r w:rsidR="005E376D" w:rsidRPr="00BE2A2E">
        <w:rPr>
          <w:color w:val="000000" w:themeColor="text1"/>
          <w:lang w:eastAsia="ko-KR"/>
        </w:rPr>
        <w:t xml:space="preserve"> recipient</w:t>
      </w:r>
      <w:r w:rsidR="004D2AD1" w:rsidRPr="00BE2A2E">
        <w:rPr>
          <w:color w:val="000000" w:themeColor="text1"/>
          <w:lang w:eastAsia="ko-KR"/>
        </w:rPr>
        <w:t xml:space="preserve"> </w:t>
      </w:r>
      <w:r w:rsidR="00C56649">
        <w:rPr>
          <w:color w:val="000000" w:themeColor="text1"/>
          <w:lang w:eastAsia="ko-KR"/>
        </w:rPr>
        <w:t>m</w:t>
      </w:r>
      <w:r w:rsidR="00C56649" w:rsidRPr="00BE2A2E">
        <w:rPr>
          <w:color w:val="000000" w:themeColor="text1"/>
          <w:lang w:eastAsia="ko-KR"/>
        </w:rPr>
        <w:t>ice</w:t>
      </w:r>
      <w:r w:rsidR="004D2AD1" w:rsidRPr="00BE2A2E">
        <w:rPr>
          <w:color w:val="000000" w:themeColor="text1"/>
          <w:lang w:eastAsia="ko-KR"/>
        </w:rPr>
        <w:t>,</w:t>
      </w:r>
      <w:r w:rsidR="005E376D" w:rsidRPr="00BE2A2E">
        <w:rPr>
          <w:color w:val="000000" w:themeColor="text1"/>
          <w:lang w:eastAsia="ko-KR"/>
        </w:rPr>
        <w:t xml:space="preserve"> monocytes, neutrophils</w:t>
      </w:r>
      <w:r w:rsidR="004731A4">
        <w:rPr>
          <w:color w:val="000000" w:themeColor="text1"/>
          <w:lang w:eastAsia="ko-KR"/>
        </w:rPr>
        <w:t>,</w:t>
      </w:r>
      <w:r w:rsidR="005E376D" w:rsidRPr="00BE2A2E">
        <w:rPr>
          <w:color w:val="000000" w:themeColor="text1"/>
          <w:lang w:eastAsia="ko-KR"/>
        </w:rPr>
        <w:t xml:space="preserve"> and B cells were </w:t>
      </w:r>
      <w:r w:rsidR="004D2AD1" w:rsidRPr="00BE2A2E">
        <w:rPr>
          <w:color w:val="000000" w:themeColor="text1"/>
          <w:lang w:eastAsia="ko-KR"/>
        </w:rPr>
        <w:t xml:space="preserve">largely </w:t>
      </w:r>
      <w:r w:rsidR="005E376D" w:rsidRPr="00BE2A2E">
        <w:rPr>
          <w:color w:val="000000" w:themeColor="text1"/>
          <w:lang w:eastAsia="ko-KR"/>
        </w:rPr>
        <w:t xml:space="preserve">ablated and replaced by </w:t>
      </w:r>
      <w:r w:rsidR="00807444" w:rsidRPr="00BE2A2E">
        <w:rPr>
          <w:color w:val="000000" w:themeColor="text1"/>
          <w:lang w:eastAsia="ko-KR"/>
        </w:rPr>
        <w:t xml:space="preserve">the progeny of </w:t>
      </w:r>
      <w:r w:rsidR="005E376D" w:rsidRPr="00BE2A2E">
        <w:rPr>
          <w:color w:val="000000" w:themeColor="text1"/>
          <w:lang w:eastAsia="ko-KR"/>
        </w:rPr>
        <w:t>donor bone marrow</w:t>
      </w:r>
      <w:r w:rsidR="00807444" w:rsidRPr="00BE2A2E">
        <w:rPr>
          <w:color w:val="000000" w:themeColor="text1"/>
          <w:lang w:eastAsia="ko-KR"/>
        </w:rPr>
        <w:t>-</w:t>
      </w:r>
      <w:r w:rsidR="005E376D" w:rsidRPr="00BE2A2E">
        <w:rPr>
          <w:color w:val="000000" w:themeColor="text1"/>
          <w:lang w:eastAsia="ko-KR"/>
        </w:rPr>
        <w:t xml:space="preserve">derived cells. In addition, </w:t>
      </w:r>
      <w:r w:rsidR="00807444" w:rsidRPr="00BE2A2E">
        <w:rPr>
          <w:color w:val="000000" w:themeColor="text1"/>
          <w:lang w:eastAsia="ko-KR"/>
        </w:rPr>
        <w:t>the resident</w:t>
      </w:r>
      <w:r w:rsidR="005E376D" w:rsidRPr="00BE2A2E">
        <w:rPr>
          <w:color w:val="000000" w:themeColor="text1"/>
          <w:lang w:eastAsia="ko-KR"/>
        </w:rPr>
        <w:t xml:space="preserve"> </w:t>
      </w:r>
      <w:r w:rsidR="005E376D" w:rsidRPr="00BE2A2E">
        <w:rPr>
          <w:color w:val="000000" w:themeColor="text1"/>
          <w:lang w:eastAsia="ja-JP"/>
        </w:rPr>
        <w:t>cardiac monocyte and neutrophil population</w:t>
      </w:r>
      <w:r w:rsidR="00807444" w:rsidRPr="00BE2A2E">
        <w:rPr>
          <w:color w:val="000000" w:themeColor="text1"/>
          <w:lang w:eastAsia="ja-JP"/>
        </w:rPr>
        <w:t xml:space="preserve"> in hearts of recipient mice</w:t>
      </w:r>
      <w:r w:rsidR="005E376D" w:rsidRPr="00BE2A2E">
        <w:rPr>
          <w:color w:val="000000" w:themeColor="text1"/>
          <w:lang w:eastAsia="ja-JP"/>
        </w:rPr>
        <w:t xml:space="preserve"> were almost completely </w:t>
      </w:r>
      <w:r w:rsidR="005E376D" w:rsidRPr="00BE2A2E">
        <w:rPr>
          <w:color w:val="000000" w:themeColor="text1"/>
          <w:lang w:eastAsia="ko-KR"/>
        </w:rPr>
        <w:t xml:space="preserve">replaced by </w:t>
      </w:r>
      <w:r w:rsidR="005E376D" w:rsidRPr="00BE2A2E">
        <w:rPr>
          <w:color w:val="000000" w:themeColor="text1"/>
          <w:lang w:eastAsia="ja-JP"/>
        </w:rPr>
        <w:t>donor</w:t>
      </w:r>
      <w:r w:rsidR="004D2AD1" w:rsidRPr="00BE2A2E">
        <w:rPr>
          <w:color w:val="000000" w:themeColor="text1"/>
          <w:lang w:eastAsia="ja-JP"/>
        </w:rPr>
        <w:t>-</w:t>
      </w:r>
      <w:r w:rsidR="005E376D" w:rsidRPr="00BE2A2E">
        <w:rPr>
          <w:color w:val="000000" w:themeColor="text1"/>
          <w:lang w:eastAsia="ja-JP"/>
        </w:rPr>
        <w:t>derived cells (</w:t>
      </w:r>
      <w:r w:rsidR="005E376D" w:rsidRPr="00BE2A2E">
        <w:rPr>
          <w:b/>
          <w:color w:val="000000" w:themeColor="text1"/>
          <w:lang w:eastAsia="ja-JP"/>
        </w:rPr>
        <w:t>Figure 2A</w:t>
      </w:r>
      <w:r w:rsidR="005E376D" w:rsidRPr="00BE2A2E">
        <w:rPr>
          <w:color w:val="000000" w:themeColor="text1"/>
          <w:lang w:eastAsia="ja-JP"/>
        </w:rPr>
        <w:t>).</w:t>
      </w:r>
    </w:p>
    <w:p w14:paraId="4B9FE2A4" w14:textId="77777777" w:rsidR="000C770D" w:rsidRDefault="000C770D" w:rsidP="000C770D">
      <w:pPr>
        <w:pStyle w:val="NormalWeb"/>
        <w:spacing w:before="0" w:beforeAutospacing="0" w:after="0" w:afterAutospacing="0"/>
        <w:rPr>
          <w:color w:val="000000" w:themeColor="text1"/>
          <w:lang w:eastAsia="ko-KR"/>
        </w:rPr>
      </w:pPr>
    </w:p>
    <w:p w14:paraId="55B79261" w14:textId="74AF6532" w:rsidR="00265127" w:rsidRDefault="00F10C19" w:rsidP="000C770D">
      <w:pPr>
        <w:pStyle w:val="NormalWeb"/>
        <w:spacing w:before="0" w:beforeAutospacing="0" w:after="0" w:afterAutospacing="0"/>
        <w:rPr>
          <w:color w:val="000000" w:themeColor="text1"/>
          <w:lang w:eastAsia="ja-JP"/>
        </w:rPr>
      </w:pPr>
      <w:r w:rsidRPr="00F10C19">
        <w:rPr>
          <w:color w:val="000000" w:themeColor="text1"/>
          <w:lang w:eastAsia="ko-KR"/>
        </w:rPr>
        <w:t xml:space="preserve">In the partially shielded irradiation group, recipient mice were irradiated with a thorax shield and transplanted with 5 </w:t>
      </w:r>
      <w:r w:rsidR="004731A4">
        <w:rPr>
          <w:color w:val="000000" w:themeColor="text1"/>
          <w:lang w:eastAsia="ko-KR"/>
        </w:rPr>
        <w:t>x</w:t>
      </w:r>
      <w:r w:rsidR="004731A4" w:rsidRPr="00F10C19">
        <w:rPr>
          <w:color w:val="000000" w:themeColor="text1"/>
          <w:lang w:eastAsia="ko-KR"/>
        </w:rPr>
        <w:t xml:space="preserve"> </w:t>
      </w:r>
      <w:r w:rsidRPr="00F10C19">
        <w:rPr>
          <w:color w:val="000000" w:themeColor="text1"/>
          <w:lang w:eastAsia="ko-KR"/>
        </w:rPr>
        <w:t>10</w:t>
      </w:r>
      <w:r w:rsidRPr="00FC7B44">
        <w:rPr>
          <w:color w:val="000000" w:themeColor="text1"/>
          <w:vertAlign w:val="superscript"/>
          <w:lang w:eastAsia="ko-KR"/>
        </w:rPr>
        <w:t>6</w:t>
      </w:r>
      <w:r w:rsidRPr="00F10C19">
        <w:rPr>
          <w:color w:val="000000" w:themeColor="text1"/>
          <w:lang w:eastAsia="ko-KR"/>
        </w:rPr>
        <w:t xml:space="preserve"> bone marrow cells following a total radiation dose of 11 Gy in two 5.5 Gy fractions separated by a 4 h </w:t>
      </w:r>
      <w:r w:rsidRPr="00AF6A72">
        <w:rPr>
          <w:color w:val="000000" w:themeColor="text1"/>
          <w:lang w:eastAsia="ko-KR"/>
        </w:rPr>
        <w:t>interval.</w:t>
      </w:r>
      <w:r w:rsidR="005E376D" w:rsidRPr="00AF6A72">
        <w:rPr>
          <w:color w:val="000000" w:themeColor="text1"/>
          <w:lang w:eastAsia="ja-JP"/>
        </w:rPr>
        <w:t xml:space="preserve"> In contrast to </w:t>
      </w:r>
      <w:r w:rsidR="004731A4">
        <w:rPr>
          <w:color w:val="000000" w:themeColor="text1"/>
          <w:lang w:eastAsia="ja-JP"/>
        </w:rPr>
        <w:t xml:space="preserve">the </w:t>
      </w:r>
      <w:r w:rsidR="005E376D" w:rsidRPr="00AF6A72">
        <w:rPr>
          <w:color w:val="000000" w:themeColor="text1"/>
          <w:lang w:eastAsia="ja-JP"/>
        </w:rPr>
        <w:t xml:space="preserve">TBI group, </w:t>
      </w:r>
      <w:r w:rsidR="004D2AD1" w:rsidRPr="00AF6A72">
        <w:rPr>
          <w:color w:val="000000" w:themeColor="text1"/>
          <w:lang w:eastAsia="ja-JP"/>
        </w:rPr>
        <w:t>the</w:t>
      </w:r>
      <w:r w:rsidR="004D2AD1" w:rsidRPr="00BE2A2E">
        <w:rPr>
          <w:color w:val="000000" w:themeColor="text1"/>
          <w:lang w:eastAsia="ja-JP"/>
        </w:rPr>
        <w:t xml:space="preserve"> </w:t>
      </w:r>
      <w:r w:rsidR="005E376D" w:rsidRPr="00BE2A2E">
        <w:rPr>
          <w:color w:val="000000" w:themeColor="text1"/>
          <w:lang w:eastAsia="ja-JP"/>
        </w:rPr>
        <w:t>contribution of donor</w:t>
      </w:r>
      <w:r w:rsidR="004D2AD1" w:rsidRPr="00BE2A2E">
        <w:rPr>
          <w:color w:val="000000" w:themeColor="text1"/>
          <w:lang w:eastAsia="ja-JP"/>
        </w:rPr>
        <w:t>-</w:t>
      </w:r>
      <w:r w:rsidR="005E376D" w:rsidRPr="00BE2A2E">
        <w:rPr>
          <w:color w:val="000000" w:themeColor="text1"/>
          <w:lang w:eastAsia="ja-JP"/>
        </w:rPr>
        <w:t>derived cell</w:t>
      </w:r>
      <w:r w:rsidR="004D2AD1" w:rsidRPr="00BE2A2E">
        <w:rPr>
          <w:color w:val="000000" w:themeColor="text1"/>
          <w:lang w:eastAsia="ja-JP"/>
        </w:rPr>
        <w:t>s</w:t>
      </w:r>
      <w:r w:rsidR="005E376D" w:rsidRPr="00BE2A2E">
        <w:rPr>
          <w:color w:val="000000" w:themeColor="text1"/>
          <w:lang w:eastAsia="ja-JP"/>
        </w:rPr>
        <w:t xml:space="preserve"> to cardiac immune cells was modest, which </w:t>
      </w:r>
      <w:r w:rsidR="004D2AD1" w:rsidRPr="00BE2A2E">
        <w:rPr>
          <w:color w:val="000000" w:themeColor="text1"/>
          <w:lang w:eastAsia="ja-JP"/>
        </w:rPr>
        <w:t xml:space="preserve">probably </w:t>
      </w:r>
      <w:r w:rsidR="005E376D" w:rsidRPr="00BE2A2E">
        <w:rPr>
          <w:color w:val="000000" w:themeColor="text1"/>
          <w:lang w:eastAsia="ja-JP"/>
        </w:rPr>
        <w:t>reflect</w:t>
      </w:r>
      <w:r w:rsidR="004D2AD1" w:rsidRPr="00BE2A2E">
        <w:rPr>
          <w:color w:val="000000" w:themeColor="text1"/>
          <w:lang w:eastAsia="ja-JP"/>
        </w:rPr>
        <w:t>s</w:t>
      </w:r>
      <w:r w:rsidR="005E376D" w:rsidRPr="00BE2A2E">
        <w:rPr>
          <w:color w:val="000000" w:themeColor="text1"/>
          <w:lang w:eastAsia="ja-JP"/>
        </w:rPr>
        <w:t xml:space="preserve"> the </w:t>
      </w:r>
      <w:r w:rsidR="004D2AD1" w:rsidRPr="00BE2A2E">
        <w:rPr>
          <w:color w:val="000000" w:themeColor="text1"/>
          <w:lang w:eastAsia="ja-JP"/>
        </w:rPr>
        <w:t>combined effects of</w:t>
      </w:r>
      <w:r w:rsidR="005E376D" w:rsidRPr="00BE2A2E">
        <w:rPr>
          <w:color w:val="000000" w:themeColor="text1"/>
          <w:lang w:eastAsia="ja-JP"/>
        </w:rPr>
        <w:t xml:space="preserve"> protect</w:t>
      </w:r>
      <w:r w:rsidR="004D2AD1" w:rsidRPr="00BE2A2E">
        <w:rPr>
          <w:color w:val="000000" w:themeColor="text1"/>
          <w:lang w:eastAsia="ja-JP"/>
        </w:rPr>
        <w:t xml:space="preserve">ing </w:t>
      </w:r>
      <w:r w:rsidR="005E376D" w:rsidRPr="00BE2A2E">
        <w:rPr>
          <w:color w:val="000000" w:themeColor="text1"/>
          <w:lang w:eastAsia="ja-JP"/>
        </w:rPr>
        <w:t>t</w:t>
      </w:r>
      <w:r w:rsidR="004D2AD1" w:rsidRPr="00BE2A2E">
        <w:rPr>
          <w:color w:val="000000" w:themeColor="text1"/>
          <w:lang w:eastAsia="ja-JP"/>
        </w:rPr>
        <w:t>he</w:t>
      </w:r>
      <w:r w:rsidR="005E376D" w:rsidRPr="00BE2A2E">
        <w:rPr>
          <w:color w:val="000000" w:themeColor="text1"/>
          <w:lang w:eastAsia="ja-JP"/>
        </w:rPr>
        <w:t xml:space="preserve"> local immune cells in</w:t>
      </w:r>
      <w:r w:rsidR="004D2AD1" w:rsidRPr="00BE2A2E">
        <w:rPr>
          <w:color w:val="000000" w:themeColor="text1"/>
          <w:lang w:eastAsia="ja-JP"/>
        </w:rPr>
        <w:t xml:space="preserve"> the</w:t>
      </w:r>
      <w:r w:rsidR="005E376D" w:rsidRPr="00BE2A2E">
        <w:rPr>
          <w:color w:val="000000" w:themeColor="text1"/>
          <w:lang w:eastAsia="ja-JP"/>
        </w:rPr>
        <w:t xml:space="preserve"> heart</w:t>
      </w:r>
      <w:r w:rsidR="004D2AD1" w:rsidRPr="00BE2A2E">
        <w:rPr>
          <w:color w:val="000000" w:themeColor="text1"/>
          <w:lang w:eastAsia="ja-JP"/>
        </w:rPr>
        <w:t>s of recipient mice</w:t>
      </w:r>
      <w:r w:rsidR="005E376D" w:rsidRPr="00BE2A2E">
        <w:rPr>
          <w:color w:val="000000" w:themeColor="text1"/>
          <w:lang w:eastAsia="ja-JP"/>
        </w:rPr>
        <w:t xml:space="preserve"> and</w:t>
      </w:r>
      <w:r w:rsidR="004D2AD1" w:rsidRPr="00BE2A2E">
        <w:rPr>
          <w:color w:val="000000" w:themeColor="text1"/>
          <w:lang w:eastAsia="ja-JP"/>
        </w:rPr>
        <w:t xml:space="preserve"> the</w:t>
      </w:r>
      <w:r w:rsidR="005E376D" w:rsidRPr="00BE2A2E">
        <w:rPr>
          <w:color w:val="000000" w:themeColor="text1"/>
          <w:lang w:eastAsia="ja-JP"/>
        </w:rPr>
        <w:t xml:space="preserve"> </w:t>
      </w:r>
      <w:r w:rsidR="004D2AD1" w:rsidRPr="00BE2A2E">
        <w:rPr>
          <w:color w:val="000000" w:themeColor="text1"/>
          <w:lang w:eastAsia="ja-JP"/>
        </w:rPr>
        <w:t xml:space="preserve">physiological </w:t>
      </w:r>
      <w:r w:rsidR="005E376D" w:rsidRPr="00BE2A2E">
        <w:rPr>
          <w:color w:val="000000" w:themeColor="text1"/>
          <w:lang w:eastAsia="ja-JP"/>
        </w:rPr>
        <w:t>repopulat</w:t>
      </w:r>
      <w:r w:rsidR="004D2AD1" w:rsidRPr="00BE2A2E">
        <w:rPr>
          <w:color w:val="000000" w:themeColor="text1"/>
          <w:lang w:eastAsia="ja-JP"/>
        </w:rPr>
        <w:t>ion of</w:t>
      </w:r>
      <w:r w:rsidR="005E376D" w:rsidRPr="00BE2A2E">
        <w:rPr>
          <w:color w:val="000000" w:themeColor="text1"/>
          <w:lang w:eastAsia="ja-JP"/>
        </w:rPr>
        <w:t xml:space="preserve"> </w:t>
      </w:r>
      <w:r w:rsidR="004D2AD1" w:rsidRPr="00BE2A2E">
        <w:rPr>
          <w:color w:val="000000" w:themeColor="text1"/>
          <w:lang w:eastAsia="ja-JP"/>
        </w:rPr>
        <w:t xml:space="preserve">bone marrow-derived </w:t>
      </w:r>
      <w:r w:rsidR="00621F36">
        <w:rPr>
          <w:color w:val="000000" w:themeColor="text1"/>
          <w:lang w:eastAsia="ja-JP"/>
        </w:rPr>
        <w:t xml:space="preserve">donor </w:t>
      </w:r>
      <w:r w:rsidR="004D2AD1" w:rsidRPr="00BE2A2E">
        <w:rPr>
          <w:color w:val="000000" w:themeColor="text1"/>
          <w:lang w:eastAsia="ja-JP"/>
        </w:rPr>
        <w:t xml:space="preserve">cells </w:t>
      </w:r>
      <w:r w:rsidR="005E376D" w:rsidRPr="00BE2A2E">
        <w:rPr>
          <w:color w:val="000000" w:themeColor="text1"/>
          <w:lang w:eastAsia="ja-JP"/>
        </w:rPr>
        <w:t xml:space="preserve">from </w:t>
      </w:r>
      <w:r w:rsidR="004D2AD1" w:rsidRPr="00BE2A2E">
        <w:rPr>
          <w:color w:val="000000" w:themeColor="text1"/>
          <w:lang w:eastAsia="ja-JP"/>
        </w:rPr>
        <w:t xml:space="preserve">the </w:t>
      </w:r>
      <w:r w:rsidR="005E376D" w:rsidRPr="00BE2A2E">
        <w:rPr>
          <w:color w:val="000000" w:themeColor="text1"/>
          <w:lang w:eastAsia="ja-JP"/>
        </w:rPr>
        <w:t xml:space="preserve">peripheral blood. Recipient </w:t>
      </w:r>
      <w:r w:rsidR="0050382F" w:rsidRPr="00BE2A2E">
        <w:rPr>
          <w:color w:val="000000" w:themeColor="text1"/>
          <w:lang w:eastAsia="ja-JP"/>
        </w:rPr>
        <w:t xml:space="preserve">mouse </w:t>
      </w:r>
      <w:r w:rsidR="005E376D" w:rsidRPr="00BE2A2E">
        <w:rPr>
          <w:color w:val="000000" w:themeColor="text1"/>
          <w:lang w:eastAsia="ja-JP"/>
        </w:rPr>
        <w:t xml:space="preserve">bone marrow cells in shielded </w:t>
      </w:r>
      <w:r w:rsidR="00D45722">
        <w:rPr>
          <w:color w:val="000000" w:themeColor="text1"/>
          <w:lang w:eastAsia="ja-JP"/>
        </w:rPr>
        <w:t>region</w:t>
      </w:r>
      <w:r w:rsidR="007A05C0">
        <w:rPr>
          <w:color w:val="000000" w:themeColor="text1"/>
          <w:lang w:eastAsia="ja-JP"/>
        </w:rPr>
        <w:t>s</w:t>
      </w:r>
      <w:r w:rsidR="00D45722" w:rsidRPr="00BE2A2E">
        <w:rPr>
          <w:color w:val="000000" w:themeColor="text1"/>
          <w:lang w:eastAsia="ja-JP"/>
        </w:rPr>
        <w:t xml:space="preserve"> </w:t>
      </w:r>
      <w:r w:rsidR="0050382F" w:rsidRPr="00BE2A2E">
        <w:rPr>
          <w:color w:val="000000" w:themeColor="text1"/>
          <w:lang w:eastAsia="ja-JP"/>
        </w:rPr>
        <w:t xml:space="preserve">are </w:t>
      </w:r>
      <w:r w:rsidR="005E376D" w:rsidRPr="00BE2A2E">
        <w:rPr>
          <w:color w:val="000000" w:themeColor="text1"/>
          <w:lang w:eastAsia="ja-JP"/>
        </w:rPr>
        <w:t xml:space="preserve">also </w:t>
      </w:r>
      <w:r w:rsidR="0050382F" w:rsidRPr="00BE2A2E">
        <w:rPr>
          <w:color w:val="000000" w:themeColor="text1"/>
          <w:lang w:eastAsia="ja-JP"/>
        </w:rPr>
        <w:t xml:space="preserve">likely to have </w:t>
      </w:r>
      <w:r w:rsidR="005E376D" w:rsidRPr="00BE2A2E">
        <w:rPr>
          <w:color w:val="000000" w:themeColor="text1"/>
          <w:lang w:eastAsia="ja-JP"/>
        </w:rPr>
        <w:t>contributed to peripheral blood reconstitution, which reduce</w:t>
      </w:r>
      <w:r w:rsidR="0050382F" w:rsidRPr="00BE2A2E">
        <w:rPr>
          <w:color w:val="000000" w:themeColor="text1"/>
          <w:lang w:eastAsia="ja-JP"/>
        </w:rPr>
        <w:t>s the</w:t>
      </w:r>
      <w:r w:rsidR="005E376D" w:rsidRPr="00BE2A2E">
        <w:rPr>
          <w:color w:val="000000" w:themeColor="text1"/>
          <w:lang w:eastAsia="ja-JP"/>
        </w:rPr>
        <w:t xml:space="preserve"> percentage of donor derived cells in peripheral blood compared to </w:t>
      </w:r>
      <w:r w:rsidR="004731A4">
        <w:rPr>
          <w:color w:val="000000" w:themeColor="text1"/>
          <w:lang w:eastAsia="ja-JP"/>
        </w:rPr>
        <w:t xml:space="preserve">the </w:t>
      </w:r>
      <w:r w:rsidR="005E376D" w:rsidRPr="00BE2A2E">
        <w:rPr>
          <w:color w:val="000000" w:themeColor="text1"/>
          <w:lang w:eastAsia="ja-JP"/>
        </w:rPr>
        <w:t>TBI treated group (</w:t>
      </w:r>
      <w:r w:rsidR="005E376D" w:rsidRPr="00BE2A2E">
        <w:rPr>
          <w:b/>
          <w:color w:val="000000" w:themeColor="text1"/>
          <w:lang w:eastAsia="ja-JP"/>
        </w:rPr>
        <w:t>Figure 2B</w:t>
      </w:r>
      <w:r w:rsidR="005E376D" w:rsidRPr="00BE2A2E">
        <w:rPr>
          <w:color w:val="000000" w:themeColor="text1"/>
          <w:lang w:eastAsia="ja-JP"/>
        </w:rPr>
        <w:t>)</w:t>
      </w:r>
      <w:r w:rsidR="004731A4">
        <w:rPr>
          <w:color w:val="000000" w:themeColor="text1"/>
          <w:lang w:eastAsia="ja-JP"/>
        </w:rPr>
        <w:t>.</w:t>
      </w:r>
    </w:p>
    <w:p w14:paraId="07CA287A" w14:textId="77777777" w:rsidR="000C770D" w:rsidRPr="00BE2A2E" w:rsidRDefault="000C770D" w:rsidP="000C770D">
      <w:pPr>
        <w:pStyle w:val="NormalWeb"/>
        <w:spacing w:before="0" w:beforeAutospacing="0" w:after="0" w:afterAutospacing="0"/>
        <w:rPr>
          <w:color w:val="000000" w:themeColor="text1"/>
          <w:lang w:eastAsia="ja-JP"/>
        </w:rPr>
      </w:pPr>
    </w:p>
    <w:p w14:paraId="4C3C7CDB" w14:textId="5EF1F307" w:rsidR="00C7646A" w:rsidRDefault="00495F80" w:rsidP="000C770D">
      <w:pPr>
        <w:pStyle w:val="NormalWeb"/>
        <w:spacing w:before="0" w:beforeAutospacing="0" w:after="0" w:afterAutospacing="0"/>
        <w:rPr>
          <w:color w:val="000000" w:themeColor="text1"/>
          <w:lang w:eastAsia="ja-JP"/>
        </w:rPr>
      </w:pPr>
      <w:r w:rsidRPr="00BE2A2E">
        <w:rPr>
          <w:color w:val="000000" w:themeColor="text1"/>
          <w:lang w:eastAsia="ja-JP"/>
        </w:rPr>
        <w:t xml:space="preserve">In the group without </w:t>
      </w:r>
      <w:r w:rsidRPr="003475EB">
        <w:rPr>
          <w:color w:val="000000" w:themeColor="text1"/>
          <w:shd w:val="clear" w:color="auto" w:fill="FFFFFF"/>
        </w:rPr>
        <w:t xml:space="preserve">BMT pre-conditioning (adoptive BMT), recipient mice were </w:t>
      </w:r>
      <w:r w:rsidRPr="00BE2A2E">
        <w:rPr>
          <w:color w:val="000000" w:themeColor="text1"/>
          <w:lang w:eastAsia="ja-JP"/>
        </w:rPr>
        <w:t xml:space="preserve">transplanted </w:t>
      </w:r>
      <w:r w:rsidRPr="00BE2A2E">
        <w:rPr>
          <w:color w:val="000000" w:themeColor="text1"/>
          <w:lang w:eastAsia="ja-JP"/>
        </w:rPr>
        <w:lastRenderedPageBreak/>
        <w:t xml:space="preserve">with </w:t>
      </w:r>
      <w:r w:rsidRPr="00BE2A2E">
        <w:rPr>
          <w:color w:val="000000" w:themeColor="text1"/>
          <w:lang w:eastAsia="ko-KR"/>
        </w:rPr>
        <w:t xml:space="preserve">5 </w:t>
      </w:r>
      <w:r w:rsidR="0060277A">
        <w:rPr>
          <w:color w:val="000000" w:themeColor="text1"/>
          <w:lang w:eastAsia="ko-KR"/>
        </w:rPr>
        <w:t>x</w:t>
      </w:r>
      <w:r w:rsidR="0060277A" w:rsidRPr="00BE2A2E">
        <w:rPr>
          <w:color w:val="000000" w:themeColor="text1"/>
          <w:lang w:eastAsia="ko-KR"/>
        </w:rPr>
        <w:t xml:space="preserve"> </w:t>
      </w:r>
      <w:r w:rsidRPr="00BE2A2E">
        <w:rPr>
          <w:color w:val="000000" w:themeColor="text1"/>
          <w:lang w:eastAsia="ko-KR"/>
        </w:rPr>
        <w:t>10</w:t>
      </w:r>
      <w:r w:rsidRPr="00BE2A2E">
        <w:rPr>
          <w:color w:val="000000" w:themeColor="text1"/>
          <w:vertAlign w:val="superscript"/>
          <w:lang w:val="en-AU"/>
        </w:rPr>
        <w:t>6</w:t>
      </w:r>
      <w:r w:rsidRPr="00BE2A2E">
        <w:rPr>
          <w:color w:val="000000" w:themeColor="text1"/>
          <w:lang w:eastAsia="ko-KR"/>
        </w:rPr>
        <w:t xml:space="preserve"> bone marrow cells over 3 consecutive days. </w:t>
      </w:r>
      <w:r w:rsidRPr="00BE2A2E">
        <w:rPr>
          <w:color w:val="000000" w:themeColor="text1"/>
          <w:lang w:eastAsia="ja-JP"/>
        </w:rPr>
        <w:t xml:space="preserve">At 4 </w:t>
      </w:r>
      <w:r w:rsidR="0060277A" w:rsidRPr="00BE2A2E">
        <w:rPr>
          <w:color w:val="000000" w:themeColor="text1"/>
          <w:lang w:eastAsia="ja-JP"/>
        </w:rPr>
        <w:t>w</w:t>
      </w:r>
      <w:r w:rsidR="0060277A">
        <w:rPr>
          <w:color w:val="000000" w:themeColor="text1"/>
          <w:lang w:eastAsia="ja-JP"/>
        </w:rPr>
        <w:t>eek</w:t>
      </w:r>
      <w:r w:rsidR="0060277A" w:rsidRPr="00BE2A2E">
        <w:rPr>
          <w:color w:val="000000" w:themeColor="text1"/>
          <w:lang w:eastAsia="ja-JP"/>
        </w:rPr>
        <w:t xml:space="preserve">s </w:t>
      </w:r>
      <w:r w:rsidRPr="00BE2A2E">
        <w:rPr>
          <w:color w:val="000000" w:themeColor="text1"/>
          <w:lang w:eastAsia="ja-JP"/>
        </w:rPr>
        <w:t>post-BMT, the portion of donor-derived cells in peripheral blood and heart was</w:t>
      </w:r>
      <w:r w:rsidR="00213B27" w:rsidRPr="00213B27">
        <w:rPr>
          <w:color w:val="000000" w:themeColor="text1"/>
          <w:lang w:eastAsia="ja-JP"/>
        </w:rPr>
        <w:t xml:space="preserve"> </w:t>
      </w:r>
      <w:r w:rsidR="00213B27" w:rsidRPr="00BE2A2E">
        <w:rPr>
          <w:color w:val="000000" w:themeColor="text1"/>
          <w:lang w:eastAsia="ja-JP"/>
        </w:rPr>
        <w:t>detectable</w:t>
      </w:r>
      <w:r w:rsidR="004D7791">
        <w:rPr>
          <w:color w:val="000000" w:themeColor="text1"/>
          <w:lang w:eastAsia="ja-JP"/>
        </w:rPr>
        <w:t>.</w:t>
      </w:r>
      <w:r w:rsidR="00C56649">
        <w:rPr>
          <w:color w:val="000000" w:themeColor="text1"/>
          <w:lang w:eastAsia="ja-JP"/>
        </w:rPr>
        <w:t xml:space="preserve"> </w:t>
      </w:r>
      <w:r w:rsidRPr="00BE2A2E">
        <w:rPr>
          <w:color w:val="000000" w:themeColor="text1"/>
          <w:lang w:eastAsia="ja-JP"/>
        </w:rPr>
        <w:t xml:space="preserve">(approximately 5%) </w:t>
      </w:r>
      <w:r w:rsidRPr="00BE2A2E">
        <w:rPr>
          <w:b/>
          <w:color w:val="000000" w:themeColor="text1"/>
          <w:lang w:eastAsia="ja-JP"/>
        </w:rPr>
        <w:t>(Figure 2C</w:t>
      </w:r>
      <w:r w:rsidRPr="00BE2A2E">
        <w:rPr>
          <w:color w:val="000000" w:themeColor="text1"/>
          <w:lang w:eastAsia="ja-JP"/>
        </w:rPr>
        <w:t>)</w:t>
      </w:r>
      <w:r w:rsidR="0060277A">
        <w:rPr>
          <w:color w:val="000000" w:themeColor="text1"/>
          <w:lang w:eastAsia="ja-JP"/>
        </w:rPr>
        <w:t>.</w:t>
      </w:r>
    </w:p>
    <w:p w14:paraId="2E6C0A0B" w14:textId="736B93C1" w:rsidR="007D74A4" w:rsidRPr="007D74A4" w:rsidRDefault="00D45722" w:rsidP="000C770D">
      <w:pPr>
        <w:pStyle w:val="NormalWeb"/>
        <w:spacing w:before="0" w:beforeAutospacing="0" w:after="0" w:afterAutospacing="0"/>
        <w:rPr>
          <w:color w:val="000000" w:themeColor="text1"/>
          <w:lang w:eastAsia="ja-JP"/>
        </w:rPr>
      </w:pPr>
      <w:r w:rsidRPr="00D62482">
        <w:rPr>
          <w:color w:val="auto"/>
        </w:rPr>
        <w:t>To illustrate how the adoptive</w:t>
      </w:r>
      <w:r w:rsidR="006420BA">
        <w:rPr>
          <w:color w:val="auto"/>
        </w:rPr>
        <w:t xml:space="preserve"> BMT</w:t>
      </w:r>
      <w:r w:rsidRPr="00D62482">
        <w:rPr>
          <w:color w:val="auto"/>
        </w:rPr>
        <w:t xml:space="preserve"> model can be applied to the study of the CH model, CD45.2</w:t>
      </w:r>
      <w:r w:rsidRPr="00D62482">
        <w:rPr>
          <w:color w:val="auto"/>
          <w:vertAlign w:val="superscript"/>
        </w:rPr>
        <w:t>+</w:t>
      </w:r>
      <w:r w:rsidRPr="00D62482">
        <w:rPr>
          <w:color w:val="auto"/>
        </w:rPr>
        <w:t xml:space="preserve"> donor bone marrow cells (</w:t>
      </w:r>
      <w:r w:rsidRPr="00D62482">
        <w:rPr>
          <w:i/>
          <w:iCs/>
          <w:color w:val="auto"/>
        </w:rPr>
        <w:t>WT</w:t>
      </w:r>
      <w:r w:rsidRPr="00D62482">
        <w:rPr>
          <w:color w:val="auto"/>
        </w:rPr>
        <w:t xml:space="preserve"> or </w:t>
      </w:r>
      <w:r w:rsidRPr="00D62482">
        <w:rPr>
          <w:i/>
          <w:iCs/>
          <w:color w:val="auto"/>
        </w:rPr>
        <w:t>Tet2-/-)</w:t>
      </w:r>
      <w:r w:rsidRPr="00D62482">
        <w:rPr>
          <w:color w:val="auto"/>
        </w:rPr>
        <w:t xml:space="preserve"> were transplanted into CD45.1</w:t>
      </w:r>
      <w:r w:rsidRPr="00D62482">
        <w:rPr>
          <w:color w:val="auto"/>
          <w:vertAlign w:val="superscript"/>
        </w:rPr>
        <w:t>+</w:t>
      </w:r>
      <w:r w:rsidRPr="00D62482">
        <w:rPr>
          <w:color w:val="auto"/>
        </w:rPr>
        <w:t xml:space="preserve"> recipient mice. Recipients without conditioning were transplanted with 5 </w:t>
      </w:r>
      <w:r w:rsidR="0060277A">
        <w:rPr>
          <w:color w:val="auto"/>
        </w:rPr>
        <w:t>x</w:t>
      </w:r>
      <w:r w:rsidR="0060277A" w:rsidRPr="00D62482">
        <w:rPr>
          <w:color w:val="auto"/>
        </w:rPr>
        <w:t xml:space="preserve"> </w:t>
      </w:r>
      <w:r w:rsidRPr="00D62482">
        <w:rPr>
          <w:color w:val="auto"/>
        </w:rPr>
        <w:t>10</w:t>
      </w:r>
      <w:r w:rsidRPr="00D62482">
        <w:rPr>
          <w:color w:val="auto"/>
          <w:vertAlign w:val="superscript"/>
        </w:rPr>
        <w:t>6</w:t>
      </w:r>
      <w:r w:rsidRPr="00D62482">
        <w:rPr>
          <w:color w:val="auto"/>
        </w:rPr>
        <w:t xml:space="preserve"> bone marrow cells each day for 3 consecutive days (for a total of 1.5 x 10</w:t>
      </w:r>
      <w:r w:rsidRPr="00D62482">
        <w:rPr>
          <w:color w:val="auto"/>
          <w:vertAlign w:val="superscript"/>
        </w:rPr>
        <w:t>7</w:t>
      </w:r>
      <w:r w:rsidRPr="00D62482">
        <w:rPr>
          <w:color w:val="auto"/>
        </w:rPr>
        <w:t>, n</w:t>
      </w:r>
      <w:r w:rsidR="0060277A">
        <w:rPr>
          <w:color w:val="auto"/>
        </w:rPr>
        <w:t xml:space="preserve"> </w:t>
      </w:r>
      <w:r w:rsidRPr="00D62482">
        <w:rPr>
          <w:color w:val="auto"/>
        </w:rPr>
        <w:t>=</w:t>
      </w:r>
      <w:r w:rsidR="0060277A">
        <w:rPr>
          <w:color w:val="auto"/>
        </w:rPr>
        <w:t xml:space="preserve"> </w:t>
      </w:r>
      <w:r w:rsidRPr="00D62482">
        <w:rPr>
          <w:color w:val="auto"/>
        </w:rPr>
        <w:t>5</w:t>
      </w:r>
      <w:r w:rsidR="0060277A">
        <w:rPr>
          <w:color w:val="auto"/>
        </w:rPr>
        <w:t>–</w:t>
      </w:r>
      <w:r w:rsidRPr="00D62482">
        <w:rPr>
          <w:color w:val="auto"/>
        </w:rPr>
        <w:t xml:space="preserve">6 per group). Flow cytometric analysis of peripheral blood was performed 4, 8, 12, and 16 weeks post-transplantation. The </w:t>
      </w:r>
      <w:r w:rsidRPr="00D62482">
        <w:rPr>
          <w:i/>
          <w:iCs/>
          <w:color w:val="auto"/>
        </w:rPr>
        <w:t>Tet2-deficient</w:t>
      </w:r>
      <w:r w:rsidRPr="00FC7B44">
        <w:rPr>
          <w:color w:val="auto"/>
        </w:rPr>
        <w:t xml:space="preserve"> donor cells conferred a competitive advantage and gradually expand</w:t>
      </w:r>
      <w:r w:rsidR="0060277A">
        <w:rPr>
          <w:color w:val="auto"/>
        </w:rPr>
        <w:t>ed</w:t>
      </w:r>
      <w:r w:rsidRPr="00FC7B44">
        <w:rPr>
          <w:color w:val="auto"/>
        </w:rPr>
        <w:t xml:space="preserve"> over time; WBCs, monocytes, Ly6C</w:t>
      </w:r>
      <w:r w:rsidRPr="00FC7B44">
        <w:rPr>
          <w:color w:val="auto"/>
          <w:vertAlign w:val="superscript"/>
        </w:rPr>
        <w:t>hi</w:t>
      </w:r>
      <w:r w:rsidRPr="00FC7B44">
        <w:rPr>
          <w:color w:val="auto"/>
        </w:rPr>
        <w:t xml:space="preserve"> monocytes, neutrophils, T cells</w:t>
      </w:r>
      <w:r w:rsidR="0060277A">
        <w:rPr>
          <w:color w:val="auto"/>
        </w:rPr>
        <w:t>,</w:t>
      </w:r>
      <w:r w:rsidRPr="00FC7B44">
        <w:rPr>
          <w:color w:val="auto"/>
        </w:rPr>
        <w:t xml:space="preserve"> and B cells increased significantly over time. </w:t>
      </w:r>
      <w:r w:rsidR="0046791D" w:rsidRPr="00FC7B44">
        <w:rPr>
          <w:color w:val="auto"/>
        </w:rPr>
        <w:t xml:space="preserve">Compared to the </w:t>
      </w:r>
      <w:r w:rsidR="0046791D" w:rsidRPr="00D62482">
        <w:rPr>
          <w:i/>
          <w:iCs/>
          <w:color w:val="auto"/>
        </w:rPr>
        <w:t>Tet2-deficient</w:t>
      </w:r>
      <w:r w:rsidR="0046791D" w:rsidRPr="00D62482">
        <w:rPr>
          <w:color w:val="auto"/>
        </w:rPr>
        <w:t xml:space="preserve"> donor cells engrafted into recipient mice, recipient mice engrafted with </w:t>
      </w:r>
      <w:r w:rsidR="0046791D" w:rsidRPr="00D62482">
        <w:rPr>
          <w:i/>
          <w:iCs/>
          <w:color w:val="auto"/>
        </w:rPr>
        <w:t>WT</w:t>
      </w:r>
      <w:r w:rsidR="0046791D" w:rsidRPr="00D62482">
        <w:rPr>
          <w:color w:val="auto"/>
        </w:rPr>
        <w:t xml:space="preserve"> donor cells showed </w:t>
      </w:r>
      <w:r w:rsidR="006B61A6">
        <w:rPr>
          <w:color w:val="auto"/>
        </w:rPr>
        <w:t>less</w:t>
      </w:r>
      <w:r w:rsidR="0046791D" w:rsidRPr="00D62482">
        <w:rPr>
          <w:color w:val="auto"/>
        </w:rPr>
        <w:t xml:space="preserve"> significant clonal expansion of donor cells </w:t>
      </w:r>
      <w:r w:rsidR="007D74A4" w:rsidRPr="00120F94">
        <w:rPr>
          <w:color w:val="000000" w:themeColor="text1"/>
          <w:lang w:eastAsia="ja-JP"/>
        </w:rPr>
        <w:t>(</w:t>
      </w:r>
      <w:r w:rsidR="007D74A4" w:rsidRPr="00BE2A2E">
        <w:rPr>
          <w:b/>
          <w:bCs/>
          <w:color w:val="000000" w:themeColor="text1"/>
          <w:lang w:eastAsia="ja-JP"/>
        </w:rPr>
        <w:t>Figure 3</w:t>
      </w:r>
      <w:r w:rsidR="007D74A4" w:rsidRPr="00120F94">
        <w:rPr>
          <w:color w:val="000000" w:themeColor="text1"/>
          <w:lang w:eastAsia="ja-JP"/>
        </w:rPr>
        <w:t>)</w:t>
      </w:r>
      <w:r w:rsidR="0060277A">
        <w:rPr>
          <w:color w:val="000000" w:themeColor="text1"/>
          <w:lang w:eastAsia="ja-JP"/>
        </w:rPr>
        <w:t>.</w:t>
      </w:r>
      <w:r w:rsidR="007D74A4" w:rsidRPr="00120F94">
        <w:rPr>
          <w:color w:val="000000" w:themeColor="text1"/>
          <w:lang w:eastAsia="ja-JP"/>
        </w:rPr>
        <w:t xml:space="preserve"> </w:t>
      </w:r>
      <w:r w:rsidR="00E23449">
        <w:rPr>
          <w:color w:val="000000" w:themeColor="text1"/>
        </w:rPr>
        <w:t>Consistent with the clinical paradigm of clonal hematopoiesis,</w:t>
      </w:r>
      <w:r w:rsidR="007D74A4">
        <w:rPr>
          <w:color w:val="000000" w:themeColor="text1"/>
        </w:rPr>
        <w:t xml:space="preserve"> </w:t>
      </w:r>
      <w:r w:rsidR="00E23449" w:rsidRPr="00E23449">
        <w:rPr>
          <w:color w:val="000000" w:themeColor="text1"/>
        </w:rPr>
        <w:t xml:space="preserve">the expansion of </w:t>
      </w:r>
      <w:r w:rsidR="00E23449" w:rsidRPr="005F65C5">
        <w:rPr>
          <w:i/>
          <w:iCs/>
          <w:color w:val="000000" w:themeColor="text1"/>
        </w:rPr>
        <w:t>Tet2</w:t>
      </w:r>
      <w:r w:rsidR="00E23449" w:rsidRPr="00D62482">
        <w:rPr>
          <w:i/>
          <w:iCs/>
          <w:color w:val="000000" w:themeColor="text1"/>
        </w:rPr>
        <w:t>-deficient</w:t>
      </w:r>
      <w:r w:rsidR="007D74A4">
        <w:rPr>
          <w:color w:val="000000" w:themeColor="text1"/>
        </w:rPr>
        <w:t xml:space="preserve"> cells</w:t>
      </w:r>
      <w:r w:rsidR="00E23449" w:rsidRPr="00E23449">
        <w:rPr>
          <w:color w:val="000000" w:themeColor="text1"/>
        </w:rPr>
        <w:t xml:space="preserve"> d</w:t>
      </w:r>
      <w:r w:rsidR="00E23449">
        <w:rPr>
          <w:color w:val="000000" w:themeColor="text1"/>
        </w:rPr>
        <w:t>oes</w:t>
      </w:r>
      <w:r w:rsidR="00E23449" w:rsidRPr="00E23449">
        <w:rPr>
          <w:color w:val="000000" w:themeColor="text1"/>
        </w:rPr>
        <w:t xml:space="preserve"> not impact </w:t>
      </w:r>
      <w:r w:rsidR="00E23449">
        <w:rPr>
          <w:color w:val="000000" w:themeColor="text1"/>
        </w:rPr>
        <w:t xml:space="preserve">the </w:t>
      </w:r>
      <w:r w:rsidR="00E23449" w:rsidRPr="00E23449">
        <w:rPr>
          <w:color w:val="000000" w:themeColor="text1"/>
        </w:rPr>
        <w:t>absolute numbers</w:t>
      </w:r>
      <w:r w:rsidR="00E23449">
        <w:rPr>
          <w:color w:val="000000" w:themeColor="text1"/>
        </w:rPr>
        <w:t xml:space="preserve"> of the various blood cell types</w:t>
      </w:r>
      <w:r w:rsidR="00EC2ADB">
        <w:rPr>
          <w:color w:val="000000" w:themeColor="text1"/>
          <w:vertAlign w:val="superscript"/>
        </w:rPr>
        <w:t>9</w:t>
      </w:r>
      <w:r w:rsidR="004D7791" w:rsidRPr="00120F94">
        <w:rPr>
          <w:color w:val="000000" w:themeColor="text1"/>
        </w:rPr>
        <w:t xml:space="preserve"> </w:t>
      </w:r>
      <w:r w:rsidR="007D74A4" w:rsidRPr="00D62482">
        <w:rPr>
          <w:color w:val="auto"/>
          <w:lang w:eastAsia="ja-JP"/>
        </w:rPr>
        <w:t>(data not shown)</w:t>
      </w:r>
      <w:r w:rsidR="0060277A">
        <w:rPr>
          <w:color w:val="auto"/>
          <w:lang w:eastAsia="ja-JP"/>
        </w:rPr>
        <w:t>.</w:t>
      </w:r>
    </w:p>
    <w:p w14:paraId="6836F6FF" w14:textId="4AF923AD" w:rsidR="005E376D" w:rsidRPr="00BE2A2E" w:rsidRDefault="005E376D" w:rsidP="000C770D">
      <w:pPr>
        <w:pStyle w:val="NormalWeb"/>
        <w:spacing w:before="0" w:beforeAutospacing="0" w:after="0" w:afterAutospacing="0"/>
        <w:rPr>
          <w:bCs/>
          <w:color w:val="000000" w:themeColor="text1"/>
        </w:rPr>
      </w:pPr>
      <w:r w:rsidRPr="00BE2A2E">
        <w:rPr>
          <w:bCs/>
          <w:color w:val="000000" w:themeColor="text1"/>
        </w:rPr>
        <w:t>[</w:t>
      </w:r>
      <w:r w:rsidRPr="00BE2A2E">
        <w:rPr>
          <w:color w:val="000000" w:themeColor="text1"/>
          <w:lang w:eastAsia="ko-KR"/>
        </w:rPr>
        <w:t xml:space="preserve">Place </w:t>
      </w:r>
      <w:r w:rsidRPr="00BE2A2E">
        <w:rPr>
          <w:b/>
          <w:bCs/>
          <w:color w:val="000000" w:themeColor="text1"/>
          <w:lang w:eastAsia="ko-KR"/>
        </w:rPr>
        <w:t xml:space="preserve">Figure 2 </w:t>
      </w:r>
      <w:r w:rsidRPr="00BE2A2E">
        <w:rPr>
          <w:color w:val="000000" w:themeColor="text1"/>
          <w:lang w:eastAsia="ko-KR"/>
        </w:rPr>
        <w:t>and</w:t>
      </w:r>
      <w:r w:rsidRPr="00BE2A2E">
        <w:rPr>
          <w:b/>
          <w:bCs/>
          <w:color w:val="000000" w:themeColor="text1"/>
          <w:lang w:eastAsia="ko-KR"/>
        </w:rPr>
        <w:t xml:space="preserve"> Figure 3</w:t>
      </w:r>
      <w:r w:rsidRPr="00BE2A2E">
        <w:rPr>
          <w:color w:val="000000" w:themeColor="text1"/>
          <w:lang w:eastAsia="ko-KR"/>
        </w:rPr>
        <w:t xml:space="preserve"> here</w:t>
      </w:r>
      <w:r w:rsidRPr="00BE2A2E">
        <w:rPr>
          <w:bCs/>
          <w:color w:val="000000" w:themeColor="text1"/>
        </w:rPr>
        <w:t>]</w:t>
      </w:r>
    </w:p>
    <w:p w14:paraId="1FAE7CCB" w14:textId="77777777" w:rsidR="005E376D" w:rsidRPr="003475EB" w:rsidRDefault="005E376D" w:rsidP="000C770D">
      <w:pPr>
        <w:jc w:val="both"/>
        <w:rPr>
          <w:rFonts w:ascii="Calibri" w:hAnsi="Calibri" w:cs="Calibri"/>
          <w:b/>
          <w:color w:val="000000" w:themeColor="text1"/>
        </w:rPr>
      </w:pPr>
    </w:p>
    <w:p w14:paraId="03F62E4C" w14:textId="01105591" w:rsidR="005E376D" w:rsidRDefault="005E376D" w:rsidP="000C770D">
      <w:pPr>
        <w:jc w:val="both"/>
        <w:rPr>
          <w:rFonts w:ascii="Calibri" w:hAnsi="Calibri" w:cs="Calibri"/>
          <w:color w:val="000000" w:themeColor="text1"/>
        </w:rPr>
      </w:pPr>
      <w:r w:rsidRPr="003475EB">
        <w:rPr>
          <w:rFonts w:ascii="Calibri" w:hAnsi="Calibri" w:cs="Calibri"/>
          <w:b/>
          <w:color w:val="000000" w:themeColor="text1"/>
        </w:rPr>
        <w:t>FIGURE AND TABLE LEGENDS:</w:t>
      </w:r>
    </w:p>
    <w:p w14:paraId="3C788C37" w14:textId="77777777" w:rsidR="00621E6A" w:rsidRPr="003475EB" w:rsidRDefault="00621E6A" w:rsidP="000C770D">
      <w:pPr>
        <w:jc w:val="both"/>
        <w:rPr>
          <w:rFonts w:ascii="Calibri" w:hAnsi="Calibri" w:cs="Calibri"/>
          <w:color w:val="000000" w:themeColor="text1"/>
        </w:rPr>
      </w:pPr>
    </w:p>
    <w:p w14:paraId="7CBA9079" w14:textId="73688AD3" w:rsidR="00AE6BDD" w:rsidRPr="007723E6" w:rsidRDefault="005E376D" w:rsidP="000C770D">
      <w:pPr>
        <w:jc w:val="both"/>
        <w:rPr>
          <w:rFonts w:asciiTheme="minorHAnsi" w:hAnsiTheme="minorHAnsi" w:cstheme="minorHAnsi"/>
          <w:b/>
          <w:color w:val="000000" w:themeColor="text1"/>
        </w:rPr>
      </w:pPr>
      <w:r w:rsidRPr="00BE2A2E">
        <w:rPr>
          <w:rFonts w:ascii="Calibri" w:hAnsi="Calibri" w:cs="Calibri"/>
          <w:b/>
          <w:color w:val="000000" w:themeColor="text1"/>
        </w:rPr>
        <w:t xml:space="preserve">Figure 1: Images showing </w:t>
      </w:r>
      <w:r w:rsidR="00AE6BDD">
        <w:rPr>
          <w:rFonts w:ascii="Calibri" w:hAnsi="Calibri" w:cs="Calibri"/>
          <w:b/>
          <w:color w:val="000000" w:themeColor="text1"/>
        </w:rPr>
        <w:t>various preconditioning setups.</w:t>
      </w:r>
      <w:r w:rsidRPr="00BE2A2E">
        <w:rPr>
          <w:rFonts w:ascii="Calibri" w:hAnsi="Calibri" w:cs="Calibri"/>
          <w:b/>
          <w:color w:val="000000" w:themeColor="text1"/>
        </w:rPr>
        <w:t xml:space="preserve"> </w:t>
      </w:r>
      <w:r w:rsidR="00AE6BDD" w:rsidRPr="00120F94">
        <w:rPr>
          <w:rFonts w:asciiTheme="minorHAnsi" w:hAnsiTheme="minorHAnsi" w:cstheme="minorHAnsi"/>
          <w:color w:val="000000" w:themeColor="text1"/>
        </w:rPr>
        <w:t>(</w:t>
      </w:r>
      <w:r w:rsidR="00AE6BDD" w:rsidRPr="007723E6">
        <w:rPr>
          <w:rFonts w:asciiTheme="minorHAnsi" w:hAnsiTheme="minorHAnsi" w:cstheme="minorHAnsi"/>
          <w:b/>
          <w:bCs/>
          <w:color w:val="000000" w:themeColor="text1"/>
        </w:rPr>
        <w:t>A</w:t>
      </w:r>
      <w:r w:rsidR="00AE6BDD" w:rsidRPr="00120F94">
        <w:rPr>
          <w:rFonts w:asciiTheme="minorHAnsi" w:hAnsiTheme="minorHAnsi" w:cstheme="minorHAnsi"/>
          <w:color w:val="000000" w:themeColor="text1"/>
        </w:rPr>
        <w:t>)</w:t>
      </w:r>
      <w:r w:rsidR="00AE6BDD" w:rsidRPr="007723E6">
        <w:rPr>
          <w:rFonts w:asciiTheme="minorHAnsi" w:hAnsiTheme="minorHAnsi" w:cstheme="minorHAnsi"/>
          <w:color w:val="000000" w:themeColor="text1"/>
        </w:rPr>
        <w:t xml:space="preserve"> Pie-cage total body irradiation setup using gamma-ray (Cesium-137): The radiation beam comes from the back of the irradiator in the y-axis direction (horizontal radiation). </w:t>
      </w:r>
      <w:r w:rsidR="00AE6BDD" w:rsidRPr="00120F94">
        <w:rPr>
          <w:rFonts w:asciiTheme="minorHAnsi" w:hAnsiTheme="minorHAnsi" w:cstheme="minorHAnsi"/>
          <w:color w:val="000000" w:themeColor="text1"/>
        </w:rPr>
        <w:t>(</w:t>
      </w:r>
      <w:r w:rsidR="00AE6BDD" w:rsidRPr="007723E6">
        <w:rPr>
          <w:rFonts w:asciiTheme="minorHAnsi" w:hAnsiTheme="minorHAnsi" w:cstheme="minorHAnsi"/>
          <w:b/>
          <w:bCs/>
          <w:color w:val="000000" w:themeColor="text1"/>
        </w:rPr>
        <w:t>B</w:t>
      </w:r>
      <w:r w:rsidR="00AE6BDD" w:rsidRPr="00120F94">
        <w:rPr>
          <w:rFonts w:asciiTheme="minorHAnsi" w:hAnsiTheme="minorHAnsi" w:cstheme="minorHAnsi"/>
          <w:color w:val="000000" w:themeColor="text1"/>
        </w:rPr>
        <w:t>)</w:t>
      </w:r>
      <w:r w:rsidR="00AE6BDD" w:rsidRPr="007723E6">
        <w:rPr>
          <w:rFonts w:asciiTheme="minorHAnsi" w:hAnsiTheme="minorHAnsi" w:cstheme="minorHAnsi"/>
          <w:color w:val="000000" w:themeColor="text1"/>
        </w:rPr>
        <w:t xml:space="preserve"> Mouse cage total body irradiation setup using X-ray: The mouse cage is placed in the reflective chamber. The radiation beam comes from the top of the irradiator in the shape of a cone (vertical radiation). The distance from the radiation source to the cage is 530</w:t>
      </w:r>
      <w:r w:rsidR="00621E6A">
        <w:rPr>
          <w:rFonts w:asciiTheme="minorHAnsi" w:hAnsiTheme="minorHAnsi" w:cstheme="minorHAnsi"/>
          <w:color w:val="000000" w:themeColor="text1"/>
        </w:rPr>
        <w:t xml:space="preserve"> </w:t>
      </w:r>
      <w:r w:rsidR="00AE6BDD" w:rsidRPr="007723E6">
        <w:rPr>
          <w:rFonts w:asciiTheme="minorHAnsi" w:hAnsiTheme="minorHAnsi" w:cstheme="minorHAnsi"/>
          <w:color w:val="000000" w:themeColor="text1"/>
        </w:rPr>
        <w:t xml:space="preserve">mm. </w:t>
      </w:r>
      <w:r w:rsidR="00AE6BDD" w:rsidRPr="00120F94">
        <w:rPr>
          <w:rFonts w:asciiTheme="minorHAnsi" w:hAnsiTheme="minorHAnsi" w:cstheme="minorHAnsi"/>
          <w:color w:val="000000" w:themeColor="text1"/>
        </w:rPr>
        <w:t>(</w:t>
      </w:r>
      <w:r w:rsidR="00AE6BDD" w:rsidRPr="007723E6">
        <w:rPr>
          <w:rFonts w:asciiTheme="minorHAnsi" w:hAnsiTheme="minorHAnsi" w:cstheme="minorHAnsi"/>
          <w:b/>
          <w:bCs/>
          <w:color w:val="000000" w:themeColor="text1"/>
        </w:rPr>
        <w:t>C</w:t>
      </w:r>
      <w:r w:rsidR="00AE6BDD" w:rsidRPr="00120F94">
        <w:rPr>
          <w:rFonts w:asciiTheme="minorHAnsi" w:hAnsiTheme="minorHAnsi" w:cstheme="minorHAnsi"/>
          <w:color w:val="000000" w:themeColor="text1"/>
        </w:rPr>
        <w:t>)</w:t>
      </w:r>
      <w:r w:rsidR="00AE6BDD" w:rsidRPr="007723E6">
        <w:rPr>
          <w:rFonts w:asciiTheme="minorHAnsi" w:hAnsiTheme="minorHAnsi" w:cstheme="minorHAnsi"/>
          <w:color w:val="000000" w:themeColor="text1"/>
        </w:rPr>
        <w:t xml:space="preserve"> Adjustable tray in X-ray irradiator: This setup is used for partially shielded irradiation using X-ray. The radiation beam comes from the top of the irradiator in the shape of a cone (vertical radiation). The distance from the radiation source to the tray is 373</w:t>
      </w:r>
      <w:r w:rsidR="00621E6A">
        <w:rPr>
          <w:rFonts w:asciiTheme="minorHAnsi" w:hAnsiTheme="minorHAnsi" w:cstheme="minorHAnsi"/>
          <w:color w:val="000000" w:themeColor="text1"/>
        </w:rPr>
        <w:t xml:space="preserve"> </w:t>
      </w:r>
      <w:r w:rsidR="00AE6BDD" w:rsidRPr="007723E6">
        <w:rPr>
          <w:rFonts w:asciiTheme="minorHAnsi" w:hAnsiTheme="minorHAnsi" w:cstheme="minorHAnsi"/>
          <w:color w:val="000000" w:themeColor="text1"/>
        </w:rPr>
        <w:t>mm, and the radius is 250</w:t>
      </w:r>
      <w:r w:rsidR="00621E6A">
        <w:rPr>
          <w:rFonts w:asciiTheme="minorHAnsi" w:hAnsiTheme="minorHAnsi" w:cstheme="minorHAnsi"/>
          <w:color w:val="000000" w:themeColor="text1"/>
        </w:rPr>
        <w:t xml:space="preserve"> </w:t>
      </w:r>
      <w:r w:rsidR="00AE6BDD" w:rsidRPr="007723E6">
        <w:rPr>
          <w:rFonts w:asciiTheme="minorHAnsi" w:hAnsiTheme="minorHAnsi" w:cstheme="minorHAnsi"/>
          <w:color w:val="000000" w:themeColor="text1"/>
        </w:rPr>
        <w:t xml:space="preserve">mm. </w:t>
      </w:r>
      <w:r w:rsidR="00AE6BDD" w:rsidRPr="00120F94">
        <w:rPr>
          <w:rFonts w:asciiTheme="minorHAnsi" w:hAnsiTheme="minorHAnsi" w:cstheme="minorHAnsi"/>
          <w:color w:val="000000" w:themeColor="text1"/>
        </w:rPr>
        <w:t>(</w:t>
      </w:r>
      <w:r w:rsidR="00AE6BDD" w:rsidRPr="007723E6">
        <w:rPr>
          <w:rFonts w:asciiTheme="minorHAnsi" w:hAnsiTheme="minorHAnsi" w:cstheme="minorHAnsi"/>
          <w:b/>
          <w:bCs/>
          <w:color w:val="000000" w:themeColor="text1"/>
        </w:rPr>
        <w:t>D</w:t>
      </w:r>
      <w:r w:rsidR="00AE6BDD" w:rsidRPr="00120F94">
        <w:rPr>
          <w:rFonts w:asciiTheme="minorHAnsi" w:hAnsiTheme="minorHAnsi" w:cstheme="minorHAnsi"/>
          <w:color w:val="000000" w:themeColor="text1"/>
        </w:rPr>
        <w:t>)</w:t>
      </w:r>
      <w:r w:rsidR="00AE6BDD" w:rsidRPr="007723E6">
        <w:rPr>
          <w:rFonts w:asciiTheme="minorHAnsi" w:hAnsiTheme="minorHAnsi" w:cstheme="minorHAnsi"/>
          <w:color w:val="000000" w:themeColor="text1"/>
        </w:rPr>
        <w:t xml:space="preserve"> Thorax-shielding: Anesthetized mice are placed on a tray. The mice are placed inverted to each other in supine positions with arms and legs fully extended. The lower end of the lead-shield is aligned with the xiphisternum bone and the upper end with the thymus. </w:t>
      </w:r>
      <w:r w:rsidR="00AE6BDD" w:rsidRPr="00120F94">
        <w:rPr>
          <w:rFonts w:asciiTheme="minorHAnsi" w:hAnsiTheme="minorHAnsi" w:cstheme="minorHAnsi"/>
          <w:color w:val="000000" w:themeColor="text1"/>
        </w:rPr>
        <w:t>(</w:t>
      </w:r>
      <w:r w:rsidR="00AE6BDD" w:rsidRPr="007723E6">
        <w:rPr>
          <w:rFonts w:asciiTheme="minorHAnsi" w:hAnsiTheme="minorHAnsi" w:cstheme="minorHAnsi"/>
          <w:b/>
          <w:bCs/>
          <w:color w:val="000000" w:themeColor="text1"/>
        </w:rPr>
        <w:t>E</w:t>
      </w:r>
      <w:r w:rsidR="00AE6BDD" w:rsidRPr="00120F94">
        <w:rPr>
          <w:rFonts w:asciiTheme="minorHAnsi" w:hAnsiTheme="minorHAnsi" w:cstheme="minorHAnsi"/>
          <w:color w:val="000000" w:themeColor="text1"/>
        </w:rPr>
        <w:t xml:space="preserve">) </w:t>
      </w:r>
      <w:r w:rsidR="00AE6BDD" w:rsidRPr="007723E6">
        <w:rPr>
          <w:rFonts w:asciiTheme="minorHAnsi" w:hAnsiTheme="minorHAnsi" w:cstheme="minorHAnsi"/>
          <w:color w:val="000000" w:themeColor="text1"/>
        </w:rPr>
        <w:t xml:space="preserve">Abdominal-shielding: Anesthetized mice are placed as in the thorax-shielding set-up with the lower end of the lead-shield aligned with the anus and the upper end below the diaphragm. </w:t>
      </w:r>
      <w:r w:rsidR="00AE6BDD" w:rsidRPr="00120F94">
        <w:rPr>
          <w:rFonts w:asciiTheme="minorHAnsi" w:hAnsiTheme="minorHAnsi" w:cstheme="minorHAnsi"/>
          <w:color w:val="000000" w:themeColor="text1"/>
        </w:rPr>
        <w:t>(</w:t>
      </w:r>
      <w:r w:rsidR="00AE6BDD" w:rsidRPr="007723E6">
        <w:rPr>
          <w:rFonts w:asciiTheme="minorHAnsi" w:hAnsiTheme="minorHAnsi" w:cstheme="minorHAnsi"/>
          <w:b/>
          <w:bCs/>
          <w:color w:val="000000" w:themeColor="text1"/>
        </w:rPr>
        <w:t>F</w:t>
      </w:r>
      <w:r w:rsidR="00AE6BDD" w:rsidRPr="00120F94">
        <w:rPr>
          <w:rFonts w:asciiTheme="minorHAnsi" w:hAnsiTheme="minorHAnsi" w:cstheme="minorHAnsi"/>
          <w:color w:val="000000" w:themeColor="text1"/>
        </w:rPr>
        <w:t>)</w:t>
      </w:r>
      <w:r w:rsidR="00AE6BDD" w:rsidRPr="007723E6">
        <w:rPr>
          <w:rFonts w:asciiTheme="minorHAnsi" w:hAnsiTheme="minorHAnsi" w:cstheme="minorHAnsi"/>
          <w:color w:val="000000" w:themeColor="text1"/>
        </w:rPr>
        <w:t xml:space="preserve"> Head-shielding irradiation setup using gamma-ray (Cesium-137): The anesthetized mouse’s forepaws are taped </w:t>
      </w:r>
      <w:proofErr w:type="gramStart"/>
      <w:r w:rsidR="00AE6BDD" w:rsidRPr="007723E6">
        <w:rPr>
          <w:rFonts w:asciiTheme="minorHAnsi" w:hAnsiTheme="minorHAnsi" w:cstheme="minorHAnsi"/>
          <w:color w:val="000000" w:themeColor="text1"/>
        </w:rPr>
        <w:t>down</w:t>
      </w:r>
      <w:proofErr w:type="gramEnd"/>
      <w:r w:rsidR="00AE6BDD" w:rsidRPr="007723E6">
        <w:rPr>
          <w:rFonts w:asciiTheme="minorHAnsi" w:hAnsiTheme="minorHAnsi" w:cstheme="minorHAnsi"/>
          <w:color w:val="000000" w:themeColor="text1"/>
        </w:rPr>
        <w:t xml:space="preserve"> and the mouse is placed in a conical restrainer. The black lead-shield (marked) covers the mouse’s head and ears. The radiation beam comes from the back of the irradiator in the direction </w:t>
      </w:r>
      <w:r w:rsidR="00621E6A">
        <w:rPr>
          <w:rFonts w:asciiTheme="minorHAnsi" w:hAnsiTheme="minorHAnsi" w:cstheme="minorHAnsi"/>
          <w:color w:val="000000" w:themeColor="text1"/>
        </w:rPr>
        <w:t>of the</w:t>
      </w:r>
      <w:r w:rsidR="00621E6A" w:rsidRPr="007723E6">
        <w:rPr>
          <w:rFonts w:asciiTheme="minorHAnsi" w:hAnsiTheme="minorHAnsi" w:cstheme="minorHAnsi"/>
          <w:color w:val="000000" w:themeColor="text1"/>
        </w:rPr>
        <w:t xml:space="preserve"> </w:t>
      </w:r>
      <w:r w:rsidR="00621E6A">
        <w:rPr>
          <w:rFonts w:asciiTheme="minorHAnsi" w:hAnsiTheme="minorHAnsi" w:cstheme="minorHAnsi"/>
          <w:color w:val="000000" w:themeColor="text1"/>
        </w:rPr>
        <w:t>Y</w:t>
      </w:r>
      <w:r w:rsidR="00621E6A" w:rsidRPr="007723E6">
        <w:rPr>
          <w:rFonts w:asciiTheme="minorHAnsi" w:hAnsiTheme="minorHAnsi" w:cstheme="minorHAnsi"/>
          <w:color w:val="000000" w:themeColor="text1"/>
        </w:rPr>
        <w:t xml:space="preserve">-axis </w:t>
      </w:r>
      <w:r w:rsidR="00AE6BDD" w:rsidRPr="007723E6">
        <w:rPr>
          <w:rFonts w:asciiTheme="minorHAnsi" w:hAnsiTheme="minorHAnsi" w:cstheme="minorHAnsi"/>
          <w:color w:val="000000" w:themeColor="text1"/>
        </w:rPr>
        <w:t>(horizontal radiation).</w:t>
      </w:r>
    </w:p>
    <w:p w14:paraId="13E4B844" w14:textId="77777777" w:rsidR="00D97C77" w:rsidRDefault="00D97C77" w:rsidP="000C770D">
      <w:pPr>
        <w:jc w:val="both"/>
        <w:rPr>
          <w:b/>
          <w:color w:val="000000" w:themeColor="text1"/>
        </w:rPr>
      </w:pPr>
    </w:p>
    <w:p w14:paraId="0C016D3A" w14:textId="559AC8B1" w:rsidR="00D97C77" w:rsidRPr="007723E6" w:rsidRDefault="005E376D" w:rsidP="000C770D">
      <w:pPr>
        <w:jc w:val="both"/>
        <w:rPr>
          <w:rFonts w:ascii="Calibri" w:hAnsi="Calibri" w:cs="Calibri"/>
          <w:b/>
          <w:color w:val="000000" w:themeColor="text1"/>
        </w:rPr>
      </w:pPr>
      <w:r w:rsidRPr="00D97C77">
        <w:rPr>
          <w:rFonts w:ascii="Calibri" w:hAnsi="Calibri" w:cs="Calibri"/>
          <w:b/>
          <w:color w:val="000000" w:themeColor="text1"/>
        </w:rPr>
        <w:t xml:space="preserve">Figure 2: Flow cytometric analysis of blood and heart using different methods of preconditioning. </w:t>
      </w:r>
      <w:r w:rsidR="00495F80" w:rsidRPr="00D97C77">
        <w:rPr>
          <w:rFonts w:asciiTheme="minorHAnsi" w:hAnsiTheme="minorHAnsi" w:cstheme="minorHAnsi"/>
          <w:bCs/>
          <w:color w:val="000000" w:themeColor="text1"/>
        </w:rPr>
        <w:t>Flow cytometric analysis of peripheral blood and heart was performed 1 month after bone marrow transplantation. To distinguish donor cells from the recipients’ cells, CD45.1</w:t>
      </w:r>
      <w:r w:rsidR="00495F80" w:rsidRPr="005F1AD5">
        <w:rPr>
          <w:rFonts w:asciiTheme="minorHAnsi" w:hAnsiTheme="minorHAnsi" w:cstheme="minorHAnsi"/>
          <w:bCs/>
          <w:color w:val="000000" w:themeColor="text1"/>
          <w:vertAlign w:val="superscript"/>
        </w:rPr>
        <w:t>+</w:t>
      </w:r>
      <w:r w:rsidR="00495F80" w:rsidRPr="00D97C77">
        <w:rPr>
          <w:rFonts w:asciiTheme="minorHAnsi" w:hAnsiTheme="minorHAnsi" w:cstheme="minorHAnsi"/>
          <w:bCs/>
          <w:color w:val="000000" w:themeColor="text1"/>
        </w:rPr>
        <w:t xml:space="preserve"> recipient mice were transplanted with CD45.2</w:t>
      </w:r>
      <w:r w:rsidR="00495F80" w:rsidRPr="005F1AD5">
        <w:rPr>
          <w:rFonts w:asciiTheme="minorHAnsi" w:hAnsiTheme="minorHAnsi" w:cstheme="minorHAnsi"/>
          <w:bCs/>
          <w:color w:val="000000" w:themeColor="text1"/>
          <w:vertAlign w:val="superscript"/>
        </w:rPr>
        <w:t>+</w:t>
      </w:r>
      <w:r w:rsidR="00495F80" w:rsidRPr="00D97C77">
        <w:rPr>
          <w:rFonts w:asciiTheme="minorHAnsi" w:hAnsiTheme="minorHAnsi" w:cstheme="minorHAnsi"/>
          <w:bCs/>
          <w:color w:val="000000" w:themeColor="text1"/>
        </w:rPr>
        <w:t xml:space="preserve"> donor bone marrow cells. </w:t>
      </w:r>
      <w:r w:rsidR="00495F80" w:rsidRPr="00120F94">
        <w:rPr>
          <w:rFonts w:asciiTheme="minorHAnsi" w:hAnsiTheme="minorHAnsi" w:cstheme="minorHAnsi"/>
          <w:bCs/>
          <w:color w:val="000000" w:themeColor="text1"/>
        </w:rPr>
        <w:t>(</w:t>
      </w:r>
      <w:r w:rsidR="00495F80" w:rsidRPr="005F1AD5">
        <w:rPr>
          <w:rFonts w:asciiTheme="minorHAnsi" w:hAnsiTheme="minorHAnsi" w:cstheme="minorHAnsi"/>
          <w:b/>
          <w:color w:val="000000" w:themeColor="text1"/>
        </w:rPr>
        <w:t>A</w:t>
      </w:r>
      <w:r w:rsidR="00495F80" w:rsidRPr="00120F94">
        <w:rPr>
          <w:rFonts w:asciiTheme="minorHAnsi" w:hAnsiTheme="minorHAnsi" w:cstheme="minorHAnsi"/>
          <w:bCs/>
          <w:color w:val="000000" w:themeColor="text1"/>
        </w:rPr>
        <w:t>)</w:t>
      </w:r>
      <w:r w:rsidR="00495F80" w:rsidRPr="00D97C77">
        <w:rPr>
          <w:rFonts w:asciiTheme="minorHAnsi" w:hAnsiTheme="minorHAnsi" w:cstheme="minorHAnsi"/>
          <w:bCs/>
          <w:color w:val="000000" w:themeColor="text1"/>
        </w:rPr>
        <w:t xml:space="preserve"> 5 </w:t>
      </w:r>
      <w:r w:rsidR="00B72050">
        <w:rPr>
          <w:rFonts w:asciiTheme="minorHAnsi" w:hAnsiTheme="minorHAnsi" w:cstheme="minorHAnsi"/>
          <w:bCs/>
          <w:color w:val="000000" w:themeColor="text1"/>
        </w:rPr>
        <w:t>x</w:t>
      </w:r>
      <w:r w:rsidR="00B72050" w:rsidRPr="00D97C77">
        <w:rPr>
          <w:rFonts w:asciiTheme="minorHAnsi" w:hAnsiTheme="minorHAnsi" w:cstheme="minorHAnsi"/>
          <w:bCs/>
          <w:color w:val="000000" w:themeColor="text1"/>
        </w:rPr>
        <w:t xml:space="preserve"> </w:t>
      </w:r>
      <w:r w:rsidR="00495F80" w:rsidRPr="00D97C77">
        <w:rPr>
          <w:rFonts w:asciiTheme="minorHAnsi" w:hAnsiTheme="minorHAnsi" w:cstheme="minorHAnsi"/>
          <w:bCs/>
          <w:color w:val="000000" w:themeColor="text1"/>
        </w:rPr>
        <w:t>10</w:t>
      </w:r>
      <w:r w:rsidR="00495F80" w:rsidRPr="005F1AD5">
        <w:rPr>
          <w:rFonts w:asciiTheme="minorHAnsi" w:hAnsiTheme="minorHAnsi" w:cstheme="minorHAnsi"/>
          <w:bCs/>
          <w:color w:val="000000" w:themeColor="text1"/>
          <w:vertAlign w:val="superscript"/>
        </w:rPr>
        <w:t>6</w:t>
      </w:r>
      <w:r w:rsidR="00495F80" w:rsidRPr="00D97C77">
        <w:rPr>
          <w:rFonts w:asciiTheme="minorHAnsi" w:hAnsiTheme="minorHAnsi" w:cstheme="minorHAnsi"/>
          <w:bCs/>
          <w:color w:val="000000" w:themeColor="text1"/>
        </w:rPr>
        <w:t xml:space="preserve"> bone marrow cells were transplanted following </w:t>
      </w:r>
      <w:r w:rsidR="00B72050">
        <w:rPr>
          <w:rFonts w:asciiTheme="minorHAnsi" w:hAnsiTheme="minorHAnsi" w:cstheme="minorHAnsi"/>
          <w:bCs/>
          <w:color w:val="000000" w:themeColor="text1"/>
        </w:rPr>
        <w:t>two</w:t>
      </w:r>
      <w:r w:rsidR="00B72050" w:rsidRPr="00D97C77">
        <w:rPr>
          <w:rFonts w:asciiTheme="minorHAnsi" w:hAnsiTheme="minorHAnsi" w:cstheme="minorHAnsi"/>
          <w:bCs/>
          <w:color w:val="000000" w:themeColor="text1"/>
        </w:rPr>
        <w:t xml:space="preserve"> </w:t>
      </w:r>
      <w:r w:rsidR="00022594">
        <w:rPr>
          <w:rFonts w:asciiTheme="minorHAnsi" w:hAnsiTheme="minorHAnsi" w:cstheme="minorHAnsi"/>
          <w:bCs/>
          <w:color w:val="000000" w:themeColor="text1"/>
        </w:rPr>
        <w:t>fraction</w:t>
      </w:r>
      <w:r w:rsidR="00022594" w:rsidRPr="00D97C77">
        <w:rPr>
          <w:rFonts w:asciiTheme="minorHAnsi" w:hAnsiTheme="minorHAnsi" w:cstheme="minorHAnsi"/>
          <w:bCs/>
          <w:color w:val="000000" w:themeColor="text1"/>
        </w:rPr>
        <w:t xml:space="preserve">s </w:t>
      </w:r>
      <w:r w:rsidR="00495F80" w:rsidRPr="00D97C77">
        <w:rPr>
          <w:rFonts w:asciiTheme="minorHAnsi" w:hAnsiTheme="minorHAnsi" w:cstheme="minorHAnsi"/>
          <w:bCs/>
          <w:color w:val="000000" w:themeColor="text1"/>
        </w:rPr>
        <w:t>of total body irradiation (</w:t>
      </w:r>
      <w:r w:rsidR="007D51D3">
        <w:rPr>
          <w:rFonts w:asciiTheme="minorHAnsi" w:hAnsiTheme="minorHAnsi" w:cstheme="minorHAnsi"/>
          <w:bCs/>
          <w:color w:val="000000" w:themeColor="text1"/>
        </w:rPr>
        <w:t xml:space="preserve">2 x </w:t>
      </w:r>
      <w:r w:rsidR="00495F80" w:rsidRPr="00D97C77">
        <w:rPr>
          <w:rFonts w:asciiTheme="minorHAnsi" w:hAnsiTheme="minorHAnsi" w:cstheme="minorHAnsi"/>
          <w:bCs/>
          <w:color w:val="000000" w:themeColor="text1"/>
        </w:rPr>
        <w:t>5.5 Gy, 4 h</w:t>
      </w:r>
      <w:r w:rsidR="007D5365">
        <w:rPr>
          <w:rFonts w:asciiTheme="minorHAnsi" w:hAnsiTheme="minorHAnsi" w:cstheme="minorHAnsi"/>
          <w:bCs/>
          <w:color w:val="000000" w:themeColor="text1"/>
        </w:rPr>
        <w:t xml:space="preserve"> interval, </w:t>
      </w:r>
      <w:r w:rsidR="00495F80" w:rsidRPr="00D97C77">
        <w:rPr>
          <w:rFonts w:asciiTheme="minorHAnsi" w:hAnsiTheme="minorHAnsi" w:cstheme="minorHAnsi"/>
          <w:bCs/>
          <w:color w:val="000000" w:themeColor="text1"/>
        </w:rPr>
        <w:t>n</w:t>
      </w:r>
      <w:r w:rsidR="00B72050">
        <w:rPr>
          <w:rFonts w:asciiTheme="minorHAnsi" w:hAnsiTheme="minorHAnsi" w:cstheme="minorHAnsi"/>
          <w:bCs/>
          <w:color w:val="000000" w:themeColor="text1"/>
        </w:rPr>
        <w:t xml:space="preserve"> </w:t>
      </w:r>
      <w:r w:rsidR="00495F80" w:rsidRPr="00D97C77">
        <w:rPr>
          <w:rFonts w:asciiTheme="minorHAnsi" w:hAnsiTheme="minorHAnsi" w:cstheme="minorHAnsi"/>
          <w:bCs/>
          <w:color w:val="000000" w:themeColor="text1"/>
        </w:rPr>
        <w:t>=</w:t>
      </w:r>
      <w:r w:rsidR="00B72050">
        <w:rPr>
          <w:rFonts w:asciiTheme="minorHAnsi" w:hAnsiTheme="minorHAnsi" w:cstheme="minorHAnsi"/>
          <w:bCs/>
          <w:color w:val="000000" w:themeColor="text1"/>
        </w:rPr>
        <w:t xml:space="preserve"> </w:t>
      </w:r>
      <w:r w:rsidR="00495F80" w:rsidRPr="00D97C77">
        <w:rPr>
          <w:rFonts w:asciiTheme="minorHAnsi" w:hAnsiTheme="minorHAnsi" w:cstheme="minorHAnsi"/>
          <w:bCs/>
          <w:color w:val="000000" w:themeColor="text1"/>
        </w:rPr>
        <w:t xml:space="preserve">3). </w:t>
      </w:r>
      <w:r w:rsidR="00A03C33" w:rsidRPr="00120F94">
        <w:rPr>
          <w:rFonts w:asciiTheme="minorHAnsi" w:hAnsiTheme="minorHAnsi" w:cstheme="minorHAnsi"/>
          <w:bCs/>
          <w:color w:val="000000" w:themeColor="text1"/>
        </w:rPr>
        <w:t>(</w:t>
      </w:r>
      <w:r w:rsidR="00495F80" w:rsidRPr="005F1AD5">
        <w:rPr>
          <w:rFonts w:asciiTheme="minorHAnsi" w:hAnsiTheme="minorHAnsi" w:cstheme="minorHAnsi"/>
          <w:b/>
          <w:color w:val="000000" w:themeColor="text1"/>
        </w:rPr>
        <w:t>B</w:t>
      </w:r>
      <w:r w:rsidR="00495F80" w:rsidRPr="00120F94">
        <w:rPr>
          <w:rFonts w:asciiTheme="minorHAnsi" w:hAnsiTheme="minorHAnsi" w:cstheme="minorHAnsi"/>
          <w:bCs/>
          <w:color w:val="000000" w:themeColor="text1"/>
        </w:rPr>
        <w:t>)</w:t>
      </w:r>
      <w:r w:rsidR="00495F80" w:rsidRPr="00D97C77">
        <w:rPr>
          <w:rFonts w:asciiTheme="minorHAnsi" w:hAnsiTheme="minorHAnsi" w:cstheme="minorHAnsi"/>
          <w:bCs/>
          <w:color w:val="000000" w:themeColor="text1"/>
        </w:rPr>
        <w:t xml:space="preserve"> 5 </w:t>
      </w:r>
      <w:r w:rsidR="00044154">
        <w:rPr>
          <w:rFonts w:asciiTheme="minorHAnsi" w:hAnsiTheme="minorHAnsi" w:cstheme="minorHAnsi"/>
          <w:bCs/>
          <w:color w:val="000000" w:themeColor="text1"/>
        </w:rPr>
        <w:t>x</w:t>
      </w:r>
      <w:r w:rsidR="00044154" w:rsidRPr="00D97C77">
        <w:rPr>
          <w:rFonts w:asciiTheme="minorHAnsi" w:hAnsiTheme="minorHAnsi" w:cstheme="minorHAnsi"/>
          <w:bCs/>
          <w:color w:val="000000" w:themeColor="text1"/>
        </w:rPr>
        <w:t xml:space="preserve"> </w:t>
      </w:r>
      <w:r w:rsidR="00495F80" w:rsidRPr="00D97C77">
        <w:rPr>
          <w:rFonts w:asciiTheme="minorHAnsi" w:hAnsiTheme="minorHAnsi" w:cstheme="minorHAnsi"/>
          <w:bCs/>
          <w:color w:val="000000" w:themeColor="text1"/>
        </w:rPr>
        <w:t>10</w:t>
      </w:r>
      <w:r w:rsidR="00495F80" w:rsidRPr="005F1AD5">
        <w:rPr>
          <w:rFonts w:asciiTheme="minorHAnsi" w:hAnsiTheme="minorHAnsi" w:cstheme="minorHAnsi"/>
          <w:bCs/>
          <w:color w:val="000000" w:themeColor="text1"/>
          <w:vertAlign w:val="superscript"/>
        </w:rPr>
        <w:t>6</w:t>
      </w:r>
      <w:r w:rsidR="00495F80" w:rsidRPr="00D97C77">
        <w:rPr>
          <w:rFonts w:asciiTheme="minorHAnsi" w:hAnsiTheme="minorHAnsi" w:cstheme="minorHAnsi"/>
          <w:bCs/>
          <w:color w:val="000000" w:themeColor="text1"/>
        </w:rPr>
        <w:t xml:space="preserve"> bone marrow cells were transplanted following </w:t>
      </w:r>
      <w:r w:rsidR="00044154">
        <w:rPr>
          <w:rFonts w:asciiTheme="minorHAnsi" w:hAnsiTheme="minorHAnsi" w:cstheme="minorHAnsi"/>
          <w:bCs/>
          <w:color w:val="000000" w:themeColor="text1"/>
        </w:rPr>
        <w:t>two</w:t>
      </w:r>
      <w:r w:rsidR="00044154" w:rsidRPr="00D97C77">
        <w:rPr>
          <w:rFonts w:asciiTheme="minorHAnsi" w:hAnsiTheme="minorHAnsi" w:cstheme="minorHAnsi"/>
          <w:bCs/>
          <w:color w:val="000000" w:themeColor="text1"/>
        </w:rPr>
        <w:t xml:space="preserve"> </w:t>
      </w:r>
      <w:r w:rsidR="00022594">
        <w:rPr>
          <w:rFonts w:asciiTheme="minorHAnsi" w:hAnsiTheme="minorHAnsi" w:cstheme="minorHAnsi"/>
          <w:bCs/>
          <w:color w:val="000000" w:themeColor="text1"/>
        </w:rPr>
        <w:t>fraction</w:t>
      </w:r>
      <w:r w:rsidR="00022594" w:rsidRPr="00D97C77">
        <w:rPr>
          <w:rFonts w:asciiTheme="minorHAnsi" w:hAnsiTheme="minorHAnsi" w:cstheme="minorHAnsi"/>
          <w:bCs/>
          <w:color w:val="000000" w:themeColor="text1"/>
        </w:rPr>
        <w:t xml:space="preserve">s </w:t>
      </w:r>
      <w:r w:rsidR="00495F80" w:rsidRPr="00D97C77">
        <w:rPr>
          <w:rFonts w:asciiTheme="minorHAnsi" w:hAnsiTheme="minorHAnsi" w:cstheme="minorHAnsi"/>
          <w:bCs/>
          <w:color w:val="000000" w:themeColor="text1"/>
        </w:rPr>
        <w:t xml:space="preserve">of total body irradiation with </w:t>
      </w:r>
      <w:r w:rsidR="00044154" w:rsidRPr="00D97C77">
        <w:rPr>
          <w:rFonts w:asciiTheme="minorHAnsi" w:hAnsiTheme="minorHAnsi" w:cstheme="minorHAnsi"/>
          <w:bCs/>
          <w:color w:val="000000" w:themeColor="text1"/>
        </w:rPr>
        <w:t>thorax</w:t>
      </w:r>
      <w:r w:rsidR="00C56649" w:rsidRPr="00D97C77">
        <w:rPr>
          <w:rFonts w:asciiTheme="minorHAnsi" w:hAnsiTheme="minorHAnsi" w:cstheme="minorHAnsi"/>
          <w:bCs/>
          <w:color w:val="000000" w:themeColor="text1"/>
        </w:rPr>
        <w:t>-</w:t>
      </w:r>
      <w:r w:rsidR="00495F80" w:rsidRPr="00D97C77">
        <w:rPr>
          <w:rFonts w:asciiTheme="minorHAnsi" w:hAnsiTheme="minorHAnsi" w:cstheme="minorHAnsi"/>
          <w:bCs/>
          <w:color w:val="000000" w:themeColor="text1"/>
        </w:rPr>
        <w:t>shielding (</w:t>
      </w:r>
      <w:r w:rsidR="007D51D3">
        <w:rPr>
          <w:rFonts w:asciiTheme="minorHAnsi" w:hAnsiTheme="minorHAnsi" w:cstheme="minorHAnsi"/>
          <w:bCs/>
          <w:color w:val="000000" w:themeColor="text1"/>
        </w:rPr>
        <w:t xml:space="preserve">2 x </w:t>
      </w:r>
      <w:r w:rsidR="00495F80" w:rsidRPr="00D97C77">
        <w:rPr>
          <w:rFonts w:asciiTheme="minorHAnsi" w:hAnsiTheme="minorHAnsi" w:cstheme="minorHAnsi"/>
          <w:bCs/>
          <w:color w:val="000000" w:themeColor="text1"/>
        </w:rPr>
        <w:t>5.5 Gy, 4 h</w:t>
      </w:r>
      <w:r w:rsidR="007D5365">
        <w:rPr>
          <w:rFonts w:asciiTheme="minorHAnsi" w:hAnsiTheme="minorHAnsi" w:cstheme="minorHAnsi"/>
          <w:bCs/>
          <w:color w:val="000000" w:themeColor="text1"/>
        </w:rPr>
        <w:t xml:space="preserve"> interval</w:t>
      </w:r>
      <w:r w:rsidR="00495F80" w:rsidRPr="00D97C77">
        <w:rPr>
          <w:rFonts w:asciiTheme="minorHAnsi" w:hAnsiTheme="minorHAnsi" w:cstheme="minorHAnsi"/>
          <w:bCs/>
          <w:color w:val="000000" w:themeColor="text1"/>
        </w:rPr>
        <w:t>, n</w:t>
      </w:r>
      <w:r w:rsidR="00044154">
        <w:rPr>
          <w:rFonts w:asciiTheme="minorHAnsi" w:hAnsiTheme="minorHAnsi" w:cstheme="minorHAnsi"/>
          <w:bCs/>
          <w:color w:val="000000" w:themeColor="text1"/>
        </w:rPr>
        <w:t xml:space="preserve"> </w:t>
      </w:r>
      <w:r w:rsidR="00495F80" w:rsidRPr="00D97C77">
        <w:rPr>
          <w:rFonts w:asciiTheme="minorHAnsi" w:hAnsiTheme="minorHAnsi" w:cstheme="minorHAnsi"/>
          <w:bCs/>
          <w:color w:val="000000" w:themeColor="text1"/>
        </w:rPr>
        <w:t>=</w:t>
      </w:r>
      <w:r w:rsidR="00044154">
        <w:rPr>
          <w:rFonts w:asciiTheme="minorHAnsi" w:hAnsiTheme="minorHAnsi" w:cstheme="minorHAnsi"/>
          <w:bCs/>
          <w:color w:val="000000" w:themeColor="text1"/>
        </w:rPr>
        <w:t xml:space="preserve"> </w:t>
      </w:r>
      <w:r w:rsidR="00495F80" w:rsidRPr="00D97C77">
        <w:rPr>
          <w:rFonts w:asciiTheme="minorHAnsi" w:hAnsiTheme="minorHAnsi" w:cstheme="minorHAnsi"/>
          <w:bCs/>
          <w:color w:val="000000" w:themeColor="text1"/>
        </w:rPr>
        <w:t xml:space="preserve">10). </w:t>
      </w:r>
      <w:r w:rsidR="00495F80" w:rsidRPr="00120F94">
        <w:rPr>
          <w:rFonts w:asciiTheme="minorHAnsi" w:hAnsiTheme="minorHAnsi" w:cstheme="minorHAnsi"/>
          <w:bCs/>
          <w:color w:val="000000" w:themeColor="text1"/>
        </w:rPr>
        <w:t>(</w:t>
      </w:r>
      <w:r w:rsidR="00495F80" w:rsidRPr="005C0C29">
        <w:rPr>
          <w:rFonts w:asciiTheme="minorHAnsi" w:hAnsiTheme="minorHAnsi" w:cstheme="minorHAnsi"/>
          <w:b/>
          <w:color w:val="000000" w:themeColor="text1"/>
        </w:rPr>
        <w:t>C</w:t>
      </w:r>
      <w:r w:rsidR="00495F80" w:rsidRPr="00120F94">
        <w:rPr>
          <w:rFonts w:asciiTheme="minorHAnsi" w:hAnsiTheme="minorHAnsi" w:cstheme="minorHAnsi"/>
          <w:bCs/>
          <w:color w:val="000000" w:themeColor="text1"/>
        </w:rPr>
        <w:t>)</w:t>
      </w:r>
      <w:r w:rsidR="00495F80" w:rsidRPr="00D97C77">
        <w:rPr>
          <w:rFonts w:asciiTheme="minorHAnsi" w:hAnsiTheme="minorHAnsi" w:cstheme="minorHAnsi"/>
          <w:bCs/>
          <w:color w:val="000000" w:themeColor="text1"/>
        </w:rPr>
        <w:t xml:space="preserve"> Recipients without conditioning were transplanted with 5 </w:t>
      </w:r>
      <w:r w:rsidR="00904085">
        <w:rPr>
          <w:rFonts w:asciiTheme="minorHAnsi" w:hAnsiTheme="minorHAnsi" w:cstheme="minorHAnsi"/>
          <w:bCs/>
          <w:color w:val="000000" w:themeColor="text1"/>
        </w:rPr>
        <w:t>x</w:t>
      </w:r>
      <w:r w:rsidR="00904085" w:rsidRPr="00D97C77">
        <w:rPr>
          <w:rFonts w:asciiTheme="minorHAnsi" w:hAnsiTheme="minorHAnsi" w:cstheme="minorHAnsi"/>
          <w:bCs/>
          <w:color w:val="000000" w:themeColor="text1"/>
        </w:rPr>
        <w:t xml:space="preserve"> </w:t>
      </w:r>
      <w:r w:rsidR="00495F80" w:rsidRPr="00D97C77">
        <w:rPr>
          <w:rFonts w:asciiTheme="minorHAnsi" w:hAnsiTheme="minorHAnsi" w:cstheme="minorHAnsi"/>
          <w:bCs/>
          <w:color w:val="000000" w:themeColor="text1"/>
        </w:rPr>
        <w:t>10</w:t>
      </w:r>
      <w:r w:rsidR="00495F80" w:rsidRPr="005C0C29">
        <w:rPr>
          <w:rFonts w:asciiTheme="minorHAnsi" w:hAnsiTheme="minorHAnsi" w:cstheme="minorHAnsi"/>
          <w:bCs/>
          <w:color w:val="000000" w:themeColor="text1"/>
          <w:vertAlign w:val="superscript"/>
        </w:rPr>
        <w:t>6</w:t>
      </w:r>
      <w:r w:rsidR="00495F80" w:rsidRPr="00D97C77">
        <w:rPr>
          <w:rFonts w:asciiTheme="minorHAnsi" w:hAnsiTheme="minorHAnsi" w:cstheme="minorHAnsi"/>
          <w:bCs/>
          <w:color w:val="000000" w:themeColor="text1"/>
        </w:rPr>
        <w:t xml:space="preserve"> bone marrow cells for 3 consecutive days (</w:t>
      </w:r>
      <w:r w:rsidR="00555BCA" w:rsidRPr="00555BCA">
        <w:rPr>
          <w:rFonts w:asciiTheme="minorHAnsi" w:hAnsiTheme="minorHAnsi" w:cstheme="minorHAnsi"/>
          <w:bCs/>
          <w:color w:val="000000" w:themeColor="text1"/>
        </w:rPr>
        <w:t>for a total of 1.5 x 10</w:t>
      </w:r>
      <w:r w:rsidR="00555BCA" w:rsidRPr="00D62482">
        <w:rPr>
          <w:rFonts w:asciiTheme="minorHAnsi" w:hAnsiTheme="minorHAnsi" w:cstheme="minorHAnsi"/>
          <w:bCs/>
          <w:color w:val="000000" w:themeColor="text1"/>
          <w:vertAlign w:val="superscript"/>
        </w:rPr>
        <w:t>7</w:t>
      </w:r>
      <w:r w:rsidR="00555BCA">
        <w:rPr>
          <w:rFonts w:asciiTheme="minorHAnsi" w:hAnsiTheme="minorHAnsi" w:cstheme="minorHAnsi"/>
          <w:bCs/>
          <w:color w:val="000000" w:themeColor="text1"/>
        </w:rPr>
        <w:t xml:space="preserve">, </w:t>
      </w:r>
      <w:r w:rsidR="00495F80" w:rsidRPr="00D97C77">
        <w:rPr>
          <w:rFonts w:asciiTheme="minorHAnsi" w:hAnsiTheme="minorHAnsi" w:cstheme="minorHAnsi"/>
          <w:bCs/>
          <w:color w:val="000000" w:themeColor="text1"/>
        </w:rPr>
        <w:t>n</w:t>
      </w:r>
      <w:r w:rsidR="00306D4E">
        <w:rPr>
          <w:rFonts w:asciiTheme="minorHAnsi" w:hAnsiTheme="minorHAnsi" w:cstheme="minorHAnsi"/>
          <w:bCs/>
          <w:color w:val="000000" w:themeColor="text1"/>
        </w:rPr>
        <w:t xml:space="preserve"> </w:t>
      </w:r>
      <w:r w:rsidR="00495F80" w:rsidRPr="00D97C77">
        <w:rPr>
          <w:rFonts w:asciiTheme="minorHAnsi" w:hAnsiTheme="minorHAnsi" w:cstheme="minorHAnsi"/>
          <w:bCs/>
          <w:color w:val="000000" w:themeColor="text1"/>
        </w:rPr>
        <w:t>=</w:t>
      </w:r>
      <w:r w:rsidR="00306D4E">
        <w:rPr>
          <w:rFonts w:asciiTheme="minorHAnsi" w:hAnsiTheme="minorHAnsi" w:cstheme="minorHAnsi"/>
          <w:bCs/>
          <w:color w:val="000000" w:themeColor="text1"/>
        </w:rPr>
        <w:t xml:space="preserve"> </w:t>
      </w:r>
      <w:r w:rsidR="00495F80" w:rsidRPr="00D97C77">
        <w:rPr>
          <w:rFonts w:asciiTheme="minorHAnsi" w:hAnsiTheme="minorHAnsi" w:cstheme="minorHAnsi"/>
          <w:bCs/>
          <w:color w:val="000000" w:themeColor="text1"/>
        </w:rPr>
        <w:t>4). Data are expressed as mean ± SEM. Total WBCs are defined as CD45</w:t>
      </w:r>
      <w:r w:rsidR="00495F80" w:rsidRPr="005C0C29">
        <w:rPr>
          <w:rFonts w:asciiTheme="minorHAnsi" w:hAnsiTheme="minorHAnsi" w:cstheme="minorHAnsi"/>
          <w:bCs/>
          <w:color w:val="000000" w:themeColor="text1"/>
          <w:vertAlign w:val="superscript"/>
        </w:rPr>
        <w:t>+</w:t>
      </w:r>
      <w:r w:rsidR="00495F80" w:rsidRPr="00D97C77">
        <w:rPr>
          <w:rFonts w:asciiTheme="minorHAnsi" w:hAnsiTheme="minorHAnsi" w:cstheme="minorHAnsi"/>
          <w:bCs/>
          <w:color w:val="000000" w:themeColor="text1"/>
        </w:rPr>
        <w:t xml:space="preserve">; </w:t>
      </w:r>
      <w:r w:rsidR="00495F80" w:rsidRPr="00D97C77">
        <w:rPr>
          <w:rFonts w:asciiTheme="minorHAnsi" w:hAnsiTheme="minorHAnsi" w:cstheme="minorHAnsi"/>
          <w:bCs/>
          <w:color w:val="000000" w:themeColor="text1"/>
        </w:rPr>
        <w:lastRenderedPageBreak/>
        <w:t>Neutrophils as Ly6G</w:t>
      </w:r>
      <w:r w:rsidR="00495F80" w:rsidRPr="005C0C29">
        <w:rPr>
          <w:rFonts w:asciiTheme="minorHAnsi" w:hAnsiTheme="minorHAnsi" w:cstheme="minorHAnsi"/>
          <w:bCs/>
          <w:color w:val="000000" w:themeColor="text1"/>
          <w:vertAlign w:val="superscript"/>
        </w:rPr>
        <w:t>+</w:t>
      </w:r>
      <w:r w:rsidR="00495F80" w:rsidRPr="00D97C77">
        <w:rPr>
          <w:rFonts w:asciiTheme="minorHAnsi" w:hAnsiTheme="minorHAnsi" w:cstheme="minorHAnsi"/>
          <w:bCs/>
          <w:color w:val="000000" w:themeColor="text1"/>
        </w:rPr>
        <w:t>; Ly6C</w:t>
      </w:r>
      <w:r w:rsidR="00495F80" w:rsidRPr="005C0C29">
        <w:rPr>
          <w:rFonts w:asciiTheme="minorHAnsi" w:hAnsiTheme="minorHAnsi" w:cstheme="minorHAnsi"/>
          <w:bCs/>
          <w:color w:val="000000" w:themeColor="text1"/>
          <w:vertAlign w:val="superscript"/>
        </w:rPr>
        <w:t xml:space="preserve">hi </w:t>
      </w:r>
      <w:r w:rsidR="00495F80" w:rsidRPr="00D97C77">
        <w:rPr>
          <w:rFonts w:asciiTheme="minorHAnsi" w:hAnsiTheme="minorHAnsi" w:cstheme="minorHAnsi"/>
          <w:bCs/>
          <w:color w:val="000000" w:themeColor="text1"/>
        </w:rPr>
        <w:t>monocytes as CD115</w:t>
      </w:r>
      <w:r w:rsidR="00495F80" w:rsidRPr="005C0C29">
        <w:rPr>
          <w:rFonts w:asciiTheme="minorHAnsi" w:hAnsiTheme="minorHAnsi" w:cstheme="minorHAnsi"/>
          <w:bCs/>
          <w:color w:val="000000" w:themeColor="text1"/>
          <w:vertAlign w:val="superscript"/>
        </w:rPr>
        <w:t>+</w:t>
      </w:r>
      <w:r w:rsidR="009768BA">
        <w:rPr>
          <w:rFonts w:asciiTheme="minorHAnsi" w:hAnsiTheme="minorHAnsi" w:cstheme="minorHAnsi"/>
          <w:bCs/>
          <w:color w:val="000000" w:themeColor="text1"/>
        </w:rPr>
        <w:t>,</w:t>
      </w:r>
      <w:r w:rsidR="00495F80" w:rsidRPr="00D97C77">
        <w:rPr>
          <w:rFonts w:asciiTheme="minorHAnsi" w:hAnsiTheme="minorHAnsi" w:cstheme="minorHAnsi"/>
          <w:bCs/>
          <w:color w:val="000000" w:themeColor="text1"/>
        </w:rPr>
        <w:t xml:space="preserve"> Ly6G</w:t>
      </w:r>
      <w:r w:rsidR="00495F80" w:rsidRPr="005C0C29">
        <w:rPr>
          <w:rFonts w:asciiTheme="minorHAnsi" w:hAnsiTheme="minorHAnsi" w:cstheme="minorHAnsi"/>
          <w:bCs/>
          <w:color w:val="000000" w:themeColor="text1"/>
          <w:vertAlign w:val="superscript"/>
        </w:rPr>
        <w:t>-</w:t>
      </w:r>
      <w:r w:rsidR="009768BA">
        <w:rPr>
          <w:rFonts w:asciiTheme="minorHAnsi" w:hAnsiTheme="minorHAnsi" w:cstheme="minorHAnsi"/>
          <w:bCs/>
          <w:color w:val="000000" w:themeColor="text1"/>
        </w:rPr>
        <w:t xml:space="preserve">, </w:t>
      </w:r>
      <w:r w:rsidR="00495F80" w:rsidRPr="00D97C77">
        <w:rPr>
          <w:rFonts w:asciiTheme="minorHAnsi" w:hAnsiTheme="minorHAnsi" w:cstheme="minorHAnsi"/>
          <w:bCs/>
          <w:color w:val="000000" w:themeColor="text1"/>
        </w:rPr>
        <w:t>and Ly6C</w:t>
      </w:r>
      <w:r w:rsidR="00495F80" w:rsidRPr="005C0C29">
        <w:rPr>
          <w:rFonts w:asciiTheme="minorHAnsi" w:hAnsiTheme="minorHAnsi" w:cstheme="minorHAnsi"/>
          <w:bCs/>
          <w:color w:val="000000" w:themeColor="text1"/>
          <w:vertAlign w:val="superscript"/>
        </w:rPr>
        <w:t>+</w:t>
      </w:r>
      <w:r w:rsidR="00495F80" w:rsidRPr="00D97C77">
        <w:rPr>
          <w:rFonts w:asciiTheme="minorHAnsi" w:hAnsiTheme="minorHAnsi" w:cstheme="minorHAnsi"/>
          <w:bCs/>
          <w:color w:val="000000" w:themeColor="text1"/>
        </w:rPr>
        <w:t>; Ly6C</w:t>
      </w:r>
      <w:r w:rsidR="00495F80" w:rsidRPr="005C0C29">
        <w:rPr>
          <w:rFonts w:asciiTheme="minorHAnsi" w:hAnsiTheme="minorHAnsi" w:cstheme="minorHAnsi"/>
          <w:bCs/>
          <w:color w:val="000000" w:themeColor="text1"/>
          <w:vertAlign w:val="superscript"/>
        </w:rPr>
        <w:t>lo</w:t>
      </w:r>
      <w:r w:rsidR="00495F80" w:rsidRPr="00D97C77">
        <w:rPr>
          <w:rFonts w:asciiTheme="minorHAnsi" w:hAnsiTheme="minorHAnsi" w:cstheme="minorHAnsi"/>
          <w:bCs/>
          <w:color w:val="000000" w:themeColor="text1"/>
        </w:rPr>
        <w:t xml:space="preserve"> monocytes as CD115</w:t>
      </w:r>
      <w:r w:rsidR="00495F80" w:rsidRPr="005C0C29">
        <w:rPr>
          <w:rFonts w:asciiTheme="minorHAnsi" w:hAnsiTheme="minorHAnsi" w:cstheme="minorHAnsi"/>
          <w:bCs/>
          <w:color w:val="000000" w:themeColor="text1"/>
          <w:vertAlign w:val="superscript"/>
        </w:rPr>
        <w:t>+</w:t>
      </w:r>
      <w:r w:rsidR="009768BA">
        <w:rPr>
          <w:rFonts w:asciiTheme="minorHAnsi" w:hAnsiTheme="minorHAnsi" w:cstheme="minorHAnsi"/>
          <w:bCs/>
          <w:color w:val="000000" w:themeColor="text1"/>
        </w:rPr>
        <w:t>,</w:t>
      </w:r>
      <w:r w:rsidR="00495F80" w:rsidRPr="00D97C77">
        <w:rPr>
          <w:rFonts w:asciiTheme="minorHAnsi" w:hAnsiTheme="minorHAnsi" w:cstheme="minorHAnsi"/>
          <w:bCs/>
          <w:color w:val="000000" w:themeColor="text1"/>
        </w:rPr>
        <w:t xml:space="preserve"> Ly6G</w:t>
      </w:r>
      <w:r w:rsidR="00495F80" w:rsidRPr="005C0C29">
        <w:rPr>
          <w:rFonts w:asciiTheme="minorHAnsi" w:hAnsiTheme="minorHAnsi" w:cstheme="minorHAnsi"/>
          <w:bCs/>
          <w:color w:val="000000" w:themeColor="text1"/>
          <w:vertAlign w:val="superscript"/>
        </w:rPr>
        <w:t>-</w:t>
      </w:r>
      <w:r w:rsidR="009768BA" w:rsidRPr="00120F94">
        <w:rPr>
          <w:rFonts w:asciiTheme="minorHAnsi" w:hAnsiTheme="minorHAnsi" w:cstheme="minorHAnsi"/>
          <w:bCs/>
          <w:color w:val="000000" w:themeColor="text1"/>
        </w:rPr>
        <w:t xml:space="preserve"> </w:t>
      </w:r>
      <w:r w:rsidR="009768BA">
        <w:rPr>
          <w:rFonts w:asciiTheme="minorHAnsi" w:hAnsiTheme="minorHAnsi" w:cstheme="minorHAnsi"/>
          <w:bCs/>
          <w:color w:val="000000" w:themeColor="text1"/>
        </w:rPr>
        <w:t>,</w:t>
      </w:r>
      <w:r w:rsidR="00495F80" w:rsidRPr="00D97C77">
        <w:rPr>
          <w:rFonts w:asciiTheme="minorHAnsi" w:hAnsiTheme="minorHAnsi" w:cstheme="minorHAnsi"/>
          <w:bCs/>
          <w:color w:val="000000" w:themeColor="text1"/>
        </w:rPr>
        <w:t>and Ly6C</w:t>
      </w:r>
      <w:r w:rsidR="00495F80" w:rsidRPr="005C0C29">
        <w:rPr>
          <w:rFonts w:asciiTheme="minorHAnsi" w:hAnsiTheme="minorHAnsi" w:cstheme="minorHAnsi"/>
          <w:bCs/>
          <w:color w:val="000000" w:themeColor="text1"/>
          <w:vertAlign w:val="superscript"/>
        </w:rPr>
        <w:t>-</w:t>
      </w:r>
      <w:r w:rsidR="00495F80" w:rsidRPr="00D97C77">
        <w:rPr>
          <w:rFonts w:asciiTheme="minorHAnsi" w:hAnsiTheme="minorHAnsi" w:cstheme="minorHAnsi"/>
          <w:bCs/>
          <w:color w:val="000000" w:themeColor="text1"/>
        </w:rPr>
        <w:t>; B cells as CD45R</w:t>
      </w:r>
      <w:r w:rsidR="00495F80" w:rsidRPr="005C0C29">
        <w:rPr>
          <w:rFonts w:asciiTheme="minorHAnsi" w:hAnsiTheme="minorHAnsi" w:cstheme="minorHAnsi"/>
          <w:bCs/>
          <w:color w:val="000000" w:themeColor="text1"/>
          <w:vertAlign w:val="superscript"/>
        </w:rPr>
        <w:t>+</w:t>
      </w:r>
      <w:r w:rsidR="00495F80" w:rsidRPr="00D97C77">
        <w:rPr>
          <w:rFonts w:asciiTheme="minorHAnsi" w:hAnsiTheme="minorHAnsi" w:cstheme="minorHAnsi"/>
          <w:bCs/>
          <w:color w:val="000000" w:themeColor="text1"/>
        </w:rPr>
        <w:t>; CD4</w:t>
      </w:r>
      <w:r w:rsidR="00495F80" w:rsidRPr="005C0C29">
        <w:rPr>
          <w:rFonts w:asciiTheme="minorHAnsi" w:hAnsiTheme="minorHAnsi" w:cstheme="minorHAnsi"/>
          <w:bCs/>
          <w:color w:val="000000" w:themeColor="text1"/>
          <w:vertAlign w:val="superscript"/>
        </w:rPr>
        <w:t>+</w:t>
      </w:r>
      <w:r w:rsidR="00495F80" w:rsidRPr="00D97C77">
        <w:rPr>
          <w:rFonts w:asciiTheme="minorHAnsi" w:hAnsiTheme="minorHAnsi" w:cstheme="minorHAnsi"/>
          <w:bCs/>
          <w:color w:val="000000" w:themeColor="text1"/>
        </w:rPr>
        <w:t xml:space="preserve"> T cells as CD3e</w:t>
      </w:r>
      <w:r w:rsidR="00495F80" w:rsidRPr="005C0C29">
        <w:rPr>
          <w:rFonts w:asciiTheme="minorHAnsi" w:hAnsiTheme="minorHAnsi" w:cstheme="minorHAnsi"/>
          <w:bCs/>
          <w:color w:val="000000" w:themeColor="text1"/>
          <w:vertAlign w:val="superscript"/>
        </w:rPr>
        <w:t>+</w:t>
      </w:r>
      <w:r w:rsidR="00495F80" w:rsidRPr="00D97C77">
        <w:rPr>
          <w:rFonts w:asciiTheme="minorHAnsi" w:hAnsiTheme="minorHAnsi" w:cstheme="minorHAnsi"/>
          <w:bCs/>
          <w:color w:val="000000" w:themeColor="text1"/>
        </w:rPr>
        <w:t xml:space="preserve"> and CD4</w:t>
      </w:r>
      <w:r w:rsidR="00495F80" w:rsidRPr="005C0C29">
        <w:rPr>
          <w:rFonts w:asciiTheme="minorHAnsi" w:hAnsiTheme="minorHAnsi" w:cstheme="minorHAnsi"/>
          <w:bCs/>
          <w:color w:val="000000" w:themeColor="text1"/>
          <w:vertAlign w:val="superscript"/>
        </w:rPr>
        <w:t>+</w:t>
      </w:r>
      <w:r w:rsidR="00495F80" w:rsidRPr="00D97C77">
        <w:rPr>
          <w:rFonts w:asciiTheme="minorHAnsi" w:hAnsiTheme="minorHAnsi" w:cstheme="minorHAnsi"/>
          <w:bCs/>
          <w:color w:val="000000" w:themeColor="text1"/>
        </w:rPr>
        <w:t>; CD8</w:t>
      </w:r>
      <w:r w:rsidR="00495F80" w:rsidRPr="005C0C29">
        <w:rPr>
          <w:rFonts w:asciiTheme="minorHAnsi" w:hAnsiTheme="minorHAnsi" w:cstheme="minorHAnsi"/>
          <w:bCs/>
          <w:color w:val="000000" w:themeColor="text1"/>
          <w:vertAlign w:val="superscript"/>
        </w:rPr>
        <w:t>+</w:t>
      </w:r>
      <w:r w:rsidR="00495F80" w:rsidRPr="00D97C77">
        <w:rPr>
          <w:rFonts w:asciiTheme="minorHAnsi" w:hAnsiTheme="minorHAnsi" w:cstheme="minorHAnsi"/>
          <w:bCs/>
          <w:color w:val="000000" w:themeColor="text1"/>
        </w:rPr>
        <w:t xml:space="preserve"> T cells as CD3e</w:t>
      </w:r>
      <w:r w:rsidR="00495F80" w:rsidRPr="005C0C29">
        <w:rPr>
          <w:rFonts w:asciiTheme="minorHAnsi" w:hAnsiTheme="minorHAnsi" w:cstheme="minorHAnsi"/>
          <w:bCs/>
          <w:color w:val="000000" w:themeColor="text1"/>
          <w:vertAlign w:val="superscript"/>
        </w:rPr>
        <w:t>+</w:t>
      </w:r>
      <w:r w:rsidR="00495F80" w:rsidRPr="005C0C29">
        <w:rPr>
          <w:rFonts w:asciiTheme="minorHAnsi" w:hAnsiTheme="minorHAnsi" w:cstheme="minorHAnsi"/>
          <w:bCs/>
          <w:color w:val="000000" w:themeColor="text1"/>
        </w:rPr>
        <w:t xml:space="preserve"> </w:t>
      </w:r>
      <w:r w:rsidR="00495F80" w:rsidRPr="00D97C77">
        <w:rPr>
          <w:rFonts w:asciiTheme="minorHAnsi" w:hAnsiTheme="minorHAnsi" w:cstheme="minorHAnsi"/>
          <w:bCs/>
          <w:color w:val="000000" w:themeColor="text1"/>
        </w:rPr>
        <w:t>and CD8</w:t>
      </w:r>
      <w:r w:rsidR="00495F80" w:rsidRPr="005C0C29">
        <w:rPr>
          <w:rFonts w:asciiTheme="minorHAnsi" w:hAnsiTheme="minorHAnsi" w:cstheme="minorHAnsi"/>
          <w:bCs/>
          <w:color w:val="000000" w:themeColor="text1"/>
          <w:vertAlign w:val="superscript"/>
        </w:rPr>
        <w:t>+</w:t>
      </w:r>
      <w:r w:rsidR="00495F80" w:rsidRPr="00D97C77">
        <w:rPr>
          <w:rFonts w:asciiTheme="minorHAnsi" w:hAnsiTheme="minorHAnsi" w:cstheme="minorHAnsi"/>
          <w:bCs/>
          <w:color w:val="000000" w:themeColor="text1"/>
        </w:rPr>
        <w:t>; and Macrophages as CD64</w:t>
      </w:r>
      <w:r w:rsidR="00495F80" w:rsidRPr="005C0C29">
        <w:rPr>
          <w:rFonts w:asciiTheme="minorHAnsi" w:hAnsiTheme="minorHAnsi" w:cstheme="minorHAnsi"/>
          <w:bCs/>
          <w:color w:val="000000" w:themeColor="text1"/>
          <w:vertAlign w:val="superscript"/>
        </w:rPr>
        <w:t>+</w:t>
      </w:r>
      <w:r w:rsidR="00495F80" w:rsidRPr="00D97C77">
        <w:rPr>
          <w:rFonts w:asciiTheme="minorHAnsi" w:hAnsiTheme="minorHAnsi" w:cstheme="minorHAnsi"/>
          <w:bCs/>
          <w:color w:val="000000" w:themeColor="text1"/>
        </w:rPr>
        <w:t>, Ly6G</w:t>
      </w:r>
      <w:r w:rsidR="00495F80" w:rsidRPr="005C0C29">
        <w:rPr>
          <w:rFonts w:asciiTheme="minorHAnsi" w:hAnsiTheme="minorHAnsi" w:cstheme="minorHAnsi"/>
          <w:bCs/>
          <w:color w:val="000000" w:themeColor="text1"/>
          <w:vertAlign w:val="superscript"/>
        </w:rPr>
        <w:t>-</w:t>
      </w:r>
      <w:r w:rsidR="00495F80" w:rsidRPr="00D97C77">
        <w:rPr>
          <w:rFonts w:asciiTheme="minorHAnsi" w:hAnsiTheme="minorHAnsi" w:cstheme="minorHAnsi"/>
          <w:bCs/>
          <w:color w:val="000000" w:themeColor="text1"/>
        </w:rPr>
        <w:t>, and Ly6C</w:t>
      </w:r>
      <w:r w:rsidR="00495F80" w:rsidRPr="005C0C29">
        <w:rPr>
          <w:rFonts w:asciiTheme="minorHAnsi" w:hAnsiTheme="minorHAnsi" w:cstheme="minorHAnsi"/>
          <w:bCs/>
          <w:color w:val="000000" w:themeColor="text1"/>
          <w:vertAlign w:val="superscript"/>
        </w:rPr>
        <w:t>-</w:t>
      </w:r>
      <w:r w:rsidR="00495F80" w:rsidRPr="00D97C77">
        <w:rPr>
          <w:rFonts w:asciiTheme="minorHAnsi" w:hAnsiTheme="minorHAnsi" w:cstheme="minorHAnsi"/>
          <w:bCs/>
          <w:color w:val="000000" w:themeColor="text1"/>
        </w:rPr>
        <w:t>. (WBC</w:t>
      </w:r>
      <w:r w:rsidR="009768BA">
        <w:rPr>
          <w:rFonts w:asciiTheme="minorHAnsi" w:hAnsiTheme="minorHAnsi" w:cstheme="minorHAnsi"/>
          <w:bCs/>
          <w:color w:val="000000" w:themeColor="text1"/>
        </w:rPr>
        <w:t>s</w:t>
      </w:r>
      <w:r w:rsidR="00495F80" w:rsidRPr="00D97C77">
        <w:rPr>
          <w:rFonts w:asciiTheme="minorHAnsi" w:hAnsiTheme="minorHAnsi" w:cstheme="minorHAnsi"/>
          <w:bCs/>
          <w:color w:val="000000" w:themeColor="text1"/>
        </w:rPr>
        <w:t>: white blood cells, Neut: neutrophils, Mono: monocytes, Mac: macrophages)</w:t>
      </w:r>
      <w:r w:rsidR="00FA32AD">
        <w:rPr>
          <w:rFonts w:asciiTheme="minorHAnsi" w:hAnsiTheme="minorHAnsi" w:cstheme="minorHAnsi"/>
          <w:bCs/>
          <w:color w:val="000000" w:themeColor="text1"/>
        </w:rPr>
        <w:t>.</w:t>
      </w:r>
      <w:r w:rsidR="00785F61" w:rsidRPr="00785F61">
        <w:rPr>
          <w:rFonts w:asciiTheme="minorHAnsi" w:hAnsiTheme="minorHAnsi" w:cstheme="minorHAnsi"/>
          <w:b/>
          <w:color w:val="000000" w:themeColor="text1"/>
        </w:rPr>
        <w:t xml:space="preserve"> </w:t>
      </w:r>
      <w:r w:rsidR="00785F61" w:rsidRPr="00120F94">
        <w:rPr>
          <w:rFonts w:asciiTheme="minorHAnsi" w:hAnsiTheme="minorHAnsi" w:cstheme="minorHAnsi"/>
          <w:b/>
          <w:color w:val="000000" w:themeColor="text1"/>
        </w:rPr>
        <w:t>Figure 2</w:t>
      </w:r>
      <w:proofErr w:type="gramStart"/>
      <w:r w:rsidR="00785F61" w:rsidRPr="00120F94">
        <w:rPr>
          <w:rFonts w:asciiTheme="minorHAnsi" w:hAnsiTheme="minorHAnsi" w:cstheme="minorHAnsi"/>
          <w:b/>
          <w:color w:val="000000" w:themeColor="text1"/>
        </w:rPr>
        <w:t>A,C</w:t>
      </w:r>
      <w:proofErr w:type="gramEnd"/>
      <w:r w:rsidR="00785F61" w:rsidRPr="00D97C77">
        <w:rPr>
          <w:rFonts w:asciiTheme="minorHAnsi" w:hAnsiTheme="minorHAnsi" w:cstheme="minorHAnsi"/>
          <w:bCs/>
          <w:color w:val="000000" w:themeColor="text1"/>
        </w:rPr>
        <w:t xml:space="preserve"> have been modified from Wang et al</w:t>
      </w:r>
      <w:r w:rsidR="00785F61">
        <w:rPr>
          <w:rFonts w:asciiTheme="minorHAnsi" w:hAnsiTheme="minorHAnsi" w:cstheme="minorHAnsi"/>
          <w:bCs/>
          <w:color w:val="000000" w:themeColor="text1"/>
        </w:rPr>
        <w:t>.</w:t>
      </w:r>
      <w:r w:rsidR="00785F61" w:rsidRPr="00D97C77">
        <w:rPr>
          <w:rFonts w:asciiTheme="minorHAnsi" w:hAnsiTheme="minorHAnsi" w:cstheme="minorHAnsi"/>
          <w:bCs/>
          <w:color w:val="000000" w:themeColor="text1"/>
          <w:vertAlign w:val="superscript"/>
        </w:rPr>
        <w:t>9</w:t>
      </w:r>
      <w:r w:rsidR="00785F61" w:rsidRPr="00D97C77">
        <w:rPr>
          <w:rFonts w:asciiTheme="minorHAnsi" w:hAnsiTheme="minorHAnsi" w:cstheme="minorHAnsi"/>
          <w:bCs/>
          <w:color w:val="000000" w:themeColor="text1"/>
        </w:rPr>
        <w:t>.</w:t>
      </w:r>
    </w:p>
    <w:p w14:paraId="78C3B049" w14:textId="77777777" w:rsidR="00D97C77" w:rsidRDefault="00D97C77" w:rsidP="000C770D">
      <w:pPr>
        <w:jc w:val="both"/>
        <w:rPr>
          <w:rFonts w:asciiTheme="minorHAnsi" w:hAnsiTheme="minorHAnsi" w:cstheme="minorHAnsi"/>
          <w:bCs/>
          <w:color w:val="000000" w:themeColor="text1"/>
        </w:rPr>
      </w:pPr>
    </w:p>
    <w:p w14:paraId="5D63532E" w14:textId="7DAD9BC6" w:rsidR="000C770D" w:rsidRPr="007723E6" w:rsidRDefault="005E376D" w:rsidP="000C770D">
      <w:pPr>
        <w:jc w:val="both"/>
        <w:rPr>
          <w:rFonts w:ascii="Calibri" w:hAnsi="Calibri" w:cs="Calibri"/>
          <w:b/>
          <w:color w:val="000000" w:themeColor="text1"/>
        </w:rPr>
      </w:pPr>
      <w:r w:rsidRPr="00D97C77">
        <w:rPr>
          <w:rFonts w:ascii="Calibri" w:hAnsi="Calibri" w:cs="Calibri"/>
          <w:b/>
          <w:color w:val="000000" w:themeColor="text1"/>
        </w:rPr>
        <w:t>Figure 3</w:t>
      </w:r>
      <w:r w:rsidR="000C770D">
        <w:rPr>
          <w:rFonts w:ascii="Calibri" w:hAnsi="Calibri" w:cs="Calibri"/>
          <w:b/>
          <w:color w:val="000000" w:themeColor="text1"/>
        </w:rPr>
        <w:t xml:space="preserve">: </w:t>
      </w:r>
      <w:r w:rsidRPr="00D97C77">
        <w:rPr>
          <w:rFonts w:ascii="Calibri" w:hAnsi="Calibri" w:cs="Calibri"/>
          <w:b/>
          <w:color w:val="000000" w:themeColor="text1"/>
        </w:rPr>
        <w:t xml:space="preserve">Clonal expansion of </w:t>
      </w:r>
      <w:r w:rsidRPr="00D62482">
        <w:rPr>
          <w:rFonts w:ascii="Calibri" w:hAnsi="Calibri" w:cs="Calibri"/>
          <w:b/>
          <w:i/>
          <w:iCs/>
          <w:color w:val="000000" w:themeColor="text1"/>
        </w:rPr>
        <w:t>Tet2-deficient</w:t>
      </w:r>
      <w:r w:rsidRPr="00D97C77">
        <w:rPr>
          <w:rFonts w:ascii="Calibri" w:hAnsi="Calibri" w:cs="Calibri"/>
          <w:b/>
          <w:color w:val="000000" w:themeColor="text1"/>
        </w:rPr>
        <w:t xml:space="preserve"> cells using adoptive </w:t>
      </w:r>
      <w:r w:rsidR="006420BA">
        <w:rPr>
          <w:rFonts w:ascii="Calibri" w:hAnsi="Calibri" w:cs="Calibri"/>
          <w:b/>
          <w:color w:val="000000" w:themeColor="text1"/>
        </w:rPr>
        <w:t>BMT</w:t>
      </w:r>
      <w:r w:rsidR="006420BA" w:rsidRPr="00D97C77">
        <w:rPr>
          <w:rFonts w:ascii="Calibri" w:hAnsi="Calibri" w:cs="Calibri"/>
          <w:b/>
          <w:color w:val="000000" w:themeColor="text1"/>
        </w:rPr>
        <w:t xml:space="preserve"> </w:t>
      </w:r>
      <w:r w:rsidRPr="00D97C77">
        <w:rPr>
          <w:rFonts w:ascii="Calibri" w:hAnsi="Calibri" w:cs="Calibri"/>
          <w:b/>
          <w:color w:val="000000" w:themeColor="text1"/>
        </w:rPr>
        <w:t xml:space="preserve">to non-conditioned mice. </w:t>
      </w:r>
      <w:r w:rsidR="009768BA" w:rsidRPr="00D62482">
        <w:rPr>
          <w:rFonts w:ascii="Calibri" w:hAnsi="Calibri" w:cs="Calibri"/>
        </w:rPr>
        <w:t>CD45.2</w:t>
      </w:r>
      <w:r w:rsidR="009768BA" w:rsidRPr="00D62482">
        <w:rPr>
          <w:rFonts w:ascii="Calibri" w:hAnsi="Calibri" w:cs="Calibri"/>
          <w:vertAlign w:val="superscript"/>
        </w:rPr>
        <w:t>+</w:t>
      </w:r>
      <w:r w:rsidR="009768BA" w:rsidRPr="00D62482">
        <w:rPr>
          <w:rFonts w:ascii="Calibri" w:hAnsi="Calibri" w:cs="Calibri"/>
        </w:rPr>
        <w:t xml:space="preserve"> donor bone marrow cells (</w:t>
      </w:r>
      <w:r w:rsidR="009768BA" w:rsidRPr="00D62482">
        <w:rPr>
          <w:rFonts w:ascii="Calibri" w:hAnsi="Calibri" w:cs="Calibri"/>
          <w:i/>
          <w:iCs/>
        </w:rPr>
        <w:t>WT</w:t>
      </w:r>
      <w:r w:rsidR="009768BA" w:rsidRPr="00D62482">
        <w:rPr>
          <w:rFonts w:ascii="Calibri" w:hAnsi="Calibri" w:cs="Calibri"/>
        </w:rPr>
        <w:t xml:space="preserve"> or </w:t>
      </w:r>
      <w:r w:rsidR="009768BA" w:rsidRPr="00D62482">
        <w:rPr>
          <w:rFonts w:ascii="Calibri" w:hAnsi="Calibri" w:cs="Calibri"/>
          <w:i/>
          <w:iCs/>
        </w:rPr>
        <w:t>Tet2</w:t>
      </w:r>
      <w:r w:rsidR="009768BA" w:rsidRPr="00D62482">
        <w:rPr>
          <w:rFonts w:ascii="Calibri" w:hAnsi="Calibri" w:cs="Calibri"/>
        </w:rPr>
        <w:t>-/-) were transplanted into CD45.1</w:t>
      </w:r>
      <w:r w:rsidR="009768BA" w:rsidRPr="00D62482">
        <w:rPr>
          <w:rFonts w:ascii="Calibri" w:hAnsi="Calibri" w:cs="Calibri"/>
          <w:vertAlign w:val="superscript"/>
        </w:rPr>
        <w:t>+</w:t>
      </w:r>
      <w:r w:rsidR="009768BA" w:rsidRPr="00D62482">
        <w:rPr>
          <w:rFonts w:ascii="Calibri" w:hAnsi="Calibri" w:cs="Calibri"/>
        </w:rPr>
        <w:t xml:space="preserve"> recipient mice.</w:t>
      </w:r>
      <w:r w:rsidR="009768BA" w:rsidRPr="00C322EE">
        <w:t xml:space="preserve"> </w:t>
      </w:r>
      <w:r w:rsidR="009768BA" w:rsidRPr="00D62482">
        <w:rPr>
          <w:rFonts w:ascii="Calibri" w:hAnsi="Calibri" w:cs="Calibri"/>
        </w:rPr>
        <w:t xml:space="preserve">Recipients without conditioning were transplanted with 5 </w:t>
      </w:r>
      <w:r w:rsidR="00A03C33">
        <w:rPr>
          <w:rFonts w:ascii="Calibri" w:hAnsi="Calibri" w:cs="Calibri"/>
        </w:rPr>
        <w:t>x</w:t>
      </w:r>
      <w:r w:rsidR="00A03C33" w:rsidRPr="00D62482">
        <w:rPr>
          <w:rFonts w:ascii="Calibri" w:hAnsi="Calibri" w:cs="Calibri"/>
        </w:rPr>
        <w:t xml:space="preserve"> </w:t>
      </w:r>
      <w:r w:rsidR="009768BA" w:rsidRPr="00D62482">
        <w:rPr>
          <w:rFonts w:ascii="Calibri" w:hAnsi="Calibri" w:cs="Calibri"/>
        </w:rPr>
        <w:t>10</w:t>
      </w:r>
      <w:r w:rsidR="009768BA" w:rsidRPr="00D62482">
        <w:rPr>
          <w:rFonts w:ascii="Calibri" w:hAnsi="Calibri" w:cs="Calibri"/>
          <w:vertAlign w:val="superscript"/>
        </w:rPr>
        <w:t>6</w:t>
      </w:r>
      <w:r w:rsidR="009768BA" w:rsidRPr="00D62482">
        <w:rPr>
          <w:rFonts w:ascii="Calibri" w:hAnsi="Calibri" w:cs="Calibri"/>
        </w:rPr>
        <w:t xml:space="preserve"> bone marrow cells each day for 3 consecutive days (for a total of 1.5 x 10</w:t>
      </w:r>
      <w:r w:rsidR="009768BA" w:rsidRPr="00D62482">
        <w:rPr>
          <w:rFonts w:ascii="Calibri" w:hAnsi="Calibri" w:cs="Calibri"/>
          <w:vertAlign w:val="superscript"/>
        </w:rPr>
        <w:t>7</w:t>
      </w:r>
      <w:r w:rsidR="009768BA" w:rsidRPr="00D62482">
        <w:rPr>
          <w:rFonts w:ascii="Calibri" w:hAnsi="Calibri" w:cs="Calibri"/>
        </w:rPr>
        <w:t>, n</w:t>
      </w:r>
      <w:r w:rsidR="00A03C33">
        <w:rPr>
          <w:rFonts w:ascii="Calibri" w:hAnsi="Calibri" w:cs="Calibri"/>
        </w:rPr>
        <w:t xml:space="preserve"> </w:t>
      </w:r>
      <w:r w:rsidR="009768BA" w:rsidRPr="00D62482">
        <w:rPr>
          <w:rFonts w:ascii="Calibri" w:hAnsi="Calibri" w:cs="Calibri"/>
        </w:rPr>
        <w:t>=</w:t>
      </w:r>
      <w:r w:rsidR="00A03C33">
        <w:rPr>
          <w:rFonts w:ascii="Calibri" w:hAnsi="Calibri" w:cs="Calibri"/>
        </w:rPr>
        <w:t xml:space="preserve"> </w:t>
      </w:r>
      <w:r w:rsidR="009768BA" w:rsidRPr="00D62482">
        <w:rPr>
          <w:rFonts w:ascii="Calibri" w:hAnsi="Calibri" w:cs="Calibri"/>
        </w:rPr>
        <w:t>5-6 per group). Flow cytometric analysis of peripheral blood was performed after 4, 8, 12, and 16 weeks post-transplantation. The fraction of CD45.2</w:t>
      </w:r>
      <w:r w:rsidR="009768BA" w:rsidRPr="00D62482">
        <w:rPr>
          <w:rFonts w:ascii="Calibri" w:hAnsi="Calibri" w:cs="Calibri"/>
          <w:vertAlign w:val="superscript"/>
        </w:rPr>
        <w:t>+</w:t>
      </w:r>
      <w:r w:rsidR="009768BA" w:rsidRPr="00D62482">
        <w:rPr>
          <w:rFonts w:ascii="Calibri" w:hAnsi="Calibri" w:cs="Calibri"/>
        </w:rPr>
        <w:t xml:space="preserve"> donor cells in each population is shown. </w:t>
      </w:r>
      <w:r w:rsidR="009768BA" w:rsidRPr="00120F94">
        <w:rPr>
          <w:rFonts w:ascii="Calibri" w:hAnsi="Calibri" w:cs="Calibri"/>
        </w:rPr>
        <w:t>(</w:t>
      </w:r>
      <w:r w:rsidR="009768BA" w:rsidRPr="00D62482">
        <w:rPr>
          <w:rFonts w:ascii="Calibri" w:hAnsi="Calibri" w:cs="Calibri"/>
          <w:b/>
          <w:bCs/>
        </w:rPr>
        <w:t>A</w:t>
      </w:r>
      <w:r w:rsidR="009768BA" w:rsidRPr="00120F94">
        <w:rPr>
          <w:rFonts w:ascii="Calibri" w:hAnsi="Calibri" w:cs="Calibri"/>
        </w:rPr>
        <w:t>)</w:t>
      </w:r>
      <w:r w:rsidR="009768BA" w:rsidRPr="00D62482">
        <w:rPr>
          <w:rFonts w:ascii="Calibri" w:hAnsi="Calibri" w:cs="Calibri"/>
        </w:rPr>
        <w:t xml:space="preserve"> WBCs </w:t>
      </w:r>
      <w:r w:rsidR="009768BA" w:rsidRPr="00120F94">
        <w:rPr>
          <w:rFonts w:ascii="Calibri" w:hAnsi="Calibri" w:cs="Calibri"/>
        </w:rPr>
        <w:t>(</w:t>
      </w:r>
      <w:r w:rsidR="009768BA" w:rsidRPr="00D62482">
        <w:rPr>
          <w:rFonts w:ascii="Calibri" w:hAnsi="Calibri" w:cs="Calibri"/>
          <w:b/>
          <w:bCs/>
        </w:rPr>
        <w:t>B</w:t>
      </w:r>
      <w:r w:rsidR="009768BA" w:rsidRPr="00120F94">
        <w:rPr>
          <w:rFonts w:ascii="Calibri" w:hAnsi="Calibri" w:cs="Calibri"/>
        </w:rPr>
        <w:t>)</w:t>
      </w:r>
      <w:r w:rsidR="009768BA" w:rsidRPr="00D62482">
        <w:rPr>
          <w:rFonts w:ascii="Calibri" w:hAnsi="Calibri" w:cs="Calibri"/>
        </w:rPr>
        <w:t xml:space="preserve"> Mono </w:t>
      </w:r>
      <w:r w:rsidR="009768BA" w:rsidRPr="00120F94">
        <w:rPr>
          <w:rFonts w:ascii="Calibri" w:hAnsi="Calibri" w:cs="Calibri"/>
        </w:rPr>
        <w:t>(</w:t>
      </w:r>
      <w:r w:rsidR="009768BA" w:rsidRPr="00D62482">
        <w:rPr>
          <w:rFonts w:ascii="Calibri" w:hAnsi="Calibri" w:cs="Calibri"/>
          <w:b/>
          <w:bCs/>
        </w:rPr>
        <w:t>C</w:t>
      </w:r>
      <w:r w:rsidR="009768BA" w:rsidRPr="00120F94">
        <w:rPr>
          <w:rFonts w:ascii="Calibri" w:hAnsi="Calibri" w:cs="Calibri"/>
        </w:rPr>
        <w:t>)</w:t>
      </w:r>
      <w:r w:rsidR="009768BA" w:rsidRPr="00FC7B44">
        <w:rPr>
          <w:rFonts w:ascii="Calibri" w:hAnsi="Calibri" w:cs="Calibri"/>
        </w:rPr>
        <w:t xml:space="preserve"> Ly6C</w:t>
      </w:r>
      <w:r w:rsidR="009768BA" w:rsidRPr="00FC7B44">
        <w:rPr>
          <w:rFonts w:ascii="Calibri" w:hAnsi="Calibri" w:cs="Calibri"/>
          <w:vertAlign w:val="superscript"/>
        </w:rPr>
        <w:t>hi</w:t>
      </w:r>
      <w:r w:rsidR="009768BA" w:rsidRPr="00FC7B44">
        <w:rPr>
          <w:rFonts w:ascii="Calibri" w:hAnsi="Calibri" w:cs="Calibri"/>
        </w:rPr>
        <w:t xml:space="preserve"> mono </w:t>
      </w:r>
      <w:r w:rsidR="009768BA" w:rsidRPr="00120F94">
        <w:rPr>
          <w:rFonts w:ascii="Calibri" w:hAnsi="Calibri" w:cs="Calibri"/>
        </w:rPr>
        <w:t>(</w:t>
      </w:r>
      <w:r w:rsidR="009768BA" w:rsidRPr="00D62482">
        <w:rPr>
          <w:rFonts w:ascii="Calibri" w:hAnsi="Calibri" w:cs="Calibri"/>
          <w:b/>
          <w:bCs/>
        </w:rPr>
        <w:t>D</w:t>
      </w:r>
      <w:r w:rsidR="009768BA" w:rsidRPr="00120F94">
        <w:rPr>
          <w:rFonts w:ascii="Calibri" w:hAnsi="Calibri" w:cs="Calibri"/>
        </w:rPr>
        <w:t>)</w:t>
      </w:r>
      <w:r w:rsidR="009768BA" w:rsidRPr="00D62482">
        <w:rPr>
          <w:rFonts w:ascii="Calibri" w:hAnsi="Calibri" w:cs="Calibri"/>
        </w:rPr>
        <w:t xml:space="preserve"> </w:t>
      </w:r>
      <w:r w:rsidR="0062392F">
        <w:rPr>
          <w:rFonts w:ascii="Calibri" w:hAnsi="Calibri" w:cs="Calibri"/>
        </w:rPr>
        <w:t>B cells</w:t>
      </w:r>
      <w:r w:rsidR="009768BA" w:rsidRPr="00FC7B44">
        <w:rPr>
          <w:rFonts w:ascii="Calibri" w:hAnsi="Calibri" w:cs="Calibri"/>
        </w:rPr>
        <w:t xml:space="preserve"> </w:t>
      </w:r>
      <w:r w:rsidR="009768BA" w:rsidRPr="00120F94">
        <w:rPr>
          <w:rFonts w:ascii="Calibri" w:hAnsi="Calibri" w:cs="Calibri"/>
        </w:rPr>
        <w:t>(</w:t>
      </w:r>
      <w:r w:rsidR="009768BA" w:rsidRPr="00D62482">
        <w:rPr>
          <w:rFonts w:ascii="Calibri" w:hAnsi="Calibri" w:cs="Calibri"/>
          <w:b/>
          <w:bCs/>
        </w:rPr>
        <w:t>E</w:t>
      </w:r>
      <w:r w:rsidR="009768BA" w:rsidRPr="00120F94">
        <w:rPr>
          <w:rFonts w:ascii="Calibri" w:hAnsi="Calibri" w:cs="Calibri"/>
        </w:rPr>
        <w:t>)</w:t>
      </w:r>
      <w:r w:rsidR="009768BA" w:rsidRPr="00D62482">
        <w:rPr>
          <w:rFonts w:ascii="Calibri" w:hAnsi="Calibri" w:cs="Calibri"/>
        </w:rPr>
        <w:t xml:space="preserve"> T cells</w:t>
      </w:r>
      <w:r w:rsidR="009768BA" w:rsidRPr="00FC7B44">
        <w:rPr>
          <w:rFonts w:ascii="Calibri" w:hAnsi="Calibri" w:cs="Calibri"/>
        </w:rPr>
        <w:t xml:space="preserve">. Data </w:t>
      </w:r>
      <w:r w:rsidR="00A03C33">
        <w:rPr>
          <w:rFonts w:ascii="Calibri" w:hAnsi="Calibri" w:cs="Calibri"/>
        </w:rPr>
        <w:t>is</w:t>
      </w:r>
      <w:r w:rsidR="00A03C33" w:rsidRPr="00FC7B44">
        <w:rPr>
          <w:rFonts w:ascii="Calibri" w:hAnsi="Calibri" w:cs="Calibri"/>
        </w:rPr>
        <w:t xml:space="preserve"> </w:t>
      </w:r>
      <w:r w:rsidR="009768BA" w:rsidRPr="00FC7B44">
        <w:rPr>
          <w:rFonts w:ascii="Calibri" w:hAnsi="Calibri" w:cs="Calibri"/>
        </w:rPr>
        <w:t>expressed as mean ± SEM. WBCs are defined as CD45</w:t>
      </w:r>
      <w:r w:rsidR="009768BA" w:rsidRPr="00FC7B44">
        <w:rPr>
          <w:rFonts w:ascii="Calibri" w:hAnsi="Calibri" w:cs="Calibri"/>
          <w:vertAlign w:val="superscript"/>
        </w:rPr>
        <w:t>+</w:t>
      </w:r>
      <w:r w:rsidR="009768BA" w:rsidRPr="00FC7B44">
        <w:rPr>
          <w:rFonts w:ascii="Calibri" w:hAnsi="Calibri" w:cs="Calibri"/>
        </w:rPr>
        <w:t xml:space="preserve">; </w:t>
      </w:r>
      <w:r w:rsidR="000C770D" w:rsidRPr="00FC7B44">
        <w:rPr>
          <w:rFonts w:ascii="Calibri" w:hAnsi="Calibri" w:cs="Calibri"/>
        </w:rPr>
        <w:t>Neutrophils as Ly6G</w:t>
      </w:r>
      <w:r w:rsidR="000C770D" w:rsidRPr="00FC7B44">
        <w:rPr>
          <w:rFonts w:ascii="Calibri" w:hAnsi="Calibri" w:cs="Calibri"/>
          <w:vertAlign w:val="superscript"/>
        </w:rPr>
        <w:t>+</w:t>
      </w:r>
      <w:r w:rsidR="000C770D" w:rsidRPr="00FC7B44">
        <w:rPr>
          <w:rFonts w:ascii="Calibri" w:hAnsi="Calibri" w:cs="Calibri"/>
        </w:rPr>
        <w:t>; Ly6C</w:t>
      </w:r>
      <w:r w:rsidR="000C770D" w:rsidRPr="00FC7B44">
        <w:rPr>
          <w:rFonts w:ascii="Calibri" w:hAnsi="Calibri" w:cs="Calibri"/>
          <w:vertAlign w:val="superscript"/>
        </w:rPr>
        <w:t xml:space="preserve">hi </w:t>
      </w:r>
      <w:r w:rsidR="000C770D" w:rsidRPr="00FC7B44">
        <w:rPr>
          <w:rFonts w:ascii="Calibri" w:hAnsi="Calibri" w:cs="Calibri"/>
        </w:rPr>
        <w:t xml:space="preserve">monocytes as </w:t>
      </w:r>
      <w:r w:rsidR="000C770D" w:rsidRPr="00FC7B44">
        <w:rPr>
          <w:rFonts w:asciiTheme="minorHAnsi" w:hAnsiTheme="minorHAnsi" w:cstheme="minorHAnsi"/>
          <w:bCs/>
        </w:rPr>
        <w:t>CD115</w:t>
      </w:r>
      <w:r w:rsidR="000C770D" w:rsidRPr="00FC7B44">
        <w:rPr>
          <w:rFonts w:asciiTheme="minorHAnsi" w:hAnsiTheme="minorHAnsi" w:cstheme="minorHAnsi"/>
          <w:bCs/>
          <w:vertAlign w:val="superscript"/>
        </w:rPr>
        <w:t>+</w:t>
      </w:r>
      <w:r w:rsidR="000C770D" w:rsidRPr="00FC7B44">
        <w:rPr>
          <w:rFonts w:asciiTheme="minorHAnsi" w:hAnsiTheme="minorHAnsi" w:cstheme="minorHAnsi"/>
          <w:bCs/>
        </w:rPr>
        <w:t>, Ly6G</w:t>
      </w:r>
      <w:r w:rsidR="000C770D" w:rsidRPr="00FC7B44">
        <w:rPr>
          <w:rFonts w:asciiTheme="minorHAnsi" w:hAnsiTheme="minorHAnsi" w:cstheme="minorHAnsi"/>
          <w:bCs/>
          <w:vertAlign w:val="superscript"/>
        </w:rPr>
        <w:t>-</w:t>
      </w:r>
      <w:r w:rsidR="000C770D" w:rsidRPr="00FC7B44">
        <w:rPr>
          <w:rFonts w:asciiTheme="minorHAnsi" w:hAnsiTheme="minorHAnsi" w:cstheme="minorHAnsi"/>
          <w:bCs/>
        </w:rPr>
        <w:t>, and Ly6C</w:t>
      </w:r>
      <w:r w:rsidR="000C770D" w:rsidRPr="00FC7B44">
        <w:rPr>
          <w:rFonts w:asciiTheme="minorHAnsi" w:hAnsiTheme="minorHAnsi" w:cstheme="minorHAnsi"/>
          <w:bCs/>
          <w:vertAlign w:val="superscript"/>
        </w:rPr>
        <w:t>+</w:t>
      </w:r>
      <w:r w:rsidR="000C770D" w:rsidRPr="00FC7B44">
        <w:rPr>
          <w:rFonts w:asciiTheme="minorHAnsi" w:hAnsiTheme="minorHAnsi" w:cstheme="minorHAnsi"/>
          <w:bCs/>
        </w:rPr>
        <w:t>;</w:t>
      </w:r>
      <w:r w:rsidR="000C770D" w:rsidRPr="001F4F48">
        <w:rPr>
          <w:rFonts w:asciiTheme="minorHAnsi" w:hAnsiTheme="minorHAnsi" w:cstheme="minorHAnsi"/>
          <w:bCs/>
          <w:color w:val="000000" w:themeColor="text1"/>
        </w:rPr>
        <w:t xml:space="preserve"> </w:t>
      </w:r>
      <w:r w:rsidR="000C770D" w:rsidRPr="00D97C77">
        <w:rPr>
          <w:rFonts w:asciiTheme="minorHAnsi" w:hAnsiTheme="minorHAnsi" w:cstheme="minorHAnsi"/>
          <w:bCs/>
          <w:color w:val="000000" w:themeColor="text1"/>
        </w:rPr>
        <w:t>Ly6C</w:t>
      </w:r>
      <w:r w:rsidR="000C770D" w:rsidRPr="005C0C29">
        <w:rPr>
          <w:rFonts w:asciiTheme="minorHAnsi" w:hAnsiTheme="minorHAnsi" w:cstheme="minorHAnsi"/>
          <w:bCs/>
          <w:color w:val="000000" w:themeColor="text1"/>
          <w:vertAlign w:val="superscript"/>
        </w:rPr>
        <w:t>lo</w:t>
      </w:r>
      <w:r w:rsidR="000C770D" w:rsidRPr="00D97C77">
        <w:rPr>
          <w:rFonts w:asciiTheme="minorHAnsi" w:hAnsiTheme="minorHAnsi" w:cstheme="minorHAnsi"/>
          <w:bCs/>
          <w:color w:val="000000" w:themeColor="text1"/>
        </w:rPr>
        <w:t xml:space="preserve"> monocytes as CD115</w:t>
      </w:r>
      <w:r w:rsidR="000C770D" w:rsidRPr="005C0C29">
        <w:rPr>
          <w:rFonts w:asciiTheme="minorHAnsi" w:hAnsiTheme="minorHAnsi" w:cstheme="minorHAnsi"/>
          <w:bCs/>
          <w:color w:val="000000" w:themeColor="text1"/>
          <w:vertAlign w:val="superscript"/>
        </w:rPr>
        <w:t>+</w:t>
      </w:r>
      <w:r w:rsidR="000C770D">
        <w:rPr>
          <w:rFonts w:asciiTheme="minorHAnsi" w:hAnsiTheme="minorHAnsi" w:cstheme="minorHAnsi"/>
          <w:bCs/>
          <w:color w:val="000000" w:themeColor="text1"/>
        </w:rPr>
        <w:t>,</w:t>
      </w:r>
      <w:r w:rsidR="000C770D" w:rsidRPr="00D97C77">
        <w:rPr>
          <w:rFonts w:asciiTheme="minorHAnsi" w:hAnsiTheme="minorHAnsi" w:cstheme="minorHAnsi"/>
          <w:bCs/>
          <w:color w:val="000000" w:themeColor="text1"/>
        </w:rPr>
        <w:t xml:space="preserve"> Ly6G</w:t>
      </w:r>
      <w:r w:rsidR="000C770D" w:rsidRPr="005C0C29">
        <w:rPr>
          <w:rFonts w:asciiTheme="minorHAnsi" w:hAnsiTheme="minorHAnsi" w:cstheme="minorHAnsi"/>
          <w:bCs/>
          <w:color w:val="000000" w:themeColor="text1"/>
          <w:vertAlign w:val="superscript"/>
        </w:rPr>
        <w:t>-</w:t>
      </w:r>
      <w:r w:rsidR="000C770D">
        <w:rPr>
          <w:rFonts w:asciiTheme="minorHAnsi" w:hAnsiTheme="minorHAnsi" w:cstheme="minorHAnsi"/>
          <w:bCs/>
          <w:color w:val="000000" w:themeColor="text1"/>
          <w:vertAlign w:val="superscript"/>
        </w:rPr>
        <w:t xml:space="preserve"> </w:t>
      </w:r>
      <w:r w:rsidR="000C770D">
        <w:rPr>
          <w:rFonts w:asciiTheme="minorHAnsi" w:hAnsiTheme="minorHAnsi" w:cstheme="minorHAnsi"/>
          <w:bCs/>
          <w:color w:val="000000" w:themeColor="text1"/>
        </w:rPr>
        <w:t>,</w:t>
      </w:r>
      <w:r w:rsidR="000C770D" w:rsidRPr="00D97C77">
        <w:rPr>
          <w:rFonts w:asciiTheme="minorHAnsi" w:hAnsiTheme="minorHAnsi" w:cstheme="minorHAnsi"/>
          <w:bCs/>
          <w:color w:val="000000" w:themeColor="text1"/>
        </w:rPr>
        <w:t>and Ly6C</w:t>
      </w:r>
      <w:r w:rsidR="000C770D" w:rsidRPr="005C0C29">
        <w:rPr>
          <w:rFonts w:asciiTheme="minorHAnsi" w:hAnsiTheme="minorHAnsi" w:cstheme="minorHAnsi"/>
          <w:bCs/>
          <w:color w:val="000000" w:themeColor="text1"/>
          <w:vertAlign w:val="superscript"/>
        </w:rPr>
        <w:t>-</w:t>
      </w:r>
      <w:r w:rsidR="000C770D" w:rsidRPr="00FC7B44">
        <w:rPr>
          <w:rFonts w:asciiTheme="minorHAnsi" w:hAnsiTheme="minorHAnsi" w:cstheme="minorHAnsi"/>
          <w:bCs/>
        </w:rPr>
        <w:t>; B cells as CD45R</w:t>
      </w:r>
      <w:r w:rsidR="000C770D" w:rsidRPr="00FC7B44">
        <w:rPr>
          <w:rFonts w:asciiTheme="minorHAnsi" w:hAnsiTheme="minorHAnsi" w:cstheme="minorHAnsi"/>
          <w:bCs/>
          <w:vertAlign w:val="superscript"/>
        </w:rPr>
        <w:t>+</w:t>
      </w:r>
      <w:r w:rsidR="000C770D" w:rsidRPr="00FC7B44">
        <w:rPr>
          <w:rFonts w:asciiTheme="minorHAnsi" w:hAnsiTheme="minorHAnsi" w:cstheme="minorHAnsi"/>
          <w:bCs/>
        </w:rPr>
        <w:t>; CD4</w:t>
      </w:r>
      <w:r w:rsidR="000C770D" w:rsidRPr="00FC7B44">
        <w:rPr>
          <w:rFonts w:asciiTheme="minorHAnsi" w:hAnsiTheme="minorHAnsi" w:cstheme="minorHAnsi"/>
          <w:bCs/>
          <w:vertAlign w:val="superscript"/>
        </w:rPr>
        <w:t>+</w:t>
      </w:r>
      <w:r w:rsidR="000C770D" w:rsidRPr="00FC7B44">
        <w:rPr>
          <w:rFonts w:asciiTheme="minorHAnsi" w:hAnsiTheme="minorHAnsi" w:cstheme="minorHAnsi"/>
          <w:bCs/>
        </w:rPr>
        <w:t xml:space="preserve"> T cells as CD3e</w:t>
      </w:r>
      <w:r w:rsidR="000C770D" w:rsidRPr="00FC7B44">
        <w:rPr>
          <w:rFonts w:asciiTheme="minorHAnsi" w:hAnsiTheme="minorHAnsi" w:cstheme="minorHAnsi"/>
          <w:bCs/>
          <w:vertAlign w:val="superscript"/>
        </w:rPr>
        <w:t>+</w:t>
      </w:r>
      <w:r w:rsidR="000C770D" w:rsidRPr="00FC7B44">
        <w:rPr>
          <w:rFonts w:asciiTheme="minorHAnsi" w:hAnsiTheme="minorHAnsi" w:cstheme="minorHAnsi"/>
          <w:bCs/>
        </w:rPr>
        <w:t xml:space="preserve"> </w:t>
      </w:r>
      <w:r w:rsidR="000C770D" w:rsidRPr="00FC7B44">
        <w:rPr>
          <w:rFonts w:ascii="Calibri" w:hAnsi="Calibri" w:cs="Calibri"/>
        </w:rPr>
        <w:t>(</w:t>
      </w:r>
      <w:r w:rsidR="000C770D" w:rsidRPr="00D62482">
        <w:rPr>
          <w:rFonts w:ascii="Calibri" w:hAnsi="Calibri" w:cs="Calibri"/>
          <w:i/>
          <w:iCs/>
        </w:rPr>
        <w:t>WT</w:t>
      </w:r>
      <w:r w:rsidR="000C770D" w:rsidRPr="00D62482">
        <w:rPr>
          <w:rFonts w:ascii="Calibri" w:hAnsi="Calibri" w:cs="Calibri"/>
        </w:rPr>
        <w:t>: wild-type, WBCs: white blood cells</w:t>
      </w:r>
      <w:r w:rsidR="000C770D">
        <w:rPr>
          <w:rFonts w:ascii="Calibri" w:hAnsi="Calibri" w:cs="Calibri"/>
        </w:rPr>
        <w:t xml:space="preserve">, </w:t>
      </w:r>
      <w:r w:rsidR="000C770D" w:rsidRPr="00D97C77">
        <w:rPr>
          <w:rFonts w:asciiTheme="minorHAnsi" w:hAnsiTheme="minorHAnsi" w:cstheme="minorHAnsi"/>
          <w:bCs/>
          <w:color w:val="000000" w:themeColor="text1"/>
        </w:rPr>
        <w:t>Mono: monocytes</w:t>
      </w:r>
      <w:r w:rsidR="000C770D" w:rsidRPr="00D62482">
        <w:rPr>
          <w:rFonts w:ascii="Calibri" w:hAnsi="Calibri" w:cs="Calibri"/>
        </w:rPr>
        <w:t xml:space="preserve">) </w:t>
      </w:r>
    </w:p>
    <w:p w14:paraId="30CBAFAF" w14:textId="467AFD74" w:rsidR="008D7374" w:rsidRDefault="008D7374" w:rsidP="000C770D">
      <w:pPr>
        <w:jc w:val="both"/>
        <w:rPr>
          <w:rFonts w:ascii="Calibri" w:hAnsi="Calibri" w:cs="Calibri"/>
        </w:rPr>
      </w:pPr>
    </w:p>
    <w:p w14:paraId="5C045480" w14:textId="032EA99A" w:rsidR="008D7374" w:rsidRDefault="008D7374" w:rsidP="000C770D">
      <w:pPr>
        <w:jc w:val="both"/>
        <w:rPr>
          <w:rFonts w:ascii="Calibri" w:hAnsi="Calibri" w:cs="Calibri"/>
          <w:b/>
          <w:color w:val="000000" w:themeColor="text1"/>
        </w:rPr>
      </w:pPr>
      <w:r>
        <w:rPr>
          <w:rFonts w:ascii="Calibri" w:hAnsi="Calibri" w:cs="Calibri"/>
          <w:b/>
          <w:color w:val="000000" w:themeColor="text1"/>
        </w:rPr>
        <w:t>Table 1</w:t>
      </w:r>
      <w:r w:rsidR="000C770D">
        <w:rPr>
          <w:rFonts w:ascii="Calibri" w:hAnsi="Calibri" w:cs="Calibri"/>
          <w:b/>
          <w:color w:val="000000" w:themeColor="text1"/>
        </w:rPr>
        <w:t xml:space="preserve">: </w:t>
      </w:r>
      <w:r w:rsidRPr="000B4347">
        <w:rPr>
          <w:rFonts w:ascii="Calibri" w:hAnsi="Calibri" w:cs="Calibri"/>
          <w:b/>
          <w:color w:val="000000" w:themeColor="text1"/>
        </w:rPr>
        <w:t>The efficiency of donor cell engraftment using different dosing intervals</w:t>
      </w:r>
      <w:r w:rsidR="007723E6">
        <w:rPr>
          <w:rFonts w:ascii="Calibri" w:hAnsi="Calibri" w:cs="Calibri"/>
          <w:b/>
          <w:color w:val="000000" w:themeColor="text1"/>
        </w:rPr>
        <w:t xml:space="preserve">. </w:t>
      </w:r>
      <w:r w:rsidRPr="00D97C77">
        <w:rPr>
          <w:rFonts w:asciiTheme="minorHAnsi" w:hAnsiTheme="minorHAnsi" w:cstheme="minorHAnsi"/>
          <w:bCs/>
          <w:color w:val="000000" w:themeColor="text1"/>
        </w:rPr>
        <w:t xml:space="preserve">Flow cytometric analysis of peripheral blood was performed 1 month after bone marrow transplantation. </w:t>
      </w:r>
      <w:r w:rsidRPr="000B4347">
        <w:rPr>
          <w:rFonts w:ascii="Calibri" w:hAnsi="Calibri" w:cs="Calibri"/>
          <w:i/>
          <w:iCs/>
        </w:rPr>
        <w:t xml:space="preserve">WT </w:t>
      </w:r>
      <w:r w:rsidRPr="009C466E">
        <w:rPr>
          <w:rFonts w:ascii="Calibri" w:hAnsi="Calibri" w:cs="Calibri"/>
        </w:rPr>
        <w:t>CD45.2</w:t>
      </w:r>
      <w:r w:rsidRPr="009C466E">
        <w:rPr>
          <w:rFonts w:ascii="Calibri" w:hAnsi="Calibri" w:cs="Calibri"/>
          <w:vertAlign w:val="superscript"/>
        </w:rPr>
        <w:t>+</w:t>
      </w:r>
      <w:r w:rsidRPr="009C466E">
        <w:rPr>
          <w:rFonts w:ascii="Calibri" w:hAnsi="Calibri" w:cs="Calibri"/>
        </w:rPr>
        <w:t xml:space="preserve"> donor bone marrow cells </w:t>
      </w:r>
      <w:r>
        <w:rPr>
          <w:rFonts w:ascii="Calibri" w:hAnsi="Calibri" w:cs="Calibri"/>
        </w:rPr>
        <w:t xml:space="preserve">were transplanted into </w:t>
      </w:r>
      <w:r w:rsidRPr="009C466E">
        <w:rPr>
          <w:rFonts w:ascii="Calibri" w:hAnsi="Calibri" w:cs="Calibri"/>
        </w:rPr>
        <w:t>CD45.1</w:t>
      </w:r>
      <w:r w:rsidRPr="009C466E">
        <w:rPr>
          <w:rFonts w:ascii="Calibri" w:hAnsi="Calibri" w:cs="Calibri"/>
          <w:vertAlign w:val="superscript"/>
        </w:rPr>
        <w:t>+</w:t>
      </w:r>
      <w:r w:rsidRPr="009C466E">
        <w:rPr>
          <w:rFonts w:ascii="Calibri" w:hAnsi="Calibri" w:cs="Calibri"/>
        </w:rPr>
        <w:t xml:space="preserve"> recipient mice.</w:t>
      </w:r>
      <w:r>
        <w:rPr>
          <w:rFonts w:ascii="Calibri" w:hAnsi="Calibri" w:cs="Calibri"/>
        </w:rPr>
        <w:t xml:space="preserve"> </w:t>
      </w:r>
      <w:r w:rsidRPr="00D97C77">
        <w:rPr>
          <w:rFonts w:asciiTheme="minorHAnsi" w:hAnsiTheme="minorHAnsi" w:cstheme="minorHAnsi"/>
          <w:bCs/>
          <w:color w:val="000000" w:themeColor="text1"/>
        </w:rPr>
        <w:t xml:space="preserve">5 </w:t>
      </w:r>
      <w:r w:rsidR="00A03C33">
        <w:rPr>
          <w:rFonts w:asciiTheme="minorHAnsi" w:hAnsiTheme="minorHAnsi" w:cstheme="minorHAnsi"/>
          <w:bCs/>
          <w:color w:val="000000" w:themeColor="text1"/>
        </w:rPr>
        <w:t>x</w:t>
      </w:r>
      <w:r w:rsidR="00A03C33" w:rsidRPr="00D97C77">
        <w:rPr>
          <w:rFonts w:asciiTheme="minorHAnsi" w:hAnsiTheme="minorHAnsi" w:cstheme="minorHAnsi"/>
          <w:bCs/>
          <w:color w:val="000000" w:themeColor="text1"/>
        </w:rPr>
        <w:t xml:space="preserve"> </w:t>
      </w:r>
      <w:r w:rsidRPr="00D97C77">
        <w:rPr>
          <w:rFonts w:asciiTheme="minorHAnsi" w:hAnsiTheme="minorHAnsi" w:cstheme="minorHAnsi"/>
          <w:bCs/>
          <w:color w:val="000000" w:themeColor="text1"/>
        </w:rPr>
        <w:t>10</w:t>
      </w:r>
      <w:r w:rsidRPr="005F1AD5">
        <w:rPr>
          <w:rFonts w:asciiTheme="minorHAnsi" w:hAnsiTheme="minorHAnsi" w:cstheme="minorHAnsi"/>
          <w:bCs/>
          <w:color w:val="000000" w:themeColor="text1"/>
          <w:vertAlign w:val="superscript"/>
        </w:rPr>
        <w:t>6</w:t>
      </w:r>
      <w:r w:rsidRPr="00D97C77">
        <w:rPr>
          <w:rFonts w:asciiTheme="minorHAnsi" w:hAnsiTheme="minorHAnsi" w:cstheme="minorHAnsi"/>
          <w:bCs/>
          <w:color w:val="000000" w:themeColor="text1"/>
        </w:rPr>
        <w:t xml:space="preserve"> bone marrow cells were transplanted following </w:t>
      </w:r>
      <w:r w:rsidR="00A03C33">
        <w:rPr>
          <w:rFonts w:asciiTheme="minorHAnsi" w:hAnsiTheme="minorHAnsi" w:cstheme="minorHAnsi"/>
          <w:bCs/>
          <w:color w:val="000000" w:themeColor="text1"/>
        </w:rPr>
        <w:t>two</w:t>
      </w:r>
      <w:r w:rsidR="00A03C33" w:rsidRPr="00D97C77">
        <w:rPr>
          <w:rFonts w:asciiTheme="minorHAnsi" w:hAnsiTheme="minorHAnsi" w:cstheme="minorHAnsi"/>
          <w:bCs/>
          <w:color w:val="000000" w:themeColor="text1"/>
        </w:rPr>
        <w:t xml:space="preserve"> </w:t>
      </w:r>
      <w:r>
        <w:rPr>
          <w:rFonts w:asciiTheme="minorHAnsi" w:hAnsiTheme="minorHAnsi" w:cstheme="minorHAnsi"/>
          <w:bCs/>
          <w:color w:val="000000" w:themeColor="text1"/>
        </w:rPr>
        <w:t>fraction</w:t>
      </w:r>
      <w:r w:rsidRPr="00D97C77">
        <w:rPr>
          <w:rFonts w:asciiTheme="minorHAnsi" w:hAnsiTheme="minorHAnsi" w:cstheme="minorHAnsi"/>
          <w:bCs/>
          <w:color w:val="000000" w:themeColor="text1"/>
        </w:rPr>
        <w:t>s of total body irradiation (</w:t>
      </w:r>
      <w:r>
        <w:rPr>
          <w:rFonts w:asciiTheme="minorHAnsi" w:hAnsiTheme="minorHAnsi" w:cstheme="minorHAnsi"/>
          <w:bCs/>
          <w:color w:val="000000" w:themeColor="text1"/>
        </w:rPr>
        <w:t xml:space="preserve">2 x </w:t>
      </w:r>
      <w:r w:rsidRPr="00D97C77">
        <w:rPr>
          <w:rFonts w:asciiTheme="minorHAnsi" w:hAnsiTheme="minorHAnsi" w:cstheme="minorHAnsi"/>
          <w:bCs/>
          <w:color w:val="000000" w:themeColor="text1"/>
        </w:rPr>
        <w:t>5.5 Gy</w:t>
      </w:r>
      <w:r>
        <w:rPr>
          <w:rFonts w:asciiTheme="minorHAnsi" w:hAnsiTheme="minorHAnsi" w:cstheme="minorHAnsi"/>
          <w:bCs/>
          <w:color w:val="000000" w:themeColor="text1"/>
        </w:rPr>
        <w:t xml:space="preserve">) with or without thorax-shielding </w:t>
      </w:r>
      <w:r w:rsidRPr="0029616A">
        <w:rPr>
          <w:rFonts w:asciiTheme="minorHAnsi" w:hAnsiTheme="minorHAnsi" w:cstheme="minorHAnsi"/>
          <w:bCs/>
          <w:color w:val="000000" w:themeColor="text1"/>
        </w:rPr>
        <w:t>separated by a 4 h interval</w:t>
      </w:r>
      <w:r>
        <w:rPr>
          <w:rFonts w:asciiTheme="minorHAnsi" w:hAnsiTheme="minorHAnsi" w:cstheme="minorHAnsi"/>
          <w:bCs/>
          <w:color w:val="000000" w:themeColor="text1"/>
        </w:rPr>
        <w:t xml:space="preserve"> or 24 h interval. (</w:t>
      </w:r>
      <w:r w:rsidRPr="00D97C77">
        <w:rPr>
          <w:rFonts w:asciiTheme="minorHAnsi" w:hAnsiTheme="minorHAnsi" w:cstheme="minorHAnsi"/>
          <w:bCs/>
          <w:color w:val="000000" w:themeColor="text1"/>
        </w:rPr>
        <w:t>n</w:t>
      </w:r>
      <w:r w:rsidR="00A03C33">
        <w:rPr>
          <w:rFonts w:asciiTheme="minorHAnsi" w:hAnsiTheme="minorHAnsi" w:cstheme="minorHAnsi"/>
          <w:bCs/>
          <w:color w:val="000000" w:themeColor="text1"/>
        </w:rPr>
        <w:t xml:space="preserve"> </w:t>
      </w:r>
      <w:r w:rsidRPr="00D97C77">
        <w:rPr>
          <w:rFonts w:asciiTheme="minorHAnsi" w:hAnsiTheme="minorHAnsi" w:cstheme="minorHAnsi"/>
          <w:bCs/>
          <w:color w:val="000000" w:themeColor="text1"/>
        </w:rPr>
        <w:t>=</w:t>
      </w:r>
      <w:r w:rsidR="00A03C33">
        <w:rPr>
          <w:rFonts w:asciiTheme="minorHAnsi" w:hAnsiTheme="minorHAnsi" w:cstheme="minorHAnsi"/>
          <w:bCs/>
          <w:color w:val="000000" w:themeColor="text1"/>
        </w:rPr>
        <w:t xml:space="preserve"> </w:t>
      </w:r>
      <w:r w:rsidRPr="00D97C77">
        <w:rPr>
          <w:rFonts w:asciiTheme="minorHAnsi" w:hAnsiTheme="minorHAnsi" w:cstheme="minorHAnsi"/>
          <w:bCs/>
          <w:color w:val="000000" w:themeColor="text1"/>
        </w:rPr>
        <w:t>3</w:t>
      </w:r>
      <w:r w:rsidR="00A03C33">
        <w:rPr>
          <w:rFonts w:asciiTheme="minorHAnsi" w:hAnsiTheme="minorHAnsi" w:cstheme="minorHAnsi"/>
          <w:bCs/>
          <w:color w:val="000000" w:themeColor="text1"/>
        </w:rPr>
        <w:t>–</w:t>
      </w:r>
      <w:r>
        <w:rPr>
          <w:rFonts w:asciiTheme="minorHAnsi" w:hAnsiTheme="minorHAnsi" w:cstheme="minorHAnsi"/>
          <w:bCs/>
          <w:color w:val="000000" w:themeColor="text1"/>
        </w:rPr>
        <w:t>4 per group</w:t>
      </w:r>
      <w:r w:rsidRPr="00D97C77">
        <w:rPr>
          <w:rFonts w:asciiTheme="minorHAnsi" w:hAnsiTheme="minorHAnsi" w:cstheme="minorHAnsi"/>
          <w:bCs/>
          <w:color w:val="000000" w:themeColor="text1"/>
        </w:rPr>
        <w:t>).</w:t>
      </w:r>
    </w:p>
    <w:p w14:paraId="5290247D" w14:textId="77777777" w:rsidR="00D97C77" w:rsidRPr="00D97C77" w:rsidRDefault="00D97C77" w:rsidP="000C770D">
      <w:pPr>
        <w:jc w:val="both"/>
        <w:rPr>
          <w:rFonts w:asciiTheme="minorHAnsi" w:hAnsiTheme="minorHAnsi" w:cstheme="minorHAnsi"/>
          <w:bCs/>
          <w:color w:val="000000" w:themeColor="text1"/>
        </w:rPr>
      </w:pPr>
    </w:p>
    <w:p w14:paraId="09FB3B5C" w14:textId="428F9F82" w:rsidR="00413D62" w:rsidRPr="003475EB" w:rsidRDefault="006305D7" w:rsidP="000C770D">
      <w:pPr>
        <w:jc w:val="both"/>
        <w:rPr>
          <w:rFonts w:ascii="Calibri" w:hAnsi="Calibri" w:cs="Calibri"/>
          <w:b/>
          <w:bCs/>
          <w:color w:val="000000" w:themeColor="text1"/>
        </w:rPr>
      </w:pPr>
      <w:r w:rsidRPr="003475EB">
        <w:rPr>
          <w:rFonts w:ascii="Calibri" w:hAnsi="Calibri" w:cs="Calibri"/>
          <w:b/>
          <w:color w:val="000000" w:themeColor="text1"/>
        </w:rPr>
        <w:t>DISCUSSION</w:t>
      </w:r>
      <w:r w:rsidRPr="003475EB">
        <w:rPr>
          <w:rFonts w:ascii="Calibri" w:hAnsi="Calibri" w:cs="Calibri"/>
          <w:b/>
          <w:bCs/>
          <w:color w:val="000000" w:themeColor="text1"/>
        </w:rPr>
        <w:t>:</w:t>
      </w:r>
    </w:p>
    <w:p w14:paraId="7940AC8F" w14:textId="744C5FF3" w:rsidR="00495F80" w:rsidRPr="003475EB" w:rsidRDefault="00E23449" w:rsidP="000C770D">
      <w:pPr>
        <w:jc w:val="both"/>
        <w:rPr>
          <w:rFonts w:ascii="Calibri" w:hAnsi="Calibri" w:cs="Calibri"/>
          <w:color w:val="000000" w:themeColor="text1"/>
          <w:shd w:val="clear" w:color="auto" w:fill="FFFFFF"/>
        </w:rPr>
      </w:pPr>
      <w:r>
        <w:rPr>
          <w:rFonts w:ascii="Calibri" w:hAnsi="Calibri" w:cs="Calibri"/>
          <w:color w:val="000000" w:themeColor="text1"/>
          <w:shd w:val="clear" w:color="auto" w:fill="FFFFFF"/>
        </w:rPr>
        <w:t>For studies of clonal hematopoiesis and immune cell function</w:t>
      </w:r>
      <w:r w:rsidR="00495F80" w:rsidRPr="003475EB">
        <w:rPr>
          <w:rFonts w:ascii="Calibri" w:hAnsi="Calibri" w:cs="Calibri"/>
          <w:color w:val="000000" w:themeColor="text1"/>
          <w:shd w:val="clear" w:color="auto" w:fill="FFFFFF"/>
        </w:rPr>
        <w:t xml:space="preserve">, we described three methods of BMT: BMT with total-body irradiation, BMT with </w:t>
      </w:r>
      <w:r>
        <w:rPr>
          <w:rFonts w:ascii="Calibri" w:hAnsi="Calibri" w:cs="Calibri"/>
          <w:color w:val="000000" w:themeColor="text1"/>
          <w:shd w:val="clear" w:color="auto" w:fill="FFFFFF"/>
        </w:rPr>
        <w:t>irradiation with partial shieldi</w:t>
      </w:r>
      <w:r w:rsidR="00495F80" w:rsidRPr="003475EB">
        <w:rPr>
          <w:rFonts w:ascii="Calibri" w:hAnsi="Calibri" w:cs="Calibri"/>
          <w:color w:val="000000" w:themeColor="text1"/>
          <w:shd w:val="clear" w:color="auto" w:fill="FFFFFF"/>
        </w:rPr>
        <w:t>n</w:t>
      </w:r>
      <w:r>
        <w:rPr>
          <w:rFonts w:ascii="Calibri" w:hAnsi="Calibri" w:cs="Calibri"/>
          <w:color w:val="000000" w:themeColor="text1"/>
          <w:shd w:val="clear" w:color="auto" w:fill="FFFFFF"/>
        </w:rPr>
        <w:t>g</w:t>
      </w:r>
      <w:r w:rsidR="00495F80" w:rsidRPr="003475EB">
        <w:rPr>
          <w:rFonts w:ascii="Calibri" w:hAnsi="Calibri" w:cs="Calibri"/>
          <w:color w:val="000000" w:themeColor="text1"/>
          <w:shd w:val="clear" w:color="auto" w:fill="FFFFFF"/>
        </w:rPr>
        <w:t xml:space="preserve">, and a less commonly used BMT method </w:t>
      </w:r>
      <w:r>
        <w:rPr>
          <w:rFonts w:ascii="Calibri" w:hAnsi="Calibri" w:cs="Calibri"/>
          <w:color w:val="000000" w:themeColor="text1"/>
          <w:shd w:val="clear" w:color="auto" w:fill="FFFFFF"/>
        </w:rPr>
        <w:t>that involves</w:t>
      </w:r>
      <w:r w:rsidR="00495F80" w:rsidRPr="003475EB">
        <w:rPr>
          <w:rFonts w:ascii="Calibri" w:hAnsi="Calibri" w:cs="Calibri"/>
          <w:color w:val="000000" w:themeColor="text1"/>
          <w:shd w:val="clear" w:color="auto" w:fill="FFFFFF"/>
        </w:rPr>
        <w:t xml:space="preserve"> no pre-conditioning (adoptive BMT). These methods have been </w:t>
      </w:r>
      <w:r>
        <w:rPr>
          <w:rFonts w:ascii="Calibri" w:hAnsi="Calibri" w:cs="Calibri"/>
          <w:color w:val="000000" w:themeColor="text1"/>
          <w:shd w:val="clear" w:color="auto" w:fill="FFFFFF"/>
        </w:rPr>
        <w:t>used to assess the impact of</w:t>
      </w:r>
      <w:r w:rsidR="00495F80" w:rsidRPr="003475EB">
        <w:rPr>
          <w:rFonts w:ascii="Calibri" w:hAnsi="Calibri" w:cs="Calibri"/>
          <w:color w:val="000000" w:themeColor="text1"/>
          <w:shd w:val="clear" w:color="auto" w:fill="FFFFFF"/>
        </w:rPr>
        <w:t xml:space="preserve"> clonal hematopoiesis </w:t>
      </w:r>
      <w:r>
        <w:rPr>
          <w:rFonts w:ascii="Calibri" w:hAnsi="Calibri" w:cs="Calibri"/>
          <w:color w:val="000000" w:themeColor="text1"/>
          <w:shd w:val="clear" w:color="auto" w:fill="FFFFFF"/>
        </w:rPr>
        <w:t>on</w:t>
      </w:r>
      <w:r w:rsidR="00495F80" w:rsidRPr="003475EB">
        <w:rPr>
          <w:rFonts w:ascii="Calibri" w:hAnsi="Calibri" w:cs="Calibri"/>
          <w:color w:val="000000" w:themeColor="text1"/>
          <w:shd w:val="clear" w:color="auto" w:fill="FFFFFF"/>
        </w:rPr>
        <w:t xml:space="preserve"> cardiovascular disease. Researchers can modify these methods according</w:t>
      </w:r>
      <w:r>
        <w:rPr>
          <w:rFonts w:ascii="Calibri" w:hAnsi="Calibri" w:cs="Calibri"/>
          <w:color w:val="000000" w:themeColor="text1"/>
          <w:shd w:val="clear" w:color="auto" w:fill="FFFFFF"/>
        </w:rPr>
        <w:t>ly</w:t>
      </w:r>
      <w:r w:rsidR="00495F80" w:rsidRPr="003475EB">
        <w:rPr>
          <w:rFonts w:ascii="Calibri" w:hAnsi="Calibri" w:cs="Calibri"/>
          <w:color w:val="000000" w:themeColor="text1"/>
          <w:shd w:val="clear" w:color="auto" w:fill="FFFFFF"/>
        </w:rPr>
        <w:t xml:space="preserve"> to</w:t>
      </w:r>
      <w:r>
        <w:rPr>
          <w:rFonts w:ascii="Calibri" w:hAnsi="Calibri" w:cs="Calibri"/>
          <w:color w:val="000000" w:themeColor="text1"/>
          <w:shd w:val="clear" w:color="auto" w:fill="FFFFFF"/>
        </w:rPr>
        <w:t xml:space="preserve"> suit</w:t>
      </w:r>
      <w:r w:rsidR="00495F80" w:rsidRPr="003475EB">
        <w:rPr>
          <w:rFonts w:ascii="Calibri" w:hAnsi="Calibri" w:cs="Calibri"/>
          <w:color w:val="000000" w:themeColor="text1"/>
          <w:shd w:val="clear" w:color="auto" w:fill="FFFFFF"/>
        </w:rPr>
        <w:t xml:space="preserve"> the </w:t>
      </w:r>
      <w:r>
        <w:rPr>
          <w:rFonts w:ascii="Calibri" w:hAnsi="Calibri" w:cs="Calibri"/>
          <w:color w:val="000000" w:themeColor="text1"/>
          <w:shd w:val="clear" w:color="auto" w:fill="FFFFFF"/>
        </w:rPr>
        <w:t xml:space="preserve">specific </w:t>
      </w:r>
      <w:r w:rsidR="00495F80" w:rsidRPr="003475EB">
        <w:rPr>
          <w:rFonts w:ascii="Calibri" w:hAnsi="Calibri" w:cs="Calibri"/>
          <w:color w:val="000000" w:themeColor="text1"/>
          <w:shd w:val="clear" w:color="auto" w:fill="FFFFFF"/>
        </w:rPr>
        <w:t>purpose of their stud</w:t>
      </w:r>
      <w:r>
        <w:rPr>
          <w:rFonts w:ascii="Calibri" w:hAnsi="Calibri" w:cs="Calibri"/>
          <w:color w:val="000000" w:themeColor="text1"/>
          <w:shd w:val="clear" w:color="auto" w:fill="FFFFFF"/>
        </w:rPr>
        <w:t>y</w:t>
      </w:r>
      <w:r w:rsidR="00495F80" w:rsidRPr="003475EB">
        <w:rPr>
          <w:rFonts w:ascii="Calibri" w:hAnsi="Calibri" w:cs="Calibri"/>
          <w:color w:val="000000" w:themeColor="text1"/>
          <w:shd w:val="clear" w:color="auto" w:fill="FFFFFF"/>
        </w:rPr>
        <w:t>.</w:t>
      </w:r>
    </w:p>
    <w:p w14:paraId="17CCB995" w14:textId="6BCEAE92" w:rsidR="005E376D" w:rsidRPr="003475EB" w:rsidRDefault="005E376D" w:rsidP="000C770D">
      <w:pPr>
        <w:jc w:val="both"/>
        <w:rPr>
          <w:rFonts w:ascii="Calibri" w:hAnsi="Calibri" w:cs="Calibri"/>
          <w:bCs/>
          <w:color w:val="000000" w:themeColor="text1"/>
          <w:highlight w:val="yellow"/>
        </w:rPr>
      </w:pPr>
    </w:p>
    <w:p w14:paraId="730C1537" w14:textId="2BBDA5EF" w:rsidR="005E376D" w:rsidRDefault="005E376D" w:rsidP="000C770D">
      <w:pPr>
        <w:jc w:val="both"/>
        <w:rPr>
          <w:rFonts w:ascii="Calibri" w:hAnsi="Calibri" w:cs="Calibri"/>
          <w:b/>
          <w:color w:val="000000" w:themeColor="text1"/>
          <w:shd w:val="clear" w:color="auto" w:fill="FFFFFF"/>
        </w:rPr>
      </w:pPr>
      <w:r w:rsidRPr="00105C0A">
        <w:rPr>
          <w:rFonts w:ascii="Calibri" w:hAnsi="Calibri" w:cs="Calibri"/>
          <w:b/>
          <w:color w:val="000000" w:themeColor="text1"/>
          <w:shd w:val="clear" w:color="auto" w:fill="FFFFFF"/>
        </w:rPr>
        <w:t>Clonal hematopoiesis models</w:t>
      </w:r>
    </w:p>
    <w:p w14:paraId="04278ADD" w14:textId="28D17848" w:rsidR="00495F80" w:rsidRPr="003475EB" w:rsidRDefault="00495F80" w:rsidP="000C770D">
      <w:pPr>
        <w:pStyle w:val="NormalWeb"/>
        <w:spacing w:before="0" w:beforeAutospacing="0" w:after="0" w:afterAutospacing="0"/>
        <w:rPr>
          <w:color w:val="000000" w:themeColor="text1"/>
        </w:rPr>
      </w:pPr>
      <w:r w:rsidRPr="003475EB">
        <w:rPr>
          <w:color w:val="000000" w:themeColor="text1"/>
        </w:rPr>
        <w:t xml:space="preserve">Clonal hematopoiesis is the phenomenon in which </w:t>
      </w:r>
      <w:r w:rsidRPr="0057269B">
        <w:rPr>
          <w:iCs/>
          <w:color w:val="000000" w:themeColor="text1"/>
        </w:rPr>
        <w:t xml:space="preserve">mutant </w:t>
      </w:r>
      <w:r w:rsidRPr="003475EB">
        <w:rPr>
          <w:color w:val="000000" w:themeColor="text1"/>
        </w:rPr>
        <w:t xml:space="preserve">hematopoietic cells compete with </w:t>
      </w:r>
      <w:r w:rsidRPr="0057269B">
        <w:rPr>
          <w:iCs/>
          <w:color w:val="000000" w:themeColor="text1"/>
        </w:rPr>
        <w:t>wild-</w:t>
      </w:r>
      <w:r w:rsidRPr="0057269B">
        <w:rPr>
          <w:iCs/>
          <w:color w:val="000000" w:themeColor="text1"/>
          <w:lang w:eastAsia="ja-JP"/>
        </w:rPr>
        <w:t>t</w:t>
      </w:r>
      <w:r w:rsidRPr="0057269B">
        <w:rPr>
          <w:iCs/>
          <w:color w:val="000000" w:themeColor="text1"/>
        </w:rPr>
        <w:t>ype</w:t>
      </w:r>
      <w:r w:rsidRPr="003475EB">
        <w:rPr>
          <w:color w:val="000000" w:themeColor="text1"/>
        </w:rPr>
        <w:t xml:space="preserve"> cells and obtain clonal dominance over time</w:t>
      </w:r>
      <w:r w:rsidRPr="00211CFF">
        <w:rPr>
          <w:color w:val="000000" w:themeColor="text1"/>
        </w:rPr>
        <w:t xml:space="preserve">. </w:t>
      </w:r>
      <w:r w:rsidR="00BE2A2E" w:rsidRPr="00B2322C">
        <w:t xml:space="preserve">To create </w:t>
      </w:r>
      <w:r w:rsidR="0057269B">
        <w:t xml:space="preserve">a model of this competition, </w:t>
      </w:r>
      <w:r w:rsidR="00BE2A2E" w:rsidRPr="00B2322C">
        <w:t xml:space="preserve">mice </w:t>
      </w:r>
      <w:r w:rsidR="0057269B">
        <w:t>can</w:t>
      </w:r>
      <w:r w:rsidR="00BE2A2E" w:rsidRPr="00B2322C">
        <w:t xml:space="preserve"> be administered bone marrow</w:t>
      </w:r>
      <w:r w:rsidR="001A7188">
        <w:t>,</w:t>
      </w:r>
      <w:r w:rsidR="00BE2A2E" w:rsidRPr="00B2322C">
        <w:t xml:space="preserve"> which consists of a mixture</w:t>
      </w:r>
      <w:r w:rsidR="00BE2A2E">
        <w:t xml:space="preserve"> of</w:t>
      </w:r>
      <w:r w:rsidR="00BE2A2E" w:rsidRPr="00B2322C">
        <w:t xml:space="preserve"> </w:t>
      </w:r>
      <w:r w:rsidR="0057269B">
        <w:t xml:space="preserve">genetically different </w:t>
      </w:r>
      <w:r w:rsidR="00BE2A2E" w:rsidRPr="00B2322C">
        <w:t>cells.</w:t>
      </w:r>
      <w:r w:rsidR="00211CFF" w:rsidRPr="00211CFF">
        <w:t xml:space="preserve"> </w:t>
      </w:r>
      <w:r w:rsidR="0057269B">
        <w:t>Generally, t</w:t>
      </w:r>
      <w:r w:rsidR="00211CFF" w:rsidRPr="00B2322C">
        <w:t xml:space="preserve">his mixture </w:t>
      </w:r>
      <w:r w:rsidR="0057269B">
        <w:t>will</w:t>
      </w:r>
      <w:r w:rsidR="00211CFF" w:rsidRPr="00B2322C">
        <w:t xml:space="preserve"> include mutant and wild</w:t>
      </w:r>
      <w:r w:rsidR="00211CFF">
        <w:t>-</w:t>
      </w:r>
      <w:r w:rsidR="00211CFF" w:rsidRPr="00B2322C">
        <w:t xml:space="preserve">type cells, which have been labeled with a fluorescent tag or </w:t>
      </w:r>
      <w:r w:rsidR="0057269B">
        <w:t>different</w:t>
      </w:r>
      <w:r w:rsidR="00211CFF" w:rsidRPr="00B2322C">
        <w:t xml:space="preserve"> pan</w:t>
      </w:r>
      <w:r w:rsidR="00CE6E60">
        <w:t>-</w:t>
      </w:r>
      <w:r w:rsidR="00211CFF" w:rsidRPr="00B2322C">
        <w:t>leukocyte markers (i.e.</w:t>
      </w:r>
      <w:r w:rsidR="001A7188">
        <w:t>,</w:t>
      </w:r>
      <w:r w:rsidR="00211CFF" w:rsidRPr="00B2322C">
        <w:t xml:space="preserve"> CD45.1 and CD45.2).</w:t>
      </w:r>
      <w:r w:rsidR="00BE2A2E" w:rsidRPr="00B2322C">
        <w:t xml:space="preserve"> </w:t>
      </w:r>
      <w:r w:rsidR="00BE2A2E">
        <w:t xml:space="preserve">For example, </w:t>
      </w:r>
      <w:r w:rsidR="00BE2A2E" w:rsidRPr="00B2322C">
        <w:t xml:space="preserve">when creating models </w:t>
      </w:r>
      <w:r w:rsidR="0057269B">
        <w:t>that</w:t>
      </w:r>
      <w:r w:rsidR="00BE2A2E" w:rsidRPr="00B2322C">
        <w:t xml:space="preserve"> mimic </w:t>
      </w:r>
      <w:r w:rsidR="00BE2A2E" w:rsidRPr="00211CFF">
        <w:rPr>
          <w:i/>
          <w:iCs/>
        </w:rPr>
        <w:t>Tet2</w:t>
      </w:r>
      <w:r w:rsidR="00BE2A2E" w:rsidRPr="00B2322C">
        <w:t xml:space="preserve">-mediated </w:t>
      </w:r>
      <w:r w:rsidR="00211CFF">
        <w:t>CH</w:t>
      </w:r>
      <w:r w:rsidR="00BE2A2E" w:rsidRPr="00BE2A2E">
        <w:rPr>
          <w:color w:val="000000" w:themeColor="text1"/>
        </w:rPr>
        <w:t xml:space="preserve">, </w:t>
      </w:r>
      <w:r w:rsidR="00BE2A2E" w:rsidRPr="00B2322C">
        <w:t>we</w:t>
      </w:r>
      <w:r w:rsidR="00BE2A2E">
        <w:t xml:space="preserve"> </w:t>
      </w:r>
      <w:r w:rsidR="00BE2A2E" w:rsidRPr="00B2322C">
        <w:t>perform a competitive bone marrow transplan</w:t>
      </w:r>
      <w:r w:rsidR="0057269B">
        <w:t>ta</w:t>
      </w:r>
      <w:r w:rsidR="00BE2A2E" w:rsidRPr="00B2322C">
        <w:t>t</w:t>
      </w:r>
      <w:r w:rsidR="0057269B">
        <w:t>ion into lethally irradiated recipients</w:t>
      </w:r>
      <w:r w:rsidR="00BE2A2E" w:rsidRPr="00B2322C">
        <w:t xml:space="preserve"> </w:t>
      </w:r>
      <w:r w:rsidR="0057269B">
        <w:rPr>
          <w:color w:val="000000" w:themeColor="text1"/>
        </w:rPr>
        <w:t>that typically involves mixing</w:t>
      </w:r>
      <w:r w:rsidR="00211CFF" w:rsidRPr="00211CFF">
        <w:rPr>
          <w:color w:val="000000" w:themeColor="text1"/>
        </w:rPr>
        <w:t xml:space="preserve"> 90% of cells </w:t>
      </w:r>
      <w:r w:rsidR="0057269B">
        <w:rPr>
          <w:color w:val="000000" w:themeColor="text1"/>
        </w:rPr>
        <w:t xml:space="preserve">that </w:t>
      </w:r>
      <w:r w:rsidR="00211CFF" w:rsidRPr="00211CFF">
        <w:rPr>
          <w:color w:val="000000" w:themeColor="text1"/>
        </w:rPr>
        <w:t xml:space="preserve">originate from CD45.1 </w:t>
      </w:r>
      <w:r w:rsidR="00211CFF" w:rsidRPr="0057269B">
        <w:rPr>
          <w:i/>
          <w:iCs/>
          <w:color w:val="000000" w:themeColor="text1"/>
        </w:rPr>
        <w:t>Tet2</w:t>
      </w:r>
      <w:r w:rsidR="00211CFF" w:rsidRPr="00D62482">
        <w:rPr>
          <w:i/>
          <w:iCs/>
          <w:color w:val="000000" w:themeColor="text1"/>
          <w:vertAlign w:val="superscript"/>
        </w:rPr>
        <w:t>+/+</w:t>
      </w:r>
      <w:r w:rsidR="00211CFF" w:rsidRPr="00211CFF">
        <w:rPr>
          <w:color w:val="000000" w:themeColor="text1"/>
        </w:rPr>
        <w:t xml:space="preserve"> donors and 10% </w:t>
      </w:r>
      <w:r w:rsidR="0057269B">
        <w:rPr>
          <w:color w:val="000000" w:themeColor="text1"/>
        </w:rPr>
        <w:t xml:space="preserve">of </w:t>
      </w:r>
      <w:r w:rsidR="00211CFF" w:rsidRPr="00211CFF">
        <w:rPr>
          <w:color w:val="000000" w:themeColor="text1"/>
        </w:rPr>
        <w:t xml:space="preserve">cells </w:t>
      </w:r>
      <w:r w:rsidR="0057269B">
        <w:rPr>
          <w:color w:val="000000" w:themeColor="text1"/>
        </w:rPr>
        <w:t xml:space="preserve">that </w:t>
      </w:r>
      <w:r w:rsidR="00211CFF" w:rsidRPr="00211CFF">
        <w:rPr>
          <w:color w:val="000000" w:themeColor="text1"/>
        </w:rPr>
        <w:t xml:space="preserve">originate from CD45.2 </w:t>
      </w:r>
      <w:r w:rsidR="00211CFF" w:rsidRPr="0057269B">
        <w:rPr>
          <w:i/>
          <w:iCs/>
          <w:color w:val="000000" w:themeColor="text1"/>
        </w:rPr>
        <w:t>Tet2</w:t>
      </w:r>
      <w:r w:rsidR="00211CFF" w:rsidRPr="00D62482">
        <w:rPr>
          <w:i/>
          <w:iCs/>
          <w:color w:val="000000" w:themeColor="text1"/>
          <w:vertAlign w:val="superscript"/>
        </w:rPr>
        <w:t>-/-</w:t>
      </w:r>
      <w:r w:rsidR="0057269B">
        <w:rPr>
          <w:color w:val="000000" w:themeColor="text1"/>
        </w:rPr>
        <w:t xml:space="preserve">, </w:t>
      </w:r>
      <w:r w:rsidR="0057269B" w:rsidRPr="0057269B">
        <w:rPr>
          <w:i/>
          <w:iCs/>
          <w:color w:val="000000" w:themeColor="text1"/>
        </w:rPr>
        <w:t>Tet2</w:t>
      </w:r>
      <w:r w:rsidR="0057269B" w:rsidRPr="00D62482">
        <w:rPr>
          <w:i/>
          <w:iCs/>
          <w:color w:val="000000" w:themeColor="text1"/>
          <w:vertAlign w:val="superscript"/>
        </w:rPr>
        <w:t>+/-</w:t>
      </w:r>
      <w:r w:rsidR="00211CFF" w:rsidRPr="00120F94">
        <w:rPr>
          <w:color w:val="000000" w:themeColor="text1"/>
        </w:rPr>
        <w:t xml:space="preserve"> </w:t>
      </w:r>
      <w:r w:rsidR="0057269B">
        <w:rPr>
          <w:color w:val="000000" w:themeColor="text1"/>
        </w:rPr>
        <w:t xml:space="preserve">or control </w:t>
      </w:r>
      <w:r w:rsidR="0057269B" w:rsidRPr="0057269B">
        <w:rPr>
          <w:i/>
          <w:iCs/>
          <w:color w:val="000000" w:themeColor="text1"/>
        </w:rPr>
        <w:t>Tet2</w:t>
      </w:r>
      <w:r w:rsidR="0057269B" w:rsidRPr="00D62482">
        <w:rPr>
          <w:i/>
          <w:iCs/>
          <w:color w:val="000000" w:themeColor="text1"/>
          <w:vertAlign w:val="superscript"/>
        </w:rPr>
        <w:t>+/+</w:t>
      </w:r>
      <w:r w:rsidR="0057269B">
        <w:rPr>
          <w:color w:val="000000" w:themeColor="text1"/>
        </w:rPr>
        <w:t xml:space="preserve"> </w:t>
      </w:r>
      <w:r w:rsidR="00211CFF" w:rsidRPr="00211CFF">
        <w:rPr>
          <w:color w:val="000000" w:themeColor="text1"/>
        </w:rPr>
        <w:t>donors</w:t>
      </w:r>
      <w:r w:rsidR="000D7CEC" w:rsidRPr="00BE2A2E">
        <w:rPr>
          <w:color w:val="000000" w:themeColor="text1"/>
          <w:vertAlign w:val="superscript"/>
        </w:rPr>
        <w:t>8</w:t>
      </w:r>
      <w:r w:rsidR="0057269B">
        <w:rPr>
          <w:color w:val="000000" w:themeColor="text1"/>
        </w:rPr>
        <w:t>.</w:t>
      </w:r>
      <w:r w:rsidR="00105C0A">
        <w:rPr>
          <w:color w:val="000000" w:themeColor="text1"/>
        </w:rPr>
        <w:t xml:space="preserve"> </w:t>
      </w:r>
      <w:r w:rsidR="00211CFF" w:rsidRPr="00211CFF">
        <w:rPr>
          <w:color w:val="000000" w:themeColor="text1"/>
        </w:rPr>
        <w:t xml:space="preserve">Flow cytometry detection of </w:t>
      </w:r>
      <w:r w:rsidR="00105C0A">
        <w:rPr>
          <w:color w:val="000000" w:themeColor="text1"/>
        </w:rPr>
        <w:t xml:space="preserve">the </w:t>
      </w:r>
      <w:r w:rsidR="00211CFF" w:rsidRPr="00211CFF">
        <w:rPr>
          <w:color w:val="000000" w:themeColor="text1"/>
        </w:rPr>
        <w:t xml:space="preserve">CD45 variants </w:t>
      </w:r>
      <w:r w:rsidR="00211CFF">
        <w:rPr>
          <w:color w:val="000000" w:themeColor="text1"/>
        </w:rPr>
        <w:t>using specific monoclonal antibodies enable</w:t>
      </w:r>
      <w:r w:rsidR="00266DA7">
        <w:rPr>
          <w:color w:val="000000" w:themeColor="text1"/>
        </w:rPr>
        <w:t>s</w:t>
      </w:r>
      <w:r w:rsidR="00211CFF">
        <w:rPr>
          <w:color w:val="000000" w:themeColor="text1"/>
        </w:rPr>
        <w:t xml:space="preserve"> </w:t>
      </w:r>
      <w:r w:rsidR="00105C0A">
        <w:rPr>
          <w:color w:val="000000" w:themeColor="text1"/>
        </w:rPr>
        <w:t>one</w:t>
      </w:r>
      <w:r w:rsidR="00211CFF">
        <w:rPr>
          <w:color w:val="000000" w:themeColor="text1"/>
        </w:rPr>
        <w:t xml:space="preserve"> </w:t>
      </w:r>
      <w:r w:rsidR="00211CFF" w:rsidRPr="00105C0A">
        <w:rPr>
          <w:color w:val="000000" w:themeColor="text1"/>
        </w:rPr>
        <w:t>to distinguish donor</w:t>
      </w:r>
      <w:r w:rsidR="00211CFF" w:rsidRPr="00211CFF">
        <w:rPr>
          <w:color w:val="000000" w:themeColor="text1"/>
        </w:rPr>
        <w:t xml:space="preserve"> cells (CD45.1</w:t>
      </w:r>
      <w:r w:rsidR="00211CFF" w:rsidRPr="004470C7">
        <w:rPr>
          <w:color w:val="000000" w:themeColor="text1"/>
          <w:vertAlign w:val="superscript"/>
        </w:rPr>
        <w:t>-</w:t>
      </w:r>
      <w:r w:rsidR="00211CFF" w:rsidRPr="00211CFF">
        <w:rPr>
          <w:color w:val="000000" w:themeColor="text1"/>
        </w:rPr>
        <w:t>/CD45.2</w:t>
      </w:r>
      <w:r w:rsidR="00211CFF" w:rsidRPr="004470C7">
        <w:rPr>
          <w:color w:val="000000" w:themeColor="text1"/>
          <w:vertAlign w:val="superscript"/>
        </w:rPr>
        <w:t>+</w:t>
      </w:r>
      <w:r w:rsidR="00211CFF" w:rsidRPr="00211CFF">
        <w:rPr>
          <w:color w:val="000000" w:themeColor="text1"/>
        </w:rPr>
        <w:t>) from competitor cells (CD45.1</w:t>
      </w:r>
      <w:r w:rsidR="00211CFF" w:rsidRPr="004470C7">
        <w:rPr>
          <w:color w:val="000000" w:themeColor="text1"/>
          <w:vertAlign w:val="superscript"/>
        </w:rPr>
        <w:t>+</w:t>
      </w:r>
      <w:r w:rsidR="00211CFF" w:rsidRPr="00211CFF">
        <w:rPr>
          <w:color w:val="000000" w:themeColor="text1"/>
        </w:rPr>
        <w:t>/CD45.2</w:t>
      </w:r>
      <w:r w:rsidR="00211CFF" w:rsidRPr="004470C7">
        <w:rPr>
          <w:color w:val="000000" w:themeColor="text1"/>
          <w:vertAlign w:val="superscript"/>
        </w:rPr>
        <w:t>-</w:t>
      </w:r>
      <w:r w:rsidR="00211CFF" w:rsidRPr="00211CFF">
        <w:rPr>
          <w:color w:val="000000" w:themeColor="text1"/>
        </w:rPr>
        <w:t>) within the blood</w:t>
      </w:r>
      <w:r w:rsidR="00211CFF">
        <w:rPr>
          <w:color w:val="000000" w:themeColor="text1"/>
        </w:rPr>
        <w:t xml:space="preserve">, and </w:t>
      </w:r>
      <w:r w:rsidR="00105C0A">
        <w:rPr>
          <w:color w:val="000000" w:themeColor="text1"/>
        </w:rPr>
        <w:t>assess</w:t>
      </w:r>
      <w:r w:rsidRPr="00211CFF">
        <w:rPr>
          <w:color w:val="000000" w:themeColor="text1"/>
        </w:rPr>
        <w:t xml:space="preserve"> the clonal dynamics of </w:t>
      </w:r>
      <w:r w:rsidR="00105C0A">
        <w:rPr>
          <w:color w:val="000000" w:themeColor="text1"/>
        </w:rPr>
        <w:t xml:space="preserve">the </w:t>
      </w:r>
      <w:r w:rsidRPr="00211CFF">
        <w:rPr>
          <w:color w:val="000000" w:themeColor="text1"/>
        </w:rPr>
        <w:t xml:space="preserve">test cells over time. </w:t>
      </w:r>
      <w:r w:rsidR="00211CFF">
        <w:rPr>
          <w:color w:val="000000" w:themeColor="text1"/>
        </w:rPr>
        <w:t>By doing so, w</w:t>
      </w:r>
      <w:r w:rsidR="00211CFF" w:rsidRPr="00211CFF">
        <w:rPr>
          <w:color w:val="000000" w:themeColor="text1"/>
        </w:rPr>
        <w:t xml:space="preserve">e </w:t>
      </w:r>
      <w:r w:rsidR="00105C0A">
        <w:rPr>
          <w:color w:val="000000" w:themeColor="text1"/>
        </w:rPr>
        <w:t>have been</w:t>
      </w:r>
      <w:r w:rsidRPr="00211CFF">
        <w:rPr>
          <w:color w:val="000000" w:themeColor="text1"/>
        </w:rPr>
        <w:t xml:space="preserve"> able to observe a gradual increase in donor chimerism of </w:t>
      </w:r>
      <w:r w:rsidRPr="005F65C5">
        <w:rPr>
          <w:i/>
          <w:color w:val="000000" w:themeColor="text1"/>
        </w:rPr>
        <w:t>Tet2-</w:t>
      </w:r>
      <w:r w:rsidRPr="00D62482">
        <w:rPr>
          <w:i/>
          <w:color w:val="000000" w:themeColor="text1"/>
        </w:rPr>
        <w:t>deficient</w:t>
      </w:r>
      <w:r w:rsidRPr="00C33115">
        <w:rPr>
          <w:iCs/>
          <w:color w:val="000000" w:themeColor="text1"/>
        </w:rPr>
        <w:t xml:space="preserve"> </w:t>
      </w:r>
      <w:r w:rsidRPr="00211CFF">
        <w:rPr>
          <w:color w:val="000000" w:themeColor="text1"/>
        </w:rPr>
        <w:t xml:space="preserve">cells, while the percentage of </w:t>
      </w:r>
      <w:r w:rsidRPr="004470C7">
        <w:rPr>
          <w:iCs/>
          <w:color w:val="000000" w:themeColor="text1"/>
        </w:rPr>
        <w:t>wild-type</w:t>
      </w:r>
      <w:r w:rsidRPr="00211CFF">
        <w:rPr>
          <w:color w:val="000000" w:themeColor="text1"/>
        </w:rPr>
        <w:t xml:space="preserve"> cells </w:t>
      </w:r>
      <w:r w:rsidR="00105C0A">
        <w:rPr>
          <w:color w:val="000000" w:themeColor="text1"/>
        </w:rPr>
        <w:t>remain</w:t>
      </w:r>
      <w:r w:rsidRPr="00211CFF">
        <w:rPr>
          <w:color w:val="000000" w:themeColor="text1"/>
        </w:rPr>
        <w:t xml:space="preserve"> at approximately 10%</w:t>
      </w:r>
      <w:r w:rsidR="00211CFF">
        <w:rPr>
          <w:color w:val="000000" w:themeColor="text1"/>
        </w:rPr>
        <w:t xml:space="preserve">. </w:t>
      </w:r>
      <w:r w:rsidR="00211CFF" w:rsidRPr="00B2322C">
        <w:t xml:space="preserve">This </w:t>
      </w:r>
      <w:r w:rsidR="00211CFF" w:rsidRPr="00B2322C">
        <w:lastRenderedPageBreak/>
        <w:t>experimental setting mi</w:t>
      </w:r>
      <w:r w:rsidR="00211CFF">
        <w:t>m</w:t>
      </w:r>
      <w:r w:rsidR="00211CFF" w:rsidRPr="00B2322C">
        <w:t xml:space="preserve">ics the human scenario of individuals carrying a </w:t>
      </w:r>
      <w:r w:rsidR="00211CFF" w:rsidRPr="00B2322C">
        <w:rPr>
          <w:i/>
          <w:iCs/>
        </w:rPr>
        <w:t xml:space="preserve">TET2 </w:t>
      </w:r>
      <w:r w:rsidR="00211CFF" w:rsidRPr="00B2322C">
        <w:t xml:space="preserve">somatic mutation, since these mutations are initially carried by a small number of HSPCs, which will gradually expand over time. </w:t>
      </w:r>
      <w:r w:rsidR="00105C0A">
        <w:t>Employing this</w:t>
      </w:r>
      <w:r w:rsidR="00C74262">
        <w:t xml:space="preserve"> </w:t>
      </w:r>
      <w:r w:rsidRPr="00211CFF">
        <w:rPr>
          <w:color w:val="000000" w:themeColor="text1"/>
        </w:rPr>
        <w:t>approach</w:t>
      </w:r>
      <w:r w:rsidR="00105C0A">
        <w:rPr>
          <w:color w:val="000000" w:themeColor="text1"/>
        </w:rPr>
        <w:t xml:space="preserve"> in cardiovascular disease models of atherosclerosis and heart failure has led to the documentation of</w:t>
      </w:r>
      <w:r w:rsidR="00AC3DE2">
        <w:rPr>
          <w:color w:val="000000" w:themeColor="text1"/>
        </w:rPr>
        <w:t xml:space="preserve"> a potential</w:t>
      </w:r>
      <w:r w:rsidRPr="00211CFF">
        <w:rPr>
          <w:color w:val="000000" w:themeColor="text1"/>
        </w:rPr>
        <w:t xml:space="preserve"> causal link </w:t>
      </w:r>
      <w:r w:rsidRPr="003475EB">
        <w:rPr>
          <w:color w:val="000000" w:themeColor="text1"/>
        </w:rPr>
        <w:t xml:space="preserve">between </w:t>
      </w:r>
      <w:r w:rsidRPr="003475EB">
        <w:rPr>
          <w:i/>
          <w:color w:val="000000" w:themeColor="text1"/>
        </w:rPr>
        <w:t>Tet2</w:t>
      </w:r>
      <w:r w:rsidRPr="003475EB">
        <w:rPr>
          <w:color w:val="000000" w:themeColor="text1"/>
        </w:rPr>
        <w:t>-mediated CH and CVD</w:t>
      </w:r>
      <w:r w:rsidR="00EC2ADB" w:rsidRPr="00BC6D7A">
        <w:rPr>
          <w:color w:val="000000" w:themeColor="text1"/>
          <w:vertAlign w:val="superscript"/>
        </w:rPr>
        <w:t>8</w:t>
      </w:r>
      <w:r w:rsidR="00851A00">
        <w:rPr>
          <w:color w:val="000000" w:themeColor="text1"/>
          <w:vertAlign w:val="superscript"/>
        </w:rPr>
        <w:t>–</w:t>
      </w:r>
      <w:r w:rsidR="00EC2ADB" w:rsidRPr="00BC6D7A">
        <w:rPr>
          <w:color w:val="000000" w:themeColor="text1"/>
          <w:vertAlign w:val="superscript"/>
        </w:rPr>
        <w:t>10</w:t>
      </w:r>
      <w:r w:rsidR="00105C0A">
        <w:rPr>
          <w:color w:val="000000" w:themeColor="text1"/>
        </w:rPr>
        <w:t>.</w:t>
      </w:r>
    </w:p>
    <w:p w14:paraId="4D66204C" w14:textId="77777777" w:rsidR="008A62BC" w:rsidRDefault="008A62BC" w:rsidP="000C770D">
      <w:pPr>
        <w:jc w:val="both"/>
        <w:rPr>
          <w:rFonts w:ascii="Calibri" w:hAnsi="Calibri" w:cs="Calibri"/>
          <w:color w:val="000000" w:themeColor="text1"/>
          <w:shd w:val="clear" w:color="auto" w:fill="FFFFFF"/>
        </w:rPr>
      </w:pPr>
    </w:p>
    <w:p w14:paraId="7C06F9FA" w14:textId="1C2219D0" w:rsidR="00495F80" w:rsidRPr="003475EB" w:rsidRDefault="00105C0A" w:rsidP="000C770D">
      <w:pPr>
        <w:jc w:val="both"/>
        <w:rPr>
          <w:rFonts w:ascii="Calibri" w:hAnsi="Calibri" w:cs="Calibri"/>
          <w:color w:val="000000" w:themeColor="text1"/>
          <w:shd w:val="clear" w:color="auto" w:fill="FFFFFF"/>
        </w:rPr>
      </w:pPr>
      <w:r w:rsidRPr="00830E5B">
        <w:rPr>
          <w:rFonts w:ascii="Calibri" w:hAnsi="Calibri" w:cs="Calibri"/>
          <w:color w:val="000000" w:themeColor="text1"/>
          <w:shd w:val="clear" w:color="auto" w:fill="FFFFFF"/>
        </w:rPr>
        <w:t>When employing t</w:t>
      </w:r>
      <w:r w:rsidR="00830E5B" w:rsidRPr="00830E5B">
        <w:rPr>
          <w:rFonts w:ascii="Calibri" w:hAnsi="Calibri" w:cs="Calibri"/>
          <w:color w:val="000000" w:themeColor="text1"/>
          <w:shd w:val="clear" w:color="auto" w:fill="FFFFFF"/>
        </w:rPr>
        <w:t>hese</w:t>
      </w:r>
      <w:r w:rsidRPr="00830E5B">
        <w:rPr>
          <w:rFonts w:ascii="Calibri" w:hAnsi="Calibri" w:cs="Calibri"/>
          <w:color w:val="000000" w:themeColor="text1"/>
          <w:shd w:val="clear" w:color="auto" w:fill="FFFFFF"/>
        </w:rPr>
        <w:t xml:space="preserve"> approach</w:t>
      </w:r>
      <w:r w:rsidR="00830E5B" w:rsidRPr="00830E5B">
        <w:rPr>
          <w:rFonts w:ascii="Calibri" w:hAnsi="Calibri" w:cs="Calibri"/>
          <w:color w:val="000000" w:themeColor="text1"/>
          <w:shd w:val="clear" w:color="auto" w:fill="FFFFFF"/>
        </w:rPr>
        <w:t>es</w:t>
      </w:r>
      <w:r w:rsidRPr="00830E5B">
        <w:rPr>
          <w:rFonts w:ascii="Calibri" w:hAnsi="Calibri" w:cs="Calibri"/>
          <w:color w:val="000000" w:themeColor="text1"/>
          <w:shd w:val="clear" w:color="auto" w:fill="FFFFFF"/>
        </w:rPr>
        <w:t>,</w:t>
      </w:r>
      <w:r>
        <w:rPr>
          <w:rFonts w:ascii="Calibri" w:hAnsi="Calibri" w:cs="Calibri"/>
          <w:color w:val="000000" w:themeColor="text1"/>
          <w:shd w:val="clear" w:color="auto" w:fill="FFFFFF"/>
        </w:rPr>
        <w:t xml:space="preserve"> r</w:t>
      </w:r>
      <w:r w:rsidR="00495F80" w:rsidRPr="003475EB">
        <w:rPr>
          <w:rFonts w:ascii="Calibri" w:hAnsi="Calibri" w:cs="Calibri"/>
          <w:color w:val="000000" w:themeColor="text1"/>
          <w:shd w:val="clear" w:color="auto" w:fill="FFFFFF"/>
        </w:rPr>
        <w:t xml:space="preserve">esearchers should take into consideration the possible confounding effects </w:t>
      </w:r>
      <w:r w:rsidR="00830E5B">
        <w:rPr>
          <w:rFonts w:ascii="Calibri" w:hAnsi="Calibri" w:cs="Calibri"/>
          <w:color w:val="000000" w:themeColor="text1"/>
          <w:shd w:val="clear" w:color="auto" w:fill="FFFFFF"/>
        </w:rPr>
        <w:t>generated by</w:t>
      </w:r>
      <w:r w:rsidR="00495F80" w:rsidRPr="003475EB">
        <w:rPr>
          <w:rFonts w:ascii="Calibri" w:hAnsi="Calibri" w:cs="Calibri"/>
          <w:color w:val="000000" w:themeColor="text1"/>
          <w:shd w:val="clear" w:color="auto" w:fill="FFFFFF"/>
        </w:rPr>
        <w:t xml:space="preserve"> TBI. Although </w:t>
      </w:r>
      <w:r w:rsidR="00830E5B">
        <w:rPr>
          <w:rFonts w:ascii="Calibri" w:hAnsi="Calibri" w:cs="Calibri"/>
          <w:color w:val="000000" w:themeColor="text1"/>
          <w:shd w:val="clear" w:color="auto" w:fill="FFFFFF"/>
        </w:rPr>
        <w:t>TBI</w:t>
      </w:r>
      <w:r w:rsidR="00495F80" w:rsidRPr="003475EB">
        <w:rPr>
          <w:rFonts w:ascii="Calibri" w:hAnsi="Calibri" w:cs="Calibri"/>
          <w:color w:val="000000" w:themeColor="text1"/>
          <w:shd w:val="clear" w:color="auto" w:fill="FFFFFF"/>
        </w:rPr>
        <w:t xml:space="preserve"> prior to transplantation enables </w:t>
      </w:r>
      <w:r w:rsidR="00830E5B">
        <w:rPr>
          <w:rFonts w:ascii="Calibri" w:hAnsi="Calibri" w:cs="Calibri"/>
          <w:color w:val="000000" w:themeColor="text1"/>
          <w:shd w:val="clear" w:color="auto" w:fill="FFFFFF"/>
        </w:rPr>
        <w:t>a high degree of</w:t>
      </w:r>
      <w:r w:rsidR="00C74262" w:rsidRPr="003475EB">
        <w:rPr>
          <w:rFonts w:ascii="Calibri" w:hAnsi="Calibri" w:cs="Calibri"/>
          <w:color w:val="000000" w:themeColor="text1"/>
          <w:shd w:val="clear" w:color="auto" w:fill="FFFFFF"/>
        </w:rPr>
        <w:t xml:space="preserve"> </w:t>
      </w:r>
      <w:r w:rsidR="00495F80" w:rsidRPr="003475EB">
        <w:rPr>
          <w:rFonts w:ascii="Calibri" w:hAnsi="Calibri" w:cs="Calibri"/>
          <w:color w:val="000000" w:themeColor="text1"/>
          <w:shd w:val="clear" w:color="auto" w:fill="FFFFFF"/>
        </w:rPr>
        <w:t xml:space="preserve">HSPC engraftment, </w:t>
      </w:r>
      <w:r w:rsidR="00830E5B">
        <w:rPr>
          <w:rFonts w:ascii="Calibri" w:hAnsi="Calibri" w:cs="Calibri"/>
          <w:color w:val="000000" w:themeColor="text1"/>
          <w:shd w:val="clear" w:color="auto" w:fill="FFFFFF"/>
        </w:rPr>
        <w:t xml:space="preserve">this </w:t>
      </w:r>
      <w:r w:rsidR="00495F80" w:rsidRPr="003475EB">
        <w:rPr>
          <w:rFonts w:ascii="Calibri" w:hAnsi="Calibri" w:cs="Calibri"/>
          <w:color w:val="000000" w:themeColor="text1"/>
          <w:shd w:val="clear" w:color="auto" w:fill="FFFFFF"/>
        </w:rPr>
        <w:t xml:space="preserve">pre-conditioning </w:t>
      </w:r>
      <w:r w:rsidR="00830E5B">
        <w:rPr>
          <w:rFonts w:ascii="Calibri" w:hAnsi="Calibri" w:cs="Calibri"/>
          <w:color w:val="000000" w:themeColor="text1"/>
          <w:shd w:val="clear" w:color="auto" w:fill="FFFFFF"/>
        </w:rPr>
        <w:t>will lead to</w:t>
      </w:r>
      <w:r w:rsidR="00495F80" w:rsidRPr="003475EB">
        <w:rPr>
          <w:rFonts w:ascii="Calibri" w:hAnsi="Calibri" w:cs="Calibri"/>
          <w:color w:val="000000" w:themeColor="text1"/>
          <w:shd w:val="clear" w:color="auto" w:fill="FFFFFF"/>
        </w:rPr>
        <w:t xml:space="preserve"> several undesirable effects </w:t>
      </w:r>
      <w:r w:rsidR="00495F80" w:rsidRPr="00694E70">
        <w:rPr>
          <w:rFonts w:ascii="Calibri" w:hAnsi="Calibri" w:cs="Calibri"/>
          <w:color w:val="000000" w:themeColor="text1"/>
          <w:shd w:val="clear" w:color="auto" w:fill="FFFFFF"/>
        </w:rPr>
        <w:t xml:space="preserve">outside </w:t>
      </w:r>
      <w:r w:rsidR="00694E70" w:rsidRPr="00694E70">
        <w:rPr>
          <w:rFonts w:ascii="Calibri" w:hAnsi="Calibri" w:cs="Calibri"/>
          <w:color w:val="000000" w:themeColor="text1"/>
          <w:shd w:val="clear" w:color="auto" w:fill="FFFFFF"/>
        </w:rPr>
        <w:t xml:space="preserve">of </w:t>
      </w:r>
      <w:r w:rsidR="00495F80" w:rsidRPr="00694E70">
        <w:rPr>
          <w:rFonts w:ascii="Calibri" w:hAnsi="Calibri" w:cs="Calibri"/>
          <w:color w:val="000000" w:themeColor="text1"/>
          <w:shd w:val="clear" w:color="auto" w:fill="FFFFFF"/>
        </w:rPr>
        <w:t>the hematopoietic system</w:t>
      </w:r>
      <w:r w:rsidR="00495F80" w:rsidRPr="003475EB">
        <w:rPr>
          <w:rFonts w:ascii="Calibri" w:hAnsi="Calibri" w:cs="Calibri"/>
          <w:color w:val="000000" w:themeColor="text1"/>
          <w:shd w:val="clear" w:color="auto" w:fill="FFFFFF"/>
        </w:rPr>
        <w:t>. It has been documented that TBI ca</w:t>
      </w:r>
      <w:r w:rsidR="00694E70">
        <w:rPr>
          <w:rFonts w:ascii="Calibri" w:hAnsi="Calibri" w:cs="Calibri"/>
          <w:color w:val="000000" w:themeColor="text1"/>
          <w:shd w:val="clear" w:color="auto" w:fill="FFFFFF"/>
        </w:rPr>
        <w:t>n lead to</w:t>
      </w:r>
      <w:r w:rsidR="00495F80" w:rsidRPr="003475EB">
        <w:rPr>
          <w:rFonts w:ascii="Calibri" w:hAnsi="Calibri" w:cs="Calibri"/>
          <w:color w:val="000000" w:themeColor="text1"/>
          <w:shd w:val="clear" w:color="auto" w:fill="FFFFFF"/>
        </w:rPr>
        <w:t xml:space="preserve"> inflammation, injury, an</w:t>
      </w:r>
      <w:r w:rsidR="00694E70">
        <w:rPr>
          <w:rFonts w:ascii="Calibri" w:hAnsi="Calibri" w:cs="Calibri"/>
          <w:color w:val="000000" w:themeColor="text1"/>
          <w:shd w:val="clear" w:color="auto" w:fill="FFFFFF"/>
        </w:rPr>
        <w:t>d</w:t>
      </w:r>
      <w:r w:rsidR="00495F80" w:rsidRPr="003475EB">
        <w:rPr>
          <w:rFonts w:ascii="Calibri" w:hAnsi="Calibri" w:cs="Calibri"/>
          <w:color w:val="000000" w:themeColor="text1"/>
          <w:shd w:val="clear" w:color="auto" w:fill="FFFFFF"/>
        </w:rPr>
        <w:t xml:space="preserve"> fibrosis in multiple organ systems including skin, liver, kidneys, lungs, bone marrow, heart, brain</w:t>
      </w:r>
      <w:r w:rsidR="00CE6E60">
        <w:rPr>
          <w:rFonts w:ascii="Calibri" w:hAnsi="Calibri" w:cs="Calibri"/>
          <w:color w:val="000000" w:themeColor="text1"/>
          <w:shd w:val="clear" w:color="auto" w:fill="FFFFFF"/>
        </w:rPr>
        <w:t>,</w:t>
      </w:r>
      <w:r w:rsidR="00495F80" w:rsidRPr="003475EB">
        <w:rPr>
          <w:rFonts w:ascii="Calibri" w:hAnsi="Calibri" w:cs="Calibri"/>
          <w:color w:val="000000" w:themeColor="text1"/>
          <w:shd w:val="clear" w:color="auto" w:fill="FFFFFF"/>
        </w:rPr>
        <w:t xml:space="preserve"> etc.</w:t>
      </w:r>
      <w:r w:rsidR="00495F80" w:rsidRPr="003475EB">
        <w:rPr>
          <w:rFonts w:ascii="Calibri" w:hAnsi="Calibri" w:cs="Calibri"/>
          <w:color w:val="000000" w:themeColor="text1"/>
          <w:shd w:val="clear" w:color="auto" w:fill="FFFFFF"/>
        </w:rPr>
        <w:fldChar w:fldCharType="begin"/>
      </w:r>
      <w:r w:rsidR="00495F80" w:rsidRPr="003475EB">
        <w:rPr>
          <w:rFonts w:ascii="Calibri" w:hAnsi="Calibri" w:cs="Calibri"/>
          <w:color w:val="000000" w:themeColor="text1"/>
          <w:shd w:val="clear" w:color="auto" w:fill="FFFFFF"/>
        </w:rPr>
        <w:instrText xml:space="preserve"> ADDIN ZOTERO_ITEM CSL_CITATION {"citationID":"qAENhQAU","properties":{"formattedCitation":"\\super 21\\uc0\\u8211{}23\\nosupersub{}","plainCitation":"21–23","dontUpdate":true,"noteIndex":0},"citationItems":[{"id":54,"uris":["http://zotero.org/users/local/r2R059Ry/items/36MITVIK"],"uri":["http://zotero.org/users/local/r2R059Ry/items/36MITVIK"],"itemData":{"id":54,"type":"article-journal","abstract":"Key Points\n            Total body irradiation causes long-term bone marrow suppression by selectively inducing HSC senescence. The induction of HSC senescence is independent of telomere shortening and p16Ink4a and Arf.","container-title":"Blood","DOI":"10.1182/blood-2013-07-515619","ISSN":"0006-4971, 1528-0020","issue":"20","language":"en","page":"3105-3115","source":"DOI.org (Crossref)","title":"Total body irradiation causes long-term mouse BM injury via induction of HSC premature senescence in an Ink4a- and Arf-independent manner","volume":"123","author":[{"family":"Shao","given":"Lijian"},{"family":"Feng","given":"Wei"},{"family":"Li","given":"Hongliang"},{"family":"Gardner","given":"David"},{"family":"Luo","given":"Yi"},{"family":"Wang","given":"Yong"},{"family":"Liu","given":"Lingbo"},{"family":"Meng","given":"Aimin"},{"family":"Sharpless","given":"Norman E."},{"family":"Zhou","given":"Daohong"}],"issued":{"date-parts":[["2014",5,15]]}}},{"id":56,"uris":["http://zotero.org/users/local/r2R059Ry/items/3EDC4UPB"],"uri":["http://zotero.org/users/local/r2R059Ry/items/3EDC4UPB"],"itemData":{"id":56,"type":"article-journal","abstract":"We have previously demonstrated, using chimeric resistant MRL/lpr mice, that a fractionated total body irradiation (FTBI) (5 Gy ؋ 2 with a 4 h interval on the day before allogeneic bone marrow transplantation (BMT) ) is the best conditioning regimen for the treatment of autoimmune diseases in radiosensitive MRL/lpr mice. In the present study, using various standard strains of mice (not radiosensitive mice), we explore the best protocol for irradiation (doses and intervals) as the conditioning regimen for allogeneic BMT. Recipient mice were exposed to various irradiation regimens: a single total body irradiation (TBI) of 9.5 or 12 Gy and FTBI of (5+5) Gy to (7+7) Gy with a 1 to 24 h interval. The method generally utilized for humans ((2+2) Gy with a 4 h interval for 3 days (total 12 Gy)) was also used. One day after the last irradiation, donor BMCs from BALB/c, C3H, or C57BL/6 (B6) mice were transplanted into C3H or B6 mice. The irradiation protocol of (2+2) Gy for 3 days was found to be insufﬁcient to enable the complete removal of recipient immunocompetent cells, since donor-reactive T cells were observed in the recipient spleens and many recipient-type NK and CD4+ cells were also detected in the recipient hematolymphoid tissues. In all the combinations, the highest survival rate was achieved in the recipients irradiated with (6+6) or (6.5+6.5) Gy with a 4 h interval. In the surviving mice, the hematolymphoid tissues had been fully reconstituted with donor cells.","container-title":"Bone Marrow Transplantation","DOI":"10.1038/sj.bmt.1703766","ISSN":"0268-3369, 1476-5365","issue":"12","journalAbbreviation":"Bone Marrow Transplant","language":"en","page":"843-849","source":"DOI.org (Crossref)","title":"Optimal protocol for total body irradiation for allogeneic bone marrow transplantation in mice","volume":"30","author":[{"family":"Cui","given":"Y-Z"},{"family":"Hisha","given":"H"},{"family":"Yang","given":"G-X"},{"family":"Fan","given":"T-X"},{"family":"Jin","given":"T"},{"family":"Li","given":"Q"},{"family":"Lian","given":"Z"},{"family":"Ikehara","given":"S"}],"issued":{"date-parts":[["2002",12]]}}},{"id":58,"uris":["http://zotero.org/users/local/r2R059Ry/items/KYG56HV4"],"uri":["http://zotero.org/users/local/r2R059Ry/items/KYG56HV4"],"itemData":{"id":58,"type":"article-journal","container-title":"PLOS ONE","DOI":"10.1371/journal.pone.0161079","ISSN":"1932-6203","issue":"8","journalAbbreviation":"PLoS ONE","language":"en","page":"e0161079","source":"DOI.org (Crossref)","title":"Establishment of Early Endpoints in Mouse Total-Body Irradiation Model","volume":"11","author":[{"family":"Koch","given":"Amory"},{"family":"Gulani","given":"Jatinder"},{"family":"King","given":"Gregory"},{"family":"Hieber","given":"Kevin"},{"family":"Chappell","given":"Mark"},{"family":"Ossetrova","given":"Natalia"}],"editor":[{"family":"Fornace","given":"Albert J."}],"issued":{"date-parts":[["2016",8,31]]}}}],"schema":"https://github.com/citation-style-language/schema/raw/master/csl-citation.json"} </w:instrText>
      </w:r>
      <w:r w:rsidR="00495F80" w:rsidRPr="003475EB">
        <w:rPr>
          <w:rFonts w:ascii="Calibri" w:hAnsi="Calibri" w:cs="Calibri"/>
          <w:color w:val="000000" w:themeColor="text1"/>
          <w:shd w:val="clear" w:color="auto" w:fill="FFFFFF"/>
        </w:rPr>
        <w:fldChar w:fldCharType="separate"/>
      </w:r>
      <w:r w:rsidR="00495F80" w:rsidRPr="003475EB">
        <w:rPr>
          <w:rFonts w:ascii="Calibri" w:hAnsi="Calibri" w:cs="Calibri"/>
          <w:color w:val="000000" w:themeColor="text1"/>
          <w:vertAlign w:val="superscript"/>
        </w:rPr>
        <w:t>1</w:t>
      </w:r>
      <w:r w:rsidR="00562A04">
        <w:rPr>
          <w:rFonts w:ascii="Calibri" w:hAnsi="Calibri" w:cs="Calibri"/>
          <w:color w:val="000000" w:themeColor="text1"/>
          <w:vertAlign w:val="superscript"/>
        </w:rPr>
        <w:t>8</w:t>
      </w:r>
      <w:r w:rsidR="00495F80" w:rsidRPr="003475EB">
        <w:rPr>
          <w:rFonts w:ascii="Calibri" w:hAnsi="Calibri" w:cs="Calibri"/>
          <w:color w:val="000000" w:themeColor="text1"/>
          <w:vertAlign w:val="superscript"/>
        </w:rPr>
        <w:t>–</w:t>
      </w:r>
      <w:r w:rsidR="00562A04">
        <w:rPr>
          <w:rFonts w:ascii="Calibri" w:hAnsi="Calibri" w:cs="Calibri"/>
          <w:color w:val="000000" w:themeColor="text1"/>
          <w:vertAlign w:val="superscript"/>
        </w:rPr>
        <w:t>20</w:t>
      </w:r>
      <w:r w:rsidR="00495F80" w:rsidRPr="003475EB">
        <w:rPr>
          <w:rFonts w:ascii="Calibri" w:hAnsi="Calibri" w:cs="Calibri"/>
          <w:color w:val="000000" w:themeColor="text1"/>
          <w:shd w:val="clear" w:color="auto" w:fill="FFFFFF"/>
        </w:rPr>
        <w:fldChar w:fldCharType="end"/>
      </w:r>
      <w:r w:rsidR="00495F80" w:rsidRPr="003475EB">
        <w:rPr>
          <w:rFonts w:ascii="Calibri" w:hAnsi="Calibri" w:cs="Calibri"/>
          <w:color w:val="000000" w:themeColor="text1"/>
          <w:shd w:val="clear" w:color="auto" w:fill="FFFFFF"/>
        </w:rPr>
        <w:t xml:space="preserve">. These </w:t>
      </w:r>
      <w:r w:rsidR="00694E70">
        <w:rPr>
          <w:rFonts w:ascii="Calibri" w:hAnsi="Calibri" w:cs="Calibri"/>
          <w:color w:val="000000" w:themeColor="text1"/>
          <w:shd w:val="clear" w:color="auto" w:fill="FFFFFF"/>
        </w:rPr>
        <w:t xml:space="preserve">side </w:t>
      </w:r>
      <w:r w:rsidR="00495F80" w:rsidRPr="003475EB">
        <w:rPr>
          <w:rFonts w:ascii="Calibri" w:hAnsi="Calibri" w:cs="Calibri"/>
          <w:color w:val="000000" w:themeColor="text1"/>
          <w:shd w:val="clear" w:color="auto" w:fill="FFFFFF"/>
        </w:rPr>
        <w:t xml:space="preserve">effects </w:t>
      </w:r>
      <w:r w:rsidR="00694E70">
        <w:rPr>
          <w:rFonts w:ascii="Calibri" w:hAnsi="Calibri" w:cs="Calibri"/>
          <w:color w:val="000000" w:themeColor="text1"/>
          <w:shd w:val="clear" w:color="auto" w:fill="FFFFFF"/>
        </w:rPr>
        <w:t>can</w:t>
      </w:r>
      <w:r w:rsidR="00495F80" w:rsidRPr="003475EB">
        <w:rPr>
          <w:rFonts w:ascii="Calibri" w:hAnsi="Calibri" w:cs="Calibri"/>
          <w:color w:val="000000" w:themeColor="text1"/>
          <w:shd w:val="clear" w:color="auto" w:fill="FFFFFF"/>
        </w:rPr>
        <w:t xml:space="preserve"> negatively impact the cardiovascular organs under study, and they also alter </w:t>
      </w:r>
      <w:r w:rsidR="00C74262">
        <w:rPr>
          <w:rFonts w:ascii="Calibri" w:hAnsi="Calibri" w:cs="Calibri"/>
          <w:shd w:val="clear" w:color="auto" w:fill="FFFFFF"/>
        </w:rPr>
        <w:t>disease pathogenesis</w:t>
      </w:r>
      <w:r w:rsidR="00EC2ADB" w:rsidRPr="003475EB">
        <w:rPr>
          <w:rFonts w:ascii="Calibri" w:hAnsi="Calibri" w:cs="Calibri"/>
          <w:color w:val="000000" w:themeColor="text1"/>
          <w:shd w:val="clear" w:color="auto" w:fill="FFFFFF"/>
        </w:rPr>
        <w:fldChar w:fldCharType="begin"/>
      </w:r>
      <w:r w:rsidR="00EC2ADB" w:rsidRPr="003475EB">
        <w:rPr>
          <w:rFonts w:ascii="Calibri" w:hAnsi="Calibri" w:cs="Calibri"/>
          <w:color w:val="000000" w:themeColor="text1"/>
          <w:shd w:val="clear" w:color="auto" w:fill="FFFFFF"/>
        </w:rPr>
        <w:instrText xml:space="preserve"> ADDIN ZOTERO_ITEM CSL_CITATION {"citationID":"rjw5YNws","properties":{"formattedCitation":"\\super 24, 25\\nosupersub{}","plainCitation":"24, 25","dontUpdate":true,"noteIndex":0},"citationItems":[{"id":61,"uris":["http://zotero.org/users/local/r2R059Ry/items/KBDS8QVE"],"uri":["http://zotero.org/users/local/r2R059Ry/items/KBDS8QVE"],"itemData":{"id":61,"type":"article-journal","container-title":"Frontiers in Medicine","DOI":"10.3389/fmed.2019.00202","ISSN":"2296-858X","journalAbbreviation":"Front. Med.","language":"en","page":"202","source":"DOI.org (Crossref)","title":"Cardiovascular Risk in Fatty Liver Disease: The Liver-Heart Axis—Literature Review","title-short":"Cardiovascular Risk in Fatty Liver Disease","volume":"6","author":[{"family":"Ismaiel","given":"Abdulrahman"},{"family":"Dumitraşcu","given":"Dan L."}],"issued":{"date-parts":[["2019",9,13]]}}},{"id":63,"uris":["http://zotero.org/users/local/r2R059Ry/items/J4EJFS59"],"uri":["http://zotero.org/users/local/r2R059Ry/items/J4EJFS59"],"itemData":{"id":63,"type":"article-journal","container-title":"Journal of the American Society of Nephrology","DOI":"10.1681/ASN.2006030204","ISSN":"1046-6673, 1533-3450","issue":"8","journalAbbreviation":"JASN","language":"en","page":"2112-2119","source":"DOI.org (Crossref)","title":"Cross-Talk between the Kidney and the Cardiovascular System: Figure 1.","title-short":"Cross-Talk between the Kidney and the Cardiovascular System","volume":"17","author":[{"family":"Amann","given":"Kerstin"},{"family":"Wanner","given":"Christoph"},{"family":"Ritz","given":"Eberhard"}],"issued":{"date-parts":[["2006",8]]}}}],"schema":"https://github.com/citation-style-language/schema/raw/master/csl-citation.json"} </w:instrText>
      </w:r>
      <w:r w:rsidR="00EC2ADB" w:rsidRPr="003475EB">
        <w:rPr>
          <w:rFonts w:ascii="Calibri" w:hAnsi="Calibri" w:cs="Calibri"/>
          <w:color w:val="000000" w:themeColor="text1"/>
          <w:shd w:val="clear" w:color="auto" w:fill="FFFFFF"/>
        </w:rPr>
        <w:fldChar w:fldCharType="separate"/>
      </w:r>
      <w:r w:rsidR="00EC2ADB" w:rsidRPr="003475EB">
        <w:rPr>
          <w:rFonts w:ascii="Calibri" w:hAnsi="Calibri" w:cs="Calibri"/>
          <w:color w:val="000000" w:themeColor="text1"/>
          <w:vertAlign w:val="superscript"/>
        </w:rPr>
        <w:t>2</w:t>
      </w:r>
      <w:r w:rsidR="00EC2ADB">
        <w:rPr>
          <w:rFonts w:ascii="Calibri" w:hAnsi="Calibri" w:cs="Calibri"/>
          <w:color w:val="000000" w:themeColor="text1"/>
          <w:vertAlign w:val="superscript"/>
        </w:rPr>
        <w:t>1</w:t>
      </w:r>
      <w:r w:rsidR="003E4AF1">
        <w:rPr>
          <w:rFonts w:ascii="Calibri" w:hAnsi="Calibri" w:cs="Calibri"/>
          <w:color w:val="000000" w:themeColor="text1"/>
          <w:vertAlign w:val="superscript"/>
        </w:rPr>
        <w:t>,</w:t>
      </w:r>
      <w:r w:rsidR="00EC2ADB" w:rsidRPr="003475EB">
        <w:rPr>
          <w:rFonts w:ascii="Calibri" w:hAnsi="Calibri" w:cs="Calibri"/>
          <w:color w:val="000000" w:themeColor="text1"/>
          <w:vertAlign w:val="superscript"/>
        </w:rPr>
        <w:t>2</w:t>
      </w:r>
      <w:r w:rsidR="00EC2ADB">
        <w:rPr>
          <w:rFonts w:ascii="Calibri" w:hAnsi="Calibri" w:cs="Calibri"/>
          <w:color w:val="000000" w:themeColor="text1"/>
          <w:vertAlign w:val="superscript"/>
        </w:rPr>
        <w:t>2</w:t>
      </w:r>
      <w:r w:rsidR="00EC2ADB" w:rsidRPr="003475EB">
        <w:rPr>
          <w:rFonts w:ascii="Calibri" w:hAnsi="Calibri" w:cs="Calibri"/>
          <w:color w:val="000000" w:themeColor="text1"/>
          <w:shd w:val="clear" w:color="auto" w:fill="FFFFFF"/>
        </w:rPr>
        <w:fldChar w:fldCharType="end"/>
      </w:r>
      <w:r w:rsidR="00495F80" w:rsidRPr="003475EB">
        <w:rPr>
          <w:rFonts w:ascii="Calibri" w:hAnsi="Calibri" w:cs="Calibri"/>
          <w:color w:val="000000" w:themeColor="text1"/>
          <w:shd w:val="clear" w:color="auto" w:fill="FFFFFF"/>
        </w:rPr>
        <w:t>. A</w:t>
      </w:r>
      <w:r w:rsidR="00694E70">
        <w:rPr>
          <w:rFonts w:ascii="Calibri" w:hAnsi="Calibri" w:cs="Calibri"/>
          <w:color w:val="000000" w:themeColor="text1"/>
          <w:shd w:val="clear" w:color="auto" w:fill="FFFFFF"/>
        </w:rPr>
        <w:t xml:space="preserve"> notable</w:t>
      </w:r>
      <w:r w:rsidR="00495F80" w:rsidRPr="003475EB">
        <w:rPr>
          <w:rFonts w:ascii="Calibri" w:hAnsi="Calibri" w:cs="Calibri"/>
          <w:color w:val="000000" w:themeColor="text1"/>
          <w:shd w:val="clear" w:color="auto" w:fill="FFFFFF"/>
        </w:rPr>
        <w:t xml:space="preserve"> example is the effect of irradiation on resident macrophages in the heart. Irradiation of the </w:t>
      </w:r>
      <w:r w:rsidR="005A5031">
        <w:rPr>
          <w:rFonts w:ascii="Calibri" w:hAnsi="Calibri" w:cs="Calibri"/>
          <w:color w:val="000000" w:themeColor="text1"/>
          <w:shd w:val="clear" w:color="auto" w:fill="FFFFFF"/>
        </w:rPr>
        <w:t>thorax</w:t>
      </w:r>
      <w:r w:rsidR="005A5031" w:rsidRPr="003475EB">
        <w:rPr>
          <w:rFonts w:ascii="Calibri" w:hAnsi="Calibri" w:cs="Calibri"/>
          <w:color w:val="000000" w:themeColor="text1"/>
          <w:shd w:val="clear" w:color="auto" w:fill="FFFFFF"/>
        </w:rPr>
        <w:t xml:space="preserve"> </w:t>
      </w:r>
      <w:r w:rsidR="00495F80" w:rsidRPr="003475EB">
        <w:rPr>
          <w:rFonts w:ascii="Calibri" w:hAnsi="Calibri" w:cs="Calibri"/>
          <w:color w:val="000000" w:themeColor="text1"/>
          <w:shd w:val="clear" w:color="auto" w:fill="FFFFFF"/>
        </w:rPr>
        <w:t xml:space="preserve">results in </w:t>
      </w:r>
      <w:r w:rsidR="00694E70">
        <w:rPr>
          <w:rFonts w:ascii="Calibri" w:hAnsi="Calibri" w:cs="Calibri"/>
          <w:color w:val="000000" w:themeColor="text1"/>
          <w:shd w:val="clear" w:color="auto" w:fill="FFFFFF"/>
        </w:rPr>
        <w:t>a marked</w:t>
      </w:r>
      <w:r w:rsidR="00495F80" w:rsidRPr="003475EB">
        <w:rPr>
          <w:rFonts w:ascii="Calibri" w:hAnsi="Calibri" w:cs="Calibri"/>
          <w:color w:val="000000" w:themeColor="text1"/>
          <w:shd w:val="clear" w:color="auto" w:fill="FFFFFF"/>
        </w:rPr>
        <w:t xml:space="preserve"> replacement of cardiac-resident macrophages with circulating monocyte-derived macrophages. </w:t>
      </w:r>
      <w:r w:rsidR="00C74262">
        <w:rPr>
          <w:rFonts w:ascii="Calibri" w:hAnsi="Calibri" w:cs="Calibri"/>
          <w:shd w:val="clear" w:color="auto" w:fill="FFFFFF"/>
        </w:rPr>
        <w:t>Studies have shown that</w:t>
      </w:r>
      <w:r w:rsidR="00C74262" w:rsidRPr="000E2C9E">
        <w:rPr>
          <w:rFonts w:ascii="Calibri" w:hAnsi="Calibri" w:cs="Calibri"/>
          <w:shd w:val="clear" w:color="auto" w:fill="FFFFFF"/>
        </w:rPr>
        <w:t xml:space="preserve"> cardiac-resident macrophages display di</w:t>
      </w:r>
      <w:r w:rsidR="00C74262">
        <w:rPr>
          <w:rFonts w:ascii="Calibri" w:hAnsi="Calibri" w:cs="Calibri"/>
          <w:shd w:val="clear" w:color="auto" w:fill="FFFFFF"/>
        </w:rPr>
        <w:t>stinct</w:t>
      </w:r>
      <w:r w:rsidR="00C74262" w:rsidRPr="000E2C9E">
        <w:rPr>
          <w:rFonts w:ascii="Calibri" w:hAnsi="Calibri" w:cs="Calibri"/>
          <w:shd w:val="clear" w:color="auto" w:fill="FFFFFF"/>
        </w:rPr>
        <w:t xml:space="preserve"> characteristics </w:t>
      </w:r>
      <w:r w:rsidR="00694E70">
        <w:rPr>
          <w:rFonts w:ascii="Calibri" w:hAnsi="Calibri" w:cs="Calibri"/>
          <w:shd w:val="clear" w:color="auto" w:fill="FFFFFF"/>
        </w:rPr>
        <w:t>relative to</w:t>
      </w:r>
      <w:r w:rsidR="00C74262">
        <w:rPr>
          <w:rFonts w:ascii="Calibri" w:hAnsi="Calibri" w:cs="Calibri"/>
          <w:shd w:val="clear" w:color="auto" w:fill="FFFFFF"/>
        </w:rPr>
        <w:t xml:space="preserve"> </w:t>
      </w:r>
      <w:r w:rsidR="00C74262" w:rsidRPr="000E2C9E">
        <w:rPr>
          <w:rFonts w:ascii="Calibri" w:hAnsi="Calibri" w:cs="Calibri"/>
          <w:shd w:val="clear" w:color="auto" w:fill="FFFFFF"/>
        </w:rPr>
        <w:t>circulating monocyte-derived macrophages</w:t>
      </w:r>
      <w:r w:rsidR="00694E70">
        <w:rPr>
          <w:rFonts w:ascii="Calibri" w:hAnsi="Calibri" w:cs="Calibri"/>
          <w:shd w:val="clear" w:color="auto" w:fill="FFFFFF"/>
        </w:rPr>
        <w:t xml:space="preserve"> that</w:t>
      </w:r>
      <w:r w:rsidR="00C74262">
        <w:rPr>
          <w:rFonts w:ascii="Calibri" w:hAnsi="Calibri" w:cs="Calibri"/>
          <w:shd w:val="clear" w:color="auto" w:fill="FFFFFF"/>
        </w:rPr>
        <w:t xml:space="preserve"> </w:t>
      </w:r>
      <w:r w:rsidR="00694E70">
        <w:rPr>
          <w:rFonts w:ascii="Calibri" w:hAnsi="Calibri" w:cs="Calibri"/>
          <w:shd w:val="clear" w:color="auto" w:fill="FFFFFF"/>
        </w:rPr>
        <w:t xml:space="preserve">will </w:t>
      </w:r>
      <w:r w:rsidR="00C74262">
        <w:rPr>
          <w:rFonts w:ascii="Calibri" w:hAnsi="Calibri" w:cs="Calibri"/>
          <w:shd w:val="clear" w:color="auto" w:fill="FFFFFF"/>
        </w:rPr>
        <w:t>engraft in the heart following radiation</w:t>
      </w:r>
      <w:r w:rsidR="00694E70">
        <w:rPr>
          <w:rFonts w:ascii="Calibri" w:hAnsi="Calibri" w:cs="Calibri"/>
          <w:shd w:val="clear" w:color="auto" w:fill="FFFFFF"/>
        </w:rPr>
        <w:t xml:space="preserve"> </w:t>
      </w:r>
      <w:r w:rsidR="00C74262">
        <w:rPr>
          <w:rFonts w:ascii="Calibri" w:hAnsi="Calibri" w:cs="Calibri"/>
          <w:shd w:val="clear" w:color="auto" w:fill="FFFFFF"/>
        </w:rPr>
        <w:t>injury</w:t>
      </w:r>
      <w:r w:rsidR="00C74262" w:rsidRPr="000E2C9E">
        <w:rPr>
          <w:rFonts w:ascii="Calibri" w:hAnsi="Calibri" w:cs="Calibri"/>
          <w:shd w:val="clear" w:color="auto" w:fill="FFFFFF"/>
        </w:rPr>
        <w:t>.</w:t>
      </w:r>
      <w:r w:rsidR="00C74262">
        <w:rPr>
          <w:rFonts w:ascii="Calibri" w:hAnsi="Calibri" w:cs="Calibri"/>
          <w:shd w:val="clear" w:color="auto" w:fill="FFFFFF"/>
        </w:rPr>
        <w:t xml:space="preserve"> </w:t>
      </w:r>
      <w:r w:rsidR="00495F80" w:rsidRPr="003475EB">
        <w:rPr>
          <w:rFonts w:ascii="Calibri" w:hAnsi="Calibri" w:cs="Calibri"/>
          <w:color w:val="000000" w:themeColor="text1"/>
          <w:shd w:val="clear" w:color="auto" w:fill="FFFFFF"/>
        </w:rPr>
        <w:t>In disease settings, cardiac-resident macrophages are thought to play a cardioprotective role, whereas infiltrating blood-borne macrophages have been reported to promote injury and inflammation</w:t>
      </w:r>
      <w:r w:rsidR="00351C4C" w:rsidRPr="003475EB">
        <w:rPr>
          <w:rFonts w:ascii="Calibri" w:hAnsi="Calibri" w:cs="Calibri"/>
          <w:color w:val="000000" w:themeColor="text1"/>
          <w:shd w:val="clear" w:color="auto" w:fill="FFFFFF"/>
          <w:vertAlign w:val="superscript"/>
        </w:rPr>
        <w:t>2</w:t>
      </w:r>
      <w:r w:rsidR="00351C4C">
        <w:rPr>
          <w:rFonts w:ascii="Calibri" w:hAnsi="Calibri" w:cs="Calibri"/>
          <w:color w:val="000000" w:themeColor="text1"/>
          <w:shd w:val="clear" w:color="auto" w:fill="FFFFFF"/>
          <w:vertAlign w:val="superscript"/>
        </w:rPr>
        <w:t>3</w:t>
      </w:r>
      <w:r w:rsidR="00495F80" w:rsidRPr="003475EB">
        <w:rPr>
          <w:rFonts w:ascii="Calibri" w:hAnsi="Calibri" w:cs="Calibri"/>
          <w:color w:val="000000" w:themeColor="text1"/>
          <w:shd w:val="clear" w:color="auto" w:fill="FFFFFF"/>
        </w:rPr>
        <w:t>. Therefore, it is conceivable that replacing resident cardiac immune cells with blood-borne cells will alter the pathological processes under study, which contribute to cardiovascular dise</w:t>
      </w:r>
      <w:r w:rsidR="00495F80" w:rsidRPr="00694E70">
        <w:rPr>
          <w:rFonts w:ascii="Calibri" w:hAnsi="Calibri" w:cs="Calibri"/>
          <w:color w:val="000000" w:themeColor="text1"/>
          <w:shd w:val="clear" w:color="auto" w:fill="FFFFFF"/>
        </w:rPr>
        <w:t>ase</w:t>
      </w:r>
      <w:r w:rsidR="00351C4C" w:rsidRPr="00694E70">
        <w:rPr>
          <w:rFonts w:ascii="Calibri" w:hAnsi="Calibri" w:cs="Calibri"/>
          <w:color w:val="000000" w:themeColor="text1"/>
          <w:shd w:val="clear" w:color="auto" w:fill="FFFFFF"/>
        </w:rPr>
        <w:fldChar w:fldCharType="begin"/>
      </w:r>
      <w:r w:rsidR="00351C4C" w:rsidRPr="00694E70">
        <w:rPr>
          <w:rFonts w:ascii="Calibri" w:hAnsi="Calibri" w:cs="Calibri"/>
          <w:color w:val="000000" w:themeColor="text1"/>
          <w:shd w:val="clear" w:color="auto" w:fill="FFFFFF"/>
        </w:rPr>
        <w:instrText xml:space="preserve"> ADDIN ZOTERO_ITEM CSL_CITATION {"citationID":"qnIg5ezB","properties":{"formattedCitation":"\\super 26\\uc0\\u8211{}29\\nosupersub{}","plainCitation":"26–29","noteIndex":0},"citationItems":[{"id":80,"uris":["http://zotero.org/users/local/r2R059Ry/items/62PLAE84"],"uri":["http://zotero.org/users/local/r2R059Ry/items/62PLAE84"],"itemData":{"id":80,"type":"article-journal","abstract":"Nonischemic cardiomyopathy (NICM) resulting from long-standing hypertension, valvular disease, and genetic mutations is a major cause of heart failure worldwide. Recent observations suggest that myeloid cells can impact cardiac function, but the role of tissue-intrinsic vs. tissue-extrinsic myeloid cells in NICM remains poorly understood. Here, we show that cardiac resident macrophage proliferation occurs within the first week following pressure overload hypertrophy (POH; a model of heart failure) and is requisite for the heart’s adaptive response. Mechanistically, we identify Kruppel-like factor 4 (KLF4) as a key transcription factor that regulates cardiac resident macrophage proliferation and angiogenic activities. Finally, we show that blood-borne macrophages recruited in late-phase POH are detrimental, and that blockade of their infiltration improves myocardial angiogenesis and preserves cardiac function. These observations demonstrate previously unappreciated temporal and spatial roles for resident and nonresident macrophages in the development of heart failure.","container-title":"Proceedings of the National Academy of Sciences","DOI":"10.1073/pnas.1720065115","ISSN":"0027-8424, 1091-6490","issue":"20","journalAbbreviation":"Proc Natl Acad Sci USA","language":"en","page":"E4661-E4669","source":"DOI.org (Crossref)","title":"Distinct roles of resident and nonresident macrophages in nonischemic cardiomyopathy","volume":"115","author":[{"family":"Liao","given":"Xudong"},{"family":"Shen","given":"Yuyan"},{"family":"Zhang","given":"Rongli"},{"family":"Sugi","given":"Keiki"},{"family":"Vasudevan","given":"Neelakantan T."},{"family":"Alaiti","given":"M. Amer"},{"family":"Sweet","given":"David R."},{"family":"Zhou","given":"Lin"},{"family":"Qing","given":"Yulan"},{"family":"Gerson","given":"Stanton L."},{"family":"Fu","given":"Chen"},{"family":"Wynshaw-Boris","given":"Anthony"},{"family":"Hu","given":"Rui"},{"family":"Schwartz","given":"Martin A."},{"family":"Fujioka","given":"Hisashi"},{"family":"Richardson","given":"Brian"},{"family":"Cameron","given":"Mark J."},{"family":"Hayashi","given":"Hiroki"},{"family":"Stamler","given":"Jonathan S."},{"family":"Jain","given":"Mukesh K."}],"issued":{"date-parts":[["2018",5,15]]}}},{"id":76,"uris":["http://zotero.org/users/local/r2R059Ry/items/B5XASEVB"],"uri":["http://zotero.org/users/local/r2R059Ry/items/B5XASEVB"],"itemData":{"id":76,"type":"article-journal","abstract":"Macrophages are ubiquitous cells that reside in all major tissues. Counter to long-held beliefs, we now know that resident macrophages in many organs are seeded during embryonic development and self-renew independently from blood monocytes. Under inflammatory conditions, those tissue macrophages are joined and sometimes replaced by recruited monocyte-derived macrophages. Macrophage function in steady state and disease depends on not only their developmental origin but also the tissue environment. Here, we discuss the ontogeny, function and interplay of tissueresident and monocyte-derived macrophages in various organs contributing to the development and progression of cardiovascular disease.","container-title":"Circulation Research","DOI":"10.1161/CIRCRESAHA.117.311071","ISSN":"0009-7330, 1524-4571","issue":"1","journalAbbreviation":"Circ Res","language":"en","page":"113-127","source":"DOI.org (Crossref)","title":"Resident and Monocyte-Derived Macrophages in Cardiovascular Disease","volume":"122","author":[{"family":"Honold","given":"Lisa"},{"family":"Nahrendorf","given":"Matthias"}],"issued":{"date-parts":[["2018",1,5]]}}},{"id":78,"uris":["http://zotero.org/users/local/r2R059Ry/items/NCYHB7CF"],"uri":["http://zotero.org/users/local/r2R059Ry/items/NCYHB7CF"],"itemData":{"id":78,"type":"article-journal","container-title":"Journal of the American College of Cardiology","DOI":"10.1016/j.jacc.2018.08.2149","ISSN":"07351097","issue":"18","journalAbbreviation":"Journal of the American College of Cardiology","language":"en","page":"2213-2230","source":"DOI.org (Crossref)","title":"The Macrophage in Cardiac Homeostasis and Disease","volume":"72","author":[{"family":"Lavine","given":"Kory J."},{"family":"Pinto","given":"Alexander R."},{"family":"Epelman","given":"Slava"},{"family":"Kopecky","given":"Benjamin J."},{"family":"Clemente-Casares","given":"Xavier"},{"family":"Godwin","given":"James"},{"family":"Rosenthal","given":"Nadia"},{"family":"Kovacic","given":"Jason C."}],"issued":{"date-parts":[["2018",10]]}}},{"id":67,"uris":["http://zotero.org/users/local/r2R059Ry/items/KC9A95MX"],"uri":["http://zotero.org/users/local/r2R059Ry/items/KC9A95MX"],"itemData":{"id":67,"type":"article-journal","container-title":"Immunity","DOI":"10.1016/j.immuni.2016.02.024","ISSN":"10747613","issue":"3","journalAbbreviation":"Immunity","language":"en","page":"439-449","source":"DOI.org (Crossref)","title":"Tissue-Resident Macrophage Ontogeny and Homeostasis","volume":"44","author":[{"family":"Ginhoux","given":"Florent"},{"family":"Guilliams","given":"Martin"}],"issued":{"date-parts":[["2016",3]]}}}],"schema":"https://github.com/citation-style-language/schema/raw/master/csl-citation.json"} </w:instrText>
      </w:r>
      <w:r w:rsidR="00351C4C" w:rsidRPr="00694E70">
        <w:rPr>
          <w:rFonts w:ascii="Calibri" w:hAnsi="Calibri" w:cs="Calibri"/>
          <w:color w:val="000000" w:themeColor="text1"/>
          <w:shd w:val="clear" w:color="auto" w:fill="FFFFFF"/>
        </w:rPr>
        <w:fldChar w:fldCharType="separate"/>
      </w:r>
      <w:r w:rsidR="00351C4C" w:rsidRPr="00694E70">
        <w:rPr>
          <w:rFonts w:ascii="Calibri" w:hAnsi="Calibri" w:cs="Calibri"/>
          <w:color w:val="000000" w:themeColor="text1"/>
          <w:vertAlign w:val="superscript"/>
        </w:rPr>
        <w:t>24–26</w:t>
      </w:r>
      <w:r w:rsidR="00351C4C" w:rsidRPr="00694E70">
        <w:rPr>
          <w:rFonts w:ascii="Calibri" w:hAnsi="Calibri" w:cs="Calibri"/>
          <w:color w:val="000000" w:themeColor="text1"/>
          <w:shd w:val="clear" w:color="auto" w:fill="FFFFFF"/>
        </w:rPr>
        <w:fldChar w:fldCharType="end"/>
      </w:r>
      <w:r w:rsidR="00495F80" w:rsidRPr="00694E70">
        <w:rPr>
          <w:rFonts w:ascii="Calibri" w:hAnsi="Calibri" w:cs="Calibri"/>
          <w:color w:val="000000" w:themeColor="text1"/>
          <w:shd w:val="clear" w:color="auto" w:fill="FFFFFF"/>
        </w:rPr>
        <w:t>.</w:t>
      </w:r>
      <w:r w:rsidR="00495F80" w:rsidRPr="003475EB">
        <w:rPr>
          <w:rFonts w:ascii="Calibri" w:hAnsi="Calibri" w:cs="Calibri"/>
          <w:color w:val="000000" w:themeColor="text1"/>
          <w:shd w:val="clear" w:color="auto" w:fill="FFFFFF"/>
        </w:rPr>
        <w:t xml:space="preserve"> </w:t>
      </w:r>
      <w:r w:rsidR="00C74262" w:rsidRPr="00E63267">
        <w:rPr>
          <w:rFonts w:ascii="Calibri" w:hAnsi="Calibri" w:cs="Calibri"/>
          <w:color w:val="000000" w:themeColor="text1"/>
          <w:shd w:val="clear" w:color="auto" w:fill="FFFFFF"/>
        </w:rPr>
        <w:t xml:space="preserve">Similarly, in the brain, TBI results in depletion of resident microglia and replacement by </w:t>
      </w:r>
      <w:proofErr w:type="gramStart"/>
      <w:r w:rsidR="00C74262" w:rsidRPr="00E63267">
        <w:rPr>
          <w:rFonts w:ascii="Calibri" w:hAnsi="Calibri" w:cs="Calibri"/>
          <w:color w:val="000000" w:themeColor="text1"/>
          <w:shd w:val="clear" w:color="auto" w:fill="FFFFFF"/>
        </w:rPr>
        <w:t>peripherally-derived</w:t>
      </w:r>
      <w:proofErr w:type="gramEnd"/>
      <w:r w:rsidR="00C74262" w:rsidRPr="00E63267">
        <w:rPr>
          <w:rFonts w:ascii="Calibri" w:hAnsi="Calibri" w:cs="Calibri"/>
          <w:color w:val="000000" w:themeColor="text1"/>
          <w:shd w:val="clear" w:color="auto" w:fill="FFFFFF"/>
        </w:rPr>
        <w:t xml:space="preserve"> macrophages</w:t>
      </w:r>
      <w:r w:rsidR="00351C4C" w:rsidRPr="00E63267">
        <w:rPr>
          <w:rFonts w:ascii="Calibri" w:hAnsi="Calibri" w:cs="Calibri"/>
          <w:color w:val="000000" w:themeColor="text1"/>
          <w:shd w:val="clear" w:color="auto" w:fill="FFFFFF"/>
          <w:vertAlign w:val="superscript"/>
        </w:rPr>
        <w:t>2</w:t>
      </w:r>
      <w:r w:rsidR="00351C4C">
        <w:rPr>
          <w:rFonts w:ascii="Calibri" w:hAnsi="Calibri" w:cs="Calibri"/>
          <w:color w:val="000000" w:themeColor="text1"/>
          <w:shd w:val="clear" w:color="auto" w:fill="FFFFFF"/>
          <w:vertAlign w:val="superscript"/>
        </w:rPr>
        <w:t>7</w:t>
      </w:r>
      <w:r w:rsidR="003E4AF1">
        <w:rPr>
          <w:rFonts w:ascii="Calibri" w:hAnsi="Calibri" w:cs="Calibri"/>
          <w:color w:val="000000" w:themeColor="text1"/>
          <w:shd w:val="clear" w:color="auto" w:fill="FFFFFF"/>
          <w:vertAlign w:val="superscript"/>
        </w:rPr>
        <w:t>,</w:t>
      </w:r>
      <w:r w:rsidR="00351C4C" w:rsidRPr="00E63267">
        <w:rPr>
          <w:rFonts w:ascii="Calibri" w:hAnsi="Calibri" w:cs="Calibri"/>
          <w:color w:val="000000" w:themeColor="text1"/>
          <w:shd w:val="clear" w:color="auto" w:fill="FFFFFF"/>
          <w:vertAlign w:val="superscript"/>
        </w:rPr>
        <w:t>2</w:t>
      </w:r>
      <w:r w:rsidR="00351C4C">
        <w:rPr>
          <w:rFonts w:ascii="Calibri" w:hAnsi="Calibri" w:cs="Calibri"/>
          <w:color w:val="000000" w:themeColor="text1"/>
          <w:shd w:val="clear" w:color="auto" w:fill="FFFFFF"/>
          <w:vertAlign w:val="superscript"/>
        </w:rPr>
        <w:t>8</w:t>
      </w:r>
      <w:r w:rsidR="00C74262" w:rsidRPr="00E63267">
        <w:rPr>
          <w:rFonts w:ascii="Calibri" w:hAnsi="Calibri" w:cs="Calibri"/>
          <w:color w:val="000000" w:themeColor="text1"/>
          <w:shd w:val="clear" w:color="auto" w:fill="FFFFFF"/>
        </w:rPr>
        <w:t>.</w:t>
      </w:r>
      <w:r w:rsidR="00D62482">
        <w:rPr>
          <w:rFonts w:ascii="Calibri" w:hAnsi="Calibri" w:cs="Calibri"/>
          <w:color w:val="000000" w:themeColor="text1"/>
          <w:shd w:val="clear" w:color="auto" w:fill="FFFFFF"/>
        </w:rPr>
        <w:t xml:space="preserve"> </w:t>
      </w:r>
      <w:r w:rsidR="00C74262" w:rsidRPr="00E63267">
        <w:rPr>
          <w:rFonts w:ascii="Calibri" w:hAnsi="Calibri" w:cs="Calibri"/>
          <w:color w:val="000000" w:themeColor="text1"/>
          <w:shd w:val="clear" w:color="auto" w:fill="FFFFFF"/>
        </w:rPr>
        <w:t xml:space="preserve">While peripherally-derived macrophages can behave like microglial cells, they </w:t>
      </w:r>
      <w:r w:rsidR="00C74262" w:rsidRPr="00E63267">
        <w:rPr>
          <w:rFonts w:ascii="Calibri" w:hAnsi="Calibri" w:cs="Calibri"/>
          <w:color w:val="000000" w:themeColor="text1"/>
        </w:rPr>
        <w:t>maintain a unique functional and transcriptional identity compared to monocyte-derived microglia</w:t>
      </w:r>
      <w:r w:rsidR="00351C4C" w:rsidRPr="00E63267">
        <w:rPr>
          <w:rFonts w:ascii="Calibri" w:hAnsi="Calibri" w:cs="Calibri"/>
          <w:color w:val="000000" w:themeColor="text1"/>
          <w:vertAlign w:val="superscript"/>
        </w:rPr>
        <w:t>2</w:t>
      </w:r>
      <w:r w:rsidR="00351C4C">
        <w:rPr>
          <w:rFonts w:ascii="Calibri" w:hAnsi="Calibri" w:cs="Calibri"/>
          <w:color w:val="000000" w:themeColor="text1"/>
          <w:vertAlign w:val="superscript"/>
        </w:rPr>
        <w:t>8</w:t>
      </w:r>
      <w:r w:rsidR="00C74262" w:rsidRPr="00E63267">
        <w:rPr>
          <w:rFonts w:ascii="Calibri" w:hAnsi="Calibri" w:cs="Calibri"/>
          <w:color w:val="000000" w:themeColor="text1"/>
        </w:rPr>
        <w:t>.</w:t>
      </w:r>
      <w:r w:rsidR="00C74262" w:rsidRPr="00120F94">
        <w:rPr>
          <w:rFonts w:ascii="Calibri" w:hAnsi="Calibri" w:cs="Calibri"/>
          <w:color w:val="000000" w:themeColor="text1"/>
        </w:rPr>
        <w:t xml:space="preserve"> </w:t>
      </w:r>
      <w:r w:rsidR="00C74262" w:rsidRPr="00E63267">
        <w:rPr>
          <w:rFonts w:ascii="Calibri" w:hAnsi="Calibri" w:cs="Calibri"/>
          <w:color w:val="000000" w:themeColor="text1"/>
        </w:rPr>
        <w:t>Therefore, it is possible that the disease sequela may be altered, particularly when studying diseases such as ischemic strokes</w:t>
      </w:r>
      <w:r w:rsidR="00C74262">
        <w:rPr>
          <w:rFonts w:ascii="Calibri" w:hAnsi="Calibri" w:cs="Calibri"/>
          <w:color w:val="000000" w:themeColor="text1"/>
        </w:rPr>
        <w:t xml:space="preserve">. </w:t>
      </w:r>
      <w:proofErr w:type="gramStart"/>
      <w:r w:rsidR="00C74262">
        <w:rPr>
          <w:rFonts w:ascii="Calibri" w:hAnsi="Calibri" w:cs="Calibri"/>
          <w:color w:val="000000" w:themeColor="text1"/>
        </w:rPr>
        <w:t>In order to</w:t>
      </w:r>
      <w:proofErr w:type="gramEnd"/>
      <w:r w:rsidR="00C74262">
        <w:rPr>
          <w:rFonts w:ascii="Calibri" w:hAnsi="Calibri" w:cs="Calibri"/>
          <w:color w:val="000000" w:themeColor="text1"/>
        </w:rPr>
        <w:t xml:space="preserve"> avoid these confounding effects, </w:t>
      </w:r>
      <w:r w:rsidR="00495F80" w:rsidRPr="003475EB">
        <w:rPr>
          <w:rFonts w:ascii="Calibri" w:hAnsi="Calibri" w:cs="Calibri"/>
          <w:color w:val="000000" w:themeColor="text1"/>
          <w:shd w:val="clear" w:color="auto" w:fill="FFFFFF"/>
        </w:rPr>
        <w:t xml:space="preserve">shielding the thorax and head </w:t>
      </w:r>
      <w:r w:rsidR="003475EB">
        <w:rPr>
          <w:rFonts w:ascii="Calibri" w:hAnsi="Calibri" w:cs="Calibri"/>
          <w:color w:val="000000" w:themeColor="text1"/>
          <w:shd w:val="clear" w:color="auto" w:fill="FFFFFF"/>
        </w:rPr>
        <w:t xml:space="preserve">can be recommended. This </w:t>
      </w:r>
      <w:r w:rsidR="00495F80" w:rsidRPr="003475EB">
        <w:rPr>
          <w:rFonts w:ascii="Calibri" w:hAnsi="Calibri" w:cs="Calibri"/>
          <w:color w:val="000000" w:themeColor="text1"/>
          <w:shd w:val="clear" w:color="auto" w:fill="FFFFFF"/>
        </w:rPr>
        <w:t>is advantageous because it provides protection to the heart and brain, respectively; and it also maintains their resident immune cells intact</w:t>
      </w:r>
      <w:r w:rsidR="00C74262">
        <w:rPr>
          <w:rFonts w:ascii="Calibri" w:hAnsi="Calibri" w:cs="Calibri"/>
          <w:color w:val="000000" w:themeColor="text1"/>
          <w:shd w:val="clear" w:color="auto" w:fill="FFFFFF"/>
        </w:rPr>
        <w:t xml:space="preserve">, </w:t>
      </w:r>
      <w:r w:rsidR="00C74262" w:rsidRPr="002F696B">
        <w:rPr>
          <w:rFonts w:ascii="Calibri" w:hAnsi="Calibri" w:cs="Calibri"/>
          <w:shd w:val="clear" w:color="auto" w:fill="FFFFFF"/>
        </w:rPr>
        <w:t xml:space="preserve">better recapitulating the human condition </w:t>
      </w:r>
      <w:r w:rsidR="00C74262">
        <w:rPr>
          <w:rFonts w:ascii="Calibri" w:hAnsi="Calibri" w:cs="Calibri"/>
          <w:shd w:val="clear" w:color="auto" w:fill="FFFFFF"/>
        </w:rPr>
        <w:t>of CH</w:t>
      </w:r>
      <w:r w:rsidR="003475EB">
        <w:rPr>
          <w:rFonts w:ascii="Calibri" w:hAnsi="Calibri" w:cs="Calibri"/>
          <w:color w:val="000000" w:themeColor="text1"/>
          <w:shd w:val="clear" w:color="auto" w:fill="FFFFFF"/>
        </w:rPr>
        <w:t>. H</w:t>
      </w:r>
      <w:r w:rsidR="00495F80" w:rsidRPr="003475EB">
        <w:rPr>
          <w:rFonts w:ascii="Calibri" w:hAnsi="Calibri" w:cs="Calibri"/>
          <w:color w:val="000000" w:themeColor="text1"/>
          <w:shd w:val="clear" w:color="auto" w:fill="FFFFFF"/>
        </w:rPr>
        <w:t xml:space="preserve">owever, </w:t>
      </w:r>
      <w:r w:rsidR="00694E70">
        <w:rPr>
          <w:rFonts w:ascii="Calibri" w:hAnsi="Calibri" w:cs="Calibri"/>
          <w:color w:val="000000" w:themeColor="text1"/>
          <w:shd w:val="clear" w:color="auto" w:fill="FFFFFF"/>
        </w:rPr>
        <w:t xml:space="preserve">as noted previously, </w:t>
      </w:r>
      <w:r w:rsidR="00495F80" w:rsidRPr="003475EB">
        <w:rPr>
          <w:rFonts w:ascii="Calibri" w:hAnsi="Calibri" w:cs="Calibri"/>
          <w:color w:val="000000" w:themeColor="text1"/>
          <w:shd w:val="clear" w:color="auto" w:fill="FFFFFF"/>
        </w:rPr>
        <w:t>shielding results in a lower rate of chimerism compared to TBI pre-conditioning, which essentially eliminates all the host’s hematopoietic cells.</w:t>
      </w:r>
    </w:p>
    <w:p w14:paraId="5B538D9B" w14:textId="77777777" w:rsidR="008A62BC" w:rsidRDefault="008A62BC" w:rsidP="000C770D">
      <w:pPr>
        <w:jc w:val="both"/>
        <w:rPr>
          <w:rFonts w:ascii="Calibri" w:hAnsi="Calibri" w:cs="Calibri"/>
          <w:color w:val="000000" w:themeColor="text1"/>
          <w:shd w:val="clear" w:color="auto" w:fill="FFFFFF"/>
        </w:rPr>
      </w:pPr>
    </w:p>
    <w:p w14:paraId="5B6145E9" w14:textId="0BC992D1" w:rsidR="00594404" w:rsidRPr="00A04630" w:rsidRDefault="00495F80" w:rsidP="000C770D">
      <w:pPr>
        <w:jc w:val="both"/>
        <w:rPr>
          <w:rFonts w:ascii="Calibri" w:hAnsi="Calibri" w:cs="Calibri"/>
          <w:color w:val="000000" w:themeColor="text1"/>
          <w:shd w:val="clear" w:color="auto" w:fill="FFFFFF"/>
        </w:rPr>
      </w:pPr>
      <w:r w:rsidRPr="003475EB">
        <w:rPr>
          <w:rFonts w:ascii="Calibri" w:hAnsi="Calibri" w:cs="Calibri"/>
          <w:color w:val="000000" w:themeColor="text1"/>
          <w:shd w:val="clear" w:color="auto" w:fill="FFFFFF"/>
        </w:rPr>
        <w:t>An</w:t>
      </w:r>
      <w:r w:rsidR="00694E70">
        <w:rPr>
          <w:rFonts w:ascii="Calibri" w:hAnsi="Calibri" w:cs="Calibri"/>
          <w:color w:val="000000" w:themeColor="text1"/>
          <w:shd w:val="clear" w:color="auto" w:fill="FFFFFF"/>
        </w:rPr>
        <w:t>other</w:t>
      </w:r>
      <w:r w:rsidRPr="003475EB">
        <w:rPr>
          <w:rFonts w:ascii="Calibri" w:hAnsi="Calibri" w:cs="Calibri"/>
          <w:color w:val="000000" w:themeColor="text1"/>
          <w:shd w:val="clear" w:color="auto" w:fill="FFFFFF"/>
        </w:rPr>
        <w:t xml:space="preserve"> important impediment in pre-conditioning is its deleterious effect on the bone marrow niche. Although irradiation-induced damage of the BM niche can be restored to a suboptimal extent, it is unclear whether naïve hematopoiesis is recovered in these damaged microenvironments. In addition, transplantation of mixed HSPCs into empty BM initiates a race for proliferation between clones, rather than the simple “competition” for </w:t>
      </w:r>
      <w:r w:rsidR="00694E70">
        <w:rPr>
          <w:rFonts w:ascii="Calibri" w:hAnsi="Calibri" w:cs="Calibri"/>
          <w:color w:val="000000" w:themeColor="text1"/>
          <w:shd w:val="clear" w:color="auto" w:fill="FFFFFF"/>
        </w:rPr>
        <w:t xml:space="preserve">a </w:t>
      </w:r>
      <w:r w:rsidRPr="003475EB">
        <w:rPr>
          <w:rFonts w:ascii="Calibri" w:hAnsi="Calibri" w:cs="Calibri"/>
          <w:color w:val="000000" w:themeColor="text1"/>
          <w:shd w:val="clear" w:color="auto" w:fill="FFFFFF"/>
        </w:rPr>
        <w:t>niche</w:t>
      </w:r>
      <w:r w:rsidR="00694E70">
        <w:rPr>
          <w:rFonts w:ascii="Calibri" w:hAnsi="Calibri" w:cs="Calibri"/>
          <w:color w:val="000000" w:themeColor="text1"/>
          <w:shd w:val="clear" w:color="auto" w:fill="FFFFFF"/>
        </w:rPr>
        <w:t xml:space="preserve"> that is occupied by a wild-type HSPC</w:t>
      </w:r>
      <w:r w:rsidR="007F6C86">
        <w:rPr>
          <w:rFonts w:ascii="Calibri" w:hAnsi="Calibri" w:cs="Calibri"/>
          <w:color w:val="000000" w:themeColor="text1"/>
          <w:shd w:val="clear" w:color="auto" w:fill="FFFFFF"/>
        </w:rPr>
        <w:t>—</w:t>
      </w:r>
      <w:r w:rsidRPr="003475EB">
        <w:rPr>
          <w:rFonts w:ascii="Calibri" w:hAnsi="Calibri" w:cs="Calibri"/>
          <w:color w:val="000000" w:themeColor="text1"/>
          <w:shd w:val="clear" w:color="auto" w:fill="FFFFFF"/>
        </w:rPr>
        <w:t xml:space="preserve">which </w:t>
      </w:r>
      <w:r w:rsidR="00AC3DE2">
        <w:rPr>
          <w:rFonts w:ascii="Calibri" w:hAnsi="Calibri" w:cs="Calibri"/>
          <w:color w:val="000000" w:themeColor="text1"/>
          <w:shd w:val="clear" w:color="auto" w:fill="FFFFFF"/>
        </w:rPr>
        <w:t xml:space="preserve">is presumably what </w:t>
      </w:r>
      <w:r w:rsidRPr="003475EB">
        <w:rPr>
          <w:rFonts w:ascii="Calibri" w:hAnsi="Calibri" w:cs="Calibri"/>
          <w:color w:val="000000" w:themeColor="text1"/>
          <w:shd w:val="clear" w:color="auto" w:fill="FFFFFF"/>
        </w:rPr>
        <w:t>occur</w:t>
      </w:r>
      <w:r w:rsidR="00AC3DE2">
        <w:rPr>
          <w:rFonts w:ascii="Calibri" w:hAnsi="Calibri" w:cs="Calibri"/>
          <w:color w:val="000000" w:themeColor="text1"/>
          <w:shd w:val="clear" w:color="auto" w:fill="FFFFFF"/>
        </w:rPr>
        <w:t>s</w:t>
      </w:r>
      <w:r w:rsidRPr="003475EB">
        <w:rPr>
          <w:rFonts w:ascii="Calibri" w:hAnsi="Calibri" w:cs="Calibri"/>
          <w:color w:val="000000" w:themeColor="text1"/>
          <w:shd w:val="clear" w:color="auto" w:fill="FFFFFF"/>
        </w:rPr>
        <w:t xml:space="preserve"> in CH. Thus, a potentially preferable approach to studying CH may be the </w:t>
      </w:r>
      <w:r w:rsidRPr="00C322EE">
        <w:rPr>
          <w:rFonts w:ascii="Calibri" w:hAnsi="Calibri" w:cs="Calibri"/>
          <w:shd w:val="clear" w:color="auto" w:fill="FFFFFF"/>
        </w:rPr>
        <w:t xml:space="preserve">adoptive </w:t>
      </w:r>
      <w:r w:rsidR="006420BA" w:rsidRPr="00C322EE">
        <w:rPr>
          <w:rFonts w:ascii="Calibri" w:hAnsi="Calibri" w:cs="Calibri"/>
          <w:shd w:val="clear" w:color="auto" w:fill="FFFFFF"/>
        </w:rPr>
        <w:t xml:space="preserve">BMT </w:t>
      </w:r>
      <w:r w:rsidRPr="00C322EE">
        <w:rPr>
          <w:rFonts w:ascii="Calibri" w:hAnsi="Calibri" w:cs="Calibri"/>
          <w:shd w:val="clear" w:color="auto" w:fill="FFFFFF"/>
        </w:rPr>
        <w:t>method</w:t>
      </w:r>
      <w:r w:rsidRPr="003475EB">
        <w:rPr>
          <w:rFonts w:ascii="Calibri" w:hAnsi="Calibri" w:cs="Calibri"/>
          <w:color w:val="000000" w:themeColor="text1"/>
          <w:shd w:val="clear" w:color="auto" w:fill="FFFFFF"/>
        </w:rPr>
        <w:t xml:space="preserve">, whereby BM cells are transferred into recipient mice without pre-conditioning. </w:t>
      </w:r>
      <w:r w:rsidR="00C322EE" w:rsidRPr="00C322EE">
        <w:rPr>
          <w:rFonts w:ascii="Calibri" w:hAnsi="Calibri" w:cs="Calibri"/>
          <w:shd w:val="clear" w:color="auto" w:fill="FFFFFF"/>
        </w:rPr>
        <w:t>This adoptive BMT without pre-conditioning method minimally affects the ongoing naïve hematopoiesis, most faithfully recapitulating CH observed in humans</w:t>
      </w:r>
      <w:r w:rsidR="00E17100" w:rsidRPr="00C322EE">
        <w:rPr>
          <w:rFonts w:ascii="Calibri" w:hAnsi="Calibri" w:cs="Calibri"/>
          <w:shd w:val="clear" w:color="auto" w:fill="FFFFFF"/>
        </w:rPr>
        <w:fldChar w:fldCharType="begin"/>
      </w:r>
      <w:r w:rsidR="00E17100" w:rsidRPr="00C322EE">
        <w:rPr>
          <w:rFonts w:ascii="Calibri" w:hAnsi="Calibri" w:cs="Calibri"/>
          <w:shd w:val="clear" w:color="auto" w:fill="FFFFFF"/>
        </w:rPr>
        <w:instrText xml:space="preserve"> ADDIN ZOTERO_ITEM CSL_CITATION {"citationID":"LBRA5mpM","properties":{"formattedCitation":"\\super 30\\nosupersub{}","plainCitation":"30","noteIndex":0},"citationItems":[{"id":48,"uris":["http://zotero.org/users/local/r2R059Ry/items/HVHZ9TX3"],"uri":["http://zotero.org/users/local/r2R059Ry/items/HVHZ9TX3"],"itemData":{"id":48,"type":"article-journal","abstract":"While the aggregate differentiation of the hematopoietic stem cell (HSC) population has been extensively studied, little is known about the lineage commitment process of individual HSC clones. Here, we provide lineage commitment maps of HSC clones under homeostasis and after perturbations of the endogenous hematopoietic system. Under homeostasis, all donor-derived HSC clones regenerate blood homogeneously throughout all measured stages and lineages of hematopoiesis. In contrast, after the hematopoietic system has been perturbed by irradiation or by an antagonistic anti-ckit antibody, only a small fraction of donor-derived HSC clones differentiate. Some of these clones dominantly expand and exhibit lineage bias. We identified the cellular origins of clonal dominance and lineage bias and uncovered the lineage commitment pathways that lead HSC clones to different levels of self-renewal and blood production under various transplantation conditions. This study reveals surprising alterations in HSC fate decisions directed by conditioning and identifies the key hematopoiesis stages that may be manipulated to control blood production and balance.","container-title":"Proceedings of the National Academy of Sciences","DOI":"10.1073/pnas.1801480116","ISSN":"0027-8424, 1091-6490","issue":"4","journalAbbreviation":"Proc Natl Acad Sci USA","language":"en","page":"1447-1456","source":"DOI.org (Crossref)","title":"Clonal-level lineage commitment pathways of hematopoietic stem cells in vivo","volume":"116","author":[{"family":"Lu","given":"Rong"},{"family":"Czechowicz","given":"Agnieszka"},{"family":"Seita","given":"Jun"},{"family":"Jiang","given":"Du"},{"family":"Weissman","given":"Irving L."}],"issued":{"date-parts":[["2019",1,22]]}}}],"schema":"https://github.com/citation-style-language/schema/raw/master/csl-citation.json"} </w:instrText>
      </w:r>
      <w:r w:rsidR="00E17100" w:rsidRPr="00C322EE">
        <w:rPr>
          <w:rFonts w:ascii="Calibri" w:hAnsi="Calibri" w:cs="Calibri"/>
          <w:shd w:val="clear" w:color="auto" w:fill="FFFFFF"/>
        </w:rPr>
        <w:fldChar w:fldCharType="separate"/>
      </w:r>
      <w:r w:rsidR="00E17100" w:rsidRPr="00C322EE">
        <w:rPr>
          <w:rFonts w:ascii="Calibri" w:hAnsi="Calibri" w:cs="Calibri"/>
          <w:vertAlign w:val="superscript"/>
        </w:rPr>
        <w:t>2</w:t>
      </w:r>
      <w:r w:rsidR="00E17100" w:rsidRPr="00C322EE">
        <w:rPr>
          <w:rFonts w:ascii="Calibri" w:hAnsi="Calibri" w:cs="Calibri"/>
          <w:shd w:val="clear" w:color="auto" w:fill="FFFFFF"/>
        </w:rPr>
        <w:fldChar w:fldCharType="end"/>
      </w:r>
      <w:r w:rsidR="00E17100" w:rsidRPr="00C322EE">
        <w:rPr>
          <w:rFonts w:ascii="Calibri" w:hAnsi="Calibri" w:cs="Calibri"/>
          <w:shd w:val="clear" w:color="auto" w:fill="FFFFFF"/>
          <w:vertAlign w:val="superscript"/>
        </w:rPr>
        <w:t>9</w:t>
      </w:r>
      <w:r w:rsidRPr="00C322EE">
        <w:rPr>
          <w:rFonts w:ascii="Calibri" w:hAnsi="Calibri" w:cs="Calibri"/>
          <w:shd w:val="clear" w:color="auto" w:fill="FFFFFF"/>
        </w:rPr>
        <w:t>.</w:t>
      </w:r>
      <w:r w:rsidR="00E17100">
        <w:rPr>
          <w:rFonts w:ascii="Calibri" w:hAnsi="Calibri" w:cs="Calibri"/>
          <w:shd w:val="clear" w:color="auto" w:fill="FFFFFF"/>
        </w:rPr>
        <w:t xml:space="preserve"> </w:t>
      </w:r>
      <w:r w:rsidRPr="003475EB">
        <w:rPr>
          <w:rFonts w:ascii="Calibri" w:hAnsi="Calibri" w:cs="Calibri"/>
          <w:b/>
          <w:color w:val="000000" w:themeColor="text1"/>
          <w:shd w:val="clear" w:color="auto" w:fill="FFFFFF"/>
        </w:rPr>
        <w:t>Figure 2C</w:t>
      </w:r>
      <w:r w:rsidRPr="003475EB">
        <w:rPr>
          <w:rFonts w:ascii="Calibri" w:hAnsi="Calibri" w:cs="Calibri"/>
          <w:color w:val="000000" w:themeColor="text1"/>
          <w:shd w:val="clear" w:color="auto" w:fill="FFFFFF"/>
        </w:rPr>
        <w:t xml:space="preserve"> shows the level of chimerism at 1-month post-transplantation without pre-conditioning. While the donor chimerism is low at this early timepoint, we f</w:t>
      </w:r>
      <w:r w:rsidR="003927F2">
        <w:rPr>
          <w:rFonts w:ascii="Calibri" w:hAnsi="Calibri" w:cs="Calibri"/>
          <w:color w:val="000000" w:themeColor="text1"/>
          <w:shd w:val="clear" w:color="auto" w:fill="FFFFFF"/>
        </w:rPr>
        <w:t>ind</w:t>
      </w:r>
      <w:r w:rsidRPr="003475EB">
        <w:rPr>
          <w:rFonts w:ascii="Calibri" w:hAnsi="Calibri" w:cs="Calibri"/>
          <w:color w:val="000000" w:themeColor="text1"/>
          <w:shd w:val="clear" w:color="auto" w:fill="FFFFFF"/>
        </w:rPr>
        <w:t xml:space="preserve"> a progressively increasing fraction of </w:t>
      </w:r>
      <w:r w:rsidRPr="005F65C5">
        <w:rPr>
          <w:rFonts w:ascii="Calibri" w:hAnsi="Calibri" w:cs="Calibri"/>
          <w:i/>
          <w:color w:val="000000" w:themeColor="text1"/>
          <w:shd w:val="clear" w:color="auto" w:fill="FFFFFF"/>
        </w:rPr>
        <w:t>Tet2-</w:t>
      </w:r>
      <w:r w:rsidR="00B37AA9" w:rsidRPr="00A04630">
        <w:rPr>
          <w:rFonts w:ascii="Calibri" w:hAnsi="Calibri" w:cs="Calibri"/>
          <w:i/>
          <w:color w:val="000000" w:themeColor="text1"/>
          <w:shd w:val="clear" w:color="auto" w:fill="FFFFFF"/>
        </w:rPr>
        <w:t>deficient</w:t>
      </w:r>
      <w:r w:rsidR="00B37AA9" w:rsidRPr="00B37AA9">
        <w:rPr>
          <w:rFonts w:ascii="Calibri" w:hAnsi="Calibri" w:cs="Calibri"/>
          <w:iCs/>
          <w:color w:val="000000" w:themeColor="text1"/>
          <w:shd w:val="clear" w:color="auto" w:fill="FFFFFF"/>
        </w:rPr>
        <w:t xml:space="preserve"> </w:t>
      </w:r>
      <w:r w:rsidRPr="003475EB">
        <w:rPr>
          <w:rFonts w:ascii="Calibri" w:hAnsi="Calibri" w:cs="Calibri"/>
          <w:color w:val="000000" w:themeColor="text1"/>
          <w:shd w:val="clear" w:color="auto" w:fill="FFFFFF"/>
        </w:rPr>
        <w:t xml:space="preserve">clones over time, as </w:t>
      </w:r>
      <w:r w:rsidRPr="003475EB">
        <w:rPr>
          <w:rFonts w:ascii="Calibri" w:hAnsi="Calibri" w:cs="Calibri"/>
          <w:color w:val="000000" w:themeColor="text1"/>
          <w:shd w:val="clear" w:color="auto" w:fill="FFFFFF"/>
        </w:rPr>
        <w:lastRenderedPageBreak/>
        <w:t xml:space="preserve">presented in </w:t>
      </w:r>
      <w:r w:rsidRPr="003475EB">
        <w:rPr>
          <w:rFonts w:ascii="Calibri" w:hAnsi="Calibri" w:cs="Calibri"/>
          <w:b/>
          <w:color w:val="000000" w:themeColor="text1"/>
          <w:shd w:val="clear" w:color="auto" w:fill="FFFFFF"/>
        </w:rPr>
        <w:t>Figure 3</w:t>
      </w:r>
      <w:r w:rsidRPr="003475EB">
        <w:rPr>
          <w:rFonts w:ascii="Calibri" w:hAnsi="Calibri" w:cs="Calibri"/>
          <w:color w:val="000000" w:themeColor="text1"/>
          <w:shd w:val="clear" w:color="auto" w:fill="FFFFFF"/>
        </w:rPr>
        <w:t xml:space="preserve">. It should be noted that this model is most </w:t>
      </w:r>
      <w:r w:rsidR="003475EB" w:rsidRPr="00F00E81">
        <w:rPr>
          <w:rFonts w:ascii="Calibri" w:hAnsi="Calibri" w:cs="Calibri"/>
          <w:color w:val="000000" w:themeColor="text1"/>
          <w:shd w:val="clear" w:color="auto" w:fill="FFFFFF"/>
        </w:rPr>
        <w:t>use</w:t>
      </w:r>
      <w:r w:rsidR="003475EB" w:rsidRPr="00D464A3">
        <w:rPr>
          <w:rFonts w:ascii="Calibri" w:hAnsi="Calibri" w:cs="Calibri"/>
          <w:color w:val="000000" w:themeColor="text1"/>
          <w:shd w:val="clear" w:color="auto" w:fill="FFFFFF"/>
        </w:rPr>
        <w:t xml:space="preserve">ful </w:t>
      </w:r>
      <w:r w:rsidRPr="00D464A3">
        <w:rPr>
          <w:rFonts w:ascii="Calibri" w:hAnsi="Calibri" w:cs="Calibri"/>
          <w:color w:val="000000" w:themeColor="text1"/>
          <w:shd w:val="clear" w:color="auto" w:fill="FFFFFF"/>
        </w:rPr>
        <w:t xml:space="preserve">when </w:t>
      </w:r>
      <w:r w:rsidRPr="00B37AA9">
        <w:rPr>
          <w:rFonts w:ascii="Calibri" w:hAnsi="Calibri" w:cs="Calibri"/>
          <w:color w:val="000000" w:themeColor="text1"/>
          <w:shd w:val="clear" w:color="auto" w:fill="FFFFFF"/>
        </w:rPr>
        <w:t xml:space="preserve">the </w:t>
      </w:r>
      <w:r w:rsidRPr="004470C7">
        <w:rPr>
          <w:rFonts w:ascii="Calibri" w:hAnsi="Calibri" w:cs="Calibri"/>
          <w:color w:val="000000" w:themeColor="text1"/>
          <w:shd w:val="clear" w:color="auto" w:fill="FFFFFF"/>
        </w:rPr>
        <w:t>mutant</w:t>
      </w:r>
      <w:r w:rsidRPr="00B37AA9">
        <w:rPr>
          <w:rFonts w:ascii="Calibri" w:hAnsi="Calibri" w:cs="Calibri"/>
          <w:color w:val="000000" w:themeColor="text1"/>
          <w:shd w:val="clear" w:color="auto" w:fill="FFFFFF"/>
        </w:rPr>
        <w:t xml:space="preserve"> cells have a competitive advantage over </w:t>
      </w:r>
      <w:r w:rsidRPr="004470C7">
        <w:rPr>
          <w:rFonts w:ascii="Calibri" w:hAnsi="Calibri" w:cs="Calibri"/>
          <w:color w:val="000000" w:themeColor="text1"/>
          <w:shd w:val="clear" w:color="auto" w:fill="FFFFFF"/>
        </w:rPr>
        <w:t>wild-type</w:t>
      </w:r>
      <w:r w:rsidRPr="00B37AA9">
        <w:rPr>
          <w:rFonts w:ascii="Calibri" w:hAnsi="Calibri" w:cs="Calibri"/>
          <w:color w:val="000000" w:themeColor="text1"/>
          <w:shd w:val="clear" w:color="auto" w:fill="FFFFFF"/>
        </w:rPr>
        <w:t xml:space="preserve"> cells</w:t>
      </w:r>
      <w:r w:rsidRPr="001B415B">
        <w:rPr>
          <w:rFonts w:ascii="Calibri" w:hAnsi="Calibri" w:cs="Calibri"/>
          <w:color w:val="000000" w:themeColor="text1"/>
          <w:shd w:val="clear" w:color="auto" w:fill="FFFFFF"/>
        </w:rPr>
        <w:t xml:space="preserve"> under homeostatic conditions such as </w:t>
      </w:r>
      <w:r w:rsidRPr="005F65C5">
        <w:rPr>
          <w:rFonts w:ascii="Calibri" w:hAnsi="Calibri" w:cs="Calibri"/>
          <w:i/>
          <w:color w:val="000000" w:themeColor="text1"/>
          <w:shd w:val="clear" w:color="auto" w:fill="FFFFFF"/>
        </w:rPr>
        <w:t>Tet2-</w:t>
      </w:r>
      <w:r w:rsidRPr="00A04630">
        <w:rPr>
          <w:rFonts w:ascii="Calibri" w:hAnsi="Calibri" w:cs="Calibri"/>
          <w:i/>
          <w:color w:val="000000" w:themeColor="text1"/>
          <w:shd w:val="clear" w:color="auto" w:fill="FFFFFF"/>
        </w:rPr>
        <w:t>deficient</w:t>
      </w:r>
      <w:r w:rsidRPr="00B37AA9">
        <w:rPr>
          <w:rFonts w:ascii="Calibri" w:hAnsi="Calibri" w:cs="Calibri"/>
          <w:color w:val="000000" w:themeColor="text1"/>
          <w:shd w:val="clear" w:color="auto" w:fill="FFFFFF"/>
        </w:rPr>
        <w:t xml:space="preserve"> cells. When</w:t>
      </w:r>
      <w:r w:rsidRPr="00B37AA9">
        <w:rPr>
          <w:rFonts w:ascii="Calibri" w:hAnsi="Calibri" w:cs="Calibri"/>
          <w:color w:val="000000" w:themeColor="text1"/>
        </w:rPr>
        <w:t xml:space="preserve"> </w:t>
      </w:r>
      <w:r w:rsidRPr="005F65C5">
        <w:rPr>
          <w:rFonts w:ascii="Calibri" w:hAnsi="Calibri" w:cs="Calibri"/>
          <w:i/>
          <w:color w:val="000000" w:themeColor="text1"/>
          <w:shd w:val="clear" w:color="auto" w:fill="FFFFFF"/>
        </w:rPr>
        <w:t>Tet2-</w:t>
      </w:r>
      <w:r w:rsidRPr="00A04630">
        <w:rPr>
          <w:rFonts w:ascii="Calibri" w:hAnsi="Calibri" w:cs="Calibri"/>
          <w:i/>
          <w:color w:val="000000" w:themeColor="text1"/>
          <w:shd w:val="clear" w:color="auto" w:fill="FFFFFF"/>
        </w:rPr>
        <w:t>deficient</w:t>
      </w:r>
      <w:r w:rsidRPr="00B37AA9">
        <w:rPr>
          <w:rFonts w:ascii="Calibri" w:hAnsi="Calibri" w:cs="Calibri"/>
          <w:color w:val="000000" w:themeColor="text1"/>
          <w:shd w:val="clear" w:color="auto" w:fill="FFFFFF"/>
        </w:rPr>
        <w:t xml:space="preserve"> cells are engrafted, there is a marked expansion in various leukocyte populations such as neutrophils, monocytes, NK cells, and B cells. A slower expansion was noted in T cells, </w:t>
      </w:r>
      <w:r w:rsidRPr="00A04630">
        <w:rPr>
          <w:rFonts w:ascii="Calibri" w:hAnsi="Calibri" w:cs="Calibri"/>
          <w:color w:val="000000" w:themeColor="text1"/>
          <w:shd w:val="clear" w:color="auto" w:fill="FFFFFF"/>
        </w:rPr>
        <w:t>presumably due to the longer half-life of this population.</w:t>
      </w:r>
    </w:p>
    <w:p w14:paraId="50BACE27" w14:textId="77777777" w:rsidR="008A62BC" w:rsidRDefault="008A62BC" w:rsidP="000C770D">
      <w:pPr>
        <w:jc w:val="both"/>
        <w:rPr>
          <w:rFonts w:ascii="Calibri" w:hAnsi="Calibri" w:cs="Calibri"/>
          <w:color w:val="000000" w:themeColor="text1"/>
        </w:rPr>
      </w:pPr>
    </w:p>
    <w:p w14:paraId="519CC91B" w14:textId="624373B5" w:rsidR="00F14840" w:rsidRPr="00C322EE" w:rsidRDefault="00F14840" w:rsidP="000C770D">
      <w:pPr>
        <w:jc w:val="both"/>
        <w:rPr>
          <w:rFonts w:ascii="Calibri" w:hAnsi="Calibri" w:cs="Calibri"/>
          <w:shd w:val="clear" w:color="auto" w:fill="FFFFFF"/>
          <w:lang w:eastAsia="ja-JP"/>
        </w:rPr>
      </w:pPr>
      <w:r w:rsidRPr="00A04630">
        <w:rPr>
          <w:rFonts w:ascii="Calibri" w:hAnsi="Calibri" w:cs="Calibri"/>
          <w:color w:val="000000" w:themeColor="text1"/>
        </w:rPr>
        <w:t xml:space="preserve">The expansion of </w:t>
      </w:r>
      <w:r w:rsidRPr="00A04630">
        <w:rPr>
          <w:rFonts w:ascii="Calibri" w:hAnsi="Calibri" w:cs="Calibri"/>
          <w:i/>
          <w:iCs/>
          <w:color w:val="000000" w:themeColor="text1"/>
        </w:rPr>
        <w:t>Tet2-deficient</w:t>
      </w:r>
      <w:r w:rsidRPr="00A04630">
        <w:rPr>
          <w:rFonts w:ascii="Calibri" w:hAnsi="Calibri" w:cs="Calibri"/>
          <w:color w:val="000000" w:themeColor="text1"/>
        </w:rPr>
        <w:t xml:space="preserve"> cells </w:t>
      </w:r>
      <w:r w:rsidR="00AC3DE2">
        <w:rPr>
          <w:rFonts w:ascii="Calibri" w:hAnsi="Calibri" w:cs="Calibri"/>
          <w:color w:val="000000" w:themeColor="text1"/>
        </w:rPr>
        <w:t>has been observed</w:t>
      </w:r>
      <w:r w:rsidRPr="00A04630">
        <w:rPr>
          <w:rFonts w:ascii="Calibri" w:hAnsi="Calibri" w:cs="Calibri"/>
          <w:color w:val="000000" w:themeColor="text1"/>
        </w:rPr>
        <w:t xml:space="preserve"> not only in the peripheral blood but also in several other tissues, including bone marrow, liver, and kidney, with different dynamics of hematopoietic cell reconstitution</w:t>
      </w:r>
      <w:r w:rsidR="00E17100" w:rsidRPr="001810E9">
        <w:rPr>
          <w:rFonts w:ascii="Calibri" w:hAnsi="Calibri" w:cs="Calibri"/>
          <w:color w:val="000000" w:themeColor="text1"/>
          <w:vertAlign w:val="superscript"/>
        </w:rPr>
        <w:t>9</w:t>
      </w:r>
      <w:r w:rsidRPr="00A04630">
        <w:rPr>
          <w:rFonts w:ascii="Calibri" w:hAnsi="Calibri" w:cs="Calibri"/>
          <w:color w:val="000000" w:themeColor="text1"/>
        </w:rPr>
        <w:t xml:space="preserve">. For example, our lab’s previous published paper described the bone marrow cell chimerism of </w:t>
      </w:r>
      <w:r w:rsidRPr="00A04630">
        <w:rPr>
          <w:rFonts w:ascii="Calibri" w:hAnsi="Calibri" w:cs="Calibri"/>
          <w:i/>
          <w:iCs/>
          <w:color w:val="000000" w:themeColor="text1"/>
        </w:rPr>
        <w:t xml:space="preserve">WT </w:t>
      </w:r>
      <w:r w:rsidRPr="00A04630">
        <w:rPr>
          <w:rFonts w:ascii="Calibri" w:hAnsi="Calibri" w:cs="Calibri"/>
          <w:color w:val="000000" w:themeColor="text1"/>
        </w:rPr>
        <w:t xml:space="preserve">and </w:t>
      </w:r>
      <w:r w:rsidRPr="00A04630">
        <w:rPr>
          <w:rFonts w:ascii="Calibri" w:hAnsi="Calibri" w:cs="Calibri"/>
          <w:i/>
          <w:iCs/>
          <w:color w:val="000000" w:themeColor="text1"/>
        </w:rPr>
        <w:t>Tet2-deficient</w:t>
      </w:r>
      <w:r w:rsidRPr="00A04630">
        <w:rPr>
          <w:rFonts w:ascii="Calibri" w:hAnsi="Calibri" w:cs="Calibri"/>
          <w:color w:val="000000" w:themeColor="text1"/>
        </w:rPr>
        <w:t xml:space="preserve"> donor cells engrafted into CD45.1 recipient </w:t>
      </w:r>
      <w:proofErr w:type="gramStart"/>
      <w:r w:rsidRPr="00A04630">
        <w:rPr>
          <w:rFonts w:ascii="Calibri" w:hAnsi="Calibri" w:cs="Calibri"/>
          <w:color w:val="000000" w:themeColor="text1"/>
        </w:rPr>
        <w:t>mice</w:t>
      </w:r>
      <w:proofErr w:type="gramEnd"/>
      <w:r w:rsidRPr="00A04630">
        <w:rPr>
          <w:rFonts w:ascii="Calibri" w:hAnsi="Calibri" w:cs="Calibri"/>
          <w:color w:val="000000" w:themeColor="text1"/>
        </w:rPr>
        <w:t xml:space="preserve"> 8 months after adoptive </w:t>
      </w:r>
      <w:r w:rsidR="00B26C6D">
        <w:rPr>
          <w:rFonts w:ascii="Calibri" w:hAnsi="Calibri" w:cs="Calibri"/>
          <w:color w:val="000000" w:themeColor="text1"/>
        </w:rPr>
        <w:t>BMT</w:t>
      </w:r>
      <w:r w:rsidR="00E17100" w:rsidRPr="00A5767E">
        <w:rPr>
          <w:rFonts w:ascii="Calibri" w:hAnsi="Calibri" w:cs="Calibri"/>
          <w:color w:val="000000" w:themeColor="text1"/>
          <w:vertAlign w:val="superscript"/>
        </w:rPr>
        <w:t>9</w:t>
      </w:r>
      <w:r w:rsidRPr="00A04630">
        <w:rPr>
          <w:rFonts w:ascii="Calibri" w:hAnsi="Calibri" w:cs="Calibri"/>
          <w:color w:val="000000" w:themeColor="text1"/>
        </w:rPr>
        <w:t xml:space="preserve">. </w:t>
      </w:r>
      <w:r w:rsidRPr="00A04630">
        <w:rPr>
          <w:rFonts w:ascii="Calibri" w:hAnsi="Calibri" w:cs="Calibri"/>
          <w:i/>
          <w:iCs/>
          <w:color w:val="000000" w:themeColor="text1"/>
        </w:rPr>
        <w:t>Tet2-deficient</w:t>
      </w:r>
      <w:r w:rsidRPr="00A04630">
        <w:rPr>
          <w:rFonts w:ascii="Calibri" w:hAnsi="Calibri" w:cs="Calibri"/>
          <w:color w:val="000000" w:themeColor="text1"/>
        </w:rPr>
        <w:t xml:space="preserve"> donor cells transplanted into CD45.1 recipient mice have shown a competitive advantage over immature lineage</w:t>
      </w:r>
      <w:r w:rsidRPr="00A04630">
        <w:rPr>
          <w:rFonts w:ascii="Calibri" w:hAnsi="Calibri" w:cs="Calibri"/>
          <w:color w:val="000000" w:themeColor="text1"/>
          <w:vertAlign w:val="superscript"/>
        </w:rPr>
        <w:t>–</w:t>
      </w:r>
      <w:r w:rsidRPr="00A04630">
        <w:rPr>
          <w:rFonts w:ascii="Calibri" w:hAnsi="Calibri" w:cs="Calibri"/>
          <w:color w:val="000000" w:themeColor="text1"/>
        </w:rPr>
        <w:t>Sca1</w:t>
      </w:r>
      <w:r w:rsidRPr="00A04630">
        <w:rPr>
          <w:rFonts w:ascii="Calibri" w:hAnsi="Calibri" w:cs="Calibri"/>
          <w:color w:val="000000" w:themeColor="text1"/>
          <w:vertAlign w:val="superscript"/>
        </w:rPr>
        <w:t>+</w:t>
      </w:r>
      <w:r w:rsidRPr="00A04630">
        <w:rPr>
          <w:rFonts w:ascii="Calibri" w:hAnsi="Calibri" w:cs="Calibri"/>
          <w:color w:val="000000" w:themeColor="text1"/>
        </w:rPr>
        <w:t>c-Kit</w:t>
      </w:r>
      <w:r w:rsidRPr="00A04630">
        <w:rPr>
          <w:rFonts w:ascii="Calibri" w:hAnsi="Calibri" w:cs="Calibri"/>
          <w:color w:val="000000" w:themeColor="text1"/>
          <w:vertAlign w:val="superscript"/>
        </w:rPr>
        <w:t>+</w:t>
      </w:r>
      <w:r w:rsidRPr="00A04630">
        <w:rPr>
          <w:rFonts w:ascii="Calibri" w:hAnsi="Calibri" w:cs="Calibri"/>
          <w:color w:val="000000" w:themeColor="text1"/>
        </w:rPr>
        <w:t xml:space="preserve"> (LSK) cells, short-term and long-term HSC cells, and multipotent progenitors (MPPs) compared to that of </w:t>
      </w:r>
      <w:r w:rsidRPr="00A04630">
        <w:rPr>
          <w:rFonts w:ascii="Calibri" w:hAnsi="Calibri" w:cs="Calibri"/>
          <w:i/>
          <w:iCs/>
          <w:color w:val="000000" w:themeColor="text1"/>
        </w:rPr>
        <w:t>WT</w:t>
      </w:r>
      <w:r w:rsidRPr="00A04630">
        <w:rPr>
          <w:rFonts w:ascii="Calibri" w:hAnsi="Calibri" w:cs="Calibri"/>
          <w:color w:val="000000" w:themeColor="text1"/>
        </w:rPr>
        <w:t xml:space="preserve"> donor cells transplanted into the CD45.1 recipient mice. In addition, as </w:t>
      </w:r>
      <w:r w:rsidRPr="00A04630">
        <w:rPr>
          <w:rFonts w:ascii="Calibri" w:hAnsi="Calibri" w:cs="Calibri"/>
          <w:i/>
          <w:iCs/>
          <w:color w:val="000000" w:themeColor="text1"/>
        </w:rPr>
        <w:t>Tet2</w:t>
      </w:r>
      <w:r w:rsidRPr="00A04630">
        <w:rPr>
          <w:rFonts w:ascii="Calibri" w:hAnsi="Calibri" w:cs="Calibri"/>
          <w:color w:val="000000" w:themeColor="text1"/>
        </w:rPr>
        <w:t>-</w:t>
      </w:r>
      <w:r w:rsidRPr="00A04630">
        <w:rPr>
          <w:rFonts w:ascii="Calibri" w:hAnsi="Calibri" w:cs="Calibri"/>
          <w:i/>
          <w:iCs/>
          <w:color w:val="000000" w:themeColor="text1"/>
        </w:rPr>
        <w:t>deficien</w:t>
      </w:r>
      <w:r w:rsidRPr="00A04630">
        <w:rPr>
          <w:rFonts w:ascii="Calibri" w:hAnsi="Calibri" w:cs="Calibri"/>
          <w:color w:val="000000" w:themeColor="text1"/>
        </w:rPr>
        <w:t>t donor cell engrafted recipient mice</w:t>
      </w:r>
      <w:r w:rsidR="00AC3DE2">
        <w:rPr>
          <w:rFonts w:ascii="Calibri" w:hAnsi="Calibri" w:cs="Calibri"/>
          <w:color w:val="000000" w:themeColor="text1"/>
        </w:rPr>
        <w:t xml:space="preserve">, they develop an age-related </w:t>
      </w:r>
      <w:r w:rsidRPr="00FC7B44">
        <w:rPr>
          <w:rFonts w:ascii="Calibri" w:hAnsi="Calibri" w:cs="Calibri"/>
          <w:color w:val="000000" w:themeColor="text1"/>
        </w:rPr>
        <w:t xml:space="preserve">cardiomyopathy phenotype without exogenous factors causing cardiac dysfunction, </w:t>
      </w:r>
      <w:r w:rsidR="00AC3DE2">
        <w:rPr>
          <w:rFonts w:ascii="Calibri" w:hAnsi="Calibri" w:cs="Calibri"/>
          <w:color w:val="000000" w:themeColor="text1"/>
        </w:rPr>
        <w:t xml:space="preserve">thereby </w:t>
      </w:r>
      <w:r w:rsidRPr="00FC7B44">
        <w:rPr>
          <w:rFonts w:ascii="Calibri" w:hAnsi="Calibri" w:cs="Calibri"/>
          <w:color w:val="000000" w:themeColor="text1"/>
        </w:rPr>
        <w:t xml:space="preserve">recapitulating </w:t>
      </w:r>
      <w:r w:rsidR="00AC3DE2">
        <w:rPr>
          <w:rFonts w:ascii="Calibri" w:hAnsi="Calibri" w:cs="Calibri"/>
          <w:color w:val="000000" w:themeColor="text1"/>
        </w:rPr>
        <w:t xml:space="preserve">the effect of </w:t>
      </w:r>
      <w:r w:rsidRPr="00FC7B44">
        <w:rPr>
          <w:rFonts w:ascii="Calibri" w:hAnsi="Calibri" w:cs="Calibri"/>
          <w:color w:val="000000" w:themeColor="text1"/>
        </w:rPr>
        <w:t xml:space="preserve">clonal hematopoiesis in a manner </w:t>
      </w:r>
      <w:proofErr w:type="gramStart"/>
      <w:r w:rsidRPr="00FC7B44">
        <w:rPr>
          <w:rFonts w:ascii="Calibri" w:hAnsi="Calibri" w:cs="Calibri"/>
          <w:color w:val="000000" w:themeColor="text1"/>
        </w:rPr>
        <w:t>similar to</w:t>
      </w:r>
      <w:proofErr w:type="gramEnd"/>
      <w:r w:rsidRPr="00FC7B44">
        <w:rPr>
          <w:rFonts w:ascii="Calibri" w:hAnsi="Calibri" w:cs="Calibri"/>
          <w:color w:val="000000" w:themeColor="text1"/>
        </w:rPr>
        <w:t xml:space="preserve"> that of </w:t>
      </w:r>
      <w:r w:rsidR="00AC3DE2">
        <w:rPr>
          <w:rFonts w:ascii="Calibri" w:hAnsi="Calibri" w:cs="Calibri"/>
          <w:color w:val="000000" w:themeColor="text1"/>
        </w:rPr>
        <w:t xml:space="preserve">aging </w:t>
      </w:r>
      <w:r w:rsidRPr="00FC7B44">
        <w:rPr>
          <w:rFonts w:ascii="Calibri" w:hAnsi="Calibri" w:cs="Calibri"/>
          <w:color w:val="000000" w:themeColor="text1"/>
        </w:rPr>
        <w:t>humans. This observation was accompanied with increased degree of chimerism in cardiac neutrophils and Ly6C</w:t>
      </w:r>
      <w:r w:rsidRPr="00FC7B44">
        <w:rPr>
          <w:rFonts w:ascii="Calibri" w:hAnsi="Calibri" w:cs="Calibri"/>
          <w:color w:val="000000" w:themeColor="text1"/>
          <w:vertAlign w:val="superscript"/>
        </w:rPr>
        <w:t>hi</w:t>
      </w:r>
      <w:r w:rsidRPr="00FC7B44">
        <w:rPr>
          <w:rFonts w:ascii="Calibri" w:hAnsi="Calibri" w:cs="Calibri"/>
          <w:color w:val="000000" w:themeColor="text1"/>
        </w:rPr>
        <w:t xml:space="preserve"> monocytes</w:t>
      </w:r>
      <w:r w:rsidR="00AC3DE2">
        <w:rPr>
          <w:rFonts w:ascii="Calibri" w:hAnsi="Calibri" w:cs="Calibri"/>
          <w:color w:val="000000" w:themeColor="text1"/>
        </w:rPr>
        <w:t>. Collectively</w:t>
      </w:r>
      <w:r w:rsidRPr="00FC7B44">
        <w:rPr>
          <w:rFonts w:ascii="Calibri" w:hAnsi="Calibri" w:cs="Calibri"/>
          <w:color w:val="000000" w:themeColor="text1"/>
        </w:rPr>
        <w:t>, this adoptive BMT regimen can be applied to future studies that could expand our understanding of the association between cardiovascular disease development and clonal hematopoiesis on a more advanced level.</w:t>
      </w:r>
    </w:p>
    <w:p w14:paraId="26FBE990" w14:textId="77777777" w:rsidR="008A62BC" w:rsidRDefault="008A62BC" w:rsidP="000C770D">
      <w:pPr>
        <w:jc w:val="both"/>
        <w:rPr>
          <w:rFonts w:ascii="Calibri" w:hAnsi="Calibri" w:cs="Calibri"/>
          <w:shd w:val="clear" w:color="auto" w:fill="FFFFFF"/>
        </w:rPr>
      </w:pPr>
    </w:p>
    <w:p w14:paraId="47923CFB" w14:textId="4F120FDA" w:rsidR="00495F80" w:rsidRPr="003475EB" w:rsidRDefault="003927F2" w:rsidP="000C770D">
      <w:pPr>
        <w:jc w:val="both"/>
        <w:rPr>
          <w:rFonts w:ascii="Calibri" w:hAnsi="Calibri" w:cs="Calibri"/>
          <w:color w:val="000000" w:themeColor="text1"/>
          <w:shd w:val="clear" w:color="auto" w:fill="FFFFFF"/>
        </w:rPr>
      </w:pPr>
      <w:r>
        <w:rPr>
          <w:rFonts w:ascii="Calibri" w:hAnsi="Calibri" w:cs="Calibri"/>
          <w:shd w:val="clear" w:color="auto" w:fill="FFFFFF"/>
        </w:rPr>
        <w:t>In summary</w:t>
      </w:r>
      <w:r w:rsidR="00495F80" w:rsidRPr="003475EB">
        <w:rPr>
          <w:rFonts w:ascii="Calibri" w:hAnsi="Calibri" w:cs="Calibri"/>
          <w:color w:val="000000" w:themeColor="text1"/>
          <w:shd w:val="clear" w:color="auto" w:fill="FFFFFF"/>
        </w:rPr>
        <w:t>, we described three BMT methods and</w:t>
      </w:r>
      <w:r>
        <w:rPr>
          <w:rFonts w:ascii="Calibri" w:hAnsi="Calibri" w:cs="Calibri"/>
          <w:color w:val="000000" w:themeColor="text1"/>
          <w:shd w:val="clear" w:color="auto" w:fill="FFFFFF"/>
        </w:rPr>
        <w:t xml:space="preserve"> discuss</w:t>
      </w:r>
      <w:r w:rsidR="002049F3">
        <w:rPr>
          <w:rFonts w:ascii="Calibri" w:hAnsi="Calibri" w:cs="Calibri"/>
          <w:color w:val="000000" w:themeColor="text1"/>
          <w:shd w:val="clear" w:color="auto" w:fill="FFFFFF"/>
        </w:rPr>
        <w:t>ed</w:t>
      </w:r>
      <w:r w:rsidR="00495F80" w:rsidRPr="003475EB">
        <w:rPr>
          <w:rFonts w:ascii="Calibri" w:hAnsi="Calibri" w:cs="Calibri"/>
          <w:color w:val="000000" w:themeColor="text1"/>
          <w:shd w:val="clear" w:color="auto" w:fill="FFFFFF"/>
        </w:rPr>
        <w:t xml:space="preserve"> their application in generating CH models. CH is associated with poorer prognoses in cardiovascular diseases such as atherosclerosis and heart failure. Although </w:t>
      </w:r>
      <w:r>
        <w:rPr>
          <w:rFonts w:ascii="Calibri" w:hAnsi="Calibri" w:cs="Calibri"/>
          <w:color w:val="000000" w:themeColor="text1"/>
          <w:shd w:val="clear" w:color="auto" w:fill="FFFFFF"/>
        </w:rPr>
        <w:t>considerable</w:t>
      </w:r>
      <w:r w:rsidR="00495F80" w:rsidRPr="003475EB">
        <w:rPr>
          <w:rFonts w:ascii="Calibri" w:hAnsi="Calibri" w:cs="Calibri"/>
          <w:color w:val="000000" w:themeColor="text1"/>
          <w:shd w:val="clear" w:color="auto" w:fill="FFFFFF"/>
        </w:rPr>
        <w:t xml:space="preserve"> progress has been made, the study of the causal link</w:t>
      </w:r>
      <w:r w:rsidR="00AC3DE2">
        <w:rPr>
          <w:rFonts w:ascii="Calibri" w:hAnsi="Calibri" w:cs="Calibri"/>
          <w:color w:val="000000" w:themeColor="text1"/>
          <w:shd w:val="clear" w:color="auto" w:fill="FFFFFF"/>
        </w:rPr>
        <w:t>s</w:t>
      </w:r>
      <w:r w:rsidR="00495F80" w:rsidRPr="003475EB">
        <w:rPr>
          <w:rFonts w:ascii="Calibri" w:hAnsi="Calibri" w:cs="Calibri"/>
          <w:color w:val="000000" w:themeColor="text1"/>
          <w:shd w:val="clear" w:color="auto" w:fill="FFFFFF"/>
        </w:rPr>
        <w:t xml:space="preserve"> between CH and CVD is still in its infancy, and further investigations are required </w:t>
      </w:r>
      <w:proofErr w:type="gramStart"/>
      <w:r w:rsidR="00495F80" w:rsidRPr="003475EB">
        <w:rPr>
          <w:rFonts w:ascii="Calibri" w:hAnsi="Calibri" w:cs="Calibri"/>
          <w:color w:val="000000" w:themeColor="text1"/>
          <w:shd w:val="clear" w:color="auto" w:fill="FFFFFF"/>
        </w:rPr>
        <w:t>through the use of</w:t>
      </w:r>
      <w:proofErr w:type="gramEnd"/>
      <w:r w:rsidR="00495F80" w:rsidRPr="003475EB">
        <w:rPr>
          <w:rFonts w:ascii="Calibri" w:hAnsi="Calibri" w:cs="Calibri"/>
          <w:color w:val="000000" w:themeColor="text1"/>
          <w:shd w:val="clear" w:color="auto" w:fill="FFFFFF"/>
        </w:rPr>
        <w:t xml:space="preserve"> </w:t>
      </w:r>
      <w:r>
        <w:rPr>
          <w:rFonts w:ascii="Calibri" w:hAnsi="Calibri" w:cs="Calibri"/>
          <w:color w:val="000000" w:themeColor="text1"/>
          <w:shd w:val="clear" w:color="auto" w:fill="FFFFFF"/>
        </w:rPr>
        <w:t xml:space="preserve">optimized </w:t>
      </w:r>
      <w:r w:rsidR="00495F80" w:rsidRPr="003475EB">
        <w:rPr>
          <w:rFonts w:ascii="Calibri" w:hAnsi="Calibri" w:cs="Calibri"/>
          <w:color w:val="000000" w:themeColor="text1"/>
          <w:shd w:val="clear" w:color="auto" w:fill="FFFFFF"/>
        </w:rPr>
        <w:t xml:space="preserve">animal models. We hope that these protocols allow researchers to select </w:t>
      </w:r>
      <w:r w:rsidR="003475EB">
        <w:rPr>
          <w:rFonts w:ascii="Calibri" w:hAnsi="Calibri" w:cs="Calibri"/>
          <w:color w:val="000000" w:themeColor="text1"/>
          <w:shd w:val="clear" w:color="auto" w:fill="FFFFFF"/>
        </w:rPr>
        <w:t>a more</w:t>
      </w:r>
      <w:r w:rsidR="00495F80" w:rsidRPr="003475EB">
        <w:rPr>
          <w:rFonts w:ascii="Calibri" w:hAnsi="Calibri" w:cs="Calibri"/>
          <w:color w:val="000000" w:themeColor="text1"/>
          <w:shd w:val="clear" w:color="auto" w:fill="FFFFFF"/>
        </w:rPr>
        <w:t xml:space="preserve"> </w:t>
      </w:r>
      <w:r>
        <w:rPr>
          <w:rFonts w:ascii="Calibri" w:hAnsi="Calibri" w:cs="Calibri"/>
          <w:color w:val="000000" w:themeColor="text1"/>
          <w:shd w:val="clear" w:color="auto" w:fill="FFFFFF"/>
        </w:rPr>
        <w:t>physiologically appropriate</w:t>
      </w:r>
      <w:r w:rsidR="00495F80" w:rsidRPr="003475EB">
        <w:rPr>
          <w:rFonts w:ascii="Calibri" w:hAnsi="Calibri" w:cs="Calibri"/>
          <w:color w:val="000000" w:themeColor="text1"/>
          <w:shd w:val="clear" w:color="auto" w:fill="FFFFFF"/>
        </w:rPr>
        <w:t xml:space="preserve"> method of </w:t>
      </w:r>
      <w:r w:rsidR="003475EB" w:rsidRPr="00562A04">
        <w:rPr>
          <w:rFonts w:ascii="Calibri" w:hAnsi="Calibri" w:cs="Calibri"/>
          <w:color w:val="000000" w:themeColor="text1"/>
          <w:shd w:val="clear" w:color="auto" w:fill="FFFFFF"/>
        </w:rPr>
        <w:t>BMT,</w:t>
      </w:r>
      <w:r w:rsidR="00495F80" w:rsidRPr="00BC6D7A">
        <w:rPr>
          <w:rFonts w:ascii="Calibri" w:hAnsi="Calibri" w:cs="Calibri"/>
          <w:color w:val="000000" w:themeColor="text1"/>
          <w:shd w:val="clear" w:color="auto" w:fill="FFFFFF"/>
        </w:rPr>
        <w:t xml:space="preserve"> </w:t>
      </w:r>
      <w:r w:rsidR="003475EB" w:rsidRPr="00562A04">
        <w:rPr>
          <w:rFonts w:ascii="Calibri" w:hAnsi="Calibri" w:cs="Calibri"/>
          <w:color w:val="000000" w:themeColor="text1"/>
          <w:shd w:val="clear" w:color="auto" w:fill="FFFFFF"/>
        </w:rPr>
        <w:t>which</w:t>
      </w:r>
      <w:r w:rsidR="003475EB">
        <w:rPr>
          <w:rFonts w:ascii="Calibri" w:hAnsi="Calibri" w:cs="Calibri"/>
          <w:color w:val="000000" w:themeColor="text1"/>
          <w:shd w:val="clear" w:color="auto" w:fill="FFFFFF"/>
        </w:rPr>
        <w:t xml:space="preserve"> </w:t>
      </w:r>
      <w:r w:rsidR="003475EB">
        <w:rPr>
          <w:rFonts w:ascii="Calibri" w:hAnsi="Calibri" w:cs="Calibri"/>
          <w:shd w:val="clear" w:color="auto" w:fill="FFFFFF"/>
        </w:rPr>
        <w:t>minimalizes</w:t>
      </w:r>
      <w:r w:rsidR="00495F80" w:rsidRPr="003475EB">
        <w:rPr>
          <w:rFonts w:ascii="Calibri" w:hAnsi="Calibri" w:cs="Calibri"/>
          <w:color w:val="000000" w:themeColor="text1"/>
          <w:shd w:val="clear" w:color="auto" w:fill="FFFFFF"/>
        </w:rPr>
        <w:t xml:space="preserve"> potential confounding effects on the cardiovascular system, ultimately yielding studies that expand our understanding of how CH contributes to cardiovascular disease.</w:t>
      </w:r>
    </w:p>
    <w:p w14:paraId="503A371C" w14:textId="77777777" w:rsidR="00495F80" w:rsidRPr="003475EB" w:rsidRDefault="00495F80" w:rsidP="000C770D">
      <w:pPr>
        <w:jc w:val="both"/>
        <w:rPr>
          <w:rFonts w:ascii="Calibri" w:hAnsi="Calibri" w:cs="Calibri"/>
          <w:color w:val="000000" w:themeColor="text1"/>
          <w:highlight w:val="yellow"/>
          <w:shd w:val="clear" w:color="auto" w:fill="FFFFFF"/>
        </w:rPr>
      </w:pPr>
    </w:p>
    <w:p w14:paraId="09BFB6BE" w14:textId="7FFB6401" w:rsidR="003E5D96" w:rsidRPr="003475EB" w:rsidRDefault="003E5D96" w:rsidP="000C770D">
      <w:pPr>
        <w:pStyle w:val="NormalWeb"/>
        <w:spacing w:before="0" w:beforeAutospacing="0" w:after="0" w:afterAutospacing="0"/>
        <w:rPr>
          <w:b/>
          <w:color w:val="000000" w:themeColor="text1"/>
        </w:rPr>
      </w:pPr>
      <w:r w:rsidRPr="003475EB">
        <w:rPr>
          <w:b/>
          <w:color w:val="000000" w:themeColor="text1"/>
        </w:rPr>
        <w:t>Design</w:t>
      </w:r>
      <w:r w:rsidR="009258AE">
        <w:rPr>
          <w:b/>
          <w:color w:val="000000" w:themeColor="text1"/>
        </w:rPr>
        <w:t xml:space="preserve"> of</w:t>
      </w:r>
      <w:r w:rsidRPr="003475EB">
        <w:rPr>
          <w:b/>
          <w:color w:val="000000" w:themeColor="text1"/>
        </w:rPr>
        <w:t xml:space="preserve"> lead shield</w:t>
      </w:r>
      <w:r w:rsidR="009258AE">
        <w:rPr>
          <w:b/>
          <w:color w:val="000000" w:themeColor="text1"/>
        </w:rPr>
        <w:t>ing</w:t>
      </w:r>
    </w:p>
    <w:p w14:paraId="4DB191EA" w14:textId="78A5BE09" w:rsidR="0062513D" w:rsidRDefault="003E5D96" w:rsidP="000C770D">
      <w:pPr>
        <w:pStyle w:val="NormalWeb"/>
        <w:spacing w:before="0" w:beforeAutospacing="0" w:after="0" w:afterAutospacing="0"/>
        <w:rPr>
          <w:bCs/>
          <w:color w:val="000000" w:themeColor="text1"/>
        </w:rPr>
      </w:pPr>
      <w:r w:rsidRPr="003475EB">
        <w:rPr>
          <w:bCs/>
          <w:color w:val="000000" w:themeColor="text1"/>
        </w:rPr>
        <w:t xml:space="preserve">The thickness of the lead shield will be dictated by the type of irradiation used to </w:t>
      </w:r>
      <w:r w:rsidR="003927F2">
        <w:rPr>
          <w:bCs/>
          <w:color w:val="000000" w:themeColor="text1"/>
        </w:rPr>
        <w:t>induce the</w:t>
      </w:r>
      <w:r w:rsidRPr="003475EB">
        <w:rPr>
          <w:bCs/>
          <w:color w:val="000000" w:themeColor="text1"/>
        </w:rPr>
        <w:t xml:space="preserve"> myeloablation</w:t>
      </w:r>
      <w:r w:rsidR="003927F2">
        <w:rPr>
          <w:bCs/>
          <w:color w:val="000000" w:themeColor="text1"/>
        </w:rPr>
        <w:t>.</w:t>
      </w:r>
      <w:r w:rsidRPr="003475EB">
        <w:rPr>
          <w:bCs/>
          <w:color w:val="000000" w:themeColor="text1"/>
        </w:rPr>
        <w:t xml:space="preserve"> </w:t>
      </w:r>
      <w:r w:rsidR="003927F2">
        <w:rPr>
          <w:bCs/>
          <w:color w:val="000000" w:themeColor="text1"/>
        </w:rPr>
        <w:t>X</w:t>
      </w:r>
      <w:r w:rsidRPr="003475EB">
        <w:rPr>
          <w:bCs/>
          <w:color w:val="000000" w:themeColor="text1"/>
        </w:rPr>
        <w:t>-ray or gamma-ray types of radiation are frequently used for experimental myeloablation but differ in terms of their frequency, wavelength</w:t>
      </w:r>
      <w:r w:rsidR="007B7725">
        <w:rPr>
          <w:bCs/>
          <w:color w:val="000000" w:themeColor="text1"/>
        </w:rPr>
        <w:t>,</w:t>
      </w:r>
      <w:r w:rsidRPr="003475EB">
        <w:rPr>
          <w:bCs/>
          <w:color w:val="000000" w:themeColor="text1"/>
        </w:rPr>
        <w:t xml:space="preserve"> and photon energy. When it comes to shielding, the photon energy, which describes the energy or speed at which the rays are traveling, is the most important parameter. Typically, radiation source X-rays have an energy of 160 kVp whereas cesium-137 sources, which emit gamma rays, have an energy of 662 KeV. The energy emitted by these radiation sources equates to their penetration power, with higher energies having a greater penetration power. Therefore, a greater thickness of lead shield is required when using cesium source-based irradiators in comparison with using </w:t>
      </w:r>
      <w:r w:rsidR="003927F2">
        <w:rPr>
          <w:bCs/>
          <w:color w:val="000000" w:themeColor="text1"/>
        </w:rPr>
        <w:t>X</w:t>
      </w:r>
      <w:r w:rsidRPr="003475EB">
        <w:rPr>
          <w:bCs/>
          <w:color w:val="000000" w:themeColor="text1"/>
        </w:rPr>
        <w:t xml:space="preserve">-ray-based irradiators. </w:t>
      </w:r>
      <w:r w:rsidR="003927F2">
        <w:rPr>
          <w:bCs/>
          <w:color w:val="000000" w:themeColor="text1"/>
        </w:rPr>
        <w:t>X</w:t>
      </w:r>
      <w:r w:rsidRPr="003475EB">
        <w:rPr>
          <w:bCs/>
          <w:color w:val="000000" w:themeColor="text1"/>
        </w:rPr>
        <w:t xml:space="preserve">-ray-based irradiation, which we use when we perform </w:t>
      </w:r>
      <w:r w:rsidR="005A5031">
        <w:rPr>
          <w:bCs/>
          <w:color w:val="000000" w:themeColor="text1"/>
        </w:rPr>
        <w:t>thorax</w:t>
      </w:r>
      <w:r w:rsidR="005A5031" w:rsidRPr="003475EB">
        <w:rPr>
          <w:bCs/>
          <w:color w:val="000000" w:themeColor="text1"/>
        </w:rPr>
        <w:t xml:space="preserve"> </w:t>
      </w:r>
      <w:r w:rsidRPr="003475EB">
        <w:rPr>
          <w:bCs/>
          <w:color w:val="000000" w:themeColor="text1"/>
        </w:rPr>
        <w:t xml:space="preserve">and abdominal shielding, </w:t>
      </w:r>
      <w:r w:rsidRPr="003475EB">
        <w:rPr>
          <w:color w:val="000000" w:themeColor="text1"/>
        </w:rPr>
        <w:t xml:space="preserve">requires </w:t>
      </w:r>
      <w:r w:rsidR="003927F2">
        <w:rPr>
          <w:color w:val="000000" w:themeColor="text1"/>
        </w:rPr>
        <w:t xml:space="preserve">a </w:t>
      </w:r>
      <w:r w:rsidRPr="003475EB">
        <w:rPr>
          <w:color w:val="000000" w:themeColor="text1"/>
        </w:rPr>
        <w:t>7</w:t>
      </w:r>
      <w:r w:rsidR="003927F2">
        <w:rPr>
          <w:color w:val="000000" w:themeColor="text1"/>
        </w:rPr>
        <w:t xml:space="preserve"> </w:t>
      </w:r>
      <w:r w:rsidRPr="003475EB">
        <w:rPr>
          <w:color w:val="000000" w:themeColor="text1"/>
        </w:rPr>
        <w:t>mm thick lead shield to provide sufficient protection.</w:t>
      </w:r>
      <w:r w:rsidRPr="003475EB">
        <w:rPr>
          <w:bCs/>
          <w:color w:val="000000" w:themeColor="text1"/>
        </w:rPr>
        <w:t xml:space="preserve"> However, for cesium 137 sources, which we use when we perform head-shielding, </w:t>
      </w:r>
      <w:r w:rsidRPr="003475EB">
        <w:rPr>
          <w:color w:val="000000" w:themeColor="text1"/>
        </w:rPr>
        <w:t xml:space="preserve">requires lead shields to be at least </w:t>
      </w:r>
      <w:r w:rsidRPr="003475EB">
        <w:rPr>
          <w:color w:val="000000" w:themeColor="text1"/>
        </w:rPr>
        <w:lastRenderedPageBreak/>
        <w:t>1 inch thick to provide sufficient protection</w:t>
      </w:r>
      <w:r w:rsidRPr="003475EB">
        <w:rPr>
          <w:bCs/>
          <w:color w:val="000000" w:themeColor="text1"/>
        </w:rPr>
        <w:t>.</w:t>
      </w:r>
    </w:p>
    <w:p w14:paraId="097848B3" w14:textId="77777777" w:rsidR="001933CC" w:rsidRDefault="001933CC" w:rsidP="000C770D">
      <w:pPr>
        <w:pStyle w:val="NormalWeb"/>
        <w:spacing w:before="0" w:beforeAutospacing="0" w:after="0" w:afterAutospacing="0"/>
        <w:rPr>
          <w:bCs/>
          <w:color w:val="000000" w:themeColor="text1"/>
        </w:rPr>
      </w:pPr>
    </w:p>
    <w:p w14:paraId="26AEB2BA" w14:textId="173EE1D5" w:rsidR="0062513D" w:rsidRDefault="0062513D" w:rsidP="000C770D">
      <w:pPr>
        <w:pStyle w:val="NormalWeb"/>
        <w:spacing w:before="0" w:beforeAutospacing="0" w:after="0" w:afterAutospacing="0"/>
        <w:rPr>
          <w:bCs/>
          <w:color w:val="000000" w:themeColor="text1"/>
        </w:rPr>
      </w:pPr>
      <w:r w:rsidRPr="003475EB">
        <w:rPr>
          <w:bCs/>
          <w:color w:val="000000" w:themeColor="text1"/>
        </w:rPr>
        <w:t xml:space="preserve">Lead shields for use in </w:t>
      </w:r>
      <w:r w:rsidR="001933CC">
        <w:rPr>
          <w:bCs/>
          <w:color w:val="000000" w:themeColor="text1"/>
        </w:rPr>
        <w:t>X</w:t>
      </w:r>
      <w:r w:rsidRPr="003475EB">
        <w:rPr>
          <w:bCs/>
          <w:color w:val="000000" w:themeColor="text1"/>
        </w:rPr>
        <w:t>-ray irradiators can be purchased from commercial vendors. Alternatively, lead sheets can be cut to size to either fit around the animal’s body or to fit around a restrainer</w:t>
      </w:r>
      <w:r w:rsidR="00AB4A9C">
        <w:rPr>
          <w:bCs/>
          <w:color w:val="000000" w:themeColor="text1"/>
        </w:rPr>
        <w:t xml:space="preserve"> </w:t>
      </w:r>
      <w:r w:rsidR="00AB4A9C" w:rsidRPr="003475EB">
        <w:rPr>
          <w:bCs/>
          <w:color w:val="000000" w:themeColor="text1"/>
        </w:rPr>
        <w:t>(</w:t>
      </w:r>
      <w:r w:rsidR="00AB4A9C">
        <w:rPr>
          <w:bCs/>
          <w:color w:val="000000" w:themeColor="text1"/>
        </w:rPr>
        <w:t>see</w:t>
      </w:r>
      <w:r w:rsidR="00AB4A9C" w:rsidRPr="003475EB">
        <w:rPr>
          <w:bCs/>
          <w:color w:val="000000" w:themeColor="text1"/>
        </w:rPr>
        <w:t xml:space="preserve"> </w:t>
      </w:r>
      <w:r w:rsidR="00AB4A9C" w:rsidRPr="003475EB">
        <w:rPr>
          <w:b/>
          <w:color w:val="000000" w:themeColor="text1"/>
        </w:rPr>
        <w:t>Figure 1</w:t>
      </w:r>
      <w:r w:rsidR="00AB4A9C" w:rsidRPr="003475EB">
        <w:rPr>
          <w:bCs/>
          <w:color w:val="000000" w:themeColor="text1"/>
        </w:rPr>
        <w:t>)</w:t>
      </w:r>
      <w:r w:rsidR="00121E70">
        <w:rPr>
          <w:bCs/>
          <w:color w:val="000000" w:themeColor="text1"/>
        </w:rPr>
        <w:t>.</w:t>
      </w:r>
      <w:r w:rsidR="00AB4A9C" w:rsidRPr="003475EB">
        <w:rPr>
          <w:bCs/>
          <w:color w:val="000000" w:themeColor="text1"/>
        </w:rPr>
        <w:t xml:space="preserve"> </w:t>
      </w:r>
      <w:r w:rsidRPr="003475EB">
        <w:rPr>
          <w:bCs/>
          <w:color w:val="000000" w:themeColor="text1"/>
        </w:rPr>
        <w:t xml:space="preserve">When using a cesium-based irradiator, lead bricks, which are considerably thicker should be used and can be custom made by companies that specialize in making </w:t>
      </w:r>
      <w:r>
        <w:rPr>
          <w:bCs/>
          <w:color w:val="000000" w:themeColor="text1"/>
        </w:rPr>
        <w:t xml:space="preserve">these types of </w:t>
      </w:r>
      <w:r w:rsidRPr="003475EB">
        <w:rPr>
          <w:bCs/>
          <w:color w:val="000000" w:themeColor="text1"/>
        </w:rPr>
        <w:t xml:space="preserve">shields. For instance, for </w:t>
      </w:r>
      <w:r>
        <w:rPr>
          <w:bCs/>
          <w:color w:val="000000" w:themeColor="text1"/>
        </w:rPr>
        <w:t>the</w:t>
      </w:r>
      <w:r w:rsidRPr="003475EB">
        <w:rPr>
          <w:bCs/>
          <w:color w:val="000000" w:themeColor="text1"/>
        </w:rPr>
        <w:t xml:space="preserve"> headshield, we custom designed a lead brick to hold a 50 mL conical tube restrainer (see </w:t>
      </w:r>
      <w:r w:rsidRPr="003475EB">
        <w:rPr>
          <w:b/>
          <w:color w:val="000000" w:themeColor="text1"/>
        </w:rPr>
        <w:t>Figure 1</w:t>
      </w:r>
      <w:r w:rsidR="00AB4A9C">
        <w:rPr>
          <w:b/>
          <w:color w:val="000000" w:themeColor="text1"/>
        </w:rPr>
        <w:t>F</w:t>
      </w:r>
      <w:r w:rsidRPr="003475EB">
        <w:rPr>
          <w:bCs/>
          <w:color w:val="000000" w:themeColor="text1"/>
        </w:rPr>
        <w:t xml:space="preserve">). The animal </w:t>
      </w:r>
      <w:proofErr w:type="gramStart"/>
      <w:r w:rsidRPr="003475EB">
        <w:rPr>
          <w:bCs/>
          <w:color w:val="000000" w:themeColor="text1"/>
        </w:rPr>
        <w:t>is able to</w:t>
      </w:r>
      <w:proofErr w:type="gramEnd"/>
      <w:r w:rsidRPr="003475EB">
        <w:rPr>
          <w:bCs/>
          <w:color w:val="000000" w:themeColor="text1"/>
        </w:rPr>
        <w:t xml:space="preserve"> fit inside the restrainer, which is then slotted into a hole made in the brick, to provide 1.5 inches of protection from the irradiation. Importantly, all lead shields should be coated either with paint or tape to prevent exposure to lead dust, which can be toxic.</w:t>
      </w:r>
    </w:p>
    <w:p w14:paraId="0FD6F4D3" w14:textId="77777777" w:rsidR="008A62BC" w:rsidRDefault="008A62BC" w:rsidP="000C770D">
      <w:pPr>
        <w:pStyle w:val="NormalWeb"/>
        <w:spacing w:before="0" w:beforeAutospacing="0" w:after="0" w:afterAutospacing="0"/>
        <w:rPr>
          <w:bCs/>
          <w:color w:val="auto"/>
        </w:rPr>
      </w:pPr>
    </w:p>
    <w:p w14:paraId="3CA74943" w14:textId="626A7601" w:rsidR="00F4560E" w:rsidRPr="003475EB" w:rsidRDefault="00C322EE" w:rsidP="000C770D">
      <w:pPr>
        <w:pStyle w:val="NormalWeb"/>
        <w:spacing w:before="0" w:beforeAutospacing="0" w:after="0" w:afterAutospacing="0"/>
        <w:rPr>
          <w:bCs/>
          <w:color w:val="000000" w:themeColor="text1"/>
        </w:rPr>
      </w:pPr>
      <w:r w:rsidRPr="001543B2">
        <w:rPr>
          <w:bCs/>
          <w:color w:val="auto"/>
        </w:rPr>
        <w:t xml:space="preserve">Based on the equipment and its parameters, researchers can design their own lead shields for their sites of interest. Here, we introduced thorax, abdominal, and head shielding; however, other sites such as limb or flank can be considered for shielding as well. </w:t>
      </w:r>
      <w:r w:rsidR="00F4560E" w:rsidRPr="00F4560E">
        <w:rPr>
          <w:bCs/>
          <w:color w:val="auto"/>
        </w:rPr>
        <w:t>In addition, while both radiation sources (Cesium-137 and X-ray) are suitable for bone marrow ablation and successful engraftment, variability in the reconstitution of lymphoid and myeloid cell populations has been observed between Cesium-137 and X-ray irradiation sources</w:t>
      </w:r>
      <w:r w:rsidR="00F4560E" w:rsidRPr="00A04630">
        <w:rPr>
          <w:bCs/>
          <w:vertAlign w:val="superscript"/>
        </w:rPr>
        <w:t>30</w:t>
      </w:r>
      <w:r w:rsidR="00F4560E" w:rsidRPr="00F4560E">
        <w:rPr>
          <w:bCs/>
          <w:color w:val="auto"/>
        </w:rPr>
        <w:t xml:space="preserve">. Thus, researchers should </w:t>
      </w:r>
      <w:proofErr w:type="gramStart"/>
      <w:r w:rsidR="00F4560E" w:rsidRPr="00F4560E">
        <w:rPr>
          <w:bCs/>
          <w:color w:val="auto"/>
        </w:rPr>
        <w:t>take into account</w:t>
      </w:r>
      <w:proofErr w:type="gramEnd"/>
      <w:r w:rsidR="00F4560E" w:rsidRPr="00F4560E">
        <w:rPr>
          <w:bCs/>
          <w:color w:val="auto"/>
        </w:rPr>
        <w:t xml:space="preserve"> the disparate physiological responses to the radiation source for use in studies.</w:t>
      </w:r>
    </w:p>
    <w:p w14:paraId="0EA69784" w14:textId="293DE519" w:rsidR="003E5D96" w:rsidRPr="003475EB" w:rsidRDefault="003E5D96" w:rsidP="000C770D">
      <w:pPr>
        <w:pStyle w:val="NormalWeb"/>
        <w:spacing w:before="0" w:beforeAutospacing="0" w:after="0" w:afterAutospacing="0"/>
        <w:rPr>
          <w:b/>
          <w:color w:val="000000" w:themeColor="text1"/>
        </w:rPr>
      </w:pPr>
    </w:p>
    <w:p w14:paraId="6AECCEAF" w14:textId="170F764C" w:rsidR="001332F7" w:rsidRPr="00A04630" w:rsidRDefault="001332F7" w:rsidP="000C770D">
      <w:pPr>
        <w:jc w:val="both"/>
        <w:rPr>
          <w:rFonts w:ascii="Calibri" w:hAnsi="Calibri" w:cs="Calibri"/>
          <w:b/>
          <w:bCs/>
        </w:rPr>
      </w:pPr>
      <w:r w:rsidRPr="00A04630">
        <w:rPr>
          <w:rFonts w:ascii="Calibri" w:hAnsi="Calibri" w:cs="Calibri"/>
          <w:b/>
          <w:bCs/>
        </w:rPr>
        <w:t>Dosing intervals</w:t>
      </w:r>
    </w:p>
    <w:p w14:paraId="31E9178B" w14:textId="3E440545" w:rsidR="00AB4A9C" w:rsidRPr="00A04630" w:rsidRDefault="00AB4A9C" w:rsidP="000C770D">
      <w:pPr>
        <w:pStyle w:val="NormalWeb"/>
        <w:spacing w:before="0" w:beforeAutospacing="0" w:after="0" w:afterAutospacing="0"/>
        <w:rPr>
          <w:color w:val="000000" w:themeColor="text1"/>
        </w:rPr>
      </w:pPr>
      <w:r w:rsidRPr="00A04630">
        <w:rPr>
          <w:color w:val="000000" w:themeColor="text1"/>
        </w:rPr>
        <w:t>Dosage and dosing intervals may affect the efficiency of donor cell engraftment and survival rates. In human patients, high-dose irradiation can cause idiopathic interstitial pneumonia, gastrointestinal injury, and cataract formation. In mouse models, single high-dose irradiation followed by bone marrow transplantation can produce similar results and can also affect survival rates</w:t>
      </w:r>
      <w:r w:rsidR="00AC7773" w:rsidRPr="00A04630">
        <w:rPr>
          <w:color w:val="000000" w:themeColor="text1"/>
          <w:vertAlign w:val="superscript"/>
        </w:rPr>
        <w:t>31</w:t>
      </w:r>
      <w:r w:rsidRPr="00A04630">
        <w:rPr>
          <w:color w:val="000000" w:themeColor="text1"/>
        </w:rPr>
        <w:t>.</w:t>
      </w:r>
      <w:r w:rsidR="00AC7773">
        <w:rPr>
          <w:color w:val="000000" w:themeColor="text1"/>
        </w:rPr>
        <w:t xml:space="preserve"> </w:t>
      </w:r>
      <w:r w:rsidRPr="00A04630">
        <w:rPr>
          <w:color w:val="000000" w:themeColor="text1"/>
        </w:rPr>
        <w:t>Therefore, fractionated irradiation is highly recommended for the mouse BMT studies. In addition, the dosing intervals of fractions can impact mouse survival rate and reconstitution rate, leading to different fractions of donor cell chimerism in the hematological organs as well as other tissues</w:t>
      </w:r>
      <w:r w:rsidR="00AC7773" w:rsidRPr="00DB76BC">
        <w:rPr>
          <w:color w:val="000000" w:themeColor="text1"/>
          <w:vertAlign w:val="superscript"/>
        </w:rPr>
        <w:t>31</w:t>
      </w:r>
      <w:r w:rsidRPr="00A04630">
        <w:rPr>
          <w:color w:val="000000" w:themeColor="text1"/>
        </w:rPr>
        <w:t>. Thus, researchers should be careful in designing a fractionated irradiation dosing schedule for BMT studies.</w:t>
      </w:r>
    </w:p>
    <w:p w14:paraId="7C2FB581" w14:textId="77777777" w:rsidR="008A62BC" w:rsidRDefault="008A62BC" w:rsidP="000C770D">
      <w:pPr>
        <w:jc w:val="both"/>
        <w:rPr>
          <w:rFonts w:ascii="Calibri" w:eastAsia="Batang" w:hAnsi="Calibri" w:cs="Calibri"/>
          <w:color w:val="000000" w:themeColor="text1"/>
          <w:lang w:eastAsia="en-US"/>
        </w:rPr>
      </w:pPr>
    </w:p>
    <w:p w14:paraId="5638FB2C" w14:textId="3B379899" w:rsidR="00AB4A9C" w:rsidRPr="00FC7B44" w:rsidRDefault="00AB4A9C" w:rsidP="000C770D">
      <w:pPr>
        <w:jc w:val="both"/>
        <w:rPr>
          <w:color w:val="000000" w:themeColor="text1"/>
        </w:rPr>
      </w:pPr>
      <w:r w:rsidRPr="00A04630">
        <w:rPr>
          <w:rFonts w:ascii="Calibri" w:eastAsia="Batang" w:hAnsi="Calibri" w:cs="Calibri"/>
          <w:color w:val="000000" w:themeColor="text1"/>
          <w:lang w:eastAsia="en-US"/>
        </w:rPr>
        <w:t>In the context of survival rate and immune cell reconstitution, our small study showed that a group of mice receiving total body irradiation with a lethal radiation dose of 11 Gy in two 5.5 Gy fractions separated by a 24 h interval group had no significantly different results</w:t>
      </w:r>
      <w:r w:rsidRPr="00A04630">
        <w:rPr>
          <w:rFonts w:ascii="Calibri" w:hAnsi="Calibri" w:cs="Calibri"/>
          <w:color w:val="000000" w:themeColor="text1"/>
        </w:rPr>
        <w:t xml:space="preserve"> than the group which received the same TBI dosage at a 4 h interval (see </w:t>
      </w:r>
      <w:r w:rsidRPr="00FC7B44">
        <w:rPr>
          <w:rFonts w:ascii="Calibri" w:hAnsi="Calibri" w:cs="Calibri"/>
          <w:b/>
          <w:bCs/>
          <w:color w:val="000000" w:themeColor="text1"/>
        </w:rPr>
        <w:t>Table 1</w:t>
      </w:r>
      <w:r w:rsidRPr="00FC7B44">
        <w:rPr>
          <w:rFonts w:ascii="Calibri" w:hAnsi="Calibri" w:cs="Calibri"/>
          <w:color w:val="000000" w:themeColor="text1"/>
        </w:rPr>
        <w:t>)</w:t>
      </w:r>
      <w:r w:rsidR="00DC434B">
        <w:rPr>
          <w:rFonts w:ascii="Calibri" w:hAnsi="Calibri" w:cs="Calibri"/>
          <w:color w:val="000000" w:themeColor="text1"/>
        </w:rPr>
        <w:t>.</w:t>
      </w:r>
      <w:r w:rsidRPr="00FC7B44">
        <w:rPr>
          <w:rFonts w:ascii="Calibri" w:hAnsi="Calibri" w:cs="Calibri"/>
          <w:color w:val="000000" w:themeColor="text1"/>
        </w:rPr>
        <w:t xml:space="preserve"> However, with </w:t>
      </w:r>
      <w:proofErr w:type="gramStart"/>
      <w:r w:rsidRPr="00FC7B44">
        <w:rPr>
          <w:rFonts w:ascii="Calibri" w:hAnsi="Calibri" w:cs="Calibri"/>
          <w:color w:val="000000" w:themeColor="text1"/>
        </w:rPr>
        <w:t>thorax-shielding</w:t>
      </w:r>
      <w:proofErr w:type="gramEnd"/>
      <w:r w:rsidRPr="00FC7B44">
        <w:rPr>
          <w:rFonts w:ascii="Calibri" w:hAnsi="Calibri" w:cs="Calibri"/>
          <w:color w:val="000000" w:themeColor="text1"/>
        </w:rPr>
        <w:t xml:space="preserve"> BMT, </w:t>
      </w:r>
      <w:r w:rsidR="005F3F83">
        <w:rPr>
          <w:rFonts w:ascii="Calibri" w:hAnsi="Calibri" w:cs="Calibri"/>
          <w:color w:val="000000" w:themeColor="text1"/>
        </w:rPr>
        <w:t xml:space="preserve">the </w:t>
      </w:r>
      <w:r w:rsidRPr="00FC7B44">
        <w:rPr>
          <w:rFonts w:ascii="Calibri" w:hAnsi="Calibri" w:cs="Calibri"/>
          <w:color w:val="000000" w:themeColor="text1"/>
        </w:rPr>
        <w:t xml:space="preserve">24 h interval group appeared to show less efficiency of donor cell chimerism </w:t>
      </w:r>
      <w:r w:rsidR="005F3F83">
        <w:rPr>
          <w:rFonts w:ascii="Calibri" w:hAnsi="Calibri" w:cs="Calibri"/>
          <w:color w:val="000000" w:themeColor="text1"/>
        </w:rPr>
        <w:t>in</w:t>
      </w:r>
      <w:r w:rsidR="005F3F83" w:rsidRPr="00FC7B44">
        <w:rPr>
          <w:rFonts w:ascii="Calibri" w:hAnsi="Calibri" w:cs="Calibri"/>
          <w:color w:val="000000" w:themeColor="text1"/>
        </w:rPr>
        <w:t xml:space="preserve"> </w:t>
      </w:r>
      <w:r w:rsidRPr="00FC7B44">
        <w:rPr>
          <w:rFonts w:ascii="Calibri" w:hAnsi="Calibri" w:cs="Calibri"/>
          <w:color w:val="000000" w:themeColor="text1"/>
        </w:rPr>
        <w:t>comparison with the 4 h interval group. A possible explanation for this result is that irradiation with 24 h interval may not have been sufficient to remove the recipient’s immunocompetent cells because the prolonged intervals gave recipient mice sufficient time to repair damaged cells. In addition, thorax-shielding protects partial spine bones that also contain</w:t>
      </w:r>
      <w:r w:rsidR="006F1DCF">
        <w:rPr>
          <w:rFonts w:ascii="Calibri" w:hAnsi="Calibri" w:cs="Calibri"/>
          <w:color w:val="000000" w:themeColor="text1"/>
        </w:rPr>
        <w:t xml:space="preserve"> the</w:t>
      </w:r>
      <w:r w:rsidRPr="00FC7B44">
        <w:rPr>
          <w:rFonts w:ascii="Calibri" w:hAnsi="Calibri" w:cs="Calibri"/>
          <w:color w:val="000000" w:themeColor="text1"/>
        </w:rPr>
        <w:t xml:space="preserve"> recipient’s HSCs. Thus, the remaining and recovered immunocompetent recipient cells may have attacked the donor-derived cells and induced an outcome that showed lower engraftment efficiency.</w:t>
      </w:r>
    </w:p>
    <w:p w14:paraId="7647EED8" w14:textId="10E733B6" w:rsidR="00AB4A9C" w:rsidRDefault="00AB4A9C" w:rsidP="000C770D">
      <w:pPr>
        <w:pStyle w:val="NormalWeb"/>
        <w:spacing w:before="0" w:beforeAutospacing="0" w:after="0" w:afterAutospacing="0"/>
        <w:rPr>
          <w:color w:val="auto"/>
        </w:rPr>
      </w:pPr>
    </w:p>
    <w:p w14:paraId="5FA34483" w14:textId="77777777" w:rsidR="00197BA9" w:rsidRPr="00DB76BC" w:rsidRDefault="00197BA9" w:rsidP="000C770D">
      <w:pPr>
        <w:pStyle w:val="NormalWeb"/>
        <w:spacing w:before="0" w:beforeAutospacing="0" w:after="0" w:afterAutospacing="0"/>
        <w:rPr>
          <w:color w:val="auto"/>
        </w:rPr>
      </w:pPr>
      <w:r>
        <w:rPr>
          <w:color w:val="auto"/>
        </w:rPr>
        <w:t xml:space="preserve">[Place </w:t>
      </w:r>
      <w:r w:rsidRPr="00DB76BC">
        <w:rPr>
          <w:b/>
          <w:bCs/>
          <w:color w:val="auto"/>
        </w:rPr>
        <w:t>Table1</w:t>
      </w:r>
      <w:r>
        <w:rPr>
          <w:color w:val="auto"/>
        </w:rPr>
        <w:t xml:space="preserve"> here]</w:t>
      </w:r>
    </w:p>
    <w:p w14:paraId="3ECCEC97" w14:textId="77777777" w:rsidR="001332F7" w:rsidRPr="003475EB" w:rsidRDefault="001332F7" w:rsidP="000C770D">
      <w:pPr>
        <w:jc w:val="both"/>
        <w:rPr>
          <w:rFonts w:ascii="Calibri" w:hAnsi="Calibri" w:cs="Calibri"/>
          <w:color w:val="000000" w:themeColor="text1"/>
          <w:shd w:val="clear" w:color="auto" w:fill="FFFFFF"/>
        </w:rPr>
      </w:pPr>
    </w:p>
    <w:p w14:paraId="560B51F0" w14:textId="377C2FCE" w:rsidR="003E5D96" w:rsidRPr="003475EB" w:rsidRDefault="00495F80" w:rsidP="000C770D">
      <w:pPr>
        <w:pStyle w:val="NormalWeb"/>
        <w:spacing w:before="0" w:beforeAutospacing="0" w:after="0" w:afterAutospacing="0"/>
        <w:rPr>
          <w:b/>
          <w:color w:val="000000" w:themeColor="text1"/>
        </w:rPr>
      </w:pPr>
      <w:r w:rsidRPr="003475EB">
        <w:rPr>
          <w:b/>
          <w:color w:val="000000" w:themeColor="text1"/>
        </w:rPr>
        <w:t xml:space="preserve">Animal </w:t>
      </w:r>
      <w:r w:rsidR="00B831CF">
        <w:rPr>
          <w:b/>
          <w:color w:val="000000" w:themeColor="text1"/>
        </w:rPr>
        <w:t>c</w:t>
      </w:r>
      <w:r w:rsidR="00D83A84" w:rsidRPr="003475EB">
        <w:rPr>
          <w:b/>
          <w:color w:val="000000" w:themeColor="text1"/>
        </w:rPr>
        <w:t>are</w:t>
      </w:r>
    </w:p>
    <w:p w14:paraId="27C73661" w14:textId="0590E3ED" w:rsidR="001A09A6" w:rsidRPr="003475EB" w:rsidRDefault="003927F2" w:rsidP="000C770D">
      <w:pPr>
        <w:jc w:val="both"/>
        <w:rPr>
          <w:rFonts w:ascii="Calibri" w:hAnsi="Calibri" w:cs="Calibri"/>
          <w:color w:val="000000" w:themeColor="text1"/>
          <w:shd w:val="clear" w:color="auto" w:fill="FFFFFF"/>
        </w:rPr>
      </w:pPr>
      <w:r>
        <w:rPr>
          <w:rFonts w:ascii="Calibri" w:hAnsi="Calibri" w:cs="Calibri"/>
          <w:color w:val="000000" w:themeColor="text1"/>
          <w:shd w:val="clear" w:color="auto" w:fill="FFFFFF"/>
        </w:rPr>
        <w:t>Multiple</w:t>
      </w:r>
      <w:r w:rsidR="003E5D96" w:rsidRPr="003475EB">
        <w:rPr>
          <w:rFonts w:ascii="Calibri" w:hAnsi="Calibri" w:cs="Calibri"/>
          <w:color w:val="000000" w:themeColor="text1"/>
          <w:shd w:val="clear" w:color="auto" w:fill="FFFFFF"/>
        </w:rPr>
        <w:t xml:space="preserve"> steps</w:t>
      </w:r>
      <w:r>
        <w:rPr>
          <w:rFonts w:ascii="Calibri" w:hAnsi="Calibri" w:cs="Calibri"/>
          <w:color w:val="000000" w:themeColor="text1"/>
          <w:shd w:val="clear" w:color="auto" w:fill="FFFFFF"/>
        </w:rPr>
        <w:t xml:space="preserve"> involving mice</w:t>
      </w:r>
      <w:r w:rsidR="003E5D96" w:rsidRPr="003475EB">
        <w:rPr>
          <w:rFonts w:ascii="Calibri" w:hAnsi="Calibri" w:cs="Calibri"/>
          <w:color w:val="000000" w:themeColor="text1"/>
          <w:shd w:val="clear" w:color="auto" w:fill="FFFFFF"/>
        </w:rPr>
        <w:t xml:space="preserve"> are</w:t>
      </w:r>
      <w:r>
        <w:rPr>
          <w:rFonts w:ascii="Calibri" w:hAnsi="Calibri" w:cs="Calibri"/>
          <w:color w:val="000000" w:themeColor="text1"/>
          <w:shd w:val="clear" w:color="auto" w:fill="FFFFFF"/>
        </w:rPr>
        <w:t xml:space="preserve"> required for</w:t>
      </w:r>
      <w:r w:rsidR="003E5D96" w:rsidRPr="003475EB">
        <w:rPr>
          <w:rFonts w:ascii="Calibri" w:hAnsi="Calibri" w:cs="Calibri"/>
          <w:color w:val="000000" w:themeColor="text1"/>
          <w:shd w:val="clear" w:color="auto" w:fill="FFFFFF"/>
        </w:rPr>
        <w:t xml:space="preserve"> the success of this experiment. Thus, extra attention is required at the following points</w:t>
      </w:r>
      <w:r>
        <w:rPr>
          <w:rFonts w:ascii="Calibri" w:hAnsi="Calibri" w:cs="Calibri"/>
          <w:color w:val="000000" w:themeColor="text1"/>
          <w:shd w:val="clear" w:color="auto" w:fill="FFFFFF"/>
        </w:rPr>
        <w:t>:</w:t>
      </w:r>
      <w:r w:rsidR="003E5D96" w:rsidRPr="003475EB">
        <w:rPr>
          <w:rFonts w:ascii="Calibri" w:hAnsi="Calibri" w:cs="Calibri"/>
          <w:color w:val="000000" w:themeColor="text1"/>
          <w:shd w:val="clear" w:color="auto" w:fill="FFFFFF"/>
        </w:rPr>
        <w:t xml:space="preserve"> First, the delivery of viable donor cells is crucial for successful engraftment. One should be properly trained in the collection of intact BM cells and their injection into recipient mice. Consequences of poor delivery of cells include the failure of donor HS</w:t>
      </w:r>
      <w:r w:rsidR="00A45344" w:rsidRPr="003475EB">
        <w:rPr>
          <w:rFonts w:ascii="Calibri" w:hAnsi="Calibri" w:cs="Calibri"/>
          <w:color w:val="000000" w:themeColor="text1"/>
          <w:shd w:val="clear" w:color="auto" w:fill="FFFFFF"/>
        </w:rPr>
        <w:t>P</w:t>
      </w:r>
      <w:r w:rsidR="003E5D96" w:rsidRPr="003475EB">
        <w:rPr>
          <w:rFonts w:ascii="Calibri" w:hAnsi="Calibri" w:cs="Calibri"/>
          <w:color w:val="000000" w:themeColor="text1"/>
          <w:shd w:val="clear" w:color="auto" w:fill="FFFFFF"/>
        </w:rPr>
        <w:t xml:space="preserve">Cs to reconstitute recipient bone marrow leading to mortality. Second, care must be taken after transplantation to avoid infection, particularly following myeloablative therapy. Contact with pathogens can be fatal, as mice become transiently immunodeficient following irradiation. As indicated above, supplementing the drinking water with antibiotics can lower the risk of fatal infection. Moreover, providing recipient animals with </w:t>
      </w:r>
      <w:r w:rsidR="001A3C61">
        <w:rPr>
          <w:rFonts w:ascii="Calibri" w:hAnsi="Calibri" w:cs="Calibri"/>
          <w:color w:val="000000" w:themeColor="text1"/>
          <w:shd w:val="clear" w:color="auto" w:fill="FFFFFF"/>
        </w:rPr>
        <w:t>nutritional/hydration gel</w:t>
      </w:r>
      <w:r w:rsidR="003E5D96" w:rsidRPr="003475EB">
        <w:rPr>
          <w:rFonts w:ascii="Calibri" w:hAnsi="Calibri" w:cs="Calibri"/>
          <w:color w:val="000000" w:themeColor="text1"/>
          <w:shd w:val="clear" w:color="auto" w:fill="FFFFFF"/>
        </w:rPr>
        <w:t xml:space="preserve"> can minimize dehydration and nutritional deficiencies which may occur following irradiation, as irradiation can disrupt the intestinal epithelium</w:t>
      </w:r>
      <w:r w:rsidR="003E544F">
        <w:rPr>
          <w:rFonts w:ascii="Calibri" w:hAnsi="Calibri" w:cs="Calibri"/>
          <w:color w:val="000000" w:themeColor="text1"/>
          <w:shd w:val="clear" w:color="auto" w:fill="FFFFFF"/>
        </w:rPr>
        <w:t xml:space="preserve"> </w:t>
      </w:r>
      <w:r w:rsidR="003E5D96" w:rsidRPr="003475EB">
        <w:rPr>
          <w:rFonts w:ascii="Calibri" w:hAnsi="Calibri" w:cs="Calibri"/>
          <w:color w:val="000000" w:themeColor="text1"/>
          <w:shd w:val="clear" w:color="auto" w:fill="FFFFFF"/>
        </w:rPr>
        <w:t>leading to diarrhea</w:t>
      </w:r>
      <w:r w:rsidR="00184C79" w:rsidRPr="003475EB">
        <w:rPr>
          <w:rFonts w:ascii="Calibri" w:hAnsi="Calibri" w:cs="Calibri"/>
          <w:color w:val="000000" w:themeColor="text1"/>
          <w:shd w:val="clear" w:color="auto" w:fill="FFFFFF"/>
        </w:rPr>
        <w:fldChar w:fldCharType="begin"/>
      </w:r>
      <w:r w:rsidR="00184C79" w:rsidRPr="003475EB">
        <w:rPr>
          <w:rFonts w:ascii="Calibri" w:hAnsi="Calibri" w:cs="Calibri"/>
          <w:color w:val="000000" w:themeColor="text1"/>
          <w:shd w:val="clear" w:color="auto" w:fill="FFFFFF"/>
        </w:rPr>
        <w:instrText xml:space="preserve"> ADDIN ZOTERO_ITEM CSL_CITATION {"citationID":"YNCRzyjj","properties":{"formattedCitation":"\\super 19\\nosupersub{}","plainCitation":"19","noteIndex":0},"citationItems":[{"id":52,"uris":["http://zotero.org/users/local/r2R059Ry/items/I4FLC7F4"],"uri":["http://zotero.org/users/local/r2R059Ry/items/I4FLC7F4"],"itemData":{"id":52,"type":"article-journal","abstract":"Purpose of Review Intestinal epithelial cells show remarkable plasticity in regenerating the epithelium following radiation injury. In this review, we explore the regenerative capacity and mechanisms of various populations of intestinal stem cells (ISCs) in response to ionizing radiation.","container-title":"Current Stem Cell Reports","DOI":"10.1007/s40778-017-0103-7","ISSN":"2198-7866","issue":"4","journalAbbreviation":"Curr Stem Cell Rep","language":"en","page":"320-332","source":"DOI.org (Crossref)","title":"The Role of Intestinal Stem Cells in Epithelial Regeneration Following Radiation-Induced Gut Injury","volume":"3","author":[{"family":"Kim","given":"Chang-Kyung"},{"family":"Yang","given":"Vincent W."},{"family":"Bialkowska","given":"Agnieszka B."}],"issued":{"date-parts":[["2017",12]]}}}],"schema":"https://github.com/citation-style-language/schema/raw/master/csl-citation.json"} </w:instrText>
      </w:r>
      <w:r w:rsidR="00184C79" w:rsidRPr="003475EB">
        <w:rPr>
          <w:rFonts w:ascii="Calibri" w:hAnsi="Calibri" w:cs="Calibri"/>
          <w:color w:val="000000" w:themeColor="text1"/>
          <w:shd w:val="clear" w:color="auto" w:fill="FFFFFF"/>
        </w:rPr>
        <w:fldChar w:fldCharType="separate"/>
      </w:r>
      <w:r w:rsidR="00184C79">
        <w:rPr>
          <w:rFonts w:ascii="Calibri" w:hAnsi="Calibri" w:cs="Calibri"/>
          <w:color w:val="000000" w:themeColor="text1"/>
          <w:vertAlign w:val="superscript"/>
        </w:rPr>
        <w:t>32</w:t>
      </w:r>
      <w:r w:rsidR="00184C79" w:rsidRPr="003475EB">
        <w:rPr>
          <w:rFonts w:ascii="Calibri" w:hAnsi="Calibri" w:cs="Calibri"/>
          <w:color w:val="000000" w:themeColor="text1"/>
          <w:shd w:val="clear" w:color="auto" w:fill="FFFFFF"/>
        </w:rPr>
        <w:fldChar w:fldCharType="end"/>
      </w:r>
      <w:r w:rsidR="003E5D96" w:rsidRPr="003475EB">
        <w:rPr>
          <w:rFonts w:ascii="Calibri" w:hAnsi="Calibri" w:cs="Calibri"/>
          <w:color w:val="000000" w:themeColor="text1"/>
          <w:shd w:val="clear" w:color="auto" w:fill="FFFFFF"/>
        </w:rPr>
        <w:t>.</w:t>
      </w:r>
      <w:r w:rsidR="001A09A6">
        <w:rPr>
          <w:rFonts w:ascii="Calibri" w:hAnsi="Calibri" w:cs="Calibri"/>
          <w:color w:val="000000" w:themeColor="text1"/>
          <w:shd w:val="clear" w:color="auto" w:fill="FFFFFF"/>
        </w:rPr>
        <w:t xml:space="preserve"> </w:t>
      </w:r>
      <w:r w:rsidR="00AB5037" w:rsidRPr="00AB5037">
        <w:rPr>
          <w:rFonts w:ascii="Calibri" w:hAnsi="Calibri" w:cs="Calibri"/>
          <w:color w:val="000000" w:themeColor="text1"/>
          <w:shd w:val="clear" w:color="auto" w:fill="FFFFFF"/>
        </w:rPr>
        <w:t>Cages should also be replaced frequently to reduce the risk of fecal bacteria contamination, animals should be handled in a proper animal transfer station, and the recipient mice should be monitored carefully for weight loss and any signs of distress or pain.</w:t>
      </w:r>
    </w:p>
    <w:p w14:paraId="4294BEF5" w14:textId="77777777" w:rsidR="003E5D96" w:rsidRPr="003475EB" w:rsidRDefault="003E5D96" w:rsidP="000C770D">
      <w:pPr>
        <w:jc w:val="both"/>
        <w:rPr>
          <w:rFonts w:ascii="Calibri" w:hAnsi="Calibri" w:cs="Calibri"/>
          <w:color w:val="000000" w:themeColor="text1"/>
          <w:shd w:val="clear" w:color="auto" w:fill="FFFFFF"/>
        </w:rPr>
      </w:pPr>
    </w:p>
    <w:p w14:paraId="1734505F" w14:textId="2284B099" w:rsidR="00AA03DF" w:rsidRPr="003475EB" w:rsidRDefault="00AA03DF" w:rsidP="000C770D">
      <w:pPr>
        <w:pStyle w:val="NormalWeb"/>
        <w:spacing w:before="0" w:beforeAutospacing="0" w:after="0" w:afterAutospacing="0"/>
        <w:rPr>
          <w:b/>
          <w:bCs/>
          <w:color w:val="000000" w:themeColor="text1"/>
        </w:rPr>
      </w:pPr>
      <w:r w:rsidRPr="003475EB">
        <w:rPr>
          <w:b/>
          <w:bCs/>
          <w:color w:val="000000" w:themeColor="text1"/>
        </w:rPr>
        <w:t>ACKNOWLEDGMENTS:</w:t>
      </w:r>
    </w:p>
    <w:p w14:paraId="2C3185AA" w14:textId="4F237E94" w:rsidR="00385A61" w:rsidRPr="003475EB" w:rsidRDefault="003D58DA" w:rsidP="000C770D">
      <w:pPr>
        <w:jc w:val="both"/>
        <w:rPr>
          <w:rFonts w:ascii="Calibri" w:hAnsi="Calibri" w:cs="Calibri"/>
          <w:color w:val="000000" w:themeColor="text1"/>
          <w:shd w:val="clear" w:color="auto" w:fill="FFFFFF"/>
        </w:rPr>
      </w:pPr>
      <w:r w:rsidRPr="003475EB">
        <w:rPr>
          <w:rFonts w:ascii="Calibri" w:hAnsi="Calibri" w:cs="Calibri"/>
          <w:color w:val="000000" w:themeColor="text1"/>
          <w:shd w:val="clear" w:color="auto" w:fill="FFFFFF"/>
        </w:rPr>
        <w:t>This work was supported by US National Institutes of Health grants to K.</w:t>
      </w:r>
      <w:r w:rsidR="00A21884" w:rsidRPr="003475EB">
        <w:rPr>
          <w:rFonts w:ascii="Calibri" w:hAnsi="Calibri" w:cs="Calibri"/>
          <w:color w:val="000000" w:themeColor="text1"/>
          <w:shd w:val="clear" w:color="auto" w:fill="FFFFFF"/>
        </w:rPr>
        <w:t xml:space="preserve"> </w:t>
      </w:r>
      <w:r w:rsidRPr="003475EB">
        <w:rPr>
          <w:rFonts w:ascii="Calibri" w:hAnsi="Calibri" w:cs="Calibri"/>
          <w:color w:val="000000" w:themeColor="text1"/>
          <w:shd w:val="clear" w:color="auto" w:fill="FFFFFF"/>
        </w:rPr>
        <w:t>W</w:t>
      </w:r>
      <w:r w:rsidR="00EE381B" w:rsidRPr="003475EB">
        <w:rPr>
          <w:rFonts w:ascii="Calibri" w:hAnsi="Calibri" w:cs="Calibri"/>
          <w:color w:val="000000" w:themeColor="text1"/>
          <w:shd w:val="clear" w:color="auto" w:fill="FFFFFF"/>
        </w:rPr>
        <w:t>alsh</w:t>
      </w:r>
      <w:r w:rsidRPr="003475EB">
        <w:rPr>
          <w:rFonts w:ascii="Calibri" w:hAnsi="Calibri" w:cs="Calibri"/>
          <w:color w:val="000000" w:themeColor="text1"/>
          <w:shd w:val="clear" w:color="auto" w:fill="FFFFFF"/>
        </w:rPr>
        <w:t xml:space="preserve"> (HL13</w:t>
      </w:r>
      <w:r w:rsidR="00EE381B" w:rsidRPr="003475EB">
        <w:rPr>
          <w:rFonts w:ascii="Calibri" w:hAnsi="Calibri" w:cs="Calibri"/>
          <w:color w:val="000000" w:themeColor="text1"/>
          <w:shd w:val="clear" w:color="auto" w:fill="FFFFFF"/>
        </w:rPr>
        <w:t>1006</w:t>
      </w:r>
      <w:r w:rsidRPr="003475EB">
        <w:rPr>
          <w:rFonts w:ascii="Calibri" w:hAnsi="Calibri" w:cs="Calibri"/>
          <w:color w:val="000000" w:themeColor="text1"/>
          <w:shd w:val="clear" w:color="auto" w:fill="FFFFFF"/>
        </w:rPr>
        <w:t>, HL138014, and HL132564)</w:t>
      </w:r>
      <w:r w:rsidR="00FE1FFF" w:rsidRPr="003475EB">
        <w:rPr>
          <w:rFonts w:ascii="Calibri" w:hAnsi="Calibri" w:cs="Calibri"/>
          <w:color w:val="000000" w:themeColor="text1"/>
          <w:shd w:val="clear" w:color="auto" w:fill="FFFFFF"/>
        </w:rPr>
        <w:t>,</w:t>
      </w:r>
      <w:r w:rsidR="00A21884" w:rsidRPr="003475EB">
        <w:rPr>
          <w:rFonts w:ascii="Calibri" w:hAnsi="Calibri" w:cs="Calibri"/>
          <w:color w:val="000000" w:themeColor="text1"/>
          <w:shd w:val="clear" w:color="auto" w:fill="FFFFFF"/>
        </w:rPr>
        <w:t xml:space="preserve"> </w:t>
      </w:r>
      <w:r w:rsidR="00EE381B" w:rsidRPr="003475EB">
        <w:rPr>
          <w:rFonts w:ascii="Calibri" w:hAnsi="Calibri" w:cs="Calibri"/>
          <w:color w:val="000000" w:themeColor="text1"/>
          <w:shd w:val="clear" w:color="auto" w:fill="FFFFFF"/>
        </w:rPr>
        <w:t xml:space="preserve">to S. Sano (HL152174), </w:t>
      </w:r>
      <w:r w:rsidR="00FE1FFF" w:rsidRPr="003475EB">
        <w:rPr>
          <w:rFonts w:ascii="Calibri" w:hAnsi="Calibri" w:cs="Calibri"/>
          <w:color w:val="000000" w:themeColor="text1"/>
          <w:shd w:val="clear" w:color="auto" w:fill="FFFFFF"/>
        </w:rPr>
        <w:t>American Heart Association grant to M.</w:t>
      </w:r>
      <w:r w:rsidR="00A21884" w:rsidRPr="003475EB">
        <w:rPr>
          <w:rFonts w:ascii="Calibri" w:hAnsi="Calibri" w:cs="Calibri"/>
          <w:color w:val="000000" w:themeColor="text1"/>
          <w:shd w:val="clear" w:color="auto" w:fill="FFFFFF"/>
        </w:rPr>
        <w:t xml:space="preserve"> </w:t>
      </w:r>
      <w:r w:rsidR="00FE1FFF" w:rsidRPr="003475EB">
        <w:rPr>
          <w:rFonts w:ascii="Calibri" w:hAnsi="Calibri" w:cs="Calibri"/>
          <w:color w:val="000000" w:themeColor="text1"/>
          <w:shd w:val="clear" w:color="auto" w:fill="FFFFFF"/>
        </w:rPr>
        <w:t>A.</w:t>
      </w:r>
      <w:r w:rsidR="00A21884" w:rsidRPr="003475EB">
        <w:rPr>
          <w:rFonts w:ascii="Calibri" w:hAnsi="Calibri" w:cs="Calibri"/>
          <w:color w:val="000000" w:themeColor="text1"/>
          <w:shd w:val="clear" w:color="auto" w:fill="FFFFFF"/>
        </w:rPr>
        <w:t xml:space="preserve"> </w:t>
      </w:r>
      <w:r w:rsidR="00FE1FFF" w:rsidRPr="003475EB">
        <w:rPr>
          <w:rFonts w:ascii="Calibri" w:hAnsi="Calibri" w:cs="Calibri"/>
          <w:color w:val="000000" w:themeColor="text1"/>
          <w:shd w:val="clear" w:color="auto" w:fill="FFFFFF"/>
        </w:rPr>
        <w:t>E</w:t>
      </w:r>
      <w:r w:rsidR="00EE381B" w:rsidRPr="003475EB">
        <w:rPr>
          <w:rFonts w:ascii="Calibri" w:hAnsi="Calibri" w:cs="Calibri"/>
          <w:color w:val="000000" w:themeColor="text1"/>
          <w:shd w:val="clear" w:color="auto" w:fill="FFFFFF"/>
        </w:rPr>
        <w:t>vans</w:t>
      </w:r>
      <w:r w:rsidR="00FE1FFF" w:rsidRPr="003475EB">
        <w:rPr>
          <w:rFonts w:ascii="Calibri" w:hAnsi="Calibri" w:cs="Calibri"/>
          <w:color w:val="000000" w:themeColor="text1"/>
          <w:shd w:val="clear" w:color="auto" w:fill="FFFFFF"/>
        </w:rPr>
        <w:t xml:space="preserve"> (20POST35210098)</w:t>
      </w:r>
      <w:r w:rsidR="00EE381B" w:rsidRPr="003475EB">
        <w:rPr>
          <w:rFonts w:ascii="Calibri" w:hAnsi="Calibri" w:cs="Calibri"/>
          <w:color w:val="000000" w:themeColor="text1"/>
          <w:shd w:val="clear" w:color="auto" w:fill="FFFFFF"/>
        </w:rPr>
        <w:t>, and</w:t>
      </w:r>
      <w:r w:rsidR="007A628B" w:rsidRPr="003475EB">
        <w:rPr>
          <w:rFonts w:ascii="Calibri" w:hAnsi="Calibri" w:cs="Calibri"/>
          <w:color w:val="000000" w:themeColor="text1"/>
          <w:shd w:val="clear" w:color="auto" w:fill="FFFFFF"/>
        </w:rPr>
        <w:t xml:space="preserve"> a</w:t>
      </w:r>
      <w:r w:rsidR="00EE381B" w:rsidRPr="003475EB">
        <w:rPr>
          <w:rFonts w:ascii="Calibri" w:hAnsi="Calibri" w:cs="Calibri"/>
          <w:color w:val="000000" w:themeColor="text1"/>
          <w:shd w:val="clear" w:color="auto" w:fill="FFFFFF"/>
        </w:rPr>
        <w:t xml:space="preserve"> Japan Heart Foundation grant to H.</w:t>
      </w:r>
      <w:r w:rsidR="00A21884" w:rsidRPr="003475EB">
        <w:rPr>
          <w:rFonts w:ascii="Calibri" w:hAnsi="Calibri" w:cs="Calibri"/>
          <w:color w:val="000000" w:themeColor="text1"/>
          <w:shd w:val="clear" w:color="auto" w:fill="FFFFFF"/>
        </w:rPr>
        <w:t xml:space="preserve"> </w:t>
      </w:r>
      <w:r w:rsidR="00EE381B" w:rsidRPr="003475EB">
        <w:rPr>
          <w:rFonts w:ascii="Calibri" w:hAnsi="Calibri" w:cs="Calibri"/>
          <w:color w:val="000000" w:themeColor="text1"/>
          <w:shd w:val="clear" w:color="auto" w:fill="FFFFFF"/>
        </w:rPr>
        <w:t>Ogawa</w:t>
      </w:r>
      <w:r w:rsidR="00A21884" w:rsidRPr="003475EB">
        <w:rPr>
          <w:rFonts w:ascii="Calibri" w:hAnsi="Calibri" w:cs="Calibri"/>
          <w:color w:val="000000" w:themeColor="text1"/>
          <w:shd w:val="clear" w:color="auto" w:fill="FFFFFF"/>
        </w:rPr>
        <w:t>.</w:t>
      </w:r>
    </w:p>
    <w:p w14:paraId="728A6D6B" w14:textId="77777777" w:rsidR="003D58DA" w:rsidRPr="003475EB" w:rsidRDefault="003D58DA" w:rsidP="000C770D">
      <w:pPr>
        <w:pStyle w:val="NormalWeb"/>
        <w:spacing w:before="0" w:beforeAutospacing="0" w:after="0" w:afterAutospacing="0"/>
        <w:rPr>
          <w:color w:val="000000" w:themeColor="text1"/>
        </w:rPr>
      </w:pPr>
    </w:p>
    <w:p w14:paraId="5D52ED8B" w14:textId="5777AB95" w:rsidR="00AA03DF" w:rsidRPr="003475EB" w:rsidRDefault="00AA03DF" w:rsidP="000C770D">
      <w:pPr>
        <w:jc w:val="both"/>
        <w:rPr>
          <w:rFonts w:ascii="Calibri" w:hAnsi="Calibri" w:cs="Calibri"/>
          <w:color w:val="000000" w:themeColor="text1"/>
          <w:lang w:eastAsia="ja-JP"/>
        </w:rPr>
      </w:pPr>
      <w:r w:rsidRPr="003475EB">
        <w:rPr>
          <w:rFonts w:ascii="Calibri" w:hAnsi="Calibri" w:cs="Calibri"/>
          <w:b/>
          <w:color w:val="000000" w:themeColor="text1"/>
        </w:rPr>
        <w:t>DISCLOSURES</w:t>
      </w:r>
      <w:r w:rsidRPr="003475EB">
        <w:rPr>
          <w:rFonts w:ascii="Calibri" w:hAnsi="Calibri" w:cs="Calibri"/>
          <w:b/>
          <w:bCs/>
          <w:color w:val="000000" w:themeColor="text1"/>
        </w:rPr>
        <w:t>:</w:t>
      </w:r>
    </w:p>
    <w:p w14:paraId="66030076" w14:textId="7F90B846" w:rsidR="00AA03DF" w:rsidRPr="00BE2A2E" w:rsidRDefault="00733FD3" w:rsidP="000C770D">
      <w:pPr>
        <w:jc w:val="both"/>
        <w:rPr>
          <w:rFonts w:ascii="Calibri" w:hAnsi="Calibri" w:cs="Calibri"/>
          <w:color w:val="000000" w:themeColor="text1"/>
        </w:rPr>
      </w:pPr>
      <w:r w:rsidRPr="00BE2A2E">
        <w:rPr>
          <w:rFonts w:ascii="Calibri" w:hAnsi="Calibri" w:cs="Calibri"/>
          <w:color w:val="000000" w:themeColor="text1"/>
        </w:rPr>
        <w:t>The authors have nothing to disclose.</w:t>
      </w:r>
    </w:p>
    <w:p w14:paraId="6DFA4F43" w14:textId="77777777" w:rsidR="00733FD3" w:rsidRPr="00BE2A2E" w:rsidRDefault="00733FD3" w:rsidP="000C770D">
      <w:pPr>
        <w:jc w:val="both"/>
        <w:rPr>
          <w:rFonts w:ascii="Calibri" w:hAnsi="Calibri" w:cs="Calibri"/>
          <w:color w:val="000000" w:themeColor="text1"/>
        </w:rPr>
      </w:pPr>
    </w:p>
    <w:p w14:paraId="367008C1" w14:textId="4F666234" w:rsidR="009726EE" w:rsidRPr="003475EB" w:rsidRDefault="009726EE" w:rsidP="000C770D">
      <w:pPr>
        <w:jc w:val="both"/>
        <w:rPr>
          <w:rFonts w:ascii="Calibri" w:eastAsia="Calibri" w:hAnsi="Calibri" w:cs="Calibri"/>
          <w:b/>
          <w:color w:val="000000" w:themeColor="text1"/>
        </w:rPr>
      </w:pPr>
      <w:bookmarkStart w:id="1" w:name="References"/>
      <w:r w:rsidRPr="003475EB">
        <w:rPr>
          <w:rFonts w:ascii="Calibri" w:hAnsi="Calibri" w:cs="Calibri"/>
          <w:b/>
          <w:bCs/>
          <w:color w:val="000000" w:themeColor="text1"/>
        </w:rPr>
        <w:t>REFERENCES</w:t>
      </w:r>
      <w:bookmarkEnd w:id="1"/>
      <w:r w:rsidR="003B6AEE" w:rsidRPr="003475EB">
        <w:rPr>
          <w:rFonts w:ascii="Calibri" w:hAnsi="Calibri" w:cs="Calibri"/>
          <w:b/>
          <w:bCs/>
          <w:color w:val="000000" w:themeColor="text1"/>
        </w:rPr>
        <w:t>:</w:t>
      </w:r>
    </w:p>
    <w:p w14:paraId="4484A997" w14:textId="5FD91963" w:rsidR="006724B9" w:rsidRPr="003475EB" w:rsidRDefault="006724B9"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fldChar w:fldCharType="begin"/>
      </w:r>
      <w:r w:rsidRPr="003475EB">
        <w:rPr>
          <w:rFonts w:ascii="Calibri" w:hAnsi="Calibri" w:cs="Calibri"/>
          <w:color w:val="000000" w:themeColor="text1"/>
        </w:rPr>
        <w:instrText xml:space="preserve"> ADDIN ZOTERO_BIBL {"uncited":[],"omitted":[],"custom":[]} CSL_BIBLIOGRAPHY </w:instrText>
      </w:r>
      <w:r w:rsidRPr="003475EB">
        <w:rPr>
          <w:rFonts w:ascii="Calibri" w:hAnsi="Calibri" w:cs="Calibri"/>
          <w:color w:val="000000" w:themeColor="text1"/>
        </w:rPr>
        <w:fldChar w:fldCharType="separate"/>
      </w:r>
      <w:r w:rsidRPr="003475EB">
        <w:rPr>
          <w:rFonts w:ascii="Calibri" w:hAnsi="Calibri" w:cs="Calibri"/>
          <w:color w:val="000000" w:themeColor="text1"/>
        </w:rPr>
        <w:t>1.</w:t>
      </w:r>
      <w:r w:rsidRPr="003475EB">
        <w:rPr>
          <w:rFonts w:ascii="Calibri" w:hAnsi="Calibri" w:cs="Calibri"/>
          <w:color w:val="000000" w:themeColor="text1"/>
        </w:rPr>
        <w:tab/>
        <w:t>Evans, M.</w:t>
      </w:r>
      <w:r w:rsidR="002A0E4E">
        <w:rPr>
          <w:rFonts w:ascii="Calibri" w:hAnsi="Calibri" w:cs="Calibri"/>
          <w:color w:val="000000" w:themeColor="text1"/>
        </w:rPr>
        <w:t xml:space="preserve"> </w:t>
      </w:r>
      <w:r w:rsidRPr="003475EB">
        <w:rPr>
          <w:rFonts w:ascii="Calibri" w:hAnsi="Calibri" w:cs="Calibri"/>
          <w:color w:val="000000" w:themeColor="text1"/>
        </w:rPr>
        <w:t xml:space="preserve">A., Sano, S., Walsh, K. Cardiovascular </w:t>
      </w:r>
      <w:r w:rsidR="002A0E4E">
        <w:rPr>
          <w:rFonts w:ascii="Calibri" w:hAnsi="Calibri" w:cs="Calibri"/>
          <w:color w:val="000000" w:themeColor="text1"/>
        </w:rPr>
        <w:t>d</w:t>
      </w:r>
      <w:r w:rsidRPr="003475EB">
        <w:rPr>
          <w:rFonts w:ascii="Calibri" w:hAnsi="Calibri" w:cs="Calibri"/>
          <w:color w:val="000000" w:themeColor="text1"/>
        </w:rPr>
        <w:t xml:space="preserve">isease, </w:t>
      </w:r>
      <w:r w:rsidR="002A0E4E">
        <w:rPr>
          <w:rFonts w:ascii="Calibri" w:hAnsi="Calibri" w:cs="Calibri"/>
          <w:color w:val="000000" w:themeColor="text1"/>
        </w:rPr>
        <w:t>a</w:t>
      </w:r>
      <w:r w:rsidRPr="003475EB">
        <w:rPr>
          <w:rFonts w:ascii="Calibri" w:hAnsi="Calibri" w:cs="Calibri"/>
          <w:color w:val="000000" w:themeColor="text1"/>
        </w:rPr>
        <w:t xml:space="preserve">ging, and </w:t>
      </w:r>
      <w:r w:rsidR="002A0E4E">
        <w:rPr>
          <w:rFonts w:ascii="Calibri" w:hAnsi="Calibri" w:cs="Calibri"/>
          <w:color w:val="000000" w:themeColor="text1"/>
        </w:rPr>
        <w:t>c</w:t>
      </w:r>
      <w:r w:rsidRPr="003475EB">
        <w:rPr>
          <w:rFonts w:ascii="Calibri" w:hAnsi="Calibri" w:cs="Calibri"/>
          <w:color w:val="000000" w:themeColor="text1"/>
        </w:rPr>
        <w:t xml:space="preserve">lonal </w:t>
      </w:r>
      <w:r w:rsidR="002A0E4E">
        <w:rPr>
          <w:rFonts w:ascii="Calibri" w:hAnsi="Calibri" w:cs="Calibri"/>
          <w:color w:val="000000" w:themeColor="text1"/>
        </w:rPr>
        <w:t>h</w:t>
      </w:r>
      <w:r w:rsidRPr="003475EB">
        <w:rPr>
          <w:rFonts w:ascii="Calibri" w:hAnsi="Calibri" w:cs="Calibri"/>
          <w:color w:val="000000" w:themeColor="text1"/>
        </w:rPr>
        <w:t xml:space="preserve">ematopoiesis. </w:t>
      </w:r>
      <w:r w:rsidRPr="003475EB">
        <w:rPr>
          <w:rFonts w:ascii="Calibri" w:hAnsi="Calibri" w:cs="Calibri"/>
          <w:i/>
          <w:iCs/>
          <w:color w:val="000000" w:themeColor="text1"/>
        </w:rPr>
        <w:t>Annual Review of Pathology: Mechanisms of Disease</w:t>
      </w:r>
      <w:r w:rsidRPr="003475EB">
        <w:rPr>
          <w:rFonts w:ascii="Calibri" w:hAnsi="Calibri" w:cs="Calibri"/>
          <w:color w:val="000000" w:themeColor="text1"/>
        </w:rPr>
        <w:t xml:space="preserve">. </w:t>
      </w:r>
      <w:r w:rsidRPr="003475EB">
        <w:rPr>
          <w:rFonts w:ascii="Calibri" w:hAnsi="Calibri" w:cs="Calibri"/>
          <w:b/>
          <w:bCs/>
          <w:color w:val="000000" w:themeColor="text1"/>
        </w:rPr>
        <w:t>15</w:t>
      </w:r>
      <w:r w:rsidRPr="003475EB">
        <w:rPr>
          <w:rFonts w:ascii="Calibri" w:hAnsi="Calibri" w:cs="Calibri"/>
          <w:color w:val="000000" w:themeColor="text1"/>
        </w:rPr>
        <w:t xml:space="preserve"> (1), 419–438 (2020).</w:t>
      </w:r>
    </w:p>
    <w:p w14:paraId="306ADF05" w14:textId="6AB8FE7B" w:rsidR="006724B9" w:rsidRPr="003475EB" w:rsidRDefault="006724B9"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2.</w:t>
      </w:r>
      <w:r w:rsidRPr="003475EB">
        <w:rPr>
          <w:rFonts w:ascii="Calibri" w:hAnsi="Calibri" w:cs="Calibri"/>
          <w:color w:val="000000" w:themeColor="text1"/>
        </w:rPr>
        <w:tab/>
        <w:t>Welch, J.</w:t>
      </w:r>
      <w:r w:rsidR="002A0E4E">
        <w:rPr>
          <w:rFonts w:ascii="Calibri" w:hAnsi="Calibri" w:cs="Calibri"/>
          <w:color w:val="000000" w:themeColor="text1"/>
        </w:rPr>
        <w:t xml:space="preserve"> </w:t>
      </w:r>
      <w:r w:rsidRPr="003475EB">
        <w:rPr>
          <w:rFonts w:ascii="Calibri" w:hAnsi="Calibri" w:cs="Calibri"/>
          <w:color w:val="000000" w:themeColor="text1"/>
        </w:rPr>
        <w:t>S.</w:t>
      </w:r>
      <w:r w:rsidRPr="002A0E4E">
        <w:rPr>
          <w:rFonts w:ascii="Calibri" w:hAnsi="Calibri" w:cs="Calibri"/>
          <w:color w:val="000000" w:themeColor="text1"/>
        </w:rPr>
        <w:t xml:space="preserve"> </w:t>
      </w:r>
      <w:r w:rsidRPr="00120F94">
        <w:rPr>
          <w:rFonts w:ascii="Calibri" w:hAnsi="Calibri" w:cs="Calibri"/>
          <w:color w:val="000000" w:themeColor="text1"/>
        </w:rPr>
        <w:t>et al.</w:t>
      </w:r>
      <w:r w:rsidRPr="003475EB">
        <w:rPr>
          <w:rFonts w:ascii="Calibri" w:hAnsi="Calibri" w:cs="Calibri"/>
          <w:color w:val="000000" w:themeColor="text1"/>
        </w:rPr>
        <w:t xml:space="preserve"> The </w:t>
      </w:r>
      <w:r w:rsidR="002A0E4E">
        <w:rPr>
          <w:rFonts w:ascii="Calibri" w:hAnsi="Calibri" w:cs="Calibri"/>
          <w:color w:val="000000" w:themeColor="text1"/>
        </w:rPr>
        <w:t>o</w:t>
      </w:r>
      <w:r w:rsidRPr="003475EB">
        <w:rPr>
          <w:rFonts w:ascii="Calibri" w:hAnsi="Calibri" w:cs="Calibri"/>
          <w:color w:val="000000" w:themeColor="text1"/>
        </w:rPr>
        <w:t xml:space="preserve">rigin and </w:t>
      </w:r>
      <w:r w:rsidR="002A0E4E">
        <w:rPr>
          <w:rFonts w:ascii="Calibri" w:hAnsi="Calibri" w:cs="Calibri"/>
          <w:color w:val="000000" w:themeColor="text1"/>
        </w:rPr>
        <w:t>e</w:t>
      </w:r>
      <w:r w:rsidRPr="003475EB">
        <w:rPr>
          <w:rFonts w:ascii="Calibri" w:hAnsi="Calibri" w:cs="Calibri"/>
          <w:color w:val="000000" w:themeColor="text1"/>
        </w:rPr>
        <w:t xml:space="preserve">volution of </w:t>
      </w:r>
      <w:r w:rsidR="002A0E4E">
        <w:rPr>
          <w:rFonts w:ascii="Calibri" w:hAnsi="Calibri" w:cs="Calibri"/>
          <w:color w:val="000000" w:themeColor="text1"/>
        </w:rPr>
        <w:t>m</w:t>
      </w:r>
      <w:r w:rsidRPr="003475EB">
        <w:rPr>
          <w:rFonts w:ascii="Calibri" w:hAnsi="Calibri" w:cs="Calibri"/>
          <w:color w:val="000000" w:themeColor="text1"/>
        </w:rPr>
        <w:t xml:space="preserve">utations in </w:t>
      </w:r>
      <w:r w:rsidR="002A0E4E">
        <w:rPr>
          <w:rFonts w:ascii="Calibri" w:hAnsi="Calibri" w:cs="Calibri"/>
          <w:color w:val="000000" w:themeColor="text1"/>
        </w:rPr>
        <w:t>a</w:t>
      </w:r>
      <w:r w:rsidRPr="003475EB">
        <w:rPr>
          <w:rFonts w:ascii="Calibri" w:hAnsi="Calibri" w:cs="Calibri"/>
          <w:color w:val="000000" w:themeColor="text1"/>
        </w:rPr>
        <w:t xml:space="preserve">cute </w:t>
      </w:r>
      <w:r w:rsidR="002A0E4E">
        <w:rPr>
          <w:rFonts w:ascii="Calibri" w:hAnsi="Calibri" w:cs="Calibri"/>
          <w:color w:val="000000" w:themeColor="text1"/>
        </w:rPr>
        <w:t>m</w:t>
      </w:r>
      <w:r w:rsidRPr="003475EB">
        <w:rPr>
          <w:rFonts w:ascii="Calibri" w:hAnsi="Calibri" w:cs="Calibri"/>
          <w:color w:val="000000" w:themeColor="text1"/>
        </w:rPr>
        <w:t xml:space="preserve">yeloid </w:t>
      </w:r>
      <w:r w:rsidR="002A0E4E">
        <w:rPr>
          <w:rFonts w:ascii="Calibri" w:hAnsi="Calibri" w:cs="Calibri"/>
          <w:color w:val="000000" w:themeColor="text1"/>
        </w:rPr>
        <w:t>l</w:t>
      </w:r>
      <w:r w:rsidRPr="003475EB">
        <w:rPr>
          <w:rFonts w:ascii="Calibri" w:hAnsi="Calibri" w:cs="Calibri"/>
          <w:color w:val="000000" w:themeColor="text1"/>
        </w:rPr>
        <w:t xml:space="preserve">eukemia. </w:t>
      </w:r>
      <w:r w:rsidRPr="003475EB">
        <w:rPr>
          <w:rFonts w:ascii="Calibri" w:hAnsi="Calibri" w:cs="Calibri"/>
          <w:i/>
          <w:iCs/>
          <w:color w:val="000000" w:themeColor="text1"/>
        </w:rPr>
        <w:t>Cell</w:t>
      </w:r>
      <w:r w:rsidRPr="003475EB">
        <w:rPr>
          <w:rFonts w:ascii="Calibri" w:hAnsi="Calibri" w:cs="Calibri"/>
          <w:color w:val="000000" w:themeColor="text1"/>
        </w:rPr>
        <w:t xml:space="preserve">. </w:t>
      </w:r>
      <w:r w:rsidRPr="003475EB">
        <w:rPr>
          <w:rFonts w:ascii="Calibri" w:hAnsi="Calibri" w:cs="Calibri"/>
          <w:b/>
          <w:bCs/>
          <w:color w:val="000000" w:themeColor="text1"/>
        </w:rPr>
        <w:t>150</w:t>
      </w:r>
      <w:r w:rsidRPr="003475EB">
        <w:rPr>
          <w:rFonts w:ascii="Calibri" w:hAnsi="Calibri" w:cs="Calibri"/>
          <w:color w:val="000000" w:themeColor="text1"/>
        </w:rPr>
        <w:t xml:space="preserve"> (2), 264–278 (2012).</w:t>
      </w:r>
    </w:p>
    <w:p w14:paraId="7034AE7B" w14:textId="706F59C4" w:rsidR="006724B9" w:rsidRPr="003475EB" w:rsidRDefault="006724B9"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fldChar w:fldCharType="end"/>
      </w:r>
      <w:r w:rsidRPr="003475EB">
        <w:rPr>
          <w:rFonts w:ascii="Calibri" w:hAnsi="Calibri" w:cs="Calibri"/>
          <w:color w:val="000000" w:themeColor="text1"/>
        </w:rPr>
        <w:fldChar w:fldCharType="begin"/>
      </w:r>
      <w:r w:rsidRPr="003475EB">
        <w:rPr>
          <w:rFonts w:ascii="Calibri" w:hAnsi="Calibri" w:cs="Calibri"/>
          <w:color w:val="000000" w:themeColor="text1"/>
        </w:rPr>
        <w:instrText xml:space="preserve"> ADDIN ZOTERO_BIBL {"uncited":[],"omitted":[],"custom":[]} CSL_BIBLIOGRAPHY </w:instrText>
      </w:r>
      <w:r w:rsidRPr="003475EB">
        <w:rPr>
          <w:rFonts w:ascii="Calibri" w:hAnsi="Calibri" w:cs="Calibri"/>
          <w:color w:val="000000" w:themeColor="text1"/>
        </w:rPr>
        <w:fldChar w:fldCharType="separate"/>
      </w:r>
      <w:r w:rsidRPr="003475EB">
        <w:rPr>
          <w:rFonts w:ascii="Calibri" w:hAnsi="Calibri" w:cs="Calibri"/>
          <w:color w:val="000000" w:themeColor="text1"/>
        </w:rPr>
        <w:t>3.</w:t>
      </w:r>
      <w:r w:rsidRPr="003475EB">
        <w:rPr>
          <w:rFonts w:ascii="Calibri" w:hAnsi="Calibri" w:cs="Calibri"/>
          <w:color w:val="000000" w:themeColor="text1"/>
        </w:rPr>
        <w:tab/>
        <w:t>Jaiswal, S.</w:t>
      </w:r>
      <w:r w:rsidRPr="002A0E4E">
        <w:rPr>
          <w:rFonts w:ascii="Calibri" w:hAnsi="Calibri" w:cs="Calibri"/>
          <w:color w:val="000000" w:themeColor="text1"/>
        </w:rPr>
        <w:t xml:space="preserve"> </w:t>
      </w:r>
      <w:r w:rsidRPr="00120F94">
        <w:rPr>
          <w:rFonts w:ascii="Calibri" w:hAnsi="Calibri" w:cs="Calibri"/>
          <w:color w:val="000000" w:themeColor="text1"/>
        </w:rPr>
        <w:t>et al.</w:t>
      </w:r>
      <w:r w:rsidRPr="003475EB">
        <w:rPr>
          <w:rFonts w:ascii="Calibri" w:hAnsi="Calibri" w:cs="Calibri"/>
          <w:color w:val="000000" w:themeColor="text1"/>
        </w:rPr>
        <w:t xml:space="preserve"> Age-</w:t>
      </w:r>
      <w:r w:rsidR="00532680">
        <w:rPr>
          <w:rFonts w:ascii="Calibri" w:hAnsi="Calibri" w:cs="Calibri"/>
          <w:color w:val="000000" w:themeColor="text1"/>
        </w:rPr>
        <w:t>r</w:t>
      </w:r>
      <w:r w:rsidRPr="003475EB">
        <w:rPr>
          <w:rFonts w:ascii="Calibri" w:hAnsi="Calibri" w:cs="Calibri"/>
          <w:color w:val="000000" w:themeColor="text1"/>
        </w:rPr>
        <w:t xml:space="preserve">elated </w:t>
      </w:r>
      <w:r w:rsidR="00532680">
        <w:rPr>
          <w:rFonts w:ascii="Calibri" w:hAnsi="Calibri" w:cs="Calibri"/>
          <w:color w:val="000000" w:themeColor="text1"/>
        </w:rPr>
        <w:t>c</w:t>
      </w:r>
      <w:r w:rsidRPr="003475EB">
        <w:rPr>
          <w:rFonts w:ascii="Calibri" w:hAnsi="Calibri" w:cs="Calibri"/>
          <w:color w:val="000000" w:themeColor="text1"/>
        </w:rPr>
        <w:t xml:space="preserve">lonal </w:t>
      </w:r>
      <w:r w:rsidR="00532680">
        <w:rPr>
          <w:rFonts w:ascii="Calibri" w:hAnsi="Calibri" w:cs="Calibri"/>
          <w:color w:val="000000" w:themeColor="text1"/>
        </w:rPr>
        <w:t>h</w:t>
      </w:r>
      <w:r w:rsidRPr="003475EB">
        <w:rPr>
          <w:rFonts w:ascii="Calibri" w:hAnsi="Calibri" w:cs="Calibri"/>
          <w:color w:val="000000" w:themeColor="text1"/>
        </w:rPr>
        <w:t xml:space="preserve">ematopoiesis </w:t>
      </w:r>
      <w:r w:rsidR="00532680">
        <w:rPr>
          <w:rFonts w:ascii="Calibri" w:hAnsi="Calibri" w:cs="Calibri"/>
          <w:color w:val="000000" w:themeColor="text1"/>
        </w:rPr>
        <w:t>a</w:t>
      </w:r>
      <w:r w:rsidRPr="003475EB">
        <w:rPr>
          <w:rFonts w:ascii="Calibri" w:hAnsi="Calibri" w:cs="Calibri"/>
          <w:color w:val="000000" w:themeColor="text1"/>
        </w:rPr>
        <w:t xml:space="preserve">ssociated with </w:t>
      </w:r>
      <w:r w:rsidR="00532680">
        <w:rPr>
          <w:rFonts w:ascii="Calibri" w:hAnsi="Calibri" w:cs="Calibri"/>
          <w:color w:val="000000" w:themeColor="text1"/>
        </w:rPr>
        <w:t>a</w:t>
      </w:r>
      <w:r w:rsidRPr="003475EB">
        <w:rPr>
          <w:rFonts w:ascii="Calibri" w:hAnsi="Calibri" w:cs="Calibri"/>
          <w:color w:val="000000" w:themeColor="text1"/>
        </w:rPr>
        <w:t xml:space="preserve">dverse </w:t>
      </w:r>
      <w:r w:rsidR="00532680">
        <w:rPr>
          <w:rFonts w:ascii="Calibri" w:hAnsi="Calibri" w:cs="Calibri"/>
          <w:color w:val="000000" w:themeColor="text1"/>
        </w:rPr>
        <w:t>o</w:t>
      </w:r>
      <w:r w:rsidRPr="003475EB">
        <w:rPr>
          <w:rFonts w:ascii="Calibri" w:hAnsi="Calibri" w:cs="Calibri"/>
          <w:color w:val="000000" w:themeColor="text1"/>
        </w:rPr>
        <w:t xml:space="preserve">utcomes. </w:t>
      </w:r>
      <w:r w:rsidRPr="003475EB">
        <w:rPr>
          <w:rFonts w:ascii="Calibri" w:hAnsi="Calibri" w:cs="Calibri"/>
          <w:i/>
          <w:iCs/>
          <w:color w:val="000000" w:themeColor="text1"/>
        </w:rPr>
        <w:t>New England Journal of Medicine</w:t>
      </w:r>
      <w:r w:rsidRPr="003475EB">
        <w:rPr>
          <w:rFonts w:ascii="Calibri" w:hAnsi="Calibri" w:cs="Calibri"/>
          <w:color w:val="000000" w:themeColor="text1"/>
        </w:rPr>
        <w:t xml:space="preserve">. </w:t>
      </w:r>
      <w:r w:rsidRPr="003475EB">
        <w:rPr>
          <w:rFonts w:ascii="Calibri" w:hAnsi="Calibri" w:cs="Calibri"/>
          <w:b/>
          <w:bCs/>
          <w:color w:val="000000" w:themeColor="text1"/>
        </w:rPr>
        <w:t>371</w:t>
      </w:r>
      <w:r w:rsidRPr="003475EB">
        <w:rPr>
          <w:rFonts w:ascii="Calibri" w:hAnsi="Calibri" w:cs="Calibri"/>
          <w:color w:val="000000" w:themeColor="text1"/>
        </w:rPr>
        <w:t xml:space="preserve"> (26), 2488–2498 (2014).</w:t>
      </w:r>
    </w:p>
    <w:p w14:paraId="3DB34292" w14:textId="4D050DE9" w:rsidR="006724B9" w:rsidRPr="003475EB" w:rsidRDefault="006724B9"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4.</w:t>
      </w:r>
      <w:r w:rsidRPr="003475EB">
        <w:rPr>
          <w:rFonts w:ascii="Calibri" w:hAnsi="Calibri" w:cs="Calibri"/>
          <w:color w:val="000000" w:themeColor="text1"/>
        </w:rPr>
        <w:tab/>
        <w:t>Dorsheimer, L.</w:t>
      </w:r>
      <w:r w:rsidRPr="00A04B95">
        <w:rPr>
          <w:rFonts w:ascii="Calibri" w:hAnsi="Calibri" w:cs="Calibri"/>
          <w:color w:val="000000" w:themeColor="text1"/>
        </w:rPr>
        <w:t xml:space="preserve"> </w:t>
      </w:r>
      <w:r w:rsidRPr="00120F94">
        <w:rPr>
          <w:rFonts w:ascii="Calibri" w:hAnsi="Calibri" w:cs="Calibri"/>
          <w:color w:val="000000" w:themeColor="text1"/>
        </w:rPr>
        <w:t>et al.</w:t>
      </w:r>
      <w:r w:rsidRPr="003475EB">
        <w:rPr>
          <w:rFonts w:ascii="Calibri" w:hAnsi="Calibri" w:cs="Calibri"/>
          <w:color w:val="000000" w:themeColor="text1"/>
        </w:rPr>
        <w:t xml:space="preserve"> Association of </w:t>
      </w:r>
      <w:r w:rsidR="00A04B95">
        <w:rPr>
          <w:rFonts w:ascii="Calibri" w:hAnsi="Calibri" w:cs="Calibri"/>
          <w:color w:val="000000" w:themeColor="text1"/>
        </w:rPr>
        <w:t>m</w:t>
      </w:r>
      <w:r w:rsidRPr="003475EB">
        <w:rPr>
          <w:rFonts w:ascii="Calibri" w:hAnsi="Calibri" w:cs="Calibri"/>
          <w:color w:val="000000" w:themeColor="text1"/>
        </w:rPr>
        <w:t xml:space="preserve">utations </w:t>
      </w:r>
      <w:r w:rsidR="00A04B95">
        <w:rPr>
          <w:rFonts w:ascii="Calibri" w:hAnsi="Calibri" w:cs="Calibri"/>
          <w:color w:val="000000" w:themeColor="text1"/>
        </w:rPr>
        <w:t>c</w:t>
      </w:r>
      <w:r w:rsidRPr="003475EB">
        <w:rPr>
          <w:rFonts w:ascii="Calibri" w:hAnsi="Calibri" w:cs="Calibri"/>
          <w:color w:val="000000" w:themeColor="text1"/>
        </w:rPr>
        <w:t xml:space="preserve">ontributing to </w:t>
      </w:r>
      <w:r w:rsidR="00A04B95">
        <w:rPr>
          <w:rFonts w:ascii="Calibri" w:hAnsi="Calibri" w:cs="Calibri"/>
          <w:color w:val="000000" w:themeColor="text1"/>
        </w:rPr>
        <w:t>c</w:t>
      </w:r>
      <w:r w:rsidRPr="003475EB">
        <w:rPr>
          <w:rFonts w:ascii="Calibri" w:hAnsi="Calibri" w:cs="Calibri"/>
          <w:color w:val="000000" w:themeColor="text1"/>
        </w:rPr>
        <w:t xml:space="preserve">onal </w:t>
      </w:r>
      <w:r w:rsidR="00A04B95">
        <w:rPr>
          <w:rFonts w:ascii="Calibri" w:hAnsi="Calibri" w:cs="Calibri"/>
          <w:color w:val="000000" w:themeColor="text1"/>
        </w:rPr>
        <w:t>h</w:t>
      </w:r>
      <w:r w:rsidRPr="003475EB">
        <w:rPr>
          <w:rFonts w:ascii="Calibri" w:hAnsi="Calibri" w:cs="Calibri"/>
          <w:color w:val="000000" w:themeColor="text1"/>
        </w:rPr>
        <w:t xml:space="preserve">ematopoiesis </w:t>
      </w:r>
      <w:r w:rsidR="00A04B95">
        <w:rPr>
          <w:rFonts w:ascii="Calibri" w:hAnsi="Calibri" w:cs="Calibri"/>
          <w:color w:val="000000" w:themeColor="text1"/>
        </w:rPr>
        <w:t>w</w:t>
      </w:r>
      <w:r w:rsidRPr="003475EB">
        <w:rPr>
          <w:rFonts w:ascii="Calibri" w:hAnsi="Calibri" w:cs="Calibri"/>
          <w:color w:val="000000" w:themeColor="text1"/>
        </w:rPr>
        <w:t xml:space="preserve">ith </w:t>
      </w:r>
      <w:r w:rsidR="00A04B95">
        <w:rPr>
          <w:rFonts w:ascii="Calibri" w:hAnsi="Calibri" w:cs="Calibri"/>
          <w:color w:val="000000" w:themeColor="text1"/>
        </w:rPr>
        <w:t>p</w:t>
      </w:r>
      <w:r w:rsidRPr="003475EB">
        <w:rPr>
          <w:rFonts w:ascii="Calibri" w:hAnsi="Calibri" w:cs="Calibri"/>
          <w:color w:val="000000" w:themeColor="text1"/>
        </w:rPr>
        <w:t xml:space="preserve">rognosis in </w:t>
      </w:r>
      <w:r w:rsidR="00A04B95">
        <w:rPr>
          <w:rFonts w:ascii="Calibri" w:hAnsi="Calibri" w:cs="Calibri"/>
          <w:color w:val="000000" w:themeColor="text1"/>
        </w:rPr>
        <w:t>c</w:t>
      </w:r>
      <w:r w:rsidRPr="003475EB">
        <w:rPr>
          <w:rFonts w:ascii="Calibri" w:hAnsi="Calibri" w:cs="Calibri"/>
          <w:color w:val="000000" w:themeColor="text1"/>
        </w:rPr>
        <w:t xml:space="preserve">hronic </w:t>
      </w:r>
      <w:r w:rsidR="00A04B95">
        <w:rPr>
          <w:rFonts w:ascii="Calibri" w:hAnsi="Calibri" w:cs="Calibri"/>
          <w:color w:val="000000" w:themeColor="text1"/>
        </w:rPr>
        <w:t>i</w:t>
      </w:r>
      <w:r w:rsidRPr="003475EB">
        <w:rPr>
          <w:rFonts w:ascii="Calibri" w:hAnsi="Calibri" w:cs="Calibri"/>
          <w:color w:val="000000" w:themeColor="text1"/>
        </w:rPr>
        <w:t xml:space="preserve">schemic </w:t>
      </w:r>
      <w:r w:rsidR="00A04B95">
        <w:rPr>
          <w:rFonts w:ascii="Calibri" w:hAnsi="Calibri" w:cs="Calibri"/>
          <w:color w:val="000000" w:themeColor="text1"/>
        </w:rPr>
        <w:t>h</w:t>
      </w:r>
      <w:r w:rsidRPr="003475EB">
        <w:rPr>
          <w:rFonts w:ascii="Calibri" w:hAnsi="Calibri" w:cs="Calibri"/>
          <w:color w:val="000000" w:themeColor="text1"/>
        </w:rPr>
        <w:t xml:space="preserve">eart </w:t>
      </w:r>
      <w:r w:rsidR="00A04B95">
        <w:rPr>
          <w:rFonts w:ascii="Calibri" w:hAnsi="Calibri" w:cs="Calibri"/>
          <w:color w:val="000000" w:themeColor="text1"/>
        </w:rPr>
        <w:t>f</w:t>
      </w:r>
      <w:r w:rsidRPr="003475EB">
        <w:rPr>
          <w:rFonts w:ascii="Calibri" w:hAnsi="Calibri" w:cs="Calibri"/>
          <w:color w:val="000000" w:themeColor="text1"/>
        </w:rPr>
        <w:t xml:space="preserve">ailure. </w:t>
      </w:r>
      <w:r w:rsidRPr="003475EB">
        <w:rPr>
          <w:rFonts w:ascii="Calibri" w:hAnsi="Calibri" w:cs="Calibri"/>
          <w:i/>
          <w:iCs/>
          <w:color w:val="000000" w:themeColor="text1"/>
        </w:rPr>
        <w:t>JAMA Cardiology</w:t>
      </w:r>
      <w:r w:rsidRPr="003475EB">
        <w:rPr>
          <w:rFonts w:ascii="Calibri" w:hAnsi="Calibri" w:cs="Calibri"/>
          <w:color w:val="000000" w:themeColor="text1"/>
        </w:rPr>
        <w:t xml:space="preserve">. </w:t>
      </w:r>
      <w:r w:rsidRPr="003475EB">
        <w:rPr>
          <w:rFonts w:ascii="Calibri" w:hAnsi="Calibri" w:cs="Calibri"/>
          <w:b/>
          <w:bCs/>
          <w:color w:val="000000" w:themeColor="text1"/>
        </w:rPr>
        <w:t>4</w:t>
      </w:r>
      <w:r w:rsidRPr="003475EB">
        <w:rPr>
          <w:rFonts w:ascii="Calibri" w:hAnsi="Calibri" w:cs="Calibri"/>
          <w:color w:val="000000" w:themeColor="text1"/>
        </w:rPr>
        <w:t xml:space="preserve"> (1), 25 (2019).</w:t>
      </w:r>
    </w:p>
    <w:p w14:paraId="5DF76AA2" w14:textId="04734DF7" w:rsidR="006724B9" w:rsidRPr="003475EB" w:rsidRDefault="006724B9" w:rsidP="000C770D">
      <w:pPr>
        <w:jc w:val="both"/>
        <w:rPr>
          <w:rFonts w:ascii="Calibri" w:hAnsi="Calibri" w:cs="Calibri"/>
          <w:color w:val="000000" w:themeColor="text1"/>
        </w:rPr>
      </w:pPr>
      <w:r w:rsidRPr="003475EB">
        <w:rPr>
          <w:rFonts w:ascii="Calibri" w:hAnsi="Calibri" w:cs="Calibri"/>
          <w:color w:val="000000" w:themeColor="text1"/>
        </w:rPr>
        <w:fldChar w:fldCharType="end"/>
      </w:r>
      <w:r w:rsidRPr="003475EB">
        <w:rPr>
          <w:rFonts w:ascii="Calibri" w:hAnsi="Calibri" w:cs="Calibri"/>
          <w:color w:val="000000" w:themeColor="text1"/>
        </w:rPr>
        <w:t>5.</w:t>
      </w:r>
      <w:r w:rsidR="00241268">
        <w:rPr>
          <w:rFonts w:ascii="Calibri" w:hAnsi="Calibri" w:cs="Calibri"/>
          <w:color w:val="000000" w:themeColor="text1"/>
        </w:rPr>
        <w:t xml:space="preserve"> </w:t>
      </w:r>
      <w:r w:rsidRPr="003475EB">
        <w:rPr>
          <w:rFonts w:ascii="Calibri" w:hAnsi="Calibri" w:cs="Calibri"/>
          <w:color w:val="000000" w:themeColor="text1"/>
        </w:rPr>
        <w:t>Genovese, G.</w:t>
      </w:r>
      <w:r w:rsidRPr="00241268">
        <w:rPr>
          <w:rFonts w:ascii="Calibri" w:hAnsi="Calibri" w:cs="Calibri"/>
          <w:color w:val="000000" w:themeColor="text1"/>
        </w:rPr>
        <w:t xml:space="preserve"> </w:t>
      </w:r>
      <w:r w:rsidRPr="00120F94">
        <w:rPr>
          <w:rFonts w:ascii="Calibri" w:hAnsi="Calibri" w:cs="Calibri"/>
          <w:color w:val="000000" w:themeColor="text1"/>
        </w:rPr>
        <w:t>et al.</w:t>
      </w:r>
      <w:r w:rsidRPr="003475EB">
        <w:rPr>
          <w:rFonts w:ascii="Calibri" w:hAnsi="Calibri" w:cs="Calibri"/>
          <w:color w:val="000000" w:themeColor="text1"/>
        </w:rPr>
        <w:t xml:space="preserve"> Clonal </w:t>
      </w:r>
      <w:r w:rsidR="00241268">
        <w:rPr>
          <w:rFonts w:ascii="Calibri" w:hAnsi="Calibri" w:cs="Calibri"/>
          <w:color w:val="000000" w:themeColor="text1"/>
        </w:rPr>
        <w:t>h</w:t>
      </w:r>
      <w:r w:rsidRPr="003475EB">
        <w:rPr>
          <w:rFonts w:ascii="Calibri" w:hAnsi="Calibri" w:cs="Calibri"/>
          <w:color w:val="000000" w:themeColor="text1"/>
        </w:rPr>
        <w:t xml:space="preserve">ematopoiesis and </w:t>
      </w:r>
      <w:r w:rsidR="00241268">
        <w:rPr>
          <w:rFonts w:ascii="Calibri" w:hAnsi="Calibri" w:cs="Calibri"/>
          <w:color w:val="000000" w:themeColor="text1"/>
        </w:rPr>
        <w:t>b</w:t>
      </w:r>
      <w:r w:rsidRPr="003475EB">
        <w:rPr>
          <w:rFonts w:ascii="Calibri" w:hAnsi="Calibri" w:cs="Calibri"/>
          <w:color w:val="000000" w:themeColor="text1"/>
        </w:rPr>
        <w:t>lood-</w:t>
      </w:r>
      <w:r w:rsidR="00241268">
        <w:rPr>
          <w:rFonts w:ascii="Calibri" w:hAnsi="Calibri" w:cs="Calibri"/>
          <w:color w:val="000000" w:themeColor="text1"/>
        </w:rPr>
        <w:t>c</w:t>
      </w:r>
      <w:r w:rsidRPr="003475EB">
        <w:rPr>
          <w:rFonts w:ascii="Calibri" w:hAnsi="Calibri" w:cs="Calibri"/>
          <w:color w:val="000000" w:themeColor="text1"/>
        </w:rPr>
        <w:t xml:space="preserve">ancer </w:t>
      </w:r>
      <w:r w:rsidR="00241268">
        <w:rPr>
          <w:rFonts w:ascii="Calibri" w:hAnsi="Calibri" w:cs="Calibri"/>
          <w:color w:val="000000" w:themeColor="text1"/>
        </w:rPr>
        <w:t>r</w:t>
      </w:r>
      <w:r w:rsidRPr="003475EB">
        <w:rPr>
          <w:rFonts w:ascii="Calibri" w:hAnsi="Calibri" w:cs="Calibri"/>
          <w:color w:val="000000" w:themeColor="text1"/>
        </w:rPr>
        <w:t xml:space="preserve">isk </w:t>
      </w:r>
      <w:r w:rsidR="00241268">
        <w:rPr>
          <w:rFonts w:ascii="Calibri" w:hAnsi="Calibri" w:cs="Calibri"/>
          <w:color w:val="000000" w:themeColor="text1"/>
        </w:rPr>
        <w:t>i</w:t>
      </w:r>
      <w:r w:rsidRPr="003475EB">
        <w:rPr>
          <w:rFonts w:ascii="Calibri" w:hAnsi="Calibri" w:cs="Calibri"/>
          <w:color w:val="000000" w:themeColor="text1"/>
        </w:rPr>
        <w:t xml:space="preserve">nferred from </w:t>
      </w:r>
      <w:r w:rsidR="00241268">
        <w:rPr>
          <w:rFonts w:ascii="Calibri" w:hAnsi="Calibri" w:cs="Calibri"/>
          <w:color w:val="000000" w:themeColor="text1"/>
        </w:rPr>
        <w:t>b</w:t>
      </w:r>
      <w:r w:rsidRPr="003475EB">
        <w:rPr>
          <w:rFonts w:ascii="Calibri" w:hAnsi="Calibri" w:cs="Calibri"/>
          <w:color w:val="000000" w:themeColor="text1"/>
        </w:rPr>
        <w:t xml:space="preserve">lood DNA </w:t>
      </w:r>
      <w:r w:rsidR="00A04B95">
        <w:rPr>
          <w:rFonts w:ascii="Calibri" w:hAnsi="Calibri" w:cs="Calibri"/>
          <w:color w:val="000000" w:themeColor="text1"/>
        </w:rPr>
        <w:t>s</w:t>
      </w:r>
      <w:r w:rsidRPr="003475EB">
        <w:rPr>
          <w:rFonts w:ascii="Calibri" w:hAnsi="Calibri" w:cs="Calibri"/>
          <w:color w:val="000000" w:themeColor="text1"/>
        </w:rPr>
        <w:t xml:space="preserve">equence. </w:t>
      </w:r>
      <w:r w:rsidRPr="003475EB">
        <w:rPr>
          <w:rFonts w:ascii="Calibri" w:hAnsi="Calibri" w:cs="Calibri"/>
          <w:i/>
          <w:iCs/>
          <w:color w:val="000000" w:themeColor="text1"/>
        </w:rPr>
        <w:t>New England Journal of Medicine</w:t>
      </w:r>
      <w:r w:rsidRPr="003475EB">
        <w:rPr>
          <w:rFonts w:ascii="Calibri" w:hAnsi="Calibri" w:cs="Calibri"/>
          <w:color w:val="000000" w:themeColor="text1"/>
        </w:rPr>
        <w:t xml:space="preserve">. </w:t>
      </w:r>
      <w:r w:rsidRPr="003475EB">
        <w:rPr>
          <w:rFonts w:ascii="Calibri" w:hAnsi="Calibri" w:cs="Calibri"/>
          <w:b/>
          <w:bCs/>
          <w:color w:val="000000" w:themeColor="text1"/>
        </w:rPr>
        <w:t>371</w:t>
      </w:r>
      <w:r w:rsidRPr="003475EB">
        <w:rPr>
          <w:rFonts w:ascii="Calibri" w:hAnsi="Calibri" w:cs="Calibri"/>
          <w:color w:val="000000" w:themeColor="text1"/>
        </w:rPr>
        <w:t xml:space="preserve"> (26), 2477–2487 (2014).</w:t>
      </w:r>
    </w:p>
    <w:p w14:paraId="77C2BF4F" w14:textId="72122FC6" w:rsidR="006724B9" w:rsidRPr="003475EB" w:rsidRDefault="006724B9"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6.</w:t>
      </w:r>
      <w:r w:rsidRPr="003475EB">
        <w:rPr>
          <w:rFonts w:ascii="Calibri" w:hAnsi="Calibri" w:cs="Calibri"/>
          <w:color w:val="000000" w:themeColor="text1"/>
        </w:rPr>
        <w:tab/>
        <w:t>Jaiswal, S.</w:t>
      </w:r>
      <w:r w:rsidRPr="00241268">
        <w:rPr>
          <w:rFonts w:ascii="Calibri" w:hAnsi="Calibri" w:cs="Calibri"/>
          <w:color w:val="000000" w:themeColor="text1"/>
        </w:rPr>
        <w:t xml:space="preserve"> </w:t>
      </w:r>
      <w:r w:rsidRPr="00120F94">
        <w:rPr>
          <w:rFonts w:ascii="Calibri" w:hAnsi="Calibri" w:cs="Calibri"/>
          <w:color w:val="000000" w:themeColor="text1"/>
        </w:rPr>
        <w:t>et al.</w:t>
      </w:r>
      <w:r w:rsidRPr="003475EB">
        <w:rPr>
          <w:rFonts w:ascii="Calibri" w:hAnsi="Calibri" w:cs="Calibri"/>
          <w:color w:val="000000" w:themeColor="text1"/>
        </w:rPr>
        <w:t xml:space="preserve"> Clonal </w:t>
      </w:r>
      <w:r w:rsidR="00241268">
        <w:rPr>
          <w:rFonts w:ascii="Calibri" w:hAnsi="Calibri" w:cs="Calibri"/>
          <w:color w:val="000000" w:themeColor="text1"/>
        </w:rPr>
        <w:t>h</w:t>
      </w:r>
      <w:r w:rsidRPr="003475EB">
        <w:rPr>
          <w:rFonts w:ascii="Calibri" w:hAnsi="Calibri" w:cs="Calibri"/>
          <w:color w:val="000000" w:themeColor="text1"/>
        </w:rPr>
        <w:t xml:space="preserve">ematopoiesis and </w:t>
      </w:r>
      <w:r w:rsidR="00241268">
        <w:rPr>
          <w:rFonts w:ascii="Calibri" w:hAnsi="Calibri" w:cs="Calibri"/>
          <w:color w:val="000000" w:themeColor="text1"/>
        </w:rPr>
        <w:t>r</w:t>
      </w:r>
      <w:r w:rsidRPr="003475EB">
        <w:rPr>
          <w:rFonts w:ascii="Calibri" w:hAnsi="Calibri" w:cs="Calibri"/>
          <w:color w:val="000000" w:themeColor="text1"/>
        </w:rPr>
        <w:t xml:space="preserve">isk of </w:t>
      </w:r>
      <w:r w:rsidR="00241268">
        <w:rPr>
          <w:rFonts w:ascii="Calibri" w:hAnsi="Calibri" w:cs="Calibri"/>
          <w:color w:val="000000" w:themeColor="text1"/>
        </w:rPr>
        <w:t>a</w:t>
      </w:r>
      <w:r w:rsidRPr="003475EB">
        <w:rPr>
          <w:rFonts w:ascii="Calibri" w:hAnsi="Calibri" w:cs="Calibri"/>
          <w:color w:val="000000" w:themeColor="text1"/>
        </w:rPr>
        <w:t xml:space="preserve">therosclerotic </w:t>
      </w:r>
      <w:r w:rsidR="00241268">
        <w:rPr>
          <w:rFonts w:ascii="Calibri" w:hAnsi="Calibri" w:cs="Calibri"/>
          <w:color w:val="000000" w:themeColor="text1"/>
        </w:rPr>
        <w:t>c</w:t>
      </w:r>
      <w:r w:rsidRPr="003475EB">
        <w:rPr>
          <w:rFonts w:ascii="Calibri" w:hAnsi="Calibri" w:cs="Calibri"/>
          <w:color w:val="000000" w:themeColor="text1"/>
        </w:rPr>
        <w:t xml:space="preserve">ardiovascular </w:t>
      </w:r>
      <w:r w:rsidR="00241268">
        <w:rPr>
          <w:rFonts w:ascii="Calibri" w:hAnsi="Calibri" w:cs="Calibri"/>
          <w:color w:val="000000" w:themeColor="text1"/>
        </w:rPr>
        <w:t>d</w:t>
      </w:r>
      <w:r w:rsidRPr="003475EB">
        <w:rPr>
          <w:rFonts w:ascii="Calibri" w:hAnsi="Calibri" w:cs="Calibri"/>
          <w:color w:val="000000" w:themeColor="text1"/>
        </w:rPr>
        <w:t xml:space="preserve">isease. </w:t>
      </w:r>
      <w:r w:rsidRPr="003475EB">
        <w:rPr>
          <w:rFonts w:ascii="Calibri" w:hAnsi="Calibri" w:cs="Calibri"/>
          <w:i/>
          <w:iCs/>
          <w:color w:val="000000" w:themeColor="text1"/>
        </w:rPr>
        <w:t>New England Journal of Medicine</w:t>
      </w:r>
      <w:r w:rsidRPr="003475EB">
        <w:rPr>
          <w:rFonts w:ascii="Calibri" w:hAnsi="Calibri" w:cs="Calibri"/>
          <w:color w:val="000000" w:themeColor="text1"/>
        </w:rPr>
        <w:t xml:space="preserve">. </w:t>
      </w:r>
      <w:r w:rsidRPr="003475EB">
        <w:rPr>
          <w:rFonts w:ascii="Calibri" w:hAnsi="Calibri" w:cs="Calibri"/>
          <w:b/>
          <w:bCs/>
          <w:color w:val="000000" w:themeColor="text1"/>
        </w:rPr>
        <w:t>377</w:t>
      </w:r>
      <w:r w:rsidRPr="003475EB">
        <w:rPr>
          <w:rFonts w:ascii="Calibri" w:hAnsi="Calibri" w:cs="Calibri"/>
          <w:color w:val="000000" w:themeColor="text1"/>
        </w:rPr>
        <w:t xml:space="preserve"> (2), 111–121 (2017).</w:t>
      </w:r>
    </w:p>
    <w:p w14:paraId="05324093" w14:textId="29A5A450" w:rsidR="006724B9" w:rsidRPr="003475EB" w:rsidRDefault="006724B9"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7.</w:t>
      </w:r>
      <w:r w:rsidRPr="003475EB">
        <w:rPr>
          <w:rFonts w:ascii="Calibri" w:hAnsi="Calibri" w:cs="Calibri"/>
          <w:color w:val="000000" w:themeColor="text1"/>
        </w:rPr>
        <w:tab/>
      </w:r>
      <w:r w:rsidR="00497E7A" w:rsidRPr="003475EB">
        <w:rPr>
          <w:rFonts w:ascii="Calibri" w:hAnsi="Calibri" w:cs="Calibri"/>
          <w:color w:val="000000" w:themeColor="text1"/>
        </w:rPr>
        <w:t>Bick, A.</w:t>
      </w:r>
      <w:r w:rsidR="002A0E4E">
        <w:rPr>
          <w:rFonts w:ascii="Calibri" w:hAnsi="Calibri" w:cs="Calibri"/>
          <w:color w:val="000000" w:themeColor="text1"/>
        </w:rPr>
        <w:t xml:space="preserve"> </w:t>
      </w:r>
      <w:r w:rsidR="00497E7A" w:rsidRPr="003475EB">
        <w:rPr>
          <w:rFonts w:ascii="Calibri" w:hAnsi="Calibri" w:cs="Calibri"/>
          <w:color w:val="000000" w:themeColor="text1"/>
        </w:rPr>
        <w:t>G.</w:t>
      </w:r>
      <w:r w:rsidR="00497E7A" w:rsidRPr="00241268">
        <w:rPr>
          <w:rFonts w:ascii="Calibri" w:hAnsi="Calibri" w:cs="Calibri"/>
          <w:color w:val="000000" w:themeColor="text1"/>
        </w:rPr>
        <w:t xml:space="preserve"> </w:t>
      </w:r>
      <w:r w:rsidR="00497E7A" w:rsidRPr="00120F94">
        <w:rPr>
          <w:rFonts w:ascii="Calibri" w:hAnsi="Calibri" w:cs="Calibri"/>
          <w:color w:val="000000" w:themeColor="text1"/>
        </w:rPr>
        <w:t>et al.</w:t>
      </w:r>
      <w:r w:rsidR="00497E7A" w:rsidRPr="003475EB">
        <w:rPr>
          <w:rFonts w:ascii="Calibri" w:hAnsi="Calibri" w:cs="Calibri"/>
          <w:color w:val="000000" w:themeColor="text1"/>
        </w:rPr>
        <w:t xml:space="preserve"> Genetic </w:t>
      </w:r>
      <w:r w:rsidR="00241268">
        <w:rPr>
          <w:rFonts w:ascii="Calibri" w:hAnsi="Calibri" w:cs="Calibri"/>
          <w:color w:val="000000" w:themeColor="text1"/>
        </w:rPr>
        <w:t>i</w:t>
      </w:r>
      <w:r w:rsidR="00497E7A" w:rsidRPr="003475EB">
        <w:rPr>
          <w:rFonts w:ascii="Calibri" w:hAnsi="Calibri" w:cs="Calibri"/>
          <w:color w:val="000000" w:themeColor="text1"/>
        </w:rPr>
        <w:t xml:space="preserve">nterleukin 6 </w:t>
      </w:r>
      <w:r w:rsidR="00241268">
        <w:rPr>
          <w:rFonts w:ascii="Calibri" w:hAnsi="Calibri" w:cs="Calibri"/>
          <w:color w:val="000000" w:themeColor="text1"/>
        </w:rPr>
        <w:t>s</w:t>
      </w:r>
      <w:r w:rsidR="00497E7A" w:rsidRPr="003475EB">
        <w:rPr>
          <w:rFonts w:ascii="Calibri" w:hAnsi="Calibri" w:cs="Calibri"/>
          <w:color w:val="000000" w:themeColor="text1"/>
        </w:rPr>
        <w:t xml:space="preserve">ignaling </w:t>
      </w:r>
      <w:r w:rsidR="00241268">
        <w:rPr>
          <w:rFonts w:ascii="Calibri" w:hAnsi="Calibri" w:cs="Calibri"/>
          <w:color w:val="000000" w:themeColor="text1"/>
        </w:rPr>
        <w:t>d</w:t>
      </w:r>
      <w:r w:rsidR="00497E7A" w:rsidRPr="003475EB">
        <w:rPr>
          <w:rFonts w:ascii="Calibri" w:hAnsi="Calibri" w:cs="Calibri"/>
          <w:color w:val="000000" w:themeColor="text1"/>
        </w:rPr>
        <w:t xml:space="preserve">eficiency </w:t>
      </w:r>
      <w:r w:rsidR="00241268">
        <w:rPr>
          <w:rFonts w:ascii="Calibri" w:hAnsi="Calibri" w:cs="Calibri"/>
          <w:color w:val="000000" w:themeColor="text1"/>
        </w:rPr>
        <w:t>a</w:t>
      </w:r>
      <w:r w:rsidR="00497E7A" w:rsidRPr="003475EB">
        <w:rPr>
          <w:rFonts w:ascii="Calibri" w:hAnsi="Calibri" w:cs="Calibri"/>
          <w:color w:val="000000" w:themeColor="text1"/>
        </w:rPr>
        <w:t xml:space="preserve">ttenuates </w:t>
      </w:r>
      <w:r w:rsidR="00241268">
        <w:rPr>
          <w:rFonts w:ascii="Calibri" w:hAnsi="Calibri" w:cs="Calibri"/>
          <w:color w:val="000000" w:themeColor="text1"/>
        </w:rPr>
        <w:t>c</w:t>
      </w:r>
      <w:r w:rsidR="00497E7A" w:rsidRPr="003475EB">
        <w:rPr>
          <w:rFonts w:ascii="Calibri" w:hAnsi="Calibri" w:cs="Calibri"/>
          <w:color w:val="000000" w:themeColor="text1"/>
        </w:rPr>
        <w:t xml:space="preserve">ardiovascular </w:t>
      </w:r>
      <w:r w:rsidR="00241268">
        <w:rPr>
          <w:rFonts w:ascii="Calibri" w:hAnsi="Calibri" w:cs="Calibri"/>
          <w:color w:val="000000" w:themeColor="text1"/>
        </w:rPr>
        <w:t>r</w:t>
      </w:r>
      <w:r w:rsidR="00497E7A" w:rsidRPr="003475EB">
        <w:rPr>
          <w:rFonts w:ascii="Calibri" w:hAnsi="Calibri" w:cs="Calibri"/>
          <w:color w:val="000000" w:themeColor="text1"/>
        </w:rPr>
        <w:t xml:space="preserve">isk in </w:t>
      </w:r>
      <w:r w:rsidR="00241268">
        <w:rPr>
          <w:rFonts w:ascii="Calibri" w:hAnsi="Calibri" w:cs="Calibri"/>
          <w:color w:val="000000" w:themeColor="text1"/>
        </w:rPr>
        <w:t>c</w:t>
      </w:r>
      <w:r w:rsidR="00497E7A" w:rsidRPr="003475EB">
        <w:rPr>
          <w:rFonts w:ascii="Calibri" w:hAnsi="Calibri" w:cs="Calibri"/>
          <w:color w:val="000000" w:themeColor="text1"/>
        </w:rPr>
        <w:t xml:space="preserve">lonal </w:t>
      </w:r>
      <w:r w:rsidR="00241268">
        <w:rPr>
          <w:rFonts w:ascii="Calibri" w:hAnsi="Calibri" w:cs="Calibri"/>
          <w:color w:val="000000" w:themeColor="text1"/>
        </w:rPr>
        <w:t>h</w:t>
      </w:r>
      <w:r w:rsidR="00497E7A" w:rsidRPr="003475EB">
        <w:rPr>
          <w:rFonts w:ascii="Calibri" w:hAnsi="Calibri" w:cs="Calibri"/>
          <w:color w:val="000000" w:themeColor="text1"/>
        </w:rPr>
        <w:t xml:space="preserve">ematopoiesis. </w:t>
      </w:r>
      <w:r w:rsidR="00497E7A" w:rsidRPr="003475EB">
        <w:rPr>
          <w:rFonts w:ascii="Calibri" w:hAnsi="Calibri" w:cs="Calibri"/>
          <w:i/>
          <w:iCs/>
          <w:color w:val="000000" w:themeColor="text1"/>
        </w:rPr>
        <w:t>Circulation</w:t>
      </w:r>
      <w:r w:rsidR="00497E7A" w:rsidRPr="003475EB">
        <w:rPr>
          <w:rFonts w:ascii="Calibri" w:hAnsi="Calibri" w:cs="Calibri"/>
          <w:color w:val="000000" w:themeColor="text1"/>
        </w:rPr>
        <w:t xml:space="preserve">. </w:t>
      </w:r>
      <w:r w:rsidR="00497E7A" w:rsidRPr="003475EB">
        <w:rPr>
          <w:rFonts w:ascii="Calibri" w:hAnsi="Calibri" w:cs="Calibri"/>
          <w:b/>
          <w:bCs/>
          <w:color w:val="000000" w:themeColor="text1"/>
        </w:rPr>
        <w:t>141</w:t>
      </w:r>
      <w:r w:rsidR="00497E7A" w:rsidRPr="003475EB">
        <w:rPr>
          <w:rFonts w:ascii="Calibri" w:hAnsi="Calibri" w:cs="Calibri"/>
          <w:color w:val="000000" w:themeColor="text1"/>
        </w:rPr>
        <w:t xml:space="preserve"> (2), 124–131 (2020).</w:t>
      </w:r>
    </w:p>
    <w:p w14:paraId="73E3F914" w14:textId="529D5519" w:rsidR="006724B9" w:rsidRPr="003475EB" w:rsidRDefault="006724B9"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8.</w:t>
      </w:r>
      <w:r w:rsidRPr="003475EB">
        <w:rPr>
          <w:rFonts w:ascii="Calibri" w:hAnsi="Calibri" w:cs="Calibri"/>
          <w:color w:val="000000" w:themeColor="text1"/>
        </w:rPr>
        <w:tab/>
        <w:t>Fuster, J.</w:t>
      </w:r>
      <w:r w:rsidR="002A0E4E">
        <w:rPr>
          <w:rFonts w:ascii="Calibri" w:hAnsi="Calibri" w:cs="Calibri"/>
          <w:color w:val="000000" w:themeColor="text1"/>
        </w:rPr>
        <w:t xml:space="preserve"> </w:t>
      </w:r>
      <w:r w:rsidRPr="003475EB">
        <w:rPr>
          <w:rFonts w:ascii="Calibri" w:hAnsi="Calibri" w:cs="Calibri"/>
          <w:color w:val="000000" w:themeColor="text1"/>
        </w:rPr>
        <w:t>J.</w:t>
      </w:r>
      <w:r w:rsidRPr="00241268">
        <w:rPr>
          <w:rFonts w:ascii="Calibri" w:hAnsi="Calibri" w:cs="Calibri"/>
          <w:color w:val="000000" w:themeColor="text1"/>
        </w:rPr>
        <w:t xml:space="preserve"> </w:t>
      </w:r>
      <w:r w:rsidRPr="00120F94">
        <w:rPr>
          <w:rFonts w:ascii="Calibri" w:hAnsi="Calibri" w:cs="Calibri"/>
          <w:color w:val="000000" w:themeColor="text1"/>
        </w:rPr>
        <w:t>et al.</w:t>
      </w:r>
      <w:r w:rsidRPr="003475EB">
        <w:rPr>
          <w:rFonts w:ascii="Calibri" w:hAnsi="Calibri" w:cs="Calibri"/>
          <w:color w:val="000000" w:themeColor="text1"/>
        </w:rPr>
        <w:t xml:space="preserve"> Clonal hematopoiesis associated with TET2 deficiency accelerates atherosclerosis development in mice. </w:t>
      </w:r>
      <w:r w:rsidRPr="003475EB">
        <w:rPr>
          <w:rFonts w:ascii="Calibri" w:hAnsi="Calibri" w:cs="Calibri"/>
          <w:i/>
          <w:iCs/>
          <w:color w:val="000000" w:themeColor="text1"/>
        </w:rPr>
        <w:t>Science</w:t>
      </w:r>
      <w:r w:rsidRPr="003475EB">
        <w:rPr>
          <w:rFonts w:ascii="Calibri" w:hAnsi="Calibri" w:cs="Calibri"/>
          <w:color w:val="000000" w:themeColor="text1"/>
        </w:rPr>
        <w:t xml:space="preserve">. </w:t>
      </w:r>
      <w:r w:rsidRPr="003475EB">
        <w:rPr>
          <w:rFonts w:ascii="Calibri" w:hAnsi="Calibri" w:cs="Calibri"/>
          <w:b/>
          <w:bCs/>
          <w:color w:val="000000" w:themeColor="text1"/>
        </w:rPr>
        <w:t>355</w:t>
      </w:r>
      <w:r w:rsidRPr="003475EB">
        <w:rPr>
          <w:rFonts w:ascii="Calibri" w:hAnsi="Calibri" w:cs="Calibri"/>
          <w:color w:val="000000" w:themeColor="text1"/>
        </w:rPr>
        <w:t xml:space="preserve"> (6327), 842–847 (2017).</w:t>
      </w:r>
    </w:p>
    <w:p w14:paraId="0BD75E84" w14:textId="61C75978" w:rsidR="006724B9" w:rsidRPr="003475EB" w:rsidRDefault="006724B9"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9.</w:t>
      </w:r>
      <w:r w:rsidRPr="003475EB">
        <w:rPr>
          <w:rFonts w:ascii="Calibri" w:hAnsi="Calibri" w:cs="Calibri"/>
          <w:color w:val="000000" w:themeColor="text1"/>
        </w:rPr>
        <w:tab/>
        <w:t>Wang, Y.</w:t>
      </w:r>
      <w:r w:rsidRPr="00241268">
        <w:rPr>
          <w:rFonts w:ascii="Calibri" w:hAnsi="Calibri" w:cs="Calibri"/>
          <w:color w:val="000000" w:themeColor="text1"/>
        </w:rPr>
        <w:t xml:space="preserve"> </w:t>
      </w:r>
      <w:r w:rsidRPr="00120F94">
        <w:rPr>
          <w:rFonts w:ascii="Calibri" w:hAnsi="Calibri" w:cs="Calibri"/>
          <w:color w:val="000000" w:themeColor="text1"/>
        </w:rPr>
        <w:t>et al.</w:t>
      </w:r>
      <w:r w:rsidRPr="003475EB">
        <w:rPr>
          <w:rFonts w:ascii="Calibri" w:hAnsi="Calibri" w:cs="Calibri"/>
          <w:color w:val="000000" w:themeColor="text1"/>
        </w:rPr>
        <w:t xml:space="preserve"> Tet2-mediated clonal hematopoiesis in nonconditioned mice accelerates age-associated cardiac dysfunction. </w:t>
      </w:r>
      <w:r w:rsidRPr="003475EB">
        <w:rPr>
          <w:rFonts w:ascii="Calibri" w:hAnsi="Calibri" w:cs="Calibri"/>
          <w:i/>
          <w:iCs/>
          <w:color w:val="000000" w:themeColor="text1"/>
        </w:rPr>
        <w:t>JCI Insight</w:t>
      </w:r>
      <w:r w:rsidRPr="003475EB">
        <w:rPr>
          <w:rFonts w:ascii="Calibri" w:hAnsi="Calibri" w:cs="Calibri"/>
          <w:color w:val="000000" w:themeColor="text1"/>
        </w:rPr>
        <w:t xml:space="preserve">. </w:t>
      </w:r>
      <w:r w:rsidRPr="003475EB">
        <w:rPr>
          <w:rFonts w:ascii="Calibri" w:hAnsi="Calibri" w:cs="Calibri"/>
          <w:b/>
          <w:bCs/>
          <w:color w:val="000000" w:themeColor="text1"/>
        </w:rPr>
        <w:t>5</w:t>
      </w:r>
      <w:r w:rsidRPr="003475EB">
        <w:rPr>
          <w:rFonts w:ascii="Calibri" w:hAnsi="Calibri" w:cs="Calibri"/>
          <w:color w:val="000000" w:themeColor="text1"/>
        </w:rPr>
        <w:t xml:space="preserve"> (6), e135204 (2020).</w:t>
      </w:r>
    </w:p>
    <w:p w14:paraId="6051B74E" w14:textId="40C8FEAE" w:rsidR="006724B9" w:rsidRPr="003475EB" w:rsidRDefault="006724B9"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lastRenderedPageBreak/>
        <w:t>10.</w:t>
      </w:r>
      <w:r w:rsidRPr="003475EB">
        <w:rPr>
          <w:rFonts w:ascii="Calibri" w:hAnsi="Calibri" w:cs="Calibri"/>
          <w:color w:val="000000" w:themeColor="text1"/>
        </w:rPr>
        <w:tab/>
        <w:t>Sano, S.</w:t>
      </w:r>
      <w:r w:rsidRPr="00241268">
        <w:rPr>
          <w:rFonts w:ascii="Calibri" w:hAnsi="Calibri" w:cs="Calibri"/>
          <w:color w:val="000000" w:themeColor="text1"/>
        </w:rPr>
        <w:t xml:space="preserve"> </w:t>
      </w:r>
      <w:r w:rsidRPr="00120F94">
        <w:rPr>
          <w:rFonts w:ascii="Calibri" w:hAnsi="Calibri" w:cs="Calibri"/>
          <w:color w:val="000000" w:themeColor="text1"/>
        </w:rPr>
        <w:t>et al.</w:t>
      </w:r>
      <w:r w:rsidRPr="003475EB">
        <w:rPr>
          <w:rFonts w:ascii="Calibri" w:hAnsi="Calibri" w:cs="Calibri"/>
          <w:color w:val="000000" w:themeColor="text1"/>
        </w:rPr>
        <w:t xml:space="preserve"> Tet2-</w:t>
      </w:r>
      <w:r w:rsidR="00241268">
        <w:rPr>
          <w:rFonts w:ascii="Calibri" w:hAnsi="Calibri" w:cs="Calibri"/>
          <w:color w:val="000000" w:themeColor="text1"/>
        </w:rPr>
        <w:t>m</w:t>
      </w:r>
      <w:r w:rsidRPr="003475EB">
        <w:rPr>
          <w:rFonts w:ascii="Calibri" w:hAnsi="Calibri" w:cs="Calibri"/>
          <w:color w:val="000000" w:themeColor="text1"/>
        </w:rPr>
        <w:t xml:space="preserve">ediated </w:t>
      </w:r>
      <w:r w:rsidR="00241268">
        <w:rPr>
          <w:rFonts w:ascii="Calibri" w:hAnsi="Calibri" w:cs="Calibri"/>
          <w:color w:val="000000" w:themeColor="text1"/>
        </w:rPr>
        <w:t>c</w:t>
      </w:r>
      <w:r w:rsidRPr="003475EB">
        <w:rPr>
          <w:rFonts w:ascii="Calibri" w:hAnsi="Calibri" w:cs="Calibri"/>
          <w:color w:val="000000" w:themeColor="text1"/>
        </w:rPr>
        <w:t xml:space="preserve">lonal </w:t>
      </w:r>
      <w:r w:rsidR="00241268">
        <w:rPr>
          <w:rFonts w:ascii="Calibri" w:hAnsi="Calibri" w:cs="Calibri"/>
          <w:color w:val="000000" w:themeColor="text1"/>
        </w:rPr>
        <w:t>h</w:t>
      </w:r>
      <w:r w:rsidRPr="003475EB">
        <w:rPr>
          <w:rFonts w:ascii="Calibri" w:hAnsi="Calibri" w:cs="Calibri"/>
          <w:color w:val="000000" w:themeColor="text1"/>
        </w:rPr>
        <w:t xml:space="preserve">ematopoiesis </w:t>
      </w:r>
      <w:r w:rsidR="00241268">
        <w:rPr>
          <w:rFonts w:ascii="Calibri" w:hAnsi="Calibri" w:cs="Calibri"/>
          <w:color w:val="000000" w:themeColor="text1"/>
        </w:rPr>
        <w:t>a</w:t>
      </w:r>
      <w:r w:rsidRPr="003475EB">
        <w:rPr>
          <w:rFonts w:ascii="Calibri" w:hAnsi="Calibri" w:cs="Calibri"/>
          <w:color w:val="000000" w:themeColor="text1"/>
        </w:rPr>
        <w:t xml:space="preserve">ccelerates </w:t>
      </w:r>
      <w:r w:rsidR="00241268">
        <w:rPr>
          <w:rFonts w:ascii="Calibri" w:hAnsi="Calibri" w:cs="Calibri"/>
          <w:color w:val="000000" w:themeColor="text1"/>
        </w:rPr>
        <w:t>h</w:t>
      </w:r>
      <w:r w:rsidRPr="003475EB">
        <w:rPr>
          <w:rFonts w:ascii="Calibri" w:hAnsi="Calibri" w:cs="Calibri"/>
          <w:color w:val="000000" w:themeColor="text1"/>
        </w:rPr>
        <w:t xml:space="preserve">eart </w:t>
      </w:r>
      <w:r w:rsidR="00241268">
        <w:rPr>
          <w:rFonts w:ascii="Calibri" w:hAnsi="Calibri" w:cs="Calibri"/>
          <w:color w:val="000000" w:themeColor="text1"/>
        </w:rPr>
        <w:t>f</w:t>
      </w:r>
      <w:r w:rsidRPr="003475EB">
        <w:rPr>
          <w:rFonts w:ascii="Calibri" w:hAnsi="Calibri" w:cs="Calibri"/>
          <w:color w:val="000000" w:themeColor="text1"/>
        </w:rPr>
        <w:t xml:space="preserve">ailure </w:t>
      </w:r>
      <w:r w:rsidR="00241268">
        <w:rPr>
          <w:rFonts w:ascii="Calibri" w:hAnsi="Calibri" w:cs="Calibri"/>
          <w:color w:val="000000" w:themeColor="text1"/>
        </w:rPr>
        <w:t>t</w:t>
      </w:r>
      <w:r w:rsidRPr="003475EB">
        <w:rPr>
          <w:rFonts w:ascii="Calibri" w:hAnsi="Calibri" w:cs="Calibri"/>
          <w:color w:val="000000" w:themeColor="text1"/>
        </w:rPr>
        <w:t xml:space="preserve">hrough a </w:t>
      </w:r>
      <w:r w:rsidR="00241268">
        <w:rPr>
          <w:rFonts w:ascii="Calibri" w:hAnsi="Calibri" w:cs="Calibri"/>
          <w:color w:val="000000" w:themeColor="text1"/>
        </w:rPr>
        <w:t>m</w:t>
      </w:r>
      <w:r w:rsidRPr="003475EB">
        <w:rPr>
          <w:rFonts w:ascii="Calibri" w:hAnsi="Calibri" w:cs="Calibri"/>
          <w:color w:val="000000" w:themeColor="text1"/>
        </w:rPr>
        <w:t xml:space="preserve">echanism </w:t>
      </w:r>
      <w:r w:rsidR="00241268">
        <w:rPr>
          <w:rFonts w:ascii="Calibri" w:hAnsi="Calibri" w:cs="Calibri"/>
          <w:color w:val="000000" w:themeColor="text1"/>
        </w:rPr>
        <w:t>i</w:t>
      </w:r>
      <w:r w:rsidRPr="003475EB">
        <w:rPr>
          <w:rFonts w:ascii="Calibri" w:hAnsi="Calibri" w:cs="Calibri"/>
          <w:color w:val="000000" w:themeColor="text1"/>
        </w:rPr>
        <w:t xml:space="preserve">nvolving the IL-1β/NLRP3 </w:t>
      </w:r>
      <w:r w:rsidR="00241268">
        <w:rPr>
          <w:rFonts w:ascii="Calibri" w:hAnsi="Calibri" w:cs="Calibri"/>
          <w:color w:val="000000" w:themeColor="text1"/>
        </w:rPr>
        <w:t>i</w:t>
      </w:r>
      <w:r w:rsidRPr="003475EB">
        <w:rPr>
          <w:rFonts w:ascii="Calibri" w:hAnsi="Calibri" w:cs="Calibri"/>
          <w:color w:val="000000" w:themeColor="text1"/>
        </w:rPr>
        <w:t xml:space="preserve">nflammasome. </w:t>
      </w:r>
      <w:r w:rsidRPr="003475EB">
        <w:rPr>
          <w:rFonts w:ascii="Calibri" w:hAnsi="Calibri" w:cs="Calibri"/>
          <w:i/>
          <w:iCs/>
          <w:color w:val="000000" w:themeColor="text1"/>
        </w:rPr>
        <w:t>Journal of the American College of Cardiology</w:t>
      </w:r>
      <w:r w:rsidRPr="003475EB">
        <w:rPr>
          <w:rFonts w:ascii="Calibri" w:hAnsi="Calibri" w:cs="Calibri"/>
          <w:color w:val="000000" w:themeColor="text1"/>
        </w:rPr>
        <w:t xml:space="preserve">. </w:t>
      </w:r>
      <w:r w:rsidRPr="003475EB">
        <w:rPr>
          <w:rFonts w:ascii="Calibri" w:hAnsi="Calibri" w:cs="Calibri"/>
          <w:b/>
          <w:bCs/>
          <w:color w:val="000000" w:themeColor="text1"/>
        </w:rPr>
        <w:t>71</w:t>
      </w:r>
      <w:r w:rsidRPr="003475EB">
        <w:rPr>
          <w:rFonts w:ascii="Calibri" w:hAnsi="Calibri" w:cs="Calibri"/>
          <w:color w:val="000000" w:themeColor="text1"/>
        </w:rPr>
        <w:t xml:space="preserve"> (8), 875–886 (2018).</w:t>
      </w:r>
    </w:p>
    <w:p w14:paraId="39F224DF" w14:textId="52D24F24" w:rsidR="006724B9" w:rsidRPr="003475EB" w:rsidRDefault="006724B9"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11.</w:t>
      </w:r>
      <w:r w:rsidRPr="003475EB">
        <w:rPr>
          <w:rFonts w:ascii="Calibri" w:hAnsi="Calibri" w:cs="Calibri"/>
          <w:color w:val="000000" w:themeColor="text1"/>
        </w:rPr>
        <w:tab/>
        <w:t>Sano, S.</w:t>
      </w:r>
      <w:r w:rsidRPr="00241268">
        <w:rPr>
          <w:rFonts w:ascii="Calibri" w:hAnsi="Calibri" w:cs="Calibri"/>
          <w:color w:val="000000" w:themeColor="text1"/>
        </w:rPr>
        <w:t xml:space="preserve"> </w:t>
      </w:r>
      <w:r w:rsidRPr="00120F94">
        <w:rPr>
          <w:rFonts w:ascii="Calibri" w:hAnsi="Calibri" w:cs="Calibri"/>
          <w:color w:val="000000" w:themeColor="text1"/>
        </w:rPr>
        <w:t>et al.</w:t>
      </w:r>
      <w:r w:rsidRPr="003475EB">
        <w:rPr>
          <w:rFonts w:ascii="Calibri" w:hAnsi="Calibri" w:cs="Calibri"/>
          <w:color w:val="000000" w:themeColor="text1"/>
        </w:rPr>
        <w:t xml:space="preserve"> JAK2-</w:t>
      </w:r>
      <w:r w:rsidR="00241268">
        <w:rPr>
          <w:rFonts w:ascii="Calibri" w:hAnsi="Calibri" w:cs="Calibri"/>
          <w:color w:val="000000" w:themeColor="text1"/>
        </w:rPr>
        <w:t>m</w:t>
      </w:r>
      <w:r w:rsidRPr="003475EB">
        <w:rPr>
          <w:rFonts w:ascii="Calibri" w:hAnsi="Calibri" w:cs="Calibri"/>
          <w:color w:val="000000" w:themeColor="text1"/>
        </w:rPr>
        <w:t xml:space="preserve">ediated </w:t>
      </w:r>
      <w:r w:rsidR="00FB7E71">
        <w:rPr>
          <w:rFonts w:ascii="Calibri" w:hAnsi="Calibri" w:cs="Calibri"/>
          <w:color w:val="000000" w:themeColor="text1"/>
        </w:rPr>
        <w:t>c</w:t>
      </w:r>
      <w:r w:rsidRPr="003475EB">
        <w:rPr>
          <w:rFonts w:ascii="Calibri" w:hAnsi="Calibri" w:cs="Calibri"/>
          <w:color w:val="000000" w:themeColor="text1"/>
        </w:rPr>
        <w:t xml:space="preserve">lonal </w:t>
      </w:r>
      <w:r w:rsidR="00FB7E71">
        <w:rPr>
          <w:rFonts w:ascii="Calibri" w:hAnsi="Calibri" w:cs="Calibri"/>
          <w:color w:val="000000" w:themeColor="text1"/>
        </w:rPr>
        <w:t>h</w:t>
      </w:r>
      <w:r w:rsidRPr="003475EB">
        <w:rPr>
          <w:rFonts w:ascii="Calibri" w:hAnsi="Calibri" w:cs="Calibri"/>
          <w:color w:val="000000" w:themeColor="text1"/>
        </w:rPr>
        <w:t xml:space="preserve">ematopoiesis </w:t>
      </w:r>
      <w:r w:rsidR="00FB7E71">
        <w:rPr>
          <w:rFonts w:ascii="Calibri" w:hAnsi="Calibri" w:cs="Calibri"/>
          <w:color w:val="000000" w:themeColor="text1"/>
        </w:rPr>
        <w:t>a</w:t>
      </w:r>
      <w:r w:rsidRPr="003475EB">
        <w:rPr>
          <w:rFonts w:ascii="Calibri" w:hAnsi="Calibri" w:cs="Calibri"/>
          <w:color w:val="000000" w:themeColor="text1"/>
        </w:rPr>
        <w:t xml:space="preserve">ccelerates </w:t>
      </w:r>
      <w:r w:rsidR="00241268">
        <w:rPr>
          <w:rFonts w:ascii="Calibri" w:hAnsi="Calibri" w:cs="Calibri"/>
          <w:color w:val="000000" w:themeColor="text1"/>
        </w:rPr>
        <w:t>p</w:t>
      </w:r>
      <w:r w:rsidRPr="003475EB">
        <w:rPr>
          <w:rFonts w:ascii="Calibri" w:hAnsi="Calibri" w:cs="Calibri"/>
          <w:color w:val="000000" w:themeColor="text1"/>
        </w:rPr>
        <w:t xml:space="preserve">athological </w:t>
      </w:r>
      <w:r w:rsidR="00241268">
        <w:rPr>
          <w:rFonts w:ascii="Calibri" w:hAnsi="Calibri" w:cs="Calibri"/>
          <w:color w:val="000000" w:themeColor="text1"/>
        </w:rPr>
        <w:t>r</w:t>
      </w:r>
      <w:r w:rsidRPr="003475EB">
        <w:rPr>
          <w:rFonts w:ascii="Calibri" w:hAnsi="Calibri" w:cs="Calibri"/>
          <w:color w:val="000000" w:themeColor="text1"/>
        </w:rPr>
        <w:t xml:space="preserve">emodeling in </w:t>
      </w:r>
      <w:r w:rsidR="00241268">
        <w:rPr>
          <w:rFonts w:ascii="Calibri" w:hAnsi="Calibri" w:cs="Calibri"/>
          <w:color w:val="000000" w:themeColor="text1"/>
        </w:rPr>
        <w:t>m</w:t>
      </w:r>
      <w:r w:rsidRPr="003475EB">
        <w:rPr>
          <w:rFonts w:ascii="Calibri" w:hAnsi="Calibri" w:cs="Calibri"/>
          <w:color w:val="000000" w:themeColor="text1"/>
        </w:rPr>
        <w:t xml:space="preserve">urine </w:t>
      </w:r>
      <w:r w:rsidR="00241268">
        <w:rPr>
          <w:rFonts w:ascii="Calibri" w:hAnsi="Calibri" w:cs="Calibri"/>
          <w:color w:val="000000" w:themeColor="text1"/>
        </w:rPr>
        <w:t>h</w:t>
      </w:r>
      <w:r w:rsidRPr="003475EB">
        <w:rPr>
          <w:rFonts w:ascii="Calibri" w:hAnsi="Calibri" w:cs="Calibri"/>
          <w:color w:val="000000" w:themeColor="text1"/>
        </w:rPr>
        <w:t xml:space="preserve">eart </w:t>
      </w:r>
      <w:r w:rsidR="00241268">
        <w:rPr>
          <w:rFonts w:ascii="Calibri" w:hAnsi="Calibri" w:cs="Calibri"/>
          <w:color w:val="000000" w:themeColor="text1"/>
        </w:rPr>
        <w:t>f</w:t>
      </w:r>
      <w:r w:rsidRPr="003475EB">
        <w:rPr>
          <w:rFonts w:ascii="Calibri" w:hAnsi="Calibri" w:cs="Calibri"/>
          <w:color w:val="000000" w:themeColor="text1"/>
        </w:rPr>
        <w:t xml:space="preserve">ailure. </w:t>
      </w:r>
      <w:r w:rsidRPr="003475EB">
        <w:rPr>
          <w:rFonts w:ascii="Calibri" w:hAnsi="Calibri" w:cs="Calibri"/>
          <w:i/>
          <w:iCs/>
          <w:color w:val="000000" w:themeColor="text1"/>
        </w:rPr>
        <w:t>JACC: Basic to Translational Science</w:t>
      </w:r>
      <w:r w:rsidRPr="003475EB">
        <w:rPr>
          <w:rFonts w:ascii="Calibri" w:hAnsi="Calibri" w:cs="Calibri"/>
          <w:color w:val="000000" w:themeColor="text1"/>
        </w:rPr>
        <w:t xml:space="preserve">. </w:t>
      </w:r>
      <w:r w:rsidRPr="003475EB">
        <w:rPr>
          <w:rFonts w:ascii="Calibri" w:hAnsi="Calibri" w:cs="Calibri"/>
          <w:b/>
          <w:bCs/>
          <w:color w:val="000000" w:themeColor="text1"/>
        </w:rPr>
        <w:t>4</w:t>
      </w:r>
      <w:r w:rsidRPr="003475EB">
        <w:rPr>
          <w:rFonts w:ascii="Calibri" w:hAnsi="Calibri" w:cs="Calibri"/>
          <w:color w:val="000000" w:themeColor="text1"/>
        </w:rPr>
        <w:t xml:space="preserve"> (6), 684–697 (2019).</w:t>
      </w:r>
    </w:p>
    <w:p w14:paraId="197D4A51" w14:textId="6932FE47" w:rsidR="006724B9" w:rsidRPr="003475EB" w:rsidRDefault="006724B9"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12.</w:t>
      </w:r>
      <w:r w:rsidRPr="003475EB">
        <w:rPr>
          <w:rFonts w:ascii="Calibri" w:hAnsi="Calibri" w:cs="Calibri"/>
          <w:color w:val="000000" w:themeColor="text1"/>
        </w:rPr>
        <w:tab/>
        <w:t>Yu, K.-R.</w:t>
      </w:r>
      <w:r w:rsidRPr="00FB7E71">
        <w:rPr>
          <w:rFonts w:ascii="Calibri" w:hAnsi="Calibri" w:cs="Calibri"/>
          <w:color w:val="000000" w:themeColor="text1"/>
        </w:rPr>
        <w:t xml:space="preserve"> </w:t>
      </w:r>
      <w:r w:rsidRPr="00120F94">
        <w:rPr>
          <w:rFonts w:ascii="Calibri" w:hAnsi="Calibri" w:cs="Calibri"/>
          <w:color w:val="000000" w:themeColor="text1"/>
        </w:rPr>
        <w:t>et al.</w:t>
      </w:r>
      <w:r w:rsidRPr="003475EB">
        <w:rPr>
          <w:rFonts w:ascii="Calibri" w:hAnsi="Calibri" w:cs="Calibri"/>
          <w:color w:val="000000" w:themeColor="text1"/>
        </w:rPr>
        <w:t xml:space="preserve"> The impact of aging on primate hematopoiesis as interrogated by clonal tracking. </w:t>
      </w:r>
      <w:r w:rsidRPr="003475EB">
        <w:rPr>
          <w:rFonts w:ascii="Calibri" w:hAnsi="Calibri" w:cs="Calibri"/>
          <w:i/>
          <w:iCs/>
          <w:color w:val="000000" w:themeColor="text1"/>
        </w:rPr>
        <w:t>Blood</w:t>
      </w:r>
      <w:r w:rsidRPr="003475EB">
        <w:rPr>
          <w:rFonts w:ascii="Calibri" w:hAnsi="Calibri" w:cs="Calibri"/>
          <w:color w:val="000000" w:themeColor="text1"/>
        </w:rPr>
        <w:t xml:space="preserve">. </w:t>
      </w:r>
      <w:r w:rsidRPr="003475EB">
        <w:rPr>
          <w:rFonts w:ascii="Calibri" w:hAnsi="Calibri" w:cs="Calibri"/>
          <w:b/>
          <w:bCs/>
          <w:color w:val="000000" w:themeColor="text1"/>
        </w:rPr>
        <w:t>131</w:t>
      </w:r>
      <w:r w:rsidRPr="003475EB">
        <w:rPr>
          <w:rFonts w:ascii="Calibri" w:hAnsi="Calibri" w:cs="Calibri"/>
          <w:color w:val="000000" w:themeColor="text1"/>
        </w:rPr>
        <w:t xml:space="preserve"> (11), 1195–1205 (2018).</w:t>
      </w:r>
    </w:p>
    <w:p w14:paraId="7698CDF4" w14:textId="78655250" w:rsidR="006724B9" w:rsidRPr="003475EB" w:rsidRDefault="006724B9"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13.</w:t>
      </w:r>
      <w:r w:rsidRPr="003475EB">
        <w:rPr>
          <w:rFonts w:ascii="Calibri" w:hAnsi="Calibri" w:cs="Calibri"/>
          <w:color w:val="000000" w:themeColor="text1"/>
        </w:rPr>
        <w:tab/>
        <w:t>Sano, S.</w:t>
      </w:r>
      <w:r w:rsidR="00FB7E71">
        <w:rPr>
          <w:rFonts w:ascii="Calibri" w:hAnsi="Calibri" w:cs="Calibri"/>
          <w:color w:val="000000" w:themeColor="text1"/>
        </w:rPr>
        <w:t xml:space="preserve"> et al</w:t>
      </w:r>
      <w:r w:rsidRPr="003475EB">
        <w:rPr>
          <w:rFonts w:ascii="Calibri" w:hAnsi="Calibri" w:cs="Calibri"/>
          <w:color w:val="000000" w:themeColor="text1"/>
        </w:rPr>
        <w:t>. CRISPR-</w:t>
      </w:r>
      <w:r w:rsidR="00FB7E71">
        <w:rPr>
          <w:rFonts w:ascii="Calibri" w:hAnsi="Calibri" w:cs="Calibri"/>
          <w:color w:val="000000" w:themeColor="text1"/>
        </w:rPr>
        <w:t>m</w:t>
      </w:r>
      <w:r w:rsidRPr="003475EB">
        <w:rPr>
          <w:rFonts w:ascii="Calibri" w:hAnsi="Calibri" w:cs="Calibri"/>
          <w:color w:val="000000" w:themeColor="text1"/>
        </w:rPr>
        <w:t xml:space="preserve">ediated </w:t>
      </w:r>
      <w:r w:rsidR="00FB7E71">
        <w:rPr>
          <w:rFonts w:ascii="Calibri" w:hAnsi="Calibri" w:cs="Calibri"/>
          <w:color w:val="000000" w:themeColor="text1"/>
        </w:rPr>
        <w:t>g</w:t>
      </w:r>
      <w:r w:rsidRPr="003475EB">
        <w:rPr>
          <w:rFonts w:ascii="Calibri" w:hAnsi="Calibri" w:cs="Calibri"/>
          <w:color w:val="000000" w:themeColor="text1"/>
        </w:rPr>
        <w:t xml:space="preserve">ene </w:t>
      </w:r>
      <w:r w:rsidR="00FB7E71">
        <w:rPr>
          <w:rFonts w:ascii="Calibri" w:hAnsi="Calibri" w:cs="Calibri"/>
          <w:color w:val="000000" w:themeColor="text1"/>
        </w:rPr>
        <w:t>e</w:t>
      </w:r>
      <w:r w:rsidRPr="003475EB">
        <w:rPr>
          <w:rFonts w:ascii="Calibri" w:hAnsi="Calibri" w:cs="Calibri"/>
          <w:color w:val="000000" w:themeColor="text1"/>
        </w:rPr>
        <w:t xml:space="preserve">diting to </w:t>
      </w:r>
      <w:r w:rsidR="00FB7E71">
        <w:rPr>
          <w:rFonts w:ascii="Calibri" w:hAnsi="Calibri" w:cs="Calibri"/>
          <w:color w:val="000000" w:themeColor="text1"/>
        </w:rPr>
        <w:t>a</w:t>
      </w:r>
      <w:r w:rsidRPr="003475EB">
        <w:rPr>
          <w:rFonts w:ascii="Calibri" w:hAnsi="Calibri" w:cs="Calibri"/>
          <w:color w:val="000000" w:themeColor="text1"/>
        </w:rPr>
        <w:t xml:space="preserve">ssess the </w:t>
      </w:r>
      <w:r w:rsidR="00FB7E71">
        <w:rPr>
          <w:rFonts w:ascii="Calibri" w:hAnsi="Calibri" w:cs="Calibri"/>
          <w:color w:val="000000" w:themeColor="text1"/>
        </w:rPr>
        <w:t>r</w:t>
      </w:r>
      <w:r w:rsidRPr="003475EB">
        <w:rPr>
          <w:rFonts w:ascii="Calibri" w:hAnsi="Calibri" w:cs="Calibri"/>
          <w:color w:val="000000" w:themeColor="text1"/>
        </w:rPr>
        <w:t xml:space="preserve">oles of Tet2 and Dnmt3a in </w:t>
      </w:r>
      <w:r w:rsidR="00FB7E71">
        <w:rPr>
          <w:rFonts w:ascii="Calibri" w:hAnsi="Calibri" w:cs="Calibri"/>
          <w:color w:val="000000" w:themeColor="text1"/>
        </w:rPr>
        <w:t>c</w:t>
      </w:r>
      <w:r w:rsidRPr="003475EB">
        <w:rPr>
          <w:rFonts w:ascii="Calibri" w:hAnsi="Calibri" w:cs="Calibri"/>
          <w:color w:val="000000" w:themeColor="text1"/>
        </w:rPr>
        <w:t xml:space="preserve">lonal </w:t>
      </w:r>
      <w:r w:rsidR="00FB7E71">
        <w:rPr>
          <w:rFonts w:ascii="Calibri" w:hAnsi="Calibri" w:cs="Calibri"/>
          <w:color w:val="000000" w:themeColor="text1"/>
        </w:rPr>
        <w:t>h</w:t>
      </w:r>
      <w:r w:rsidRPr="003475EB">
        <w:rPr>
          <w:rFonts w:ascii="Calibri" w:hAnsi="Calibri" w:cs="Calibri"/>
          <w:color w:val="000000" w:themeColor="text1"/>
        </w:rPr>
        <w:t xml:space="preserve">ematopoiesis and </w:t>
      </w:r>
      <w:r w:rsidR="00FB7E71">
        <w:rPr>
          <w:rFonts w:ascii="Calibri" w:hAnsi="Calibri" w:cs="Calibri"/>
          <w:color w:val="000000" w:themeColor="text1"/>
        </w:rPr>
        <w:t>c</w:t>
      </w:r>
      <w:r w:rsidRPr="003475EB">
        <w:rPr>
          <w:rFonts w:ascii="Calibri" w:hAnsi="Calibri" w:cs="Calibri"/>
          <w:color w:val="000000" w:themeColor="text1"/>
        </w:rPr>
        <w:t xml:space="preserve">ardiovascular </w:t>
      </w:r>
      <w:r w:rsidR="00FB7E71">
        <w:rPr>
          <w:rFonts w:ascii="Calibri" w:hAnsi="Calibri" w:cs="Calibri"/>
          <w:color w:val="000000" w:themeColor="text1"/>
        </w:rPr>
        <w:t>d</w:t>
      </w:r>
      <w:r w:rsidRPr="003475EB">
        <w:rPr>
          <w:rFonts w:ascii="Calibri" w:hAnsi="Calibri" w:cs="Calibri"/>
          <w:color w:val="000000" w:themeColor="text1"/>
        </w:rPr>
        <w:t xml:space="preserve">isease. </w:t>
      </w:r>
      <w:r w:rsidRPr="003475EB">
        <w:rPr>
          <w:rFonts w:ascii="Calibri" w:hAnsi="Calibri" w:cs="Calibri"/>
          <w:i/>
          <w:iCs/>
          <w:color w:val="000000" w:themeColor="text1"/>
        </w:rPr>
        <w:t>Circulation Research</w:t>
      </w:r>
      <w:r w:rsidRPr="003475EB">
        <w:rPr>
          <w:rFonts w:ascii="Calibri" w:hAnsi="Calibri" w:cs="Calibri"/>
          <w:color w:val="000000" w:themeColor="text1"/>
        </w:rPr>
        <w:t xml:space="preserve">. </w:t>
      </w:r>
      <w:r w:rsidRPr="003475EB">
        <w:rPr>
          <w:rFonts w:ascii="Calibri" w:hAnsi="Calibri" w:cs="Calibri"/>
          <w:b/>
          <w:bCs/>
          <w:color w:val="000000" w:themeColor="text1"/>
        </w:rPr>
        <w:t>123</w:t>
      </w:r>
      <w:r w:rsidRPr="003475EB">
        <w:rPr>
          <w:rFonts w:ascii="Calibri" w:hAnsi="Calibri" w:cs="Calibri"/>
          <w:color w:val="000000" w:themeColor="text1"/>
        </w:rPr>
        <w:t xml:space="preserve"> (3), 335–341 (2018).</w:t>
      </w:r>
    </w:p>
    <w:p w14:paraId="37124E9C" w14:textId="6213BE0C" w:rsidR="00707D73" w:rsidRPr="003475EB" w:rsidRDefault="00707D73" w:rsidP="000C770D">
      <w:pPr>
        <w:pStyle w:val="Bibliography"/>
        <w:ind w:left="0" w:firstLine="0"/>
        <w:jc w:val="both"/>
        <w:rPr>
          <w:rFonts w:ascii="Calibri" w:hAnsiTheme="minorHAnsi" w:cs="Calibri"/>
          <w:color w:val="000000" w:themeColor="text1"/>
        </w:rPr>
      </w:pPr>
      <w:r w:rsidRPr="003475EB">
        <w:rPr>
          <w:rFonts w:ascii="Calibri" w:hAnsiTheme="minorHAnsi" w:cs="Calibri"/>
          <w:color w:val="000000" w:themeColor="text1"/>
        </w:rPr>
        <w:t>14.</w:t>
      </w:r>
      <w:r w:rsidRPr="003475EB">
        <w:rPr>
          <w:rFonts w:ascii="Calibri" w:hAnsiTheme="minorHAnsi" w:cs="Calibri"/>
          <w:color w:val="000000" w:themeColor="text1"/>
        </w:rPr>
        <w:tab/>
        <w:t>Stachura, D.</w:t>
      </w:r>
      <w:r w:rsidR="002A0E4E">
        <w:rPr>
          <w:rFonts w:ascii="Calibri" w:hAnsiTheme="minorHAnsi" w:cs="Calibri"/>
          <w:color w:val="000000" w:themeColor="text1"/>
        </w:rPr>
        <w:t xml:space="preserve"> </w:t>
      </w:r>
      <w:r w:rsidRPr="003475EB">
        <w:rPr>
          <w:rFonts w:ascii="Calibri" w:hAnsiTheme="minorHAnsi" w:cs="Calibri"/>
          <w:color w:val="000000" w:themeColor="text1"/>
        </w:rPr>
        <w:t>L.</w:t>
      </w:r>
      <w:r w:rsidRPr="00FB7E71">
        <w:rPr>
          <w:rFonts w:ascii="Calibri" w:hAnsiTheme="minorHAnsi" w:cs="Calibri"/>
          <w:color w:val="000000" w:themeColor="text1"/>
        </w:rPr>
        <w:t xml:space="preserve"> </w:t>
      </w:r>
      <w:r w:rsidRPr="00120F94">
        <w:rPr>
          <w:rFonts w:ascii="Calibri" w:hAnsiTheme="minorHAnsi" w:cs="Calibri"/>
          <w:color w:val="000000" w:themeColor="text1"/>
        </w:rPr>
        <w:t>et al.</w:t>
      </w:r>
      <w:r w:rsidRPr="003475EB">
        <w:rPr>
          <w:rFonts w:ascii="Calibri" w:hAnsiTheme="minorHAnsi" w:cs="Calibri"/>
          <w:color w:val="000000" w:themeColor="text1"/>
        </w:rPr>
        <w:t xml:space="preserve"> Clonal analysis of hematopoietic progenitor cells in the zebrafish. </w:t>
      </w:r>
      <w:r w:rsidRPr="003475EB">
        <w:rPr>
          <w:rFonts w:ascii="Calibri" w:hAnsiTheme="minorHAnsi" w:cs="Calibri"/>
          <w:i/>
          <w:iCs/>
          <w:color w:val="000000" w:themeColor="text1"/>
        </w:rPr>
        <w:t>Blood</w:t>
      </w:r>
      <w:r w:rsidRPr="003475EB">
        <w:rPr>
          <w:rFonts w:ascii="Calibri" w:hAnsiTheme="minorHAnsi" w:cs="Calibri"/>
          <w:color w:val="000000" w:themeColor="text1"/>
        </w:rPr>
        <w:t xml:space="preserve">. </w:t>
      </w:r>
      <w:r w:rsidRPr="003475EB">
        <w:rPr>
          <w:rFonts w:ascii="Calibri" w:hAnsiTheme="minorHAnsi" w:cs="Calibri"/>
          <w:b/>
          <w:bCs/>
          <w:color w:val="000000" w:themeColor="text1"/>
        </w:rPr>
        <w:t>118</w:t>
      </w:r>
      <w:r w:rsidRPr="003475EB">
        <w:rPr>
          <w:rFonts w:ascii="Calibri" w:hAnsiTheme="minorHAnsi" w:cs="Calibri"/>
          <w:color w:val="000000" w:themeColor="text1"/>
        </w:rPr>
        <w:t xml:space="preserve"> (5), 1274–1282 (2011).</w:t>
      </w:r>
    </w:p>
    <w:p w14:paraId="5F22033F" w14:textId="2A6EBD49" w:rsidR="006724B9" w:rsidRPr="003475EB" w:rsidRDefault="006724B9"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1</w:t>
      </w:r>
      <w:r w:rsidR="00707D73" w:rsidRPr="003475EB">
        <w:rPr>
          <w:rFonts w:ascii="Calibri" w:hAnsi="Calibri" w:cs="Calibri"/>
          <w:color w:val="000000" w:themeColor="text1"/>
        </w:rPr>
        <w:t>5</w:t>
      </w:r>
      <w:r w:rsidRPr="003475EB">
        <w:rPr>
          <w:rFonts w:ascii="Calibri" w:hAnsi="Calibri" w:cs="Calibri"/>
          <w:color w:val="000000" w:themeColor="text1"/>
        </w:rPr>
        <w:t xml:space="preserve">. </w:t>
      </w:r>
      <w:r w:rsidRPr="003475EB">
        <w:rPr>
          <w:rFonts w:ascii="Calibri" w:hAnsi="Calibri" w:cs="Calibri"/>
          <w:color w:val="000000" w:themeColor="text1"/>
        </w:rPr>
        <w:tab/>
        <w:t>Gyurkocza, B., Sandmaier, B.</w:t>
      </w:r>
      <w:r w:rsidR="00500F3C">
        <w:rPr>
          <w:rFonts w:ascii="Calibri" w:hAnsi="Calibri" w:cs="Calibri"/>
          <w:color w:val="000000" w:themeColor="text1"/>
        </w:rPr>
        <w:t xml:space="preserve"> </w:t>
      </w:r>
      <w:r w:rsidRPr="003475EB">
        <w:rPr>
          <w:rFonts w:ascii="Calibri" w:hAnsi="Calibri" w:cs="Calibri"/>
          <w:color w:val="000000" w:themeColor="text1"/>
        </w:rPr>
        <w:t xml:space="preserve">M. Conditioning regimens for hematopoietic cell transplantation: one size does not fit all. </w:t>
      </w:r>
      <w:r w:rsidRPr="003475EB">
        <w:rPr>
          <w:rFonts w:ascii="Calibri" w:hAnsi="Calibri" w:cs="Calibri"/>
          <w:i/>
          <w:iCs/>
          <w:color w:val="000000" w:themeColor="text1"/>
        </w:rPr>
        <w:t>Blood</w:t>
      </w:r>
      <w:r w:rsidRPr="003475EB">
        <w:rPr>
          <w:rFonts w:ascii="Calibri" w:hAnsi="Calibri" w:cs="Calibri"/>
          <w:color w:val="000000" w:themeColor="text1"/>
        </w:rPr>
        <w:t xml:space="preserve">. </w:t>
      </w:r>
      <w:r w:rsidRPr="003475EB">
        <w:rPr>
          <w:rFonts w:ascii="Calibri" w:hAnsi="Calibri" w:cs="Calibri"/>
          <w:b/>
          <w:bCs/>
          <w:color w:val="000000" w:themeColor="text1"/>
        </w:rPr>
        <w:t>124</w:t>
      </w:r>
      <w:r w:rsidRPr="003475EB">
        <w:rPr>
          <w:rFonts w:ascii="Calibri" w:hAnsi="Calibri" w:cs="Calibri"/>
          <w:color w:val="000000" w:themeColor="text1"/>
        </w:rPr>
        <w:t xml:space="preserve"> (3), 344–353 (2014).</w:t>
      </w:r>
    </w:p>
    <w:p w14:paraId="36E38099" w14:textId="213EE46E" w:rsidR="006724B9" w:rsidRPr="003475EB" w:rsidRDefault="006724B9"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1</w:t>
      </w:r>
      <w:r w:rsidR="00707D73" w:rsidRPr="003475EB">
        <w:rPr>
          <w:rFonts w:ascii="Calibri" w:hAnsi="Calibri" w:cs="Calibri"/>
          <w:color w:val="000000" w:themeColor="text1"/>
        </w:rPr>
        <w:t>6</w:t>
      </w:r>
      <w:r w:rsidRPr="003475EB">
        <w:rPr>
          <w:rFonts w:ascii="Calibri" w:hAnsi="Calibri" w:cs="Calibri"/>
          <w:color w:val="000000" w:themeColor="text1"/>
        </w:rPr>
        <w:t>.</w:t>
      </w:r>
      <w:r w:rsidRPr="003475EB">
        <w:rPr>
          <w:rFonts w:ascii="Calibri" w:hAnsi="Calibri" w:cs="Calibri"/>
          <w:color w:val="000000" w:themeColor="text1"/>
        </w:rPr>
        <w:tab/>
        <w:t>Bacigalupo, A.</w:t>
      </w:r>
      <w:r w:rsidRPr="00500F3C">
        <w:rPr>
          <w:rFonts w:ascii="Calibri" w:hAnsi="Calibri" w:cs="Calibri"/>
          <w:color w:val="000000" w:themeColor="text1"/>
        </w:rPr>
        <w:t xml:space="preserve"> </w:t>
      </w:r>
      <w:r w:rsidRPr="00120F94">
        <w:rPr>
          <w:rFonts w:ascii="Calibri" w:hAnsi="Calibri" w:cs="Calibri"/>
          <w:color w:val="000000" w:themeColor="text1"/>
        </w:rPr>
        <w:t>et al.</w:t>
      </w:r>
      <w:r w:rsidRPr="003475EB">
        <w:rPr>
          <w:rFonts w:ascii="Calibri" w:hAnsi="Calibri" w:cs="Calibri"/>
          <w:color w:val="000000" w:themeColor="text1"/>
        </w:rPr>
        <w:t xml:space="preserve"> Defining the </w:t>
      </w:r>
      <w:r w:rsidR="00500F3C">
        <w:rPr>
          <w:rFonts w:ascii="Calibri" w:hAnsi="Calibri" w:cs="Calibri"/>
          <w:color w:val="000000" w:themeColor="text1"/>
        </w:rPr>
        <w:t>i</w:t>
      </w:r>
      <w:r w:rsidRPr="003475EB">
        <w:rPr>
          <w:rFonts w:ascii="Calibri" w:hAnsi="Calibri" w:cs="Calibri"/>
          <w:color w:val="000000" w:themeColor="text1"/>
        </w:rPr>
        <w:t xml:space="preserve">ntensity of </w:t>
      </w:r>
      <w:r w:rsidR="00500F3C">
        <w:rPr>
          <w:rFonts w:ascii="Calibri" w:hAnsi="Calibri" w:cs="Calibri"/>
          <w:color w:val="000000" w:themeColor="text1"/>
        </w:rPr>
        <w:t>c</w:t>
      </w:r>
      <w:r w:rsidRPr="003475EB">
        <w:rPr>
          <w:rFonts w:ascii="Calibri" w:hAnsi="Calibri" w:cs="Calibri"/>
          <w:color w:val="000000" w:themeColor="text1"/>
        </w:rPr>
        <w:t xml:space="preserve">onditioning </w:t>
      </w:r>
      <w:r w:rsidR="00500F3C">
        <w:rPr>
          <w:rFonts w:ascii="Calibri" w:hAnsi="Calibri" w:cs="Calibri"/>
          <w:color w:val="000000" w:themeColor="text1"/>
        </w:rPr>
        <w:t>r</w:t>
      </w:r>
      <w:r w:rsidRPr="003475EB">
        <w:rPr>
          <w:rFonts w:ascii="Calibri" w:hAnsi="Calibri" w:cs="Calibri"/>
          <w:color w:val="000000" w:themeColor="text1"/>
        </w:rPr>
        <w:t xml:space="preserve">egimens: </w:t>
      </w:r>
      <w:r w:rsidR="00500F3C">
        <w:rPr>
          <w:rFonts w:ascii="Calibri" w:hAnsi="Calibri" w:cs="Calibri"/>
          <w:color w:val="000000" w:themeColor="text1"/>
        </w:rPr>
        <w:t>w</w:t>
      </w:r>
      <w:r w:rsidRPr="003475EB">
        <w:rPr>
          <w:rFonts w:ascii="Calibri" w:hAnsi="Calibri" w:cs="Calibri"/>
          <w:color w:val="000000" w:themeColor="text1"/>
        </w:rPr>
        <w:t xml:space="preserve">orking </w:t>
      </w:r>
      <w:r w:rsidR="00500F3C">
        <w:rPr>
          <w:rFonts w:ascii="Calibri" w:hAnsi="Calibri" w:cs="Calibri"/>
          <w:color w:val="000000" w:themeColor="text1"/>
        </w:rPr>
        <w:t>d</w:t>
      </w:r>
      <w:r w:rsidRPr="003475EB">
        <w:rPr>
          <w:rFonts w:ascii="Calibri" w:hAnsi="Calibri" w:cs="Calibri"/>
          <w:color w:val="000000" w:themeColor="text1"/>
        </w:rPr>
        <w:t xml:space="preserve">efinitions. </w:t>
      </w:r>
      <w:r w:rsidRPr="003475EB">
        <w:rPr>
          <w:rFonts w:ascii="Calibri" w:hAnsi="Calibri" w:cs="Calibri"/>
          <w:i/>
          <w:iCs/>
          <w:color w:val="000000" w:themeColor="text1"/>
        </w:rPr>
        <w:t>Biology of Blood and Marrow Transplantation</w:t>
      </w:r>
      <w:r w:rsidRPr="003475EB">
        <w:rPr>
          <w:rFonts w:ascii="Calibri" w:hAnsi="Calibri" w:cs="Calibri"/>
          <w:color w:val="000000" w:themeColor="text1"/>
        </w:rPr>
        <w:t xml:space="preserve">. </w:t>
      </w:r>
      <w:r w:rsidRPr="003475EB">
        <w:rPr>
          <w:rFonts w:ascii="Calibri" w:hAnsi="Calibri" w:cs="Calibri"/>
          <w:b/>
          <w:bCs/>
          <w:color w:val="000000" w:themeColor="text1"/>
        </w:rPr>
        <w:t>15</w:t>
      </w:r>
      <w:r w:rsidRPr="003475EB">
        <w:rPr>
          <w:rFonts w:ascii="Calibri" w:hAnsi="Calibri" w:cs="Calibri"/>
          <w:color w:val="000000" w:themeColor="text1"/>
        </w:rPr>
        <w:t xml:space="preserve"> (12), 1628–1633 (2009).</w:t>
      </w:r>
    </w:p>
    <w:p w14:paraId="50C938F6" w14:textId="44A2B40B" w:rsidR="006724B9" w:rsidRPr="003475EB" w:rsidRDefault="006724B9"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1</w:t>
      </w:r>
      <w:r w:rsidR="00707D73" w:rsidRPr="003475EB">
        <w:rPr>
          <w:rFonts w:ascii="Calibri" w:hAnsi="Calibri" w:cs="Calibri"/>
          <w:color w:val="000000" w:themeColor="text1"/>
        </w:rPr>
        <w:t>7</w:t>
      </w:r>
      <w:r w:rsidRPr="003475EB">
        <w:rPr>
          <w:rFonts w:ascii="Calibri" w:hAnsi="Calibri" w:cs="Calibri"/>
          <w:color w:val="000000" w:themeColor="text1"/>
        </w:rPr>
        <w:t>.</w:t>
      </w:r>
      <w:r w:rsidRPr="003475EB">
        <w:rPr>
          <w:rFonts w:ascii="Calibri" w:hAnsi="Calibri" w:cs="Calibri"/>
          <w:color w:val="000000" w:themeColor="text1"/>
        </w:rPr>
        <w:tab/>
        <w:t>Abbuehl, J.-P., Tatarova, Z., Held, W., Huelsken, J. Long-</w:t>
      </w:r>
      <w:r w:rsidR="00500F3C">
        <w:rPr>
          <w:rFonts w:ascii="Calibri" w:hAnsi="Calibri" w:cs="Calibri"/>
          <w:color w:val="000000" w:themeColor="text1"/>
        </w:rPr>
        <w:t>t</w:t>
      </w:r>
      <w:r w:rsidRPr="003475EB">
        <w:rPr>
          <w:rFonts w:ascii="Calibri" w:hAnsi="Calibri" w:cs="Calibri"/>
          <w:color w:val="000000" w:themeColor="text1"/>
        </w:rPr>
        <w:t xml:space="preserve">erm </w:t>
      </w:r>
      <w:r w:rsidR="00500F3C">
        <w:rPr>
          <w:rFonts w:ascii="Calibri" w:hAnsi="Calibri" w:cs="Calibri"/>
          <w:color w:val="000000" w:themeColor="text1"/>
        </w:rPr>
        <w:t>e</w:t>
      </w:r>
      <w:r w:rsidRPr="003475EB">
        <w:rPr>
          <w:rFonts w:ascii="Calibri" w:hAnsi="Calibri" w:cs="Calibri"/>
          <w:color w:val="000000" w:themeColor="text1"/>
        </w:rPr>
        <w:t xml:space="preserve">ngraftment of </w:t>
      </w:r>
      <w:r w:rsidR="00500F3C">
        <w:rPr>
          <w:rFonts w:ascii="Calibri" w:hAnsi="Calibri" w:cs="Calibri"/>
          <w:color w:val="000000" w:themeColor="text1"/>
        </w:rPr>
        <w:t>p</w:t>
      </w:r>
      <w:r w:rsidRPr="003475EB">
        <w:rPr>
          <w:rFonts w:ascii="Calibri" w:hAnsi="Calibri" w:cs="Calibri"/>
          <w:color w:val="000000" w:themeColor="text1"/>
        </w:rPr>
        <w:t xml:space="preserve">rimary </w:t>
      </w:r>
      <w:r w:rsidR="00500F3C">
        <w:rPr>
          <w:rFonts w:ascii="Calibri" w:hAnsi="Calibri" w:cs="Calibri"/>
          <w:color w:val="000000" w:themeColor="text1"/>
        </w:rPr>
        <w:t>b</w:t>
      </w:r>
      <w:r w:rsidRPr="003475EB">
        <w:rPr>
          <w:rFonts w:ascii="Calibri" w:hAnsi="Calibri" w:cs="Calibri"/>
          <w:color w:val="000000" w:themeColor="text1"/>
        </w:rPr>
        <w:t xml:space="preserve">one </w:t>
      </w:r>
      <w:r w:rsidR="00500F3C">
        <w:rPr>
          <w:rFonts w:ascii="Calibri" w:hAnsi="Calibri" w:cs="Calibri"/>
          <w:color w:val="000000" w:themeColor="text1"/>
        </w:rPr>
        <w:t>m</w:t>
      </w:r>
      <w:r w:rsidRPr="003475EB">
        <w:rPr>
          <w:rFonts w:ascii="Calibri" w:hAnsi="Calibri" w:cs="Calibri"/>
          <w:color w:val="000000" w:themeColor="text1"/>
        </w:rPr>
        <w:t xml:space="preserve">arrow </w:t>
      </w:r>
      <w:r w:rsidR="00500F3C">
        <w:rPr>
          <w:rFonts w:ascii="Calibri" w:hAnsi="Calibri" w:cs="Calibri"/>
          <w:color w:val="000000" w:themeColor="text1"/>
        </w:rPr>
        <w:t>s</w:t>
      </w:r>
      <w:r w:rsidRPr="003475EB">
        <w:rPr>
          <w:rFonts w:ascii="Calibri" w:hAnsi="Calibri" w:cs="Calibri"/>
          <w:color w:val="000000" w:themeColor="text1"/>
        </w:rPr>
        <w:t xml:space="preserve">tromal </w:t>
      </w:r>
      <w:r w:rsidR="00500F3C">
        <w:rPr>
          <w:rFonts w:ascii="Calibri" w:hAnsi="Calibri" w:cs="Calibri"/>
          <w:color w:val="000000" w:themeColor="text1"/>
        </w:rPr>
        <w:t>c</w:t>
      </w:r>
      <w:r w:rsidRPr="003475EB">
        <w:rPr>
          <w:rFonts w:ascii="Calibri" w:hAnsi="Calibri" w:cs="Calibri"/>
          <w:color w:val="000000" w:themeColor="text1"/>
        </w:rPr>
        <w:t xml:space="preserve">ells </w:t>
      </w:r>
      <w:r w:rsidR="00500F3C">
        <w:rPr>
          <w:rFonts w:ascii="Calibri" w:hAnsi="Calibri" w:cs="Calibri"/>
          <w:color w:val="000000" w:themeColor="text1"/>
        </w:rPr>
        <w:t>r</w:t>
      </w:r>
      <w:r w:rsidRPr="003475EB">
        <w:rPr>
          <w:rFonts w:ascii="Calibri" w:hAnsi="Calibri" w:cs="Calibri"/>
          <w:color w:val="000000" w:themeColor="text1"/>
        </w:rPr>
        <w:t xml:space="preserve">epairs </w:t>
      </w:r>
      <w:r w:rsidR="00500F3C">
        <w:rPr>
          <w:rFonts w:ascii="Calibri" w:hAnsi="Calibri" w:cs="Calibri"/>
          <w:color w:val="000000" w:themeColor="text1"/>
        </w:rPr>
        <w:t>n</w:t>
      </w:r>
      <w:r w:rsidRPr="003475EB">
        <w:rPr>
          <w:rFonts w:ascii="Calibri" w:hAnsi="Calibri" w:cs="Calibri"/>
          <w:color w:val="000000" w:themeColor="text1"/>
        </w:rPr>
        <w:t xml:space="preserve">iche </w:t>
      </w:r>
      <w:r w:rsidR="00500F3C">
        <w:rPr>
          <w:rFonts w:ascii="Calibri" w:hAnsi="Calibri" w:cs="Calibri"/>
          <w:color w:val="000000" w:themeColor="text1"/>
        </w:rPr>
        <w:t>d</w:t>
      </w:r>
      <w:r w:rsidRPr="003475EB">
        <w:rPr>
          <w:rFonts w:ascii="Calibri" w:hAnsi="Calibri" w:cs="Calibri"/>
          <w:color w:val="000000" w:themeColor="text1"/>
        </w:rPr>
        <w:t xml:space="preserve">amage and </w:t>
      </w:r>
      <w:r w:rsidR="00500F3C">
        <w:rPr>
          <w:rFonts w:ascii="Calibri" w:hAnsi="Calibri" w:cs="Calibri"/>
          <w:color w:val="000000" w:themeColor="text1"/>
        </w:rPr>
        <w:t>i</w:t>
      </w:r>
      <w:r w:rsidRPr="003475EB">
        <w:rPr>
          <w:rFonts w:ascii="Calibri" w:hAnsi="Calibri" w:cs="Calibri"/>
          <w:color w:val="000000" w:themeColor="text1"/>
        </w:rPr>
        <w:t xml:space="preserve">mproves </w:t>
      </w:r>
      <w:r w:rsidR="00500F3C">
        <w:rPr>
          <w:rFonts w:ascii="Calibri" w:hAnsi="Calibri" w:cs="Calibri"/>
          <w:color w:val="000000" w:themeColor="text1"/>
        </w:rPr>
        <w:t>h</w:t>
      </w:r>
      <w:r w:rsidRPr="003475EB">
        <w:rPr>
          <w:rFonts w:ascii="Calibri" w:hAnsi="Calibri" w:cs="Calibri"/>
          <w:color w:val="000000" w:themeColor="text1"/>
        </w:rPr>
        <w:t xml:space="preserve">ematopoietic </w:t>
      </w:r>
      <w:r w:rsidR="00500F3C">
        <w:rPr>
          <w:rFonts w:ascii="Calibri" w:hAnsi="Calibri" w:cs="Calibri"/>
          <w:color w:val="000000" w:themeColor="text1"/>
        </w:rPr>
        <w:t>s</w:t>
      </w:r>
      <w:r w:rsidRPr="003475EB">
        <w:rPr>
          <w:rFonts w:ascii="Calibri" w:hAnsi="Calibri" w:cs="Calibri"/>
          <w:color w:val="000000" w:themeColor="text1"/>
        </w:rPr>
        <w:t xml:space="preserve">tem </w:t>
      </w:r>
      <w:r w:rsidR="00500F3C">
        <w:rPr>
          <w:rFonts w:ascii="Calibri" w:hAnsi="Calibri" w:cs="Calibri"/>
          <w:color w:val="000000" w:themeColor="text1"/>
        </w:rPr>
        <w:t>c</w:t>
      </w:r>
      <w:r w:rsidRPr="003475EB">
        <w:rPr>
          <w:rFonts w:ascii="Calibri" w:hAnsi="Calibri" w:cs="Calibri"/>
          <w:color w:val="000000" w:themeColor="text1"/>
        </w:rPr>
        <w:t xml:space="preserve">ell </w:t>
      </w:r>
      <w:r w:rsidR="00500F3C">
        <w:rPr>
          <w:rFonts w:ascii="Calibri" w:hAnsi="Calibri" w:cs="Calibri"/>
          <w:color w:val="000000" w:themeColor="text1"/>
        </w:rPr>
        <w:t>t</w:t>
      </w:r>
      <w:r w:rsidRPr="003475EB">
        <w:rPr>
          <w:rFonts w:ascii="Calibri" w:hAnsi="Calibri" w:cs="Calibri"/>
          <w:color w:val="000000" w:themeColor="text1"/>
        </w:rPr>
        <w:t xml:space="preserve">ransplantation. </w:t>
      </w:r>
      <w:r w:rsidRPr="003475EB">
        <w:rPr>
          <w:rFonts w:ascii="Calibri" w:hAnsi="Calibri" w:cs="Calibri"/>
          <w:i/>
          <w:iCs/>
          <w:color w:val="000000" w:themeColor="text1"/>
        </w:rPr>
        <w:t>Cell Stem Cell</w:t>
      </w:r>
      <w:r w:rsidRPr="003475EB">
        <w:rPr>
          <w:rFonts w:ascii="Calibri" w:hAnsi="Calibri" w:cs="Calibri"/>
          <w:color w:val="000000" w:themeColor="text1"/>
        </w:rPr>
        <w:t xml:space="preserve">. </w:t>
      </w:r>
      <w:r w:rsidRPr="003475EB">
        <w:rPr>
          <w:rFonts w:ascii="Calibri" w:hAnsi="Calibri" w:cs="Calibri"/>
          <w:b/>
          <w:bCs/>
          <w:color w:val="000000" w:themeColor="text1"/>
        </w:rPr>
        <w:t>21</w:t>
      </w:r>
      <w:r w:rsidRPr="003475EB">
        <w:rPr>
          <w:rFonts w:ascii="Calibri" w:hAnsi="Calibri" w:cs="Calibri"/>
          <w:color w:val="000000" w:themeColor="text1"/>
        </w:rPr>
        <w:t xml:space="preserve"> (2), 241</w:t>
      </w:r>
      <w:r w:rsidR="00500F3C">
        <w:rPr>
          <w:rFonts w:ascii="Calibri" w:hAnsi="Calibri" w:cs="Calibri"/>
          <w:color w:val="000000" w:themeColor="text1"/>
        </w:rPr>
        <w:t>–</w:t>
      </w:r>
      <w:r w:rsidRPr="003475EB">
        <w:rPr>
          <w:rFonts w:ascii="Calibri" w:hAnsi="Calibri" w:cs="Calibri"/>
          <w:color w:val="000000" w:themeColor="text1"/>
        </w:rPr>
        <w:t>255.</w:t>
      </w:r>
      <w:r w:rsidR="00500F3C">
        <w:rPr>
          <w:rFonts w:ascii="Calibri" w:hAnsi="Calibri" w:cs="Calibri"/>
          <w:color w:val="000000" w:themeColor="text1"/>
        </w:rPr>
        <w:t xml:space="preserve"> </w:t>
      </w:r>
      <w:r w:rsidRPr="003475EB">
        <w:rPr>
          <w:rFonts w:ascii="Calibri" w:hAnsi="Calibri" w:cs="Calibri"/>
          <w:color w:val="000000" w:themeColor="text1"/>
        </w:rPr>
        <w:t>e6 (2017).</w:t>
      </w:r>
    </w:p>
    <w:p w14:paraId="45DC8AFD" w14:textId="30E1E243" w:rsidR="00F57074" w:rsidRPr="003475EB" w:rsidRDefault="00707D73"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18</w:t>
      </w:r>
      <w:r w:rsidR="00F57074" w:rsidRPr="003475EB">
        <w:rPr>
          <w:rFonts w:ascii="Calibri" w:hAnsi="Calibri" w:cs="Calibri"/>
          <w:color w:val="000000" w:themeColor="text1"/>
        </w:rPr>
        <w:t>.</w:t>
      </w:r>
      <w:r w:rsidR="00F57074" w:rsidRPr="003475EB">
        <w:rPr>
          <w:rFonts w:ascii="Calibri" w:hAnsi="Calibri" w:cs="Calibri"/>
          <w:color w:val="000000" w:themeColor="text1"/>
        </w:rPr>
        <w:tab/>
        <w:t>Shao, L.</w:t>
      </w:r>
      <w:r w:rsidR="00F57074" w:rsidRPr="00500F3C">
        <w:rPr>
          <w:rFonts w:ascii="Calibri" w:hAnsi="Calibri" w:cs="Calibri"/>
          <w:color w:val="000000" w:themeColor="text1"/>
        </w:rPr>
        <w:t xml:space="preserve"> </w:t>
      </w:r>
      <w:r w:rsidR="00F57074" w:rsidRPr="00120F94">
        <w:rPr>
          <w:rFonts w:ascii="Calibri" w:hAnsi="Calibri" w:cs="Calibri"/>
          <w:color w:val="000000" w:themeColor="text1"/>
        </w:rPr>
        <w:t>et al.</w:t>
      </w:r>
      <w:r w:rsidR="00F57074" w:rsidRPr="003475EB">
        <w:rPr>
          <w:rFonts w:ascii="Calibri" w:hAnsi="Calibri" w:cs="Calibri"/>
          <w:color w:val="000000" w:themeColor="text1"/>
        </w:rPr>
        <w:t xml:space="preserve"> Total body irradiation causes long-term mouse BM injury via induction of HSC premature senescence in an Ink4a- and Arf-independent manner. </w:t>
      </w:r>
      <w:r w:rsidR="00F57074" w:rsidRPr="003475EB">
        <w:rPr>
          <w:rFonts w:ascii="Calibri" w:hAnsi="Calibri" w:cs="Calibri"/>
          <w:i/>
          <w:iCs/>
          <w:color w:val="000000" w:themeColor="text1"/>
        </w:rPr>
        <w:t>Blood</w:t>
      </w:r>
      <w:r w:rsidR="00F57074" w:rsidRPr="003475EB">
        <w:rPr>
          <w:rFonts w:ascii="Calibri" w:hAnsi="Calibri" w:cs="Calibri"/>
          <w:color w:val="000000" w:themeColor="text1"/>
        </w:rPr>
        <w:t xml:space="preserve">. </w:t>
      </w:r>
      <w:r w:rsidR="00F57074" w:rsidRPr="003475EB">
        <w:rPr>
          <w:rFonts w:ascii="Calibri" w:hAnsi="Calibri" w:cs="Calibri"/>
          <w:b/>
          <w:bCs/>
          <w:color w:val="000000" w:themeColor="text1"/>
        </w:rPr>
        <w:t>123</w:t>
      </w:r>
      <w:r w:rsidR="00F57074" w:rsidRPr="003475EB">
        <w:rPr>
          <w:rFonts w:ascii="Calibri" w:hAnsi="Calibri" w:cs="Calibri"/>
          <w:color w:val="000000" w:themeColor="text1"/>
        </w:rPr>
        <w:t xml:space="preserve"> (20), 3105–3115 (2014).</w:t>
      </w:r>
    </w:p>
    <w:p w14:paraId="38CCD378" w14:textId="64B1FD21" w:rsidR="00F57074" w:rsidRPr="003475EB" w:rsidRDefault="00707D73"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19</w:t>
      </w:r>
      <w:r w:rsidR="00F57074" w:rsidRPr="003475EB">
        <w:rPr>
          <w:rFonts w:ascii="Calibri" w:hAnsi="Calibri" w:cs="Calibri"/>
          <w:color w:val="000000" w:themeColor="text1"/>
        </w:rPr>
        <w:t>.</w:t>
      </w:r>
      <w:r w:rsidR="00F57074" w:rsidRPr="003475EB">
        <w:rPr>
          <w:rFonts w:ascii="Calibri" w:hAnsi="Calibri" w:cs="Calibri"/>
          <w:color w:val="000000" w:themeColor="text1"/>
        </w:rPr>
        <w:tab/>
        <w:t>Cui, Y.-Z.</w:t>
      </w:r>
      <w:r w:rsidR="00F57074" w:rsidRPr="000A156A">
        <w:rPr>
          <w:rFonts w:ascii="Calibri" w:hAnsi="Calibri" w:cs="Calibri"/>
          <w:color w:val="000000" w:themeColor="text1"/>
        </w:rPr>
        <w:t xml:space="preserve"> </w:t>
      </w:r>
      <w:r w:rsidR="00F57074" w:rsidRPr="00120F94">
        <w:rPr>
          <w:rFonts w:ascii="Calibri" w:hAnsi="Calibri" w:cs="Calibri"/>
          <w:color w:val="000000" w:themeColor="text1"/>
        </w:rPr>
        <w:t>et al.</w:t>
      </w:r>
      <w:r w:rsidR="00F57074" w:rsidRPr="003475EB">
        <w:rPr>
          <w:rFonts w:ascii="Calibri" w:hAnsi="Calibri" w:cs="Calibri"/>
          <w:color w:val="000000" w:themeColor="text1"/>
        </w:rPr>
        <w:t xml:space="preserve"> Optimal protocol for total body irradiation for allogeneic bone marrow transplantation in mice. </w:t>
      </w:r>
      <w:r w:rsidR="00F57074" w:rsidRPr="003475EB">
        <w:rPr>
          <w:rFonts w:ascii="Calibri" w:hAnsi="Calibri" w:cs="Calibri"/>
          <w:i/>
          <w:iCs/>
          <w:color w:val="000000" w:themeColor="text1"/>
        </w:rPr>
        <w:t>Bone Marrow Transplantation</w:t>
      </w:r>
      <w:r w:rsidR="00F57074" w:rsidRPr="003475EB">
        <w:rPr>
          <w:rFonts w:ascii="Calibri" w:hAnsi="Calibri" w:cs="Calibri"/>
          <w:color w:val="000000" w:themeColor="text1"/>
        </w:rPr>
        <w:t xml:space="preserve">. </w:t>
      </w:r>
      <w:r w:rsidR="00F57074" w:rsidRPr="003475EB">
        <w:rPr>
          <w:rFonts w:ascii="Calibri" w:hAnsi="Calibri" w:cs="Calibri"/>
          <w:b/>
          <w:bCs/>
          <w:color w:val="000000" w:themeColor="text1"/>
        </w:rPr>
        <w:t>30</w:t>
      </w:r>
      <w:r w:rsidR="00F57074" w:rsidRPr="003475EB">
        <w:rPr>
          <w:rFonts w:ascii="Calibri" w:hAnsi="Calibri" w:cs="Calibri"/>
          <w:color w:val="000000" w:themeColor="text1"/>
        </w:rPr>
        <w:t xml:space="preserve"> (12), 843–849 (2002).</w:t>
      </w:r>
    </w:p>
    <w:p w14:paraId="24D967FB" w14:textId="1F0D278F" w:rsidR="00F57074" w:rsidRPr="003475EB" w:rsidRDefault="00707D73"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20</w:t>
      </w:r>
      <w:r w:rsidR="00F57074" w:rsidRPr="003475EB">
        <w:rPr>
          <w:rFonts w:ascii="Calibri" w:hAnsi="Calibri" w:cs="Calibri"/>
          <w:color w:val="000000" w:themeColor="text1"/>
        </w:rPr>
        <w:t>.</w:t>
      </w:r>
      <w:r w:rsidR="00F57074" w:rsidRPr="003475EB">
        <w:rPr>
          <w:rFonts w:ascii="Calibri" w:hAnsi="Calibri" w:cs="Calibri"/>
          <w:color w:val="000000" w:themeColor="text1"/>
        </w:rPr>
        <w:tab/>
        <w:t xml:space="preserve">Koch, A. </w:t>
      </w:r>
      <w:r w:rsidR="000A156A">
        <w:rPr>
          <w:rFonts w:ascii="Calibri" w:hAnsi="Calibri" w:cs="Calibri"/>
          <w:color w:val="000000" w:themeColor="text1"/>
        </w:rPr>
        <w:t>et al</w:t>
      </w:r>
      <w:r w:rsidR="00F57074" w:rsidRPr="003475EB">
        <w:rPr>
          <w:rFonts w:ascii="Calibri" w:hAnsi="Calibri" w:cs="Calibri"/>
          <w:color w:val="000000" w:themeColor="text1"/>
        </w:rPr>
        <w:t xml:space="preserve">. Establishment of </w:t>
      </w:r>
      <w:r w:rsidR="000A156A">
        <w:rPr>
          <w:rFonts w:ascii="Calibri" w:hAnsi="Calibri" w:cs="Calibri"/>
          <w:color w:val="000000" w:themeColor="text1"/>
        </w:rPr>
        <w:t>e</w:t>
      </w:r>
      <w:r w:rsidR="00F57074" w:rsidRPr="003475EB">
        <w:rPr>
          <w:rFonts w:ascii="Calibri" w:hAnsi="Calibri" w:cs="Calibri"/>
          <w:color w:val="000000" w:themeColor="text1"/>
        </w:rPr>
        <w:t xml:space="preserve">arly </w:t>
      </w:r>
      <w:r w:rsidR="000A156A">
        <w:rPr>
          <w:rFonts w:ascii="Calibri" w:hAnsi="Calibri" w:cs="Calibri"/>
          <w:color w:val="000000" w:themeColor="text1"/>
        </w:rPr>
        <w:t>e</w:t>
      </w:r>
      <w:r w:rsidR="00F57074" w:rsidRPr="003475EB">
        <w:rPr>
          <w:rFonts w:ascii="Calibri" w:hAnsi="Calibri" w:cs="Calibri"/>
          <w:color w:val="000000" w:themeColor="text1"/>
        </w:rPr>
        <w:t xml:space="preserve">ndpoints in </w:t>
      </w:r>
      <w:r w:rsidR="000A156A">
        <w:rPr>
          <w:rFonts w:ascii="Calibri" w:hAnsi="Calibri" w:cs="Calibri"/>
          <w:color w:val="000000" w:themeColor="text1"/>
        </w:rPr>
        <w:t>m</w:t>
      </w:r>
      <w:r w:rsidR="00F57074" w:rsidRPr="003475EB">
        <w:rPr>
          <w:rFonts w:ascii="Calibri" w:hAnsi="Calibri" w:cs="Calibri"/>
          <w:color w:val="000000" w:themeColor="text1"/>
        </w:rPr>
        <w:t xml:space="preserve">ouse </w:t>
      </w:r>
      <w:r w:rsidR="000A156A">
        <w:rPr>
          <w:rFonts w:ascii="Calibri" w:hAnsi="Calibri" w:cs="Calibri"/>
          <w:color w:val="000000" w:themeColor="text1"/>
        </w:rPr>
        <w:t>t</w:t>
      </w:r>
      <w:r w:rsidR="00F57074" w:rsidRPr="003475EB">
        <w:rPr>
          <w:rFonts w:ascii="Calibri" w:hAnsi="Calibri" w:cs="Calibri"/>
          <w:color w:val="000000" w:themeColor="text1"/>
        </w:rPr>
        <w:t>otal-</w:t>
      </w:r>
      <w:r w:rsidR="000A156A">
        <w:rPr>
          <w:rFonts w:ascii="Calibri" w:hAnsi="Calibri" w:cs="Calibri"/>
          <w:color w:val="000000" w:themeColor="text1"/>
        </w:rPr>
        <w:t>b</w:t>
      </w:r>
      <w:r w:rsidR="00F57074" w:rsidRPr="003475EB">
        <w:rPr>
          <w:rFonts w:ascii="Calibri" w:hAnsi="Calibri" w:cs="Calibri"/>
          <w:color w:val="000000" w:themeColor="text1"/>
        </w:rPr>
        <w:t xml:space="preserve">ody </w:t>
      </w:r>
      <w:r w:rsidR="000A156A">
        <w:rPr>
          <w:rFonts w:ascii="Calibri" w:hAnsi="Calibri" w:cs="Calibri"/>
          <w:color w:val="000000" w:themeColor="text1"/>
        </w:rPr>
        <w:t>i</w:t>
      </w:r>
      <w:r w:rsidR="00F57074" w:rsidRPr="003475EB">
        <w:rPr>
          <w:rFonts w:ascii="Calibri" w:hAnsi="Calibri" w:cs="Calibri"/>
          <w:color w:val="000000" w:themeColor="text1"/>
        </w:rPr>
        <w:t xml:space="preserve">rradiation </w:t>
      </w:r>
      <w:r w:rsidR="000A156A">
        <w:rPr>
          <w:rFonts w:ascii="Calibri" w:hAnsi="Calibri" w:cs="Calibri"/>
          <w:color w:val="000000" w:themeColor="text1"/>
        </w:rPr>
        <w:t>m</w:t>
      </w:r>
      <w:r w:rsidR="00F57074" w:rsidRPr="003475EB">
        <w:rPr>
          <w:rFonts w:ascii="Calibri" w:hAnsi="Calibri" w:cs="Calibri"/>
          <w:color w:val="000000" w:themeColor="text1"/>
        </w:rPr>
        <w:t xml:space="preserve">odel. </w:t>
      </w:r>
      <w:r w:rsidR="00F57074" w:rsidRPr="003475EB">
        <w:rPr>
          <w:rFonts w:ascii="Calibri" w:hAnsi="Calibri" w:cs="Calibri"/>
          <w:i/>
          <w:iCs/>
          <w:color w:val="000000" w:themeColor="text1"/>
        </w:rPr>
        <w:t xml:space="preserve">PLOS </w:t>
      </w:r>
      <w:r w:rsidR="000A156A" w:rsidRPr="003475EB">
        <w:rPr>
          <w:rFonts w:ascii="Calibri" w:hAnsi="Calibri" w:cs="Calibri"/>
          <w:i/>
          <w:iCs/>
          <w:color w:val="000000" w:themeColor="text1"/>
        </w:rPr>
        <w:t>O</w:t>
      </w:r>
      <w:r w:rsidR="000A156A">
        <w:rPr>
          <w:rFonts w:ascii="Calibri" w:hAnsi="Calibri" w:cs="Calibri"/>
          <w:i/>
          <w:iCs/>
          <w:color w:val="000000" w:themeColor="text1"/>
        </w:rPr>
        <w:t>ne</w:t>
      </w:r>
      <w:r w:rsidR="00F57074" w:rsidRPr="003475EB">
        <w:rPr>
          <w:rFonts w:ascii="Calibri" w:hAnsi="Calibri" w:cs="Calibri"/>
          <w:color w:val="000000" w:themeColor="text1"/>
        </w:rPr>
        <w:t xml:space="preserve">. </w:t>
      </w:r>
      <w:r w:rsidR="00F57074" w:rsidRPr="003475EB">
        <w:rPr>
          <w:rFonts w:ascii="Calibri" w:hAnsi="Calibri" w:cs="Calibri"/>
          <w:b/>
          <w:bCs/>
          <w:color w:val="000000" w:themeColor="text1"/>
        </w:rPr>
        <w:t>11</w:t>
      </w:r>
      <w:r w:rsidR="00F57074" w:rsidRPr="003475EB">
        <w:rPr>
          <w:rFonts w:ascii="Calibri" w:hAnsi="Calibri" w:cs="Calibri"/>
          <w:color w:val="000000" w:themeColor="text1"/>
        </w:rPr>
        <w:t xml:space="preserve"> (8), e0161079 (2016).</w:t>
      </w:r>
    </w:p>
    <w:p w14:paraId="1D12AF24" w14:textId="01A4CAB3" w:rsidR="00F57074" w:rsidRPr="003475EB" w:rsidRDefault="00707D73"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21</w:t>
      </w:r>
      <w:r w:rsidR="00F57074" w:rsidRPr="003475EB">
        <w:rPr>
          <w:rFonts w:ascii="Calibri" w:hAnsi="Calibri" w:cs="Calibri"/>
          <w:color w:val="000000" w:themeColor="text1"/>
        </w:rPr>
        <w:t>.</w:t>
      </w:r>
      <w:r w:rsidR="00F57074" w:rsidRPr="003475EB">
        <w:rPr>
          <w:rFonts w:ascii="Calibri" w:hAnsi="Calibri" w:cs="Calibri"/>
          <w:color w:val="000000" w:themeColor="text1"/>
        </w:rPr>
        <w:tab/>
        <w:t>Ismaiel, A., Dumitraşcu, D.</w:t>
      </w:r>
      <w:r w:rsidR="00EB6ED4">
        <w:rPr>
          <w:rFonts w:ascii="Calibri" w:hAnsi="Calibri" w:cs="Calibri"/>
          <w:color w:val="000000" w:themeColor="text1"/>
        </w:rPr>
        <w:t xml:space="preserve"> </w:t>
      </w:r>
      <w:r w:rsidR="00F57074" w:rsidRPr="003475EB">
        <w:rPr>
          <w:rFonts w:ascii="Calibri" w:hAnsi="Calibri" w:cs="Calibri"/>
          <w:color w:val="000000" w:themeColor="text1"/>
        </w:rPr>
        <w:t xml:space="preserve">L. Cardiovascular </w:t>
      </w:r>
      <w:r w:rsidR="00EB6ED4">
        <w:rPr>
          <w:rFonts w:ascii="Calibri" w:hAnsi="Calibri" w:cs="Calibri"/>
          <w:color w:val="000000" w:themeColor="text1"/>
        </w:rPr>
        <w:t>r</w:t>
      </w:r>
      <w:r w:rsidR="00F57074" w:rsidRPr="003475EB">
        <w:rPr>
          <w:rFonts w:ascii="Calibri" w:hAnsi="Calibri" w:cs="Calibri"/>
          <w:color w:val="000000" w:themeColor="text1"/>
        </w:rPr>
        <w:t xml:space="preserve">isk in </w:t>
      </w:r>
      <w:r w:rsidR="00EB6ED4">
        <w:rPr>
          <w:rFonts w:ascii="Calibri" w:hAnsi="Calibri" w:cs="Calibri"/>
          <w:color w:val="000000" w:themeColor="text1"/>
        </w:rPr>
        <w:t>f</w:t>
      </w:r>
      <w:r w:rsidR="00F57074" w:rsidRPr="003475EB">
        <w:rPr>
          <w:rFonts w:ascii="Calibri" w:hAnsi="Calibri" w:cs="Calibri"/>
          <w:color w:val="000000" w:themeColor="text1"/>
        </w:rPr>
        <w:t xml:space="preserve">atty </w:t>
      </w:r>
      <w:r w:rsidR="00EB6ED4">
        <w:rPr>
          <w:rFonts w:ascii="Calibri" w:hAnsi="Calibri" w:cs="Calibri"/>
          <w:color w:val="000000" w:themeColor="text1"/>
        </w:rPr>
        <w:t>l</w:t>
      </w:r>
      <w:r w:rsidR="00F57074" w:rsidRPr="003475EB">
        <w:rPr>
          <w:rFonts w:ascii="Calibri" w:hAnsi="Calibri" w:cs="Calibri"/>
          <w:color w:val="000000" w:themeColor="text1"/>
        </w:rPr>
        <w:t xml:space="preserve">iver </w:t>
      </w:r>
      <w:r w:rsidR="00EB6ED4">
        <w:rPr>
          <w:rFonts w:ascii="Calibri" w:hAnsi="Calibri" w:cs="Calibri"/>
          <w:color w:val="000000" w:themeColor="text1"/>
        </w:rPr>
        <w:t>d</w:t>
      </w:r>
      <w:r w:rsidR="00F57074" w:rsidRPr="003475EB">
        <w:rPr>
          <w:rFonts w:ascii="Calibri" w:hAnsi="Calibri" w:cs="Calibri"/>
          <w:color w:val="000000" w:themeColor="text1"/>
        </w:rPr>
        <w:t xml:space="preserve">isease: </w:t>
      </w:r>
      <w:r w:rsidR="00EB6ED4">
        <w:rPr>
          <w:rFonts w:ascii="Calibri" w:hAnsi="Calibri" w:cs="Calibri"/>
          <w:color w:val="000000" w:themeColor="text1"/>
        </w:rPr>
        <w:t>t</w:t>
      </w:r>
      <w:r w:rsidR="00F57074" w:rsidRPr="003475EB">
        <w:rPr>
          <w:rFonts w:ascii="Calibri" w:hAnsi="Calibri" w:cs="Calibri"/>
          <w:color w:val="000000" w:themeColor="text1"/>
        </w:rPr>
        <w:t xml:space="preserve">he </w:t>
      </w:r>
      <w:r w:rsidR="00EB6ED4">
        <w:rPr>
          <w:rFonts w:ascii="Calibri" w:hAnsi="Calibri" w:cs="Calibri"/>
          <w:color w:val="000000" w:themeColor="text1"/>
        </w:rPr>
        <w:t>l</w:t>
      </w:r>
      <w:r w:rsidR="00F57074" w:rsidRPr="003475EB">
        <w:rPr>
          <w:rFonts w:ascii="Calibri" w:hAnsi="Calibri" w:cs="Calibri"/>
          <w:color w:val="000000" w:themeColor="text1"/>
        </w:rPr>
        <w:t>iver-</w:t>
      </w:r>
      <w:r w:rsidR="00EB6ED4">
        <w:rPr>
          <w:rFonts w:ascii="Calibri" w:hAnsi="Calibri" w:cs="Calibri"/>
          <w:color w:val="000000" w:themeColor="text1"/>
        </w:rPr>
        <w:t>h</w:t>
      </w:r>
      <w:r w:rsidR="00F57074" w:rsidRPr="003475EB">
        <w:rPr>
          <w:rFonts w:ascii="Calibri" w:hAnsi="Calibri" w:cs="Calibri"/>
          <w:color w:val="000000" w:themeColor="text1"/>
        </w:rPr>
        <w:t xml:space="preserve">eart </w:t>
      </w:r>
      <w:r w:rsidR="00EB6ED4">
        <w:rPr>
          <w:rFonts w:ascii="Calibri" w:hAnsi="Calibri" w:cs="Calibri"/>
          <w:color w:val="000000" w:themeColor="text1"/>
        </w:rPr>
        <w:t>a</w:t>
      </w:r>
      <w:r w:rsidR="00F57074" w:rsidRPr="003475EB">
        <w:rPr>
          <w:rFonts w:ascii="Calibri" w:hAnsi="Calibri" w:cs="Calibri"/>
          <w:color w:val="000000" w:themeColor="text1"/>
        </w:rPr>
        <w:t>xis—</w:t>
      </w:r>
      <w:r w:rsidR="00EB6ED4">
        <w:rPr>
          <w:rFonts w:ascii="Calibri" w:hAnsi="Calibri" w:cs="Calibri"/>
          <w:color w:val="000000" w:themeColor="text1"/>
        </w:rPr>
        <w:t>l</w:t>
      </w:r>
      <w:r w:rsidR="00F57074" w:rsidRPr="003475EB">
        <w:rPr>
          <w:rFonts w:ascii="Calibri" w:hAnsi="Calibri" w:cs="Calibri"/>
          <w:color w:val="000000" w:themeColor="text1"/>
        </w:rPr>
        <w:t xml:space="preserve">iterature </w:t>
      </w:r>
      <w:r w:rsidR="00EB6ED4">
        <w:rPr>
          <w:rFonts w:ascii="Calibri" w:hAnsi="Calibri" w:cs="Calibri"/>
          <w:color w:val="000000" w:themeColor="text1"/>
        </w:rPr>
        <w:t>r</w:t>
      </w:r>
      <w:r w:rsidR="00F57074" w:rsidRPr="003475EB">
        <w:rPr>
          <w:rFonts w:ascii="Calibri" w:hAnsi="Calibri" w:cs="Calibri"/>
          <w:color w:val="000000" w:themeColor="text1"/>
        </w:rPr>
        <w:t xml:space="preserve">eview. </w:t>
      </w:r>
      <w:r w:rsidR="00F57074" w:rsidRPr="003475EB">
        <w:rPr>
          <w:rFonts w:ascii="Calibri" w:hAnsi="Calibri" w:cs="Calibri"/>
          <w:i/>
          <w:iCs/>
          <w:color w:val="000000" w:themeColor="text1"/>
        </w:rPr>
        <w:t>Frontiers in Medicine</w:t>
      </w:r>
      <w:r w:rsidR="00F57074" w:rsidRPr="003475EB">
        <w:rPr>
          <w:rFonts w:ascii="Calibri" w:hAnsi="Calibri" w:cs="Calibri"/>
          <w:color w:val="000000" w:themeColor="text1"/>
        </w:rPr>
        <w:t xml:space="preserve">. </w:t>
      </w:r>
      <w:r w:rsidR="00F57074" w:rsidRPr="003475EB">
        <w:rPr>
          <w:rFonts w:ascii="Calibri" w:hAnsi="Calibri" w:cs="Calibri"/>
          <w:b/>
          <w:bCs/>
          <w:color w:val="000000" w:themeColor="text1"/>
        </w:rPr>
        <w:t>6</w:t>
      </w:r>
      <w:r w:rsidR="00F57074" w:rsidRPr="003475EB">
        <w:rPr>
          <w:rFonts w:ascii="Calibri" w:hAnsi="Calibri" w:cs="Calibri"/>
          <w:color w:val="000000" w:themeColor="text1"/>
        </w:rPr>
        <w:t>, 202 (2019).</w:t>
      </w:r>
    </w:p>
    <w:p w14:paraId="70D5C57A" w14:textId="6F683100" w:rsidR="00F57074" w:rsidRPr="003475EB" w:rsidRDefault="00707D73"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22</w:t>
      </w:r>
      <w:r w:rsidR="00F57074" w:rsidRPr="003475EB">
        <w:rPr>
          <w:rFonts w:ascii="Calibri" w:hAnsi="Calibri" w:cs="Calibri"/>
          <w:color w:val="000000" w:themeColor="text1"/>
        </w:rPr>
        <w:t>.</w:t>
      </w:r>
      <w:r w:rsidR="00F57074" w:rsidRPr="003475EB">
        <w:rPr>
          <w:rFonts w:ascii="Calibri" w:hAnsi="Calibri" w:cs="Calibri"/>
          <w:color w:val="000000" w:themeColor="text1"/>
        </w:rPr>
        <w:tab/>
        <w:t xml:space="preserve">Amann, K., Wanner, C., Ritz, E. </w:t>
      </w:r>
      <w:proofErr w:type="gramStart"/>
      <w:r w:rsidR="00F57074" w:rsidRPr="003475EB">
        <w:rPr>
          <w:rFonts w:ascii="Calibri" w:hAnsi="Calibri" w:cs="Calibri"/>
          <w:color w:val="000000" w:themeColor="text1"/>
        </w:rPr>
        <w:t>Cross-</w:t>
      </w:r>
      <w:r w:rsidR="00EB6ED4">
        <w:rPr>
          <w:rFonts w:ascii="Calibri" w:hAnsi="Calibri" w:cs="Calibri"/>
          <w:color w:val="000000" w:themeColor="text1"/>
        </w:rPr>
        <w:t>t</w:t>
      </w:r>
      <w:r w:rsidR="00F57074" w:rsidRPr="003475EB">
        <w:rPr>
          <w:rFonts w:ascii="Calibri" w:hAnsi="Calibri" w:cs="Calibri"/>
          <w:color w:val="000000" w:themeColor="text1"/>
        </w:rPr>
        <w:t>alk</w:t>
      </w:r>
      <w:proofErr w:type="gramEnd"/>
      <w:r w:rsidR="00F57074" w:rsidRPr="003475EB">
        <w:rPr>
          <w:rFonts w:ascii="Calibri" w:hAnsi="Calibri" w:cs="Calibri"/>
          <w:color w:val="000000" w:themeColor="text1"/>
        </w:rPr>
        <w:t xml:space="preserve"> between the </w:t>
      </w:r>
      <w:r w:rsidR="00EB6ED4">
        <w:rPr>
          <w:rFonts w:ascii="Calibri" w:hAnsi="Calibri" w:cs="Calibri"/>
          <w:color w:val="000000" w:themeColor="text1"/>
        </w:rPr>
        <w:t>k</w:t>
      </w:r>
      <w:r w:rsidR="00F57074" w:rsidRPr="003475EB">
        <w:rPr>
          <w:rFonts w:ascii="Calibri" w:hAnsi="Calibri" w:cs="Calibri"/>
          <w:color w:val="000000" w:themeColor="text1"/>
        </w:rPr>
        <w:t xml:space="preserve">idney and the </w:t>
      </w:r>
      <w:r w:rsidR="00EB6ED4">
        <w:rPr>
          <w:rFonts w:ascii="Calibri" w:hAnsi="Calibri" w:cs="Calibri"/>
          <w:color w:val="000000" w:themeColor="text1"/>
        </w:rPr>
        <w:t>c</w:t>
      </w:r>
      <w:r w:rsidR="00F57074" w:rsidRPr="003475EB">
        <w:rPr>
          <w:rFonts w:ascii="Calibri" w:hAnsi="Calibri" w:cs="Calibri"/>
          <w:color w:val="000000" w:themeColor="text1"/>
        </w:rPr>
        <w:t xml:space="preserve">ardiovascular </w:t>
      </w:r>
      <w:r w:rsidR="00EB6ED4">
        <w:rPr>
          <w:rFonts w:ascii="Calibri" w:hAnsi="Calibri" w:cs="Calibri"/>
          <w:color w:val="000000" w:themeColor="text1"/>
        </w:rPr>
        <w:t>s</w:t>
      </w:r>
      <w:r w:rsidR="00F57074" w:rsidRPr="003475EB">
        <w:rPr>
          <w:rFonts w:ascii="Calibri" w:hAnsi="Calibri" w:cs="Calibri"/>
          <w:color w:val="000000" w:themeColor="text1"/>
        </w:rPr>
        <w:t>ystem</w:t>
      </w:r>
      <w:r w:rsidR="00EB6ED4">
        <w:rPr>
          <w:rFonts w:ascii="Calibri" w:hAnsi="Calibri" w:cs="Calibri"/>
          <w:color w:val="000000" w:themeColor="text1"/>
        </w:rPr>
        <w:t>.</w:t>
      </w:r>
      <w:r w:rsidR="00D464A3">
        <w:rPr>
          <w:rFonts w:ascii="Calibri" w:hAnsi="Calibri" w:cs="Calibri"/>
          <w:color w:val="000000" w:themeColor="text1"/>
        </w:rPr>
        <w:t xml:space="preserve"> </w:t>
      </w:r>
      <w:r w:rsidR="00F57074" w:rsidRPr="003475EB">
        <w:rPr>
          <w:rFonts w:ascii="Calibri" w:hAnsi="Calibri" w:cs="Calibri"/>
          <w:i/>
          <w:iCs/>
          <w:color w:val="000000" w:themeColor="text1"/>
        </w:rPr>
        <w:t>Journal of the American Society of Nephrology</w:t>
      </w:r>
      <w:r w:rsidR="00F57074" w:rsidRPr="003475EB">
        <w:rPr>
          <w:rFonts w:ascii="Calibri" w:hAnsi="Calibri" w:cs="Calibri"/>
          <w:color w:val="000000" w:themeColor="text1"/>
        </w:rPr>
        <w:t xml:space="preserve">. </w:t>
      </w:r>
      <w:r w:rsidR="00F57074" w:rsidRPr="003475EB">
        <w:rPr>
          <w:rFonts w:ascii="Calibri" w:hAnsi="Calibri" w:cs="Calibri"/>
          <w:b/>
          <w:bCs/>
          <w:color w:val="000000" w:themeColor="text1"/>
        </w:rPr>
        <w:t>17</w:t>
      </w:r>
      <w:r w:rsidR="00F57074" w:rsidRPr="003475EB">
        <w:rPr>
          <w:rFonts w:ascii="Calibri" w:hAnsi="Calibri" w:cs="Calibri"/>
          <w:color w:val="000000" w:themeColor="text1"/>
        </w:rPr>
        <w:t xml:space="preserve"> (8), 2112–2119 (2006).</w:t>
      </w:r>
    </w:p>
    <w:p w14:paraId="74475575" w14:textId="4ED4EC24" w:rsidR="00F57074" w:rsidRPr="003475EB" w:rsidRDefault="00707D73"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23</w:t>
      </w:r>
      <w:r w:rsidR="00F57074" w:rsidRPr="003475EB">
        <w:rPr>
          <w:rFonts w:ascii="Calibri" w:hAnsi="Calibri" w:cs="Calibri"/>
          <w:color w:val="000000" w:themeColor="text1"/>
        </w:rPr>
        <w:t>.</w:t>
      </w:r>
      <w:r w:rsidR="00F57074" w:rsidRPr="003475EB">
        <w:rPr>
          <w:rFonts w:ascii="Calibri" w:hAnsi="Calibri" w:cs="Calibri"/>
          <w:color w:val="000000" w:themeColor="text1"/>
        </w:rPr>
        <w:tab/>
        <w:t>Liao, X.</w:t>
      </w:r>
      <w:r w:rsidR="00F57074" w:rsidRPr="00EB6ED4">
        <w:rPr>
          <w:rFonts w:ascii="Calibri" w:hAnsi="Calibri" w:cs="Calibri"/>
          <w:color w:val="000000" w:themeColor="text1"/>
        </w:rPr>
        <w:t xml:space="preserve"> </w:t>
      </w:r>
      <w:r w:rsidR="00F57074" w:rsidRPr="00120F94">
        <w:rPr>
          <w:rFonts w:ascii="Calibri" w:hAnsi="Calibri" w:cs="Calibri"/>
          <w:color w:val="000000" w:themeColor="text1"/>
        </w:rPr>
        <w:t>et al.</w:t>
      </w:r>
      <w:r w:rsidR="00F57074" w:rsidRPr="003475EB">
        <w:rPr>
          <w:rFonts w:ascii="Calibri" w:hAnsi="Calibri" w:cs="Calibri"/>
          <w:color w:val="000000" w:themeColor="text1"/>
        </w:rPr>
        <w:t xml:space="preserve"> Distinct roles of resident and nonresident macrophages in nonischemic cardiomyopathy. </w:t>
      </w:r>
      <w:r w:rsidR="00F57074" w:rsidRPr="003475EB">
        <w:rPr>
          <w:rFonts w:ascii="Calibri" w:hAnsi="Calibri" w:cs="Calibri"/>
          <w:i/>
          <w:iCs/>
          <w:color w:val="000000" w:themeColor="text1"/>
        </w:rPr>
        <w:t>Proceedings of the National Academy of Sciences</w:t>
      </w:r>
      <w:r w:rsidR="00F57074" w:rsidRPr="003475EB">
        <w:rPr>
          <w:rFonts w:ascii="Calibri" w:hAnsi="Calibri" w:cs="Calibri"/>
          <w:color w:val="000000" w:themeColor="text1"/>
        </w:rPr>
        <w:t xml:space="preserve">. </w:t>
      </w:r>
      <w:r w:rsidR="00F57074" w:rsidRPr="003475EB">
        <w:rPr>
          <w:rFonts w:ascii="Calibri" w:hAnsi="Calibri" w:cs="Calibri"/>
          <w:b/>
          <w:bCs/>
          <w:color w:val="000000" w:themeColor="text1"/>
        </w:rPr>
        <w:t>115</w:t>
      </w:r>
      <w:r w:rsidR="00F57074" w:rsidRPr="003475EB">
        <w:rPr>
          <w:rFonts w:ascii="Calibri" w:hAnsi="Calibri" w:cs="Calibri"/>
          <w:color w:val="000000" w:themeColor="text1"/>
        </w:rPr>
        <w:t xml:space="preserve"> (20), E4661–E4669 (2018).</w:t>
      </w:r>
    </w:p>
    <w:p w14:paraId="0C9128A9" w14:textId="7C5D4634" w:rsidR="00F57074" w:rsidRPr="003475EB" w:rsidRDefault="00707D73"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24</w:t>
      </w:r>
      <w:r w:rsidR="00F57074" w:rsidRPr="003475EB">
        <w:rPr>
          <w:rFonts w:ascii="Calibri" w:hAnsi="Calibri" w:cs="Calibri"/>
          <w:color w:val="000000" w:themeColor="text1"/>
        </w:rPr>
        <w:t>.</w:t>
      </w:r>
      <w:r w:rsidR="00F57074" w:rsidRPr="003475EB">
        <w:rPr>
          <w:rFonts w:ascii="Calibri" w:hAnsi="Calibri" w:cs="Calibri"/>
          <w:color w:val="000000" w:themeColor="text1"/>
        </w:rPr>
        <w:tab/>
        <w:t xml:space="preserve">Honold, L., Nahrendorf, M. Resident and </w:t>
      </w:r>
      <w:r w:rsidR="00EB6ED4">
        <w:rPr>
          <w:rFonts w:ascii="Calibri" w:hAnsi="Calibri" w:cs="Calibri"/>
          <w:color w:val="000000" w:themeColor="text1"/>
        </w:rPr>
        <w:t>m</w:t>
      </w:r>
      <w:r w:rsidR="00F57074" w:rsidRPr="003475EB">
        <w:rPr>
          <w:rFonts w:ascii="Calibri" w:hAnsi="Calibri" w:cs="Calibri"/>
          <w:color w:val="000000" w:themeColor="text1"/>
        </w:rPr>
        <w:t>onocyte-</w:t>
      </w:r>
      <w:r w:rsidR="00EB6ED4">
        <w:rPr>
          <w:rFonts w:ascii="Calibri" w:hAnsi="Calibri" w:cs="Calibri"/>
          <w:color w:val="000000" w:themeColor="text1"/>
        </w:rPr>
        <w:t>d</w:t>
      </w:r>
      <w:r w:rsidR="00F57074" w:rsidRPr="003475EB">
        <w:rPr>
          <w:rFonts w:ascii="Calibri" w:hAnsi="Calibri" w:cs="Calibri"/>
          <w:color w:val="000000" w:themeColor="text1"/>
        </w:rPr>
        <w:t xml:space="preserve">erived </w:t>
      </w:r>
      <w:r w:rsidR="00EB6ED4">
        <w:rPr>
          <w:rFonts w:ascii="Calibri" w:hAnsi="Calibri" w:cs="Calibri"/>
          <w:color w:val="000000" w:themeColor="text1"/>
        </w:rPr>
        <w:t>m</w:t>
      </w:r>
      <w:r w:rsidR="00F57074" w:rsidRPr="003475EB">
        <w:rPr>
          <w:rFonts w:ascii="Calibri" w:hAnsi="Calibri" w:cs="Calibri"/>
          <w:color w:val="000000" w:themeColor="text1"/>
        </w:rPr>
        <w:t xml:space="preserve">acrophages in </w:t>
      </w:r>
      <w:r w:rsidR="00EB6ED4">
        <w:rPr>
          <w:rFonts w:ascii="Calibri" w:hAnsi="Calibri" w:cs="Calibri"/>
          <w:color w:val="000000" w:themeColor="text1"/>
        </w:rPr>
        <w:t>c</w:t>
      </w:r>
      <w:r w:rsidR="00F57074" w:rsidRPr="003475EB">
        <w:rPr>
          <w:rFonts w:ascii="Calibri" w:hAnsi="Calibri" w:cs="Calibri"/>
          <w:color w:val="000000" w:themeColor="text1"/>
        </w:rPr>
        <w:t xml:space="preserve">ardiovascular </w:t>
      </w:r>
      <w:r w:rsidR="00EB6ED4">
        <w:rPr>
          <w:rFonts w:ascii="Calibri" w:hAnsi="Calibri" w:cs="Calibri"/>
          <w:color w:val="000000" w:themeColor="text1"/>
        </w:rPr>
        <w:t>d</w:t>
      </w:r>
      <w:r w:rsidR="00F57074" w:rsidRPr="003475EB">
        <w:rPr>
          <w:rFonts w:ascii="Calibri" w:hAnsi="Calibri" w:cs="Calibri"/>
          <w:color w:val="000000" w:themeColor="text1"/>
        </w:rPr>
        <w:t xml:space="preserve">isease. </w:t>
      </w:r>
      <w:r w:rsidR="00F57074" w:rsidRPr="003475EB">
        <w:rPr>
          <w:rFonts w:ascii="Calibri" w:hAnsi="Calibri" w:cs="Calibri"/>
          <w:i/>
          <w:iCs/>
          <w:color w:val="000000" w:themeColor="text1"/>
        </w:rPr>
        <w:t>Circulation Research</w:t>
      </w:r>
      <w:r w:rsidR="00F57074" w:rsidRPr="003475EB">
        <w:rPr>
          <w:rFonts w:ascii="Calibri" w:hAnsi="Calibri" w:cs="Calibri"/>
          <w:color w:val="000000" w:themeColor="text1"/>
        </w:rPr>
        <w:t xml:space="preserve">. </w:t>
      </w:r>
      <w:r w:rsidR="00F57074" w:rsidRPr="003475EB">
        <w:rPr>
          <w:rFonts w:ascii="Calibri" w:hAnsi="Calibri" w:cs="Calibri"/>
          <w:b/>
          <w:bCs/>
          <w:color w:val="000000" w:themeColor="text1"/>
        </w:rPr>
        <w:t>122</w:t>
      </w:r>
      <w:r w:rsidR="00F57074" w:rsidRPr="003475EB">
        <w:rPr>
          <w:rFonts w:ascii="Calibri" w:hAnsi="Calibri" w:cs="Calibri"/>
          <w:color w:val="000000" w:themeColor="text1"/>
        </w:rPr>
        <w:t xml:space="preserve"> (1), 113–127 (2018).</w:t>
      </w:r>
    </w:p>
    <w:p w14:paraId="37D18F78" w14:textId="44453745" w:rsidR="00F57074" w:rsidRPr="003475EB" w:rsidRDefault="00707D73"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25</w:t>
      </w:r>
      <w:r w:rsidR="00F57074" w:rsidRPr="003475EB">
        <w:rPr>
          <w:rFonts w:ascii="Calibri" w:hAnsi="Calibri" w:cs="Calibri"/>
          <w:color w:val="000000" w:themeColor="text1"/>
        </w:rPr>
        <w:t>.</w:t>
      </w:r>
      <w:r w:rsidR="00F57074" w:rsidRPr="003475EB">
        <w:rPr>
          <w:rFonts w:ascii="Calibri" w:hAnsi="Calibri" w:cs="Calibri"/>
          <w:color w:val="000000" w:themeColor="text1"/>
        </w:rPr>
        <w:tab/>
        <w:t>Lavine, K.</w:t>
      </w:r>
      <w:r w:rsidR="00FB7E71">
        <w:rPr>
          <w:rFonts w:ascii="Calibri" w:hAnsi="Calibri" w:cs="Calibri"/>
          <w:color w:val="000000" w:themeColor="text1"/>
        </w:rPr>
        <w:t xml:space="preserve"> </w:t>
      </w:r>
      <w:r w:rsidR="00F57074" w:rsidRPr="003475EB">
        <w:rPr>
          <w:rFonts w:ascii="Calibri" w:hAnsi="Calibri" w:cs="Calibri"/>
          <w:color w:val="000000" w:themeColor="text1"/>
        </w:rPr>
        <w:t>J.</w:t>
      </w:r>
      <w:r w:rsidR="00F57074" w:rsidRPr="00EB6ED4">
        <w:rPr>
          <w:rFonts w:ascii="Calibri" w:hAnsi="Calibri" w:cs="Calibri"/>
          <w:color w:val="000000" w:themeColor="text1"/>
        </w:rPr>
        <w:t xml:space="preserve"> </w:t>
      </w:r>
      <w:r w:rsidR="00F57074" w:rsidRPr="00120F94">
        <w:rPr>
          <w:rFonts w:ascii="Calibri" w:hAnsi="Calibri" w:cs="Calibri"/>
          <w:color w:val="000000" w:themeColor="text1"/>
        </w:rPr>
        <w:t>et al.</w:t>
      </w:r>
      <w:r w:rsidR="00F57074" w:rsidRPr="003475EB">
        <w:rPr>
          <w:rFonts w:ascii="Calibri" w:hAnsi="Calibri" w:cs="Calibri"/>
          <w:color w:val="000000" w:themeColor="text1"/>
        </w:rPr>
        <w:t xml:space="preserve"> The </w:t>
      </w:r>
      <w:r w:rsidR="00EB6ED4">
        <w:rPr>
          <w:rFonts w:ascii="Calibri" w:hAnsi="Calibri" w:cs="Calibri"/>
          <w:color w:val="000000" w:themeColor="text1"/>
        </w:rPr>
        <w:t>m</w:t>
      </w:r>
      <w:r w:rsidR="00F57074" w:rsidRPr="003475EB">
        <w:rPr>
          <w:rFonts w:ascii="Calibri" w:hAnsi="Calibri" w:cs="Calibri"/>
          <w:color w:val="000000" w:themeColor="text1"/>
        </w:rPr>
        <w:t xml:space="preserve">acrophage in </w:t>
      </w:r>
      <w:r w:rsidR="00EB6ED4">
        <w:rPr>
          <w:rFonts w:ascii="Calibri" w:hAnsi="Calibri" w:cs="Calibri"/>
          <w:color w:val="000000" w:themeColor="text1"/>
        </w:rPr>
        <w:t>c</w:t>
      </w:r>
      <w:r w:rsidR="00F57074" w:rsidRPr="003475EB">
        <w:rPr>
          <w:rFonts w:ascii="Calibri" w:hAnsi="Calibri" w:cs="Calibri"/>
          <w:color w:val="000000" w:themeColor="text1"/>
        </w:rPr>
        <w:t xml:space="preserve">ardiac </w:t>
      </w:r>
      <w:r w:rsidR="00EB6ED4">
        <w:rPr>
          <w:rFonts w:ascii="Calibri" w:hAnsi="Calibri" w:cs="Calibri"/>
          <w:color w:val="000000" w:themeColor="text1"/>
        </w:rPr>
        <w:t>h</w:t>
      </w:r>
      <w:r w:rsidR="00F57074" w:rsidRPr="003475EB">
        <w:rPr>
          <w:rFonts w:ascii="Calibri" w:hAnsi="Calibri" w:cs="Calibri"/>
          <w:color w:val="000000" w:themeColor="text1"/>
        </w:rPr>
        <w:t xml:space="preserve">omeostasis and </w:t>
      </w:r>
      <w:r w:rsidR="00EB6ED4">
        <w:rPr>
          <w:rFonts w:ascii="Calibri" w:hAnsi="Calibri" w:cs="Calibri"/>
          <w:color w:val="000000" w:themeColor="text1"/>
        </w:rPr>
        <w:t>d</w:t>
      </w:r>
      <w:r w:rsidR="00F57074" w:rsidRPr="003475EB">
        <w:rPr>
          <w:rFonts w:ascii="Calibri" w:hAnsi="Calibri" w:cs="Calibri"/>
          <w:color w:val="000000" w:themeColor="text1"/>
        </w:rPr>
        <w:t xml:space="preserve">isease. </w:t>
      </w:r>
      <w:r w:rsidR="00F57074" w:rsidRPr="003475EB">
        <w:rPr>
          <w:rFonts w:ascii="Calibri" w:hAnsi="Calibri" w:cs="Calibri"/>
          <w:i/>
          <w:iCs/>
          <w:color w:val="000000" w:themeColor="text1"/>
        </w:rPr>
        <w:t>Journal of the American College of Cardiology</w:t>
      </w:r>
      <w:r w:rsidR="00F57074" w:rsidRPr="003475EB">
        <w:rPr>
          <w:rFonts w:ascii="Calibri" w:hAnsi="Calibri" w:cs="Calibri"/>
          <w:color w:val="000000" w:themeColor="text1"/>
        </w:rPr>
        <w:t xml:space="preserve">. </w:t>
      </w:r>
      <w:r w:rsidR="00F57074" w:rsidRPr="003475EB">
        <w:rPr>
          <w:rFonts w:ascii="Calibri" w:hAnsi="Calibri" w:cs="Calibri"/>
          <w:b/>
          <w:bCs/>
          <w:color w:val="000000" w:themeColor="text1"/>
        </w:rPr>
        <w:t>72</w:t>
      </w:r>
      <w:r w:rsidR="00F57074" w:rsidRPr="003475EB">
        <w:rPr>
          <w:rFonts w:ascii="Calibri" w:hAnsi="Calibri" w:cs="Calibri"/>
          <w:color w:val="000000" w:themeColor="text1"/>
        </w:rPr>
        <w:t xml:space="preserve"> (18), 2213–2230 (2018).</w:t>
      </w:r>
    </w:p>
    <w:p w14:paraId="456CAC17" w14:textId="354E0929" w:rsidR="00F57074" w:rsidRPr="003475EB" w:rsidRDefault="00707D73"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26</w:t>
      </w:r>
      <w:r w:rsidR="00F57074" w:rsidRPr="003475EB">
        <w:rPr>
          <w:rFonts w:ascii="Calibri" w:hAnsi="Calibri" w:cs="Calibri"/>
          <w:color w:val="000000" w:themeColor="text1"/>
        </w:rPr>
        <w:t>. Ginhoux, F., Guilliams, M. Tissue-</w:t>
      </w:r>
      <w:r w:rsidR="00EB6ED4">
        <w:rPr>
          <w:rFonts w:ascii="Calibri" w:hAnsi="Calibri" w:cs="Calibri"/>
          <w:color w:val="000000" w:themeColor="text1"/>
        </w:rPr>
        <w:t>r</w:t>
      </w:r>
      <w:r w:rsidR="00F57074" w:rsidRPr="003475EB">
        <w:rPr>
          <w:rFonts w:ascii="Calibri" w:hAnsi="Calibri" w:cs="Calibri"/>
          <w:color w:val="000000" w:themeColor="text1"/>
        </w:rPr>
        <w:t xml:space="preserve">esident </w:t>
      </w:r>
      <w:r w:rsidR="00EB6ED4">
        <w:rPr>
          <w:rFonts w:ascii="Calibri" w:hAnsi="Calibri" w:cs="Calibri"/>
          <w:color w:val="000000" w:themeColor="text1"/>
        </w:rPr>
        <w:t>m</w:t>
      </w:r>
      <w:r w:rsidR="00F57074" w:rsidRPr="003475EB">
        <w:rPr>
          <w:rFonts w:ascii="Calibri" w:hAnsi="Calibri" w:cs="Calibri"/>
          <w:color w:val="000000" w:themeColor="text1"/>
        </w:rPr>
        <w:t xml:space="preserve">acrophage </w:t>
      </w:r>
      <w:r w:rsidR="00EB6ED4">
        <w:rPr>
          <w:rFonts w:ascii="Calibri" w:hAnsi="Calibri" w:cs="Calibri"/>
          <w:color w:val="000000" w:themeColor="text1"/>
        </w:rPr>
        <w:t>o</w:t>
      </w:r>
      <w:r w:rsidR="00F57074" w:rsidRPr="003475EB">
        <w:rPr>
          <w:rFonts w:ascii="Calibri" w:hAnsi="Calibri" w:cs="Calibri"/>
          <w:color w:val="000000" w:themeColor="text1"/>
        </w:rPr>
        <w:t xml:space="preserve">ntogeny and </w:t>
      </w:r>
      <w:r w:rsidR="00EB6ED4">
        <w:rPr>
          <w:rFonts w:ascii="Calibri" w:hAnsi="Calibri" w:cs="Calibri"/>
          <w:color w:val="000000" w:themeColor="text1"/>
        </w:rPr>
        <w:t>h</w:t>
      </w:r>
      <w:r w:rsidR="00F57074" w:rsidRPr="003475EB">
        <w:rPr>
          <w:rFonts w:ascii="Calibri" w:hAnsi="Calibri" w:cs="Calibri"/>
          <w:color w:val="000000" w:themeColor="text1"/>
        </w:rPr>
        <w:t xml:space="preserve">omeostasis. </w:t>
      </w:r>
      <w:r w:rsidR="00F57074" w:rsidRPr="003475EB">
        <w:rPr>
          <w:rFonts w:ascii="Calibri" w:hAnsi="Calibri" w:cs="Calibri"/>
          <w:i/>
          <w:iCs/>
          <w:color w:val="000000" w:themeColor="text1"/>
        </w:rPr>
        <w:t>Immunity</w:t>
      </w:r>
      <w:r w:rsidR="00F57074" w:rsidRPr="003475EB">
        <w:rPr>
          <w:rFonts w:ascii="Calibri" w:hAnsi="Calibri" w:cs="Calibri"/>
          <w:color w:val="000000" w:themeColor="text1"/>
        </w:rPr>
        <w:t xml:space="preserve">. </w:t>
      </w:r>
      <w:r w:rsidR="00F57074" w:rsidRPr="003475EB">
        <w:rPr>
          <w:rFonts w:ascii="Calibri" w:hAnsi="Calibri" w:cs="Calibri"/>
          <w:b/>
          <w:bCs/>
          <w:color w:val="000000" w:themeColor="text1"/>
        </w:rPr>
        <w:t>44</w:t>
      </w:r>
      <w:r w:rsidR="00F57074" w:rsidRPr="003475EB">
        <w:rPr>
          <w:rFonts w:ascii="Calibri" w:hAnsi="Calibri" w:cs="Calibri"/>
          <w:color w:val="000000" w:themeColor="text1"/>
        </w:rPr>
        <w:t xml:space="preserve"> (3), 439–449 (2016).</w:t>
      </w:r>
    </w:p>
    <w:p w14:paraId="0B60F1DD" w14:textId="351C860B" w:rsidR="00F57074" w:rsidRPr="003475EB" w:rsidRDefault="00707D73" w:rsidP="000C770D">
      <w:pPr>
        <w:jc w:val="both"/>
        <w:rPr>
          <w:rFonts w:ascii="Calibri" w:hAnsi="Calibri" w:cs="Calibri"/>
          <w:b/>
          <w:bCs/>
          <w:color w:val="000000" w:themeColor="text1"/>
        </w:rPr>
      </w:pPr>
      <w:r w:rsidRPr="003475EB">
        <w:rPr>
          <w:rFonts w:ascii="Calibri" w:hAnsi="Calibri" w:cs="Calibri"/>
          <w:color w:val="000000" w:themeColor="text1"/>
        </w:rPr>
        <w:t>27</w:t>
      </w:r>
      <w:r w:rsidR="00F57074" w:rsidRPr="003475EB">
        <w:rPr>
          <w:rFonts w:ascii="Calibri" w:hAnsi="Calibri" w:cs="Calibri"/>
          <w:color w:val="000000" w:themeColor="text1"/>
        </w:rPr>
        <w:t>. Mildner</w:t>
      </w:r>
      <w:r w:rsidR="003C0249">
        <w:rPr>
          <w:rFonts w:ascii="Calibri" w:hAnsi="Calibri" w:cs="Calibri"/>
          <w:color w:val="000000" w:themeColor="text1"/>
        </w:rPr>
        <w:t>,</w:t>
      </w:r>
      <w:r w:rsidR="00F57074" w:rsidRPr="003475EB">
        <w:rPr>
          <w:rFonts w:ascii="Calibri" w:hAnsi="Calibri" w:cs="Calibri"/>
          <w:color w:val="000000" w:themeColor="text1"/>
        </w:rPr>
        <w:t xml:space="preserve"> A</w:t>
      </w:r>
      <w:r w:rsidR="003C0249">
        <w:rPr>
          <w:rFonts w:ascii="Calibri" w:hAnsi="Calibri" w:cs="Calibri"/>
          <w:color w:val="000000" w:themeColor="text1"/>
        </w:rPr>
        <w:t>.</w:t>
      </w:r>
      <w:r w:rsidR="00F57074" w:rsidRPr="003475EB">
        <w:rPr>
          <w:rFonts w:ascii="Calibri" w:hAnsi="Calibri" w:cs="Calibri"/>
          <w:color w:val="000000" w:themeColor="text1"/>
        </w:rPr>
        <w:t xml:space="preserve"> </w:t>
      </w:r>
      <w:r w:rsidR="00F57074" w:rsidRPr="00120F94">
        <w:rPr>
          <w:rFonts w:ascii="Calibri" w:hAnsi="Calibri" w:cs="Calibri"/>
          <w:color w:val="000000" w:themeColor="text1"/>
        </w:rPr>
        <w:t>et al</w:t>
      </w:r>
      <w:r w:rsidR="00F57074" w:rsidRPr="003475EB">
        <w:rPr>
          <w:rFonts w:ascii="Calibri" w:hAnsi="Calibri" w:cs="Calibri"/>
          <w:color w:val="000000" w:themeColor="text1"/>
        </w:rPr>
        <w:t>. Microglia in the adult brain arise from Ly-6C hi CCR2+ monocytes only under defined host conditions</w:t>
      </w:r>
      <w:r w:rsidR="00F57074" w:rsidRPr="003475EB">
        <w:rPr>
          <w:rFonts w:ascii="Calibri" w:hAnsi="Calibri" w:cs="Calibri"/>
          <w:color w:val="000000" w:themeColor="text1"/>
        </w:rPr>
        <w:fldChar w:fldCharType="begin"/>
      </w:r>
      <w:r w:rsidR="00F57074" w:rsidRPr="003475EB">
        <w:rPr>
          <w:rFonts w:ascii="Calibri" w:hAnsi="Calibri" w:cs="Calibri"/>
          <w:color w:val="000000" w:themeColor="text1"/>
        </w:rPr>
        <w:instrText xml:space="preserve"> PRINTDATE  \* MERGEFORMAT </w:instrText>
      </w:r>
      <w:r w:rsidR="00F57074" w:rsidRPr="003475EB">
        <w:rPr>
          <w:rFonts w:ascii="Calibri" w:hAnsi="Calibri" w:cs="Calibri"/>
          <w:color w:val="000000" w:themeColor="text1"/>
        </w:rPr>
        <w:fldChar w:fldCharType="end"/>
      </w:r>
      <w:r w:rsidR="00F57074" w:rsidRPr="003475EB">
        <w:rPr>
          <w:rFonts w:ascii="Calibri" w:hAnsi="Calibri" w:cs="Calibri"/>
          <w:color w:val="000000" w:themeColor="text1"/>
        </w:rPr>
        <w:t xml:space="preserve">. </w:t>
      </w:r>
      <w:r w:rsidR="00F57074" w:rsidRPr="003475EB">
        <w:rPr>
          <w:rFonts w:ascii="Calibri" w:hAnsi="Calibri" w:cs="Calibri"/>
          <w:i/>
          <w:iCs/>
          <w:color w:val="000000" w:themeColor="text1"/>
        </w:rPr>
        <w:t xml:space="preserve">Nature </w:t>
      </w:r>
      <w:r w:rsidR="003C0249">
        <w:rPr>
          <w:rFonts w:ascii="Calibri" w:hAnsi="Calibri" w:cs="Calibri"/>
          <w:i/>
          <w:iCs/>
          <w:color w:val="000000" w:themeColor="text1"/>
        </w:rPr>
        <w:t>N</w:t>
      </w:r>
      <w:r w:rsidR="00F57074" w:rsidRPr="003475EB">
        <w:rPr>
          <w:rFonts w:ascii="Calibri" w:hAnsi="Calibri" w:cs="Calibri"/>
          <w:i/>
          <w:iCs/>
          <w:color w:val="000000" w:themeColor="text1"/>
        </w:rPr>
        <w:t>euroscience</w:t>
      </w:r>
      <w:r w:rsidR="00F57074" w:rsidRPr="00120F94">
        <w:rPr>
          <w:rFonts w:ascii="Calibri" w:hAnsi="Calibri" w:cs="Calibri"/>
          <w:color w:val="000000" w:themeColor="text1"/>
        </w:rPr>
        <w:t>.</w:t>
      </w:r>
      <w:r w:rsidR="00F57074" w:rsidRPr="003475EB">
        <w:rPr>
          <w:rFonts w:ascii="Calibri" w:hAnsi="Calibri" w:cs="Calibri"/>
          <w:color w:val="000000" w:themeColor="text1"/>
        </w:rPr>
        <w:t xml:space="preserve"> </w:t>
      </w:r>
      <w:r w:rsidR="00F57074" w:rsidRPr="003475EB">
        <w:rPr>
          <w:rFonts w:ascii="Calibri" w:hAnsi="Calibri" w:cs="Calibri"/>
          <w:b/>
          <w:bCs/>
          <w:color w:val="000000" w:themeColor="text1"/>
        </w:rPr>
        <w:t>10</w:t>
      </w:r>
      <w:r w:rsidR="00F57074" w:rsidRPr="00120F94">
        <w:rPr>
          <w:rFonts w:ascii="Calibri" w:hAnsi="Calibri" w:cs="Calibri"/>
          <w:color w:val="000000" w:themeColor="text1"/>
        </w:rPr>
        <w:t xml:space="preserve"> </w:t>
      </w:r>
      <w:r w:rsidR="00F57074" w:rsidRPr="003475EB">
        <w:rPr>
          <w:rFonts w:ascii="Calibri" w:hAnsi="Calibri" w:cs="Calibri"/>
          <w:color w:val="000000" w:themeColor="text1"/>
        </w:rPr>
        <w:t>(12), 1544</w:t>
      </w:r>
      <w:r w:rsidR="003C0249">
        <w:rPr>
          <w:rFonts w:ascii="Calibri" w:hAnsi="Calibri" w:cs="Calibri"/>
          <w:color w:val="000000" w:themeColor="text1"/>
        </w:rPr>
        <w:t>–</w:t>
      </w:r>
      <w:r w:rsidR="00F57074" w:rsidRPr="003475EB">
        <w:rPr>
          <w:rFonts w:ascii="Calibri" w:hAnsi="Calibri" w:cs="Calibri"/>
          <w:color w:val="000000" w:themeColor="text1"/>
        </w:rPr>
        <w:t>1453 (2007).</w:t>
      </w:r>
    </w:p>
    <w:p w14:paraId="19D639E2" w14:textId="468BDD83" w:rsidR="00F57074" w:rsidRPr="003475EB" w:rsidRDefault="00707D73" w:rsidP="000C770D">
      <w:pPr>
        <w:jc w:val="both"/>
        <w:rPr>
          <w:rFonts w:ascii="Calibri" w:hAnsi="Calibri" w:cs="Calibri"/>
          <w:i/>
          <w:iCs/>
          <w:color w:val="000000" w:themeColor="text1"/>
        </w:rPr>
      </w:pPr>
      <w:r w:rsidRPr="003475EB">
        <w:rPr>
          <w:rFonts w:ascii="Calibri" w:hAnsi="Calibri" w:cs="Calibri"/>
          <w:color w:val="000000" w:themeColor="text1"/>
        </w:rPr>
        <w:t>28</w:t>
      </w:r>
      <w:r w:rsidR="00F57074" w:rsidRPr="003475EB">
        <w:rPr>
          <w:rFonts w:ascii="Calibri" w:hAnsi="Calibri" w:cs="Calibri"/>
          <w:color w:val="000000" w:themeColor="text1"/>
        </w:rPr>
        <w:t xml:space="preserve">. Cronk, </w:t>
      </w:r>
      <w:r w:rsidR="002A0E4E" w:rsidRPr="003475EB">
        <w:rPr>
          <w:rFonts w:ascii="Calibri" w:hAnsi="Calibri" w:cs="Calibri"/>
          <w:color w:val="000000" w:themeColor="text1"/>
        </w:rPr>
        <w:t>J</w:t>
      </w:r>
      <w:r w:rsidR="002A0E4E">
        <w:rPr>
          <w:rFonts w:ascii="Calibri" w:hAnsi="Calibri" w:cs="Calibri"/>
          <w:color w:val="000000" w:themeColor="text1"/>
        </w:rPr>
        <w:t>.</w:t>
      </w:r>
      <w:r w:rsidR="002A0E4E" w:rsidRPr="003475EB">
        <w:rPr>
          <w:rFonts w:ascii="Calibri" w:hAnsi="Calibri" w:cs="Calibri"/>
          <w:color w:val="000000" w:themeColor="text1"/>
        </w:rPr>
        <w:t xml:space="preserve"> </w:t>
      </w:r>
      <w:r w:rsidR="00F57074" w:rsidRPr="003475EB">
        <w:rPr>
          <w:rFonts w:ascii="Calibri" w:hAnsi="Calibri" w:cs="Calibri"/>
          <w:color w:val="000000" w:themeColor="text1"/>
        </w:rPr>
        <w:t>C</w:t>
      </w:r>
      <w:r w:rsidR="00F57074" w:rsidRPr="003475EB">
        <w:rPr>
          <w:rFonts w:ascii="Calibri" w:hAnsi="Calibri" w:cs="Calibri"/>
          <w:i/>
          <w:iCs/>
          <w:color w:val="000000" w:themeColor="text1"/>
        </w:rPr>
        <w:t>.</w:t>
      </w:r>
      <w:r w:rsidR="00F57074" w:rsidRPr="00120F94">
        <w:rPr>
          <w:rFonts w:ascii="Calibri" w:hAnsi="Calibri" w:cs="Calibri"/>
          <w:color w:val="000000" w:themeColor="text1"/>
        </w:rPr>
        <w:t xml:space="preserve"> et al</w:t>
      </w:r>
      <w:r w:rsidR="00F57074" w:rsidRPr="003475EB">
        <w:rPr>
          <w:rFonts w:ascii="Calibri" w:hAnsi="Calibri" w:cs="Calibri"/>
          <w:color w:val="000000" w:themeColor="text1"/>
        </w:rPr>
        <w:t xml:space="preserve">. Peripherally derived macrophages can engraft the brain independent of irradiation and maintain an identity distinct from microglia. </w:t>
      </w:r>
      <w:r w:rsidR="00F57074" w:rsidRPr="003475EB">
        <w:rPr>
          <w:rFonts w:ascii="Calibri" w:hAnsi="Calibri" w:cs="Calibri"/>
          <w:i/>
          <w:iCs/>
          <w:color w:val="000000" w:themeColor="text1"/>
        </w:rPr>
        <w:t>Journal of Experimental Medicine</w:t>
      </w:r>
      <w:r w:rsidR="003C0249" w:rsidRPr="00120F94">
        <w:rPr>
          <w:rFonts w:ascii="Calibri" w:hAnsi="Calibri" w:cs="Calibri"/>
          <w:color w:val="000000" w:themeColor="text1"/>
        </w:rPr>
        <w:t>.</w:t>
      </w:r>
      <w:r w:rsidR="00F57074" w:rsidRPr="003475EB">
        <w:rPr>
          <w:rFonts w:ascii="Calibri" w:hAnsi="Calibri" w:cs="Calibri"/>
          <w:color w:val="000000" w:themeColor="text1"/>
        </w:rPr>
        <w:t xml:space="preserve"> </w:t>
      </w:r>
      <w:r w:rsidR="00F57074" w:rsidRPr="003475EB">
        <w:rPr>
          <w:rFonts w:ascii="Calibri" w:hAnsi="Calibri" w:cs="Calibri"/>
          <w:b/>
          <w:bCs/>
          <w:color w:val="000000" w:themeColor="text1"/>
        </w:rPr>
        <w:t>215</w:t>
      </w:r>
      <w:r w:rsidR="00F57074" w:rsidRPr="003475EB">
        <w:rPr>
          <w:rFonts w:ascii="Calibri" w:hAnsi="Calibri" w:cs="Calibri"/>
          <w:color w:val="000000" w:themeColor="text1"/>
        </w:rPr>
        <w:t xml:space="preserve"> (6), 1627</w:t>
      </w:r>
      <w:r w:rsidR="003C0249">
        <w:rPr>
          <w:rFonts w:ascii="Calibri" w:hAnsi="Calibri" w:cs="Calibri"/>
          <w:color w:val="000000" w:themeColor="text1"/>
        </w:rPr>
        <w:t>–</w:t>
      </w:r>
      <w:r w:rsidR="00F57074" w:rsidRPr="003475EB">
        <w:rPr>
          <w:rFonts w:ascii="Calibri" w:hAnsi="Calibri" w:cs="Calibri"/>
          <w:color w:val="000000" w:themeColor="text1"/>
        </w:rPr>
        <w:t>1647 (2018).</w:t>
      </w:r>
    </w:p>
    <w:p w14:paraId="140B21AC" w14:textId="59877310" w:rsidR="00CD0F7B" w:rsidRDefault="00707D73"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lastRenderedPageBreak/>
        <w:t>29</w:t>
      </w:r>
      <w:r w:rsidR="00CD0F7B" w:rsidRPr="003475EB">
        <w:rPr>
          <w:rFonts w:ascii="Calibri" w:hAnsi="Calibri" w:cs="Calibri"/>
          <w:color w:val="000000" w:themeColor="text1"/>
        </w:rPr>
        <w:t>.</w:t>
      </w:r>
      <w:r w:rsidR="00CD0F7B" w:rsidRPr="003475EB">
        <w:rPr>
          <w:rFonts w:ascii="Calibri" w:hAnsi="Calibri" w:cs="Calibri"/>
          <w:color w:val="000000" w:themeColor="text1"/>
        </w:rPr>
        <w:tab/>
        <w:t>Lu, R., Czechowicz, A., Seita, J., Jiang, D., Weissman, I.</w:t>
      </w:r>
      <w:r w:rsidR="003C0249">
        <w:rPr>
          <w:rFonts w:ascii="Calibri" w:hAnsi="Calibri" w:cs="Calibri"/>
          <w:color w:val="000000" w:themeColor="text1"/>
        </w:rPr>
        <w:t xml:space="preserve"> </w:t>
      </w:r>
      <w:r w:rsidR="00CD0F7B" w:rsidRPr="003475EB">
        <w:rPr>
          <w:rFonts w:ascii="Calibri" w:hAnsi="Calibri" w:cs="Calibri"/>
          <w:color w:val="000000" w:themeColor="text1"/>
        </w:rPr>
        <w:t>L. Clonal-level lineage commitment</w:t>
      </w:r>
      <w:r w:rsidR="00120F94">
        <w:rPr>
          <w:rFonts w:ascii="Calibri" w:hAnsi="Calibri" w:cs="Calibri"/>
          <w:color w:val="000000" w:themeColor="text1"/>
        </w:rPr>
        <w:t xml:space="preserve"> </w:t>
      </w:r>
      <w:r w:rsidR="00CD0F7B" w:rsidRPr="003475EB">
        <w:rPr>
          <w:rFonts w:ascii="Calibri" w:hAnsi="Calibri" w:cs="Calibri"/>
          <w:color w:val="000000" w:themeColor="text1"/>
        </w:rPr>
        <w:t xml:space="preserve">pathways of hematopoietic stem cells in vivo. </w:t>
      </w:r>
      <w:r w:rsidR="00CD0F7B" w:rsidRPr="003475EB">
        <w:rPr>
          <w:rFonts w:ascii="Calibri" w:hAnsi="Calibri" w:cs="Calibri"/>
          <w:i/>
          <w:iCs/>
          <w:color w:val="000000" w:themeColor="text1"/>
        </w:rPr>
        <w:t>Proceedings of the National Academy of</w:t>
      </w:r>
      <w:r w:rsidR="00120F94">
        <w:rPr>
          <w:rFonts w:ascii="Calibri" w:hAnsi="Calibri" w:cs="Calibri"/>
          <w:i/>
          <w:iCs/>
          <w:color w:val="000000" w:themeColor="text1"/>
        </w:rPr>
        <w:t xml:space="preserve"> </w:t>
      </w:r>
      <w:r w:rsidR="00CD0F7B" w:rsidRPr="003475EB">
        <w:rPr>
          <w:rFonts w:ascii="Calibri" w:hAnsi="Calibri" w:cs="Calibri"/>
          <w:i/>
          <w:iCs/>
          <w:color w:val="000000" w:themeColor="text1"/>
        </w:rPr>
        <w:t>Sciences</w:t>
      </w:r>
      <w:r w:rsidR="00CD0F7B" w:rsidRPr="003475EB">
        <w:rPr>
          <w:rFonts w:ascii="Calibri" w:hAnsi="Calibri" w:cs="Calibri"/>
          <w:color w:val="000000" w:themeColor="text1"/>
        </w:rPr>
        <w:t xml:space="preserve">. </w:t>
      </w:r>
      <w:r w:rsidR="00CD0F7B" w:rsidRPr="003475EB">
        <w:rPr>
          <w:rFonts w:ascii="Calibri" w:hAnsi="Calibri" w:cs="Calibri"/>
          <w:b/>
          <w:bCs/>
          <w:color w:val="000000" w:themeColor="text1"/>
        </w:rPr>
        <w:t>116</w:t>
      </w:r>
      <w:r w:rsidR="00CD0F7B" w:rsidRPr="003475EB">
        <w:rPr>
          <w:rFonts w:ascii="Calibri" w:hAnsi="Calibri" w:cs="Calibri"/>
          <w:color w:val="000000" w:themeColor="text1"/>
        </w:rPr>
        <w:t xml:space="preserve"> (4), 1447–1456 (2019).</w:t>
      </w:r>
    </w:p>
    <w:p w14:paraId="1460103D" w14:textId="30ADAB4C" w:rsidR="00853A88" w:rsidRDefault="001E58DB" w:rsidP="000C770D">
      <w:pPr>
        <w:rPr>
          <w:rFonts w:ascii="Calibri" w:hAnsi="Calibri" w:cs="Calibri"/>
          <w:noProof/>
        </w:rPr>
      </w:pPr>
      <w:r w:rsidRPr="00A04630">
        <w:rPr>
          <w:rFonts w:ascii="Calibri" w:hAnsi="Calibri" w:cs="Calibri"/>
          <w:color w:val="000000" w:themeColor="text1"/>
        </w:rPr>
        <w:t xml:space="preserve">30. </w:t>
      </w:r>
      <w:r w:rsidRPr="001E58DB">
        <w:rPr>
          <w:rFonts w:ascii="Calibri" w:hAnsi="Calibri" w:cs="Calibri"/>
          <w:color w:val="000000" w:themeColor="text1"/>
        </w:rPr>
        <w:t>Gibson</w:t>
      </w:r>
      <w:r w:rsidRPr="00A04630">
        <w:rPr>
          <w:rFonts w:ascii="Calibri" w:hAnsi="Calibri" w:cs="Calibri"/>
          <w:color w:val="000000" w:themeColor="text1"/>
        </w:rPr>
        <w:t>, B.</w:t>
      </w:r>
      <w:r w:rsidR="003C0249">
        <w:rPr>
          <w:rFonts w:ascii="Calibri" w:hAnsi="Calibri" w:cs="Calibri"/>
          <w:color w:val="000000" w:themeColor="text1"/>
        </w:rPr>
        <w:t xml:space="preserve"> </w:t>
      </w:r>
      <w:r w:rsidRPr="00A04630">
        <w:rPr>
          <w:rFonts w:ascii="Calibri" w:hAnsi="Calibri" w:cs="Calibri"/>
          <w:color w:val="000000" w:themeColor="text1"/>
        </w:rPr>
        <w:t>W. et al. Comparison of cesium-137 and X-ray irradiators by using bone marrow transplant reconstitution in C57BL/6J mice.</w:t>
      </w:r>
      <w:r w:rsidRPr="00D472FB">
        <w:rPr>
          <w:rFonts w:ascii="Calibri" w:hAnsi="Calibri" w:cs="Calibri"/>
          <w:noProof/>
        </w:rPr>
        <w:t xml:space="preserve"> </w:t>
      </w:r>
      <w:r w:rsidRPr="00D472FB">
        <w:rPr>
          <w:rFonts w:ascii="Calibri" w:hAnsi="Calibri" w:cs="Calibri"/>
          <w:i/>
          <w:iCs/>
          <w:noProof/>
        </w:rPr>
        <w:t>Comparative Medicine</w:t>
      </w:r>
      <w:r w:rsidRPr="00D472FB">
        <w:rPr>
          <w:rFonts w:ascii="Calibri" w:hAnsi="Calibri" w:cs="Calibri"/>
          <w:noProof/>
        </w:rPr>
        <w:t xml:space="preserve">. </w:t>
      </w:r>
      <w:r w:rsidRPr="00D472FB">
        <w:rPr>
          <w:rFonts w:ascii="Calibri" w:hAnsi="Calibri" w:cs="Calibri"/>
          <w:b/>
          <w:bCs/>
          <w:noProof/>
        </w:rPr>
        <w:t>65</w:t>
      </w:r>
      <w:r w:rsidRPr="00D472FB">
        <w:rPr>
          <w:rFonts w:ascii="Calibri" w:hAnsi="Calibri" w:cs="Calibri"/>
          <w:noProof/>
        </w:rPr>
        <w:t xml:space="preserve"> (3), 165–172 (2015).</w:t>
      </w:r>
    </w:p>
    <w:p w14:paraId="56175514" w14:textId="01F2D4E0" w:rsidR="00853A88" w:rsidRPr="00A04630" w:rsidRDefault="00853A88" w:rsidP="000C770D">
      <w:pPr>
        <w:jc w:val="both"/>
        <w:rPr>
          <w:noProof/>
        </w:rPr>
      </w:pPr>
      <w:r>
        <w:rPr>
          <w:rFonts w:ascii="Calibri" w:hAnsi="Calibri" w:cs="Calibri"/>
          <w:noProof/>
        </w:rPr>
        <w:t xml:space="preserve">31. </w:t>
      </w:r>
      <w:r w:rsidRPr="00A04630">
        <w:rPr>
          <w:rFonts w:ascii="Calibri" w:hAnsi="Calibri" w:cs="Calibri"/>
          <w:color w:val="000000" w:themeColor="text1"/>
        </w:rPr>
        <w:t>Cui, Y.</w:t>
      </w:r>
      <w:r w:rsidR="003C0249">
        <w:rPr>
          <w:rFonts w:ascii="Calibri" w:hAnsi="Calibri" w:cs="Calibri"/>
          <w:color w:val="000000" w:themeColor="text1"/>
        </w:rPr>
        <w:t xml:space="preserve"> </w:t>
      </w:r>
      <w:r w:rsidRPr="00A04630">
        <w:rPr>
          <w:rFonts w:ascii="Calibri" w:hAnsi="Calibri" w:cs="Calibri"/>
          <w:color w:val="000000" w:themeColor="text1"/>
        </w:rPr>
        <w:t>Z. et al. Optimal protocol for total body irradiation for allogeneic bone marrow transplantation in mice.</w:t>
      </w:r>
      <w:r>
        <w:t xml:space="preserve"> </w:t>
      </w:r>
      <w:r w:rsidRPr="00A04630">
        <w:rPr>
          <w:rFonts w:ascii="Calibri" w:hAnsi="Calibri" w:cs="Calibri"/>
          <w:i/>
          <w:iCs/>
          <w:noProof/>
        </w:rPr>
        <w:t>Bone Marrow Transplantation</w:t>
      </w:r>
      <w:r w:rsidRPr="00120F94">
        <w:rPr>
          <w:rFonts w:ascii="Calibri" w:hAnsi="Calibri" w:cs="Calibri"/>
          <w:noProof/>
        </w:rPr>
        <w:t>.</w:t>
      </w:r>
      <w:r>
        <w:t xml:space="preserve"> </w:t>
      </w:r>
      <w:r w:rsidRPr="00A04630">
        <w:rPr>
          <w:rFonts w:ascii="Calibri" w:hAnsi="Calibri" w:cs="Calibri"/>
          <w:b/>
          <w:bCs/>
          <w:noProof/>
        </w:rPr>
        <w:t>30</w:t>
      </w:r>
      <w:r w:rsidRPr="00120F94">
        <w:rPr>
          <w:rFonts w:ascii="Calibri" w:hAnsi="Calibri" w:cs="Calibri"/>
          <w:noProof/>
        </w:rPr>
        <w:t xml:space="preserve"> </w:t>
      </w:r>
      <w:r w:rsidRPr="00A04630">
        <w:rPr>
          <w:rFonts w:ascii="Calibri" w:hAnsi="Calibri" w:cs="Calibri"/>
          <w:noProof/>
        </w:rPr>
        <w:t>(12), 843–849 (2002).</w:t>
      </w:r>
    </w:p>
    <w:p w14:paraId="529B04DE" w14:textId="54ECE6CA" w:rsidR="006724B9" w:rsidRPr="003475EB" w:rsidRDefault="00707D73" w:rsidP="000C770D">
      <w:pPr>
        <w:pStyle w:val="Bibliography"/>
        <w:ind w:left="0" w:firstLine="0"/>
        <w:jc w:val="both"/>
        <w:rPr>
          <w:rFonts w:ascii="Calibri" w:hAnsi="Calibri" w:cs="Calibri"/>
          <w:color w:val="000000" w:themeColor="text1"/>
        </w:rPr>
      </w:pPr>
      <w:r w:rsidRPr="003475EB">
        <w:rPr>
          <w:rFonts w:ascii="Calibri" w:hAnsi="Calibri" w:cs="Calibri"/>
          <w:color w:val="000000" w:themeColor="text1"/>
        </w:rPr>
        <w:t>3</w:t>
      </w:r>
      <w:r w:rsidR="00184C79">
        <w:rPr>
          <w:rFonts w:ascii="Calibri" w:hAnsi="Calibri" w:cs="Calibri"/>
          <w:color w:val="000000" w:themeColor="text1"/>
        </w:rPr>
        <w:t>2</w:t>
      </w:r>
      <w:r w:rsidR="006724B9" w:rsidRPr="003475EB">
        <w:rPr>
          <w:rFonts w:ascii="Calibri" w:hAnsi="Calibri" w:cs="Calibri"/>
          <w:color w:val="000000" w:themeColor="text1"/>
        </w:rPr>
        <w:t>.</w:t>
      </w:r>
      <w:r w:rsidR="006724B9" w:rsidRPr="003475EB">
        <w:rPr>
          <w:rFonts w:ascii="Calibri" w:hAnsi="Calibri" w:cs="Calibri"/>
          <w:color w:val="000000" w:themeColor="text1"/>
        </w:rPr>
        <w:tab/>
        <w:t>Kim, C.-K., Yang, V.</w:t>
      </w:r>
      <w:r w:rsidR="003C0249">
        <w:rPr>
          <w:rFonts w:ascii="Calibri" w:hAnsi="Calibri" w:cs="Calibri"/>
          <w:color w:val="000000" w:themeColor="text1"/>
        </w:rPr>
        <w:t xml:space="preserve"> </w:t>
      </w:r>
      <w:r w:rsidR="006724B9" w:rsidRPr="003475EB">
        <w:rPr>
          <w:rFonts w:ascii="Calibri" w:hAnsi="Calibri" w:cs="Calibri"/>
          <w:color w:val="000000" w:themeColor="text1"/>
        </w:rPr>
        <w:t>W., Bialkowska, A.</w:t>
      </w:r>
      <w:r w:rsidR="003C0249">
        <w:rPr>
          <w:rFonts w:ascii="Calibri" w:hAnsi="Calibri" w:cs="Calibri"/>
          <w:color w:val="000000" w:themeColor="text1"/>
        </w:rPr>
        <w:t xml:space="preserve"> </w:t>
      </w:r>
      <w:r w:rsidR="006724B9" w:rsidRPr="003475EB">
        <w:rPr>
          <w:rFonts w:ascii="Calibri" w:hAnsi="Calibri" w:cs="Calibri"/>
          <w:color w:val="000000" w:themeColor="text1"/>
        </w:rPr>
        <w:t xml:space="preserve">B. The </w:t>
      </w:r>
      <w:r w:rsidR="003C0249">
        <w:rPr>
          <w:rFonts w:ascii="Calibri" w:hAnsi="Calibri" w:cs="Calibri"/>
          <w:color w:val="000000" w:themeColor="text1"/>
        </w:rPr>
        <w:t>r</w:t>
      </w:r>
      <w:r w:rsidR="006724B9" w:rsidRPr="003475EB">
        <w:rPr>
          <w:rFonts w:ascii="Calibri" w:hAnsi="Calibri" w:cs="Calibri"/>
          <w:color w:val="000000" w:themeColor="text1"/>
        </w:rPr>
        <w:t xml:space="preserve">ole of </w:t>
      </w:r>
      <w:r w:rsidR="003C0249">
        <w:rPr>
          <w:rFonts w:ascii="Calibri" w:hAnsi="Calibri" w:cs="Calibri"/>
          <w:color w:val="000000" w:themeColor="text1"/>
        </w:rPr>
        <w:t>i</w:t>
      </w:r>
      <w:r w:rsidR="006724B9" w:rsidRPr="003475EB">
        <w:rPr>
          <w:rFonts w:ascii="Calibri" w:hAnsi="Calibri" w:cs="Calibri"/>
          <w:color w:val="000000" w:themeColor="text1"/>
        </w:rPr>
        <w:t xml:space="preserve">ntestinal </w:t>
      </w:r>
      <w:r w:rsidR="003C0249">
        <w:rPr>
          <w:rFonts w:ascii="Calibri" w:hAnsi="Calibri" w:cs="Calibri"/>
          <w:color w:val="000000" w:themeColor="text1"/>
        </w:rPr>
        <w:t>s</w:t>
      </w:r>
      <w:r w:rsidR="006724B9" w:rsidRPr="003475EB">
        <w:rPr>
          <w:rFonts w:ascii="Calibri" w:hAnsi="Calibri" w:cs="Calibri"/>
          <w:color w:val="000000" w:themeColor="text1"/>
        </w:rPr>
        <w:t xml:space="preserve">tem </w:t>
      </w:r>
      <w:r w:rsidR="003C0249">
        <w:rPr>
          <w:rFonts w:ascii="Calibri" w:hAnsi="Calibri" w:cs="Calibri"/>
          <w:color w:val="000000" w:themeColor="text1"/>
        </w:rPr>
        <w:t>c</w:t>
      </w:r>
      <w:r w:rsidR="006724B9" w:rsidRPr="003475EB">
        <w:rPr>
          <w:rFonts w:ascii="Calibri" w:hAnsi="Calibri" w:cs="Calibri"/>
          <w:color w:val="000000" w:themeColor="text1"/>
        </w:rPr>
        <w:t xml:space="preserve">ells in </w:t>
      </w:r>
      <w:r w:rsidR="003C0249">
        <w:rPr>
          <w:rFonts w:ascii="Calibri" w:hAnsi="Calibri" w:cs="Calibri"/>
          <w:color w:val="000000" w:themeColor="text1"/>
        </w:rPr>
        <w:t>e</w:t>
      </w:r>
      <w:r w:rsidR="006724B9" w:rsidRPr="003475EB">
        <w:rPr>
          <w:rFonts w:ascii="Calibri" w:hAnsi="Calibri" w:cs="Calibri"/>
          <w:color w:val="000000" w:themeColor="text1"/>
        </w:rPr>
        <w:t xml:space="preserve">pithelial </w:t>
      </w:r>
      <w:r w:rsidR="003C0249">
        <w:rPr>
          <w:rFonts w:ascii="Calibri" w:hAnsi="Calibri" w:cs="Calibri"/>
          <w:color w:val="000000" w:themeColor="text1"/>
        </w:rPr>
        <w:t>r</w:t>
      </w:r>
      <w:r w:rsidR="006724B9" w:rsidRPr="003475EB">
        <w:rPr>
          <w:rFonts w:ascii="Calibri" w:hAnsi="Calibri" w:cs="Calibri"/>
          <w:color w:val="000000" w:themeColor="text1"/>
        </w:rPr>
        <w:t xml:space="preserve">egeneration </w:t>
      </w:r>
      <w:r w:rsidR="003C0249">
        <w:rPr>
          <w:rFonts w:ascii="Calibri" w:hAnsi="Calibri" w:cs="Calibri"/>
          <w:color w:val="000000" w:themeColor="text1"/>
        </w:rPr>
        <w:t>f</w:t>
      </w:r>
      <w:r w:rsidR="006724B9" w:rsidRPr="003475EB">
        <w:rPr>
          <w:rFonts w:ascii="Calibri" w:hAnsi="Calibri" w:cs="Calibri"/>
          <w:color w:val="000000" w:themeColor="text1"/>
        </w:rPr>
        <w:t xml:space="preserve">ollowing </w:t>
      </w:r>
      <w:r w:rsidR="003C0249">
        <w:rPr>
          <w:rFonts w:ascii="Calibri" w:hAnsi="Calibri" w:cs="Calibri"/>
          <w:color w:val="000000" w:themeColor="text1"/>
        </w:rPr>
        <w:t>r</w:t>
      </w:r>
      <w:r w:rsidR="006724B9" w:rsidRPr="003475EB">
        <w:rPr>
          <w:rFonts w:ascii="Calibri" w:hAnsi="Calibri" w:cs="Calibri"/>
          <w:color w:val="000000" w:themeColor="text1"/>
        </w:rPr>
        <w:t>adiation-</w:t>
      </w:r>
      <w:r w:rsidR="003C0249">
        <w:rPr>
          <w:rFonts w:ascii="Calibri" w:hAnsi="Calibri" w:cs="Calibri"/>
          <w:color w:val="000000" w:themeColor="text1"/>
        </w:rPr>
        <w:t>i</w:t>
      </w:r>
      <w:r w:rsidR="006724B9" w:rsidRPr="003475EB">
        <w:rPr>
          <w:rFonts w:ascii="Calibri" w:hAnsi="Calibri" w:cs="Calibri"/>
          <w:color w:val="000000" w:themeColor="text1"/>
        </w:rPr>
        <w:t xml:space="preserve">nduced </w:t>
      </w:r>
      <w:r w:rsidR="003C0249">
        <w:rPr>
          <w:rFonts w:ascii="Calibri" w:hAnsi="Calibri" w:cs="Calibri"/>
          <w:color w:val="000000" w:themeColor="text1"/>
        </w:rPr>
        <w:t>g</w:t>
      </w:r>
      <w:r w:rsidR="006724B9" w:rsidRPr="003475EB">
        <w:rPr>
          <w:rFonts w:ascii="Calibri" w:hAnsi="Calibri" w:cs="Calibri"/>
          <w:color w:val="000000" w:themeColor="text1"/>
        </w:rPr>
        <w:t xml:space="preserve">ut </w:t>
      </w:r>
      <w:r w:rsidR="003C0249">
        <w:rPr>
          <w:rFonts w:ascii="Calibri" w:hAnsi="Calibri" w:cs="Calibri"/>
          <w:color w:val="000000" w:themeColor="text1"/>
        </w:rPr>
        <w:t>i</w:t>
      </w:r>
      <w:r w:rsidR="006724B9" w:rsidRPr="003475EB">
        <w:rPr>
          <w:rFonts w:ascii="Calibri" w:hAnsi="Calibri" w:cs="Calibri"/>
          <w:color w:val="000000" w:themeColor="text1"/>
        </w:rPr>
        <w:t xml:space="preserve">njury. </w:t>
      </w:r>
      <w:r w:rsidR="006724B9" w:rsidRPr="003475EB">
        <w:rPr>
          <w:rFonts w:ascii="Calibri" w:hAnsi="Calibri" w:cs="Calibri"/>
          <w:i/>
          <w:iCs/>
          <w:color w:val="000000" w:themeColor="text1"/>
        </w:rPr>
        <w:t>Current Stem Cell Reports</w:t>
      </w:r>
      <w:r w:rsidR="006724B9" w:rsidRPr="003475EB">
        <w:rPr>
          <w:rFonts w:ascii="Calibri" w:hAnsi="Calibri" w:cs="Calibri"/>
          <w:color w:val="000000" w:themeColor="text1"/>
        </w:rPr>
        <w:t xml:space="preserve">. </w:t>
      </w:r>
      <w:r w:rsidR="006724B9" w:rsidRPr="003475EB">
        <w:rPr>
          <w:rFonts w:ascii="Calibri" w:hAnsi="Calibri" w:cs="Calibri"/>
          <w:b/>
          <w:bCs/>
          <w:color w:val="000000" w:themeColor="text1"/>
        </w:rPr>
        <w:t>3</w:t>
      </w:r>
      <w:r w:rsidR="006724B9" w:rsidRPr="003475EB">
        <w:rPr>
          <w:rFonts w:ascii="Calibri" w:hAnsi="Calibri" w:cs="Calibri"/>
          <w:color w:val="000000" w:themeColor="text1"/>
        </w:rPr>
        <w:t xml:space="preserve"> (4), 320–332 (2017).</w:t>
      </w:r>
    </w:p>
    <w:sectPr w:rsidR="006724B9" w:rsidRPr="003475EB" w:rsidSect="007D42BE">
      <w:headerReference w:type="default" r:id="rId8"/>
      <w:footerReference w:type="default" r:id="rId9"/>
      <w:headerReference w:type="first" r:id="rId10"/>
      <w:footerReference w:type="first" r:id="rId11"/>
      <w:pgSz w:w="12240" w:h="15840"/>
      <w:pgMar w:top="1440" w:right="1440" w:bottom="1440" w:left="1440" w:header="720" w:footer="576"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5FF54" w14:textId="77777777" w:rsidR="00A540B9" w:rsidRDefault="00A540B9" w:rsidP="00621C4E">
      <w:r>
        <w:separator/>
      </w:r>
    </w:p>
  </w:endnote>
  <w:endnote w:type="continuationSeparator" w:id="0">
    <w:p w14:paraId="6479B209" w14:textId="77777777" w:rsidR="00A540B9" w:rsidRDefault="00A540B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65317C91" w:rsidR="002A0E4E" w:rsidRDefault="002A0E4E">
    <w:pPr>
      <w:pStyle w:val="Footer"/>
    </w:pPr>
  </w:p>
  <w:p w14:paraId="39947363" w14:textId="71AB2B06" w:rsidR="002A0E4E" w:rsidRPr="00494F77" w:rsidRDefault="002A0E4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58E08F5D" w:rsidR="002A0E4E" w:rsidRDefault="002A0E4E" w:rsidP="00120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B63EE" w14:textId="77777777" w:rsidR="00A540B9" w:rsidRDefault="00A540B9" w:rsidP="00621C4E">
      <w:r>
        <w:separator/>
      </w:r>
    </w:p>
  </w:footnote>
  <w:footnote w:type="continuationSeparator" w:id="0">
    <w:p w14:paraId="7DC95445" w14:textId="77777777" w:rsidR="00A540B9" w:rsidRDefault="00A540B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0E255583" w:rsidR="002A0E4E" w:rsidRPr="006F06E4" w:rsidRDefault="002A0E4E"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C17D7E8" w:rsidR="002A0E4E" w:rsidRPr="006F06E4" w:rsidRDefault="002A0E4E" w:rsidP="00120F94">
    <w:pPr>
      <w:pStyle w:val="Header"/>
      <w:tabs>
        <w:tab w:val="left" w:pos="1180"/>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31D0"/>
    <w:multiLevelType w:val="multilevel"/>
    <w:tmpl w:val="7D62A81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439D6"/>
    <w:multiLevelType w:val="multilevel"/>
    <w:tmpl w:val="F83C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74C6D"/>
    <w:multiLevelType w:val="hybridMultilevel"/>
    <w:tmpl w:val="697C5970"/>
    <w:lvl w:ilvl="0" w:tplc="544AFC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C6A8CA2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DDD6C06"/>
    <w:multiLevelType w:val="hybridMultilevel"/>
    <w:tmpl w:val="166A3D22"/>
    <w:lvl w:ilvl="0" w:tplc="544AFC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795939"/>
    <w:multiLevelType w:val="multilevel"/>
    <w:tmpl w:val="599C08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72E32CBC"/>
    <w:multiLevelType w:val="hybridMultilevel"/>
    <w:tmpl w:val="F8B6E6F6"/>
    <w:lvl w:ilvl="0" w:tplc="D68C7166">
      <w:start w:val="1"/>
      <w:numFmt w:val="upperLetter"/>
      <w:lvlText w:val="(%1)"/>
      <w:lvlJc w:val="left"/>
      <w:pPr>
        <w:ind w:left="380" w:hanging="3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6"/>
  </w:num>
  <w:num w:numId="4">
    <w:abstractNumId w:val="21"/>
  </w:num>
  <w:num w:numId="5">
    <w:abstractNumId w:val="11"/>
  </w:num>
  <w:num w:numId="6">
    <w:abstractNumId w:val="20"/>
  </w:num>
  <w:num w:numId="7">
    <w:abstractNumId w:val="1"/>
  </w:num>
  <w:num w:numId="8">
    <w:abstractNumId w:val="12"/>
  </w:num>
  <w:num w:numId="9">
    <w:abstractNumId w:val="14"/>
  </w:num>
  <w:num w:numId="10">
    <w:abstractNumId w:val="22"/>
  </w:num>
  <w:num w:numId="11">
    <w:abstractNumId w:val="26"/>
  </w:num>
  <w:num w:numId="12">
    <w:abstractNumId w:val="3"/>
  </w:num>
  <w:num w:numId="13">
    <w:abstractNumId w:val="24"/>
  </w:num>
  <w:num w:numId="14">
    <w:abstractNumId w:val="32"/>
  </w:num>
  <w:num w:numId="15">
    <w:abstractNumId w:val="15"/>
  </w:num>
  <w:num w:numId="16">
    <w:abstractNumId w:val="10"/>
  </w:num>
  <w:num w:numId="17">
    <w:abstractNumId w:val="25"/>
  </w:num>
  <w:num w:numId="18">
    <w:abstractNumId w:val="16"/>
  </w:num>
  <w:num w:numId="19">
    <w:abstractNumId w:val="28"/>
  </w:num>
  <w:num w:numId="20">
    <w:abstractNumId w:val="4"/>
  </w:num>
  <w:num w:numId="21">
    <w:abstractNumId w:val="29"/>
  </w:num>
  <w:num w:numId="22">
    <w:abstractNumId w:val="27"/>
  </w:num>
  <w:num w:numId="23">
    <w:abstractNumId w:val="17"/>
  </w:num>
  <w:num w:numId="24">
    <w:abstractNumId w:val="33"/>
  </w:num>
  <w:num w:numId="25">
    <w:abstractNumId w:val="9"/>
  </w:num>
  <w:num w:numId="26">
    <w:abstractNumId w:val="2"/>
  </w:num>
  <w:num w:numId="27">
    <w:abstractNumId w:val="8"/>
  </w:num>
  <w:num w:numId="28">
    <w:abstractNumId w:val="34"/>
  </w:num>
  <w:num w:numId="29">
    <w:abstractNumId w:val="5"/>
  </w:num>
  <w:num w:numId="30">
    <w:abstractNumId w:val="19"/>
  </w:num>
  <w:num w:numId="31">
    <w:abstractNumId w:val="18"/>
  </w:num>
  <w:num w:numId="32">
    <w:abstractNumId w:val="13"/>
  </w:num>
  <w:num w:numId="33">
    <w:abstractNumId w:val="30"/>
  </w:num>
  <w:num w:numId="34">
    <w:abstractNumId w:val="0"/>
  </w:num>
  <w:num w:numId="35">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E705F"/>
    <w:rsid w:val="00000175"/>
    <w:rsid w:val="00001169"/>
    <w:rsid w:val="00001806"/>
    <w:rsid w:val="00003B6D"/>
    <w:rsid w:val="00003CD7"/>
    <w:rsid w:val="00005815"/>
    <w:rsid w:val="00006E68"/>
    <w:rsid w:val="00007DBC"/>
    <w:rsid w:val="00007EA1"/>
    <w:rsid w:val="000100F0"/>
    <w:rsid w:val="000129B2"/>
    <w:rsid w:val="00012FF9"/>
    <w:rsid w:val="0001389C"/>
    <w:rsid w:val="00014314"/>
    <w:rsid w:val="00015CF2"/>
    <w:rsid w:val="000212AE"/>
    <w:rsid w:val="00021434"/>
    <w:rsid w:val="00021774"/>
    <w:rsid w:val="00021DF3"/>
    <w:rsid w:val="00022594"/>
    <w:rsid w:val="00023869"/>
    <w:rsid w:val="00024598"/>
    <w:rsid w:val="00025491"/>
    <w:rsid w:val="000261C0"/>
    <w:rsid w:val="000279B0"/>
    <w:rsid w:val="00032769"/>
    <w:rsid w:val="0003311E"/>
    <w:rsid w:val="00033A94"/>
    <w:rsid w:val="00037444"/>
    <w:rsid w:val="00037B58"/>
    <w:rsid w:val="00037BCB"/>
    <w:rsid w:val="00037F19"/>
    <w:rsid w:val="0004172B"/>
    <w:rsid w:val="00041A92"/>
    <w:rsid w:val="00044154"/>
    <w:rsid w:val="00051ACF"/>
    <w:rsid w:val="00051B73"/>
    <w:rsid w:val="00053F41"/>
    <w:rsid w:val="00057005"/>
    <w:rsid w:val="000575CF"/>
    <w:rsid w:val="00060ABE"/>
    <w:rsid w:val="00061A50"/>
    <w:rsid w:val="00061EF3"/>
    <w:rsid w:val="0006361B"/>
    <w:rsid w:val="00064104"/>
    <w:rsid w:val="00064F1F"/>
    <w:rsid w:val="00064F32"/>
    <w:rsid w:val="000652E3"/>
    <w:rsid w:val="0006594A"/>
    <w:rsid w:val="00066025"/>
    <w:rsid w:val="00066290"/>
    <w:rsid w:val="000662B4"/>
    <w:rsid w:val="00066C84"/>
    <w:rsid w:val="000671CC"/>
    <w:rsid w:val="00067A8F"/>
    <w:rsid w:val="000701D1"/>
    <w:rsid w:val="00070D48"/>
    <w:rsid w:val="00072432"/>
    <w:rsid w:val="00080A20"/>
    <w:rsid w:val="00080A42"/>
    <w:rsid w:val="00082361"/>
    <w:rsid w:val="00082796"/>
    <w:rsid w:val="00082DF4"/>
    <w:rsid w:val="00083664"/>
    <w:rsid w:val="00083B97"/>
    <w:rsid w:val="000863AD"/>
    <w:rsid w:val="00086FF5"/>
    <w:rsid w:val="00087C0A"/>
    <w:rsid w:val="0009019F"/>
    <w:rsid w:val="00091788"/>
    <w:rsid w:val="00093BC4"/>
    <w:rsid w:val="000943E6"/>
    <w:rsid w:val="000957C9"/>
    <w:rsid w:val="00097929"/>
    <w:rsid w:val="000A0265"/>
    <w:rsid w:val="000A0F2D"/>
    <w:rsid w:val="000A156A"/>
    <w:rsid w:val="000A1E80"/>
    <w:rsid w:val="000A3B70"/>
    <w:rsid w:val="000A5153"/>
    <w:rsid w:val="000A6DC2"/>
    <w:rsid w:val="000B10AE"/>
    <w:rsid w:val="000B30BF"/>
    <w:rsid w:val="000B566B"/>
    <w:rsid w:val="000B595C"/>
    <w:rsid w:val="000B59FB"/>
    <w:rsid w:val="000B662E"/>
    <w:rsid w:val="000B7294"/>
    <w:rsid w:val="000B740A"/>
    <w:rsid w:val="000B75D0"/>
    <w:rsid w:val="000B7EF0"/>
    <w:rsid w:val="000C1209"/>
    <w:rsid w:val="000C1CF8"/>
    <w:rsid w:val="000C1E0E"/>
    <w:rsid w:val="000C49CF"/>
    <w:rsid w:val="000C52E9"/>
    <w:rsid w:val="000C5B8B"/>
    <w:rsid w:val="000C5CDC"/>
    <w:rsid w:val="000C65DC"/>
    <w:rsid w:val="000C66F3"/>
    <w:rsid w:val="000C6900"/>
    <w:rsid w:val="000C770D"/>
    <w:rsid w:val="000D28BF"/>
    <w:rsid w:val="000D31E8"/>
    <w:rsid w:val="000D699E"/>
    <w:rsid w:val="000D76E4"/>
    <w:rsid w:val="000D7CEC"/>
    <w:rsid w:val="000E1B1E"/>
    <w:rsid w:val="000E2C9E"/>
    <w:rsid w:val="000E3816"/>
    <w:rsid w:val="000E4F77"/>
    <w:rsid w:val="000F11AF"/>
    <w:rsid w:val="000F265C"/>
    <w:rsid w:val="000F3AFA"/>
    <w:rsid w:val="000F5712"/>
    <w:rsid w:val="000F6611"/>
    <w:rsid w:val="000F74DE"/>
    <w:rsid w:val="000F7C5C"/>
    <w:rsid w:val="000F7E22"/>
    <w:rsid w:val="00104599"/>
    <w:rsid w:val="00105C0A"/>
    <w:rsid w:val="00107317"/>
    <w:rsid w:val="00107554"/>
    <w:rsid w:val="001075E9"/>
    <w:rsid w:val="001104F3"/>
    <w:rsid w:val="00110AF0"/>
    <w:rsid w:val="00112B67"/>
    <w:rsid w:val="00112EEB"/>
    <w:rsid w:val="001173FF"/>
    <w:rsid w:val="00120F94"/>
    <w:rsid w:val="00121E70"/>
    <w:rsid w:val="0012563A"/>
    <w:rsid w:val="001256FE"/>
    <w:rsid w:val="0012644C"/>
    <w:rsid w:val="001264DE"/>
    <w:rsid w:val="001313A7"/>
    <w:rsid w:val="0013276F"/>
    <w:rsid w:val="001332F7"/>
    <w:rsid w:val="001342B5"/>
    <w:rsid w:val="0013621E"/>
    <w:rsid w:val="0013642E"/>
    <w:rsid w:val="00142EFE"/>
    <w:rsid w:val="00143054"/>
    <w:rsid w:val="00144D12"/>
    <w:rsid w:val="00146368"/>
    <w:rsid w:val="001478A5"/>
    <w:rsid w:val="00152A23"/>
    <w:rsid w:val="001543B2"/>
    <w:rsid w:val="00156B11"/>
    <w:rsid w:val="00162CB7"/>
    <w:rsid w:val="00162F46"/>
    <w:rsid w:val="0016554B"/>
    <w:rsid w:val="00166255"/>
    <w:rsid w:val="001665C9"/>
    <w:rsid w:val="00166F32"/>
    <w:rsid w:val="00170F7A"/>
    <w:rsid w:val="001718C0"/>
    <w:rsid w:val="00171E5B"/>
    <w:rsid w:val="00171F94"/>
    <w:rsid w:val="00174537"/>
    <w:rsid w:val="00175D4E"/>
    <w:rsid w:val="00176135"/>
    <w:rsid w:val="0017668A"/>
    <w:rsid w:val="001766FE"/>
    <w:rsid w:val="00176F7B"/>
    <w:rsid w:val="001771E7"/>
    <w:rsid w:val="001802C3"/>
    <w:rsid w:val="00184C79"/>
    <w:rsid w:val="00185B56"/>
    <w:rsid w:val="00186976"/>
    <w:rsid w:val="001911FF"/>
    <w:rsid w:val="00191FA3"/>
    <w:rsid w:val="00192006"/>
    <w:rsid w:val="00193180"/>
    <w:rsid w:val="001933CC"/>
    <w:rsid w:val="0019352E"/>
    <w:rsid w:val="0019530C"/>
    <w:rsid w:val="00196792"/>
    <w:rsid w:val="00197BA9"/>
    <w:rsid w:val="001A09A6"/>
    <w:rsid w:val="001A37E9"/>
    <w:rsid w:val="001A3C61"/>
    <w:rsid w:val="001A5744"/>
    <w:rsid w:val="001A7020"/>
    <w:rsid w:val="001A7188"/>
    <w:rsid w:val="001B1519"/>
    <w:rsid w:val="001B2E2D"/>
    <w:rsid w:val="001B415B"/>
    <w:rsid w:val="001B5CD2"/>
    <w:rsid w:val="001C02E7"/>
    <w:rsid w:val="001C04CB"/>
    <w:rsid w:val="001C0BEE"/>
    <w:rsid w:val="001C1E49"/>
    <w:rsid w:val="001C27C1"/>
    <w:rsid w:val="001C2A98"/>
    <w:rsid w:val="001C3B86"/>
    <w:rsid w:val="001C4385"/>
    <w:rsid w:val="001C4D95"/>
    <w:rsid w:val="001C69A6"/>
    <w:rsid w:val="001C7C64"/>
    <w:rsid w:val="001D1883"/>
    <w:rsid w:val="001D3D7D"/>
    <w:rsid w:val="001D3FFF"/>
    <w:rsid w:val="001D4997"/>
    <w:rsid w:val="001D5571"/>
    <w:rsid w:val="001D625F"/>
    <w:rsid w:val="001D68A4"/>
    <w:rsid w:val="001D7576"/>
    <w:rsid w:val="001E0E3F"/>
    <w:rsid w:val="001E14A0"/>
    <w:rsid w:val="001E58DB"/>
    <w:rsid w:val="001E7376"/>
    <w:rsid w:val="001E73F6"/>
    <w:rsid w:val="001E7449"/>
    <w:rsid w:val="001F225C"/>
    <w:rsid w:val="001F39C4"/>
    <w:rsid w:val="001F3B91"/>
    <w:rsid w:val="001F440D"/>
    <w:rsid w:val="001F4A63"/>
    <w:rsid w:val="001F4DC0"/>
    <w:rsid w:val="001F6C23"/>
    <w:rsid w:val="002002CD"/>
    <w:rsid w:val="00200792"/>
    <w:rsid w:val="00201CFA"/>
    <w:rsid w:val="0020220D"/>
    <w:rsid w:val="00202448"/>
    <w:rsid w:val="00202D15"/>
    <w:rsid w:val="002049F3"/>
    <w:rsid w:val="00205B3F"/>
    <w:rsid w:val="002076B7"/>
    <w:rsid w:val="00211CFF"/>
    <w:rsid w:val="0021231E"/>
    <w:rsid w:val="002124EB"/>
    <w:rsid w:val="00212EAE"/>
    <w:rsid w:val="00213B27"/>
    <w:rsid w:val="00214BEE"/>
    <w:rsid w:val="002205B8"/>
    <w:rsid w:val="00225720"/>
    <w:rsid w:val="002259E5"/>
    <w:rsid w:val="00226140"/>
    <w:rsid w:val="002274F3"/>
    <w:rsid w:val="0023094C"/>
    <w:rsid w:val="002316BE"/>
    <w:rsid w:val="0023286E"/>
    <w:rsid w:val="00233484"/>
    <w:rsid w:val="00234303"/>
    <w:rsid w:val="00234BE3"/>
    <w:rsid w:val="00235A90"/>
    <w:rsid w:val="0023624F"/>
    <w:rsid w:val="00241268"/>
    <w:rsid w:val="00241E48"/>
    <w:rsid w:val="0024214E"/>
    <w:rsid w:val="00242623"/>
    <w:rsid w:val="00242991"/>
    <w:rsid w:val="00244D7A"/>
    <w:rsid w:val="002459BA"/>
    <w:rsid w:val="0024717D"/>
    <w:rsid w:val="002504EF"/>
    <w:rsid w:val="00250558"/>
    <w:rsid w:val="0025357C"/>
    <w:rsid w:val="00254BA4"/>
    <w:rsid w:val="002605D1"/>
    <w:rsid w:val="00260652"/>
    <w:rsid w:val="00260B13"/>
    <w:rsid w:val="00261F25"/>
    <w:rsid w:val="00262D27"/>
    <w:rsid w:val="0026370F"/>
    <w:rsid w:val="002648A9"/>
    <w:rsid w:val="00265127"/>
    <w:rsid w:val="0026536F"/>
    <w:rsid w:val="0026553C"/>
    <w:rsid w:val="002661A0"/>
    <w:rsid w:val="00266DA7"/>
    <w:rsid w:val="0026753F"/>
    <w:rsid w:val="0026790A"/>
    <w:rsid w:val="00267DD5"/>
    <w:rsid w:val="0027096E"/>
    <w:rsid w:val="002721E9"/>
    <w:rsid w:val="00274A0A"/>
    <w:rsid w:val="00277593"/>
    <w:rsid w:val="00280909"/>
    <w:rsid w:val="00280918"/>
    <w:rsid w:val="00282AF6"/>
    <w:rsid w:val="002833B0"/>
    <w:rsid w:val="0028419F"/>
    <w:rsid w:val="0028596A"/>
    <w:rsid w:val="00287085"/>
    <w:rsid w:val="00287DC0"/>
    <w:rsid w:val="0029056F"/>
    <w:rsid w:val="00290AF9"/>
    <w:rsid w:val="00291131"/>
    <w:rsid w:val="002967CF"/>
    <w:rsid w:val="00297788"/>
    <w:rsid w:val="002A0E4E"/>
    <w:rsid w:val="002A3285"/>
    <w:rsid w:val="002A34F9"/>
    <w:rsid w:val="002A484B"/>
    <w:rsid w:val="002A513D"/>
    <w:rsid w:val="002A52A1"/>
    <w:rsid w:val="002A61DA"/>
    <w:rsid w:val="002A6262"/>
    <w:rsid w:val="002A64A6"/>
    <w:rsid w:val="002B1AD3"/>
    <w:rsid w:val="002B1FE3"/>
    <w:rsid w:val="002B256D"/>
    <w:rsid w:val="002B30B0"/>
    <w:rsid w:val="002B3301"/>
    <w:rsid w:val="002B3E72"/>
    <w:rsid w:val="002B540B"/>
    <w:rsid w:val="002C1445"/>
    <w:rsid w:val="002C36AC"/>
    <w:rsid w:val="002C457E"/>
    <w:rsid w:val="002C47D4"/>
    <w:rsid w:val="002D0F38"/>
    <w:rsid w:val="002D22E1"/>
    <w:rsid w:val="002D364B"/>
    <w:rsid w:val="002D77E3"/>
    <w:rsid w:val="002F2859"/>
    <w:rsid w:val="002F696B"/>
    <w:rsid w:val="002F6E3C"/>
    <w:rsid w:val="0030117D"/>
    <w:rsid w:val="00301F30"/>
    <w:rsid w:val="0030236A"/>
    <w:rsid w:val="00302DEA"/>
    <w:rsid w:val="003038FD"/>
    <w:rsid w:val="00303C87"/>
    <w:rsid w:val="00304806"/>
    <w:rsid w:val="00306D4E"/>
    <w:rsid w:val="003108E5"/>
    <w:rsid w:val="003115A8"/>
    <w:rsid w:val="003120CB"/>
    <w:rsid w:val="003174B2"/>
    <w:rsid w:val="003176B9"/>
    <w:rsid w:val="00320153"/>
    <w:rsid w:val="00320367"/>
    <w:rsid w:val="00321A5F"/>
    <w:rsid w:val="00322871"/>
    <w:rsid w:val="00324A91"/>
    <w:rsid w:val="00326D12"/>
    <w:rsid w:val="00326FB3"/>
    <w:rsid w:val="003316D4"/>
    <w:rsid w:val="003321B2"/>
    <w:rsid w:val="00332729"/>
    <w:rsid w:val="00332BBE"/>
    <w:rsid w:val="00333822"/>
    <w:rsid w:val="00336715"/>
    <w:rsid w:val="003401EC"/>
    <w:rsid w:val="00340DFD"/>
    <w:rsid w:val="00344954"/>
    <w:rsid w:val="00345DE8"/>
    <w:rsid w:val="003475EB"/>
    <w:rsid w:val="00350CD7"/>
    <w:rsid w:val="00351C4C"/>
    <w:rsid w:val="003521A0"/>
    <w:rsid w:val="00354159"/>
    <w:rsid w:val="00360C17"/>
    <w:rsid w:val="003621C6"/>
    <w:rsid w:val="003622B8"/>
    <w:rsid w:val="003650EC"/>
    <w:rsid w:val="00366B76"/>
    <w:rsid w:val="00367997"/>
    <w:rsid w:val="0037045A"/>
    <w:rsid w:val="00373051"/>
    <w:rsid w:val="00373B8F"/>
    <w:rsid w:val="00376D95"/>
    <w:rsid w:val="00377FBB"/>
    <w:rsid w:val="0038424E"/>
    <w:rsid w:val="00385140"/>
    <w:rsid w:val="00385A61"/>
    <w:rsid w:val="00390C46"/>
    <w:rsid w:val="003921D8"/>
    <w:rsid w:val="003927F2"/>
    <w:rsid w:val="00393CC7"/>
    <w:rsid w:val="00394A79"/>
    <w:rsid w:val="003952A8"/>
    <w:rsid w:val="00396302"/>
    <w:rsid w:val="003971F7"/>
    <w:rsid w:val="003A16FC"/>
    <w:rsid w:val="003A2C8A"/>
    <w:rsid w:val="003A3E6D"/>
    <w:rsid w:val="003A4FCD"/>
    <w:rsid w:val="003A61A8"/>
    <w:rsid w:val="003A7F1D"/>
    <w:rsid w:val="003B0944"/>
    <w:rsid w:val="003B1465"/>
    <w:rsid w:val="003B1593"/>
    <w:rsid w:val="003B2EC0"/>
    <w:rsid w:val="003B4381"/>
    <w:rsid w:val="003B6AEE"/>
    <w:rsid w:val="003B778B"/>
    <w:rsid w:val="003C0249"/>
    <w:rsid w:val="003C1043"/>
    <w:rsid w:val="003C1A30"/>
    <w:rsid w:val="003C41FB"/>
    <w:rsid w:val="003C42BA"/>
    <w:rsid w:val="003C43EF"/>
    <w:rsid w:val="003C5505"/>
    <w:rsid w:val="003C6779"/>
    <w:rsid w:val="003C678E"/>
    <w:rsid w:val="003C71BE"/>
    <w:rsid w:val="003C778D"/>
    <w:rsid w:val="003D0155"/>
    <w:rsid w:val="003D033C"/>
    <w:rsid w:val="003D064C"/>
    <w:rsid w:val="003D0F7A"/>
    <w:rsid w:val="003D27DE"/>
    <w:rsid w:val="003D2998"/>
    <w:rsid w:val="003D2F0A"/>
    <w:rsid w:val="003D3891"/>
    <w:rsid w:val="003D39EA"/>
    <w:rsid w:val="003D3FE9"/>
    <w:rsid w:val="003D58DA"/>
    <w:rsid w:val="003D5D84"/>
    <w:rsid w:val="003D7324"/>
    <w:rsid w:val="003E0F4F"/>
    <w:rsid w:val="003E18AC"/>
    <w:rsid w:val="003E210B"/>
    <w:rsid w:val="003E2A12"/>
    <w:rsid w:val="003E3384"/>
    <w:rsid w:val="003E3CA4"/>
    <w:rsid w:val="003E4AF1"/>
    <w:rsid w:val="003E544F"/>
    <w:rsid w:val="003E548E"/>
    <w:rsid w:val="003E5D96"/>
    <w:rsid w:val="003F21D1"/>
    <w:rsid w:val="003F2A84"/>
    <w:rsid w:val="00400DF3"/>
    <w:rsid w:val="004022E2"/>
    <w:rsid w:val="00406C94"/>
    <w:rsid w:val="00407AC8"/>
    <w:rsid w:val="00407EC8"/>
    <w:rsid w:val="0041110A"/>
    <w:rsid w:val="00411624"/>
    <w:rsid w:val="00413D62"/>
    <w:rsid w:val="004148E1"/>
    <w:rsid w:val="00414CFA"/>
    <w:rsid w:val="00414F7B"/>
    <w:rsid w:val="0041513E"/>
    <w:rsid w:val="00415EC0"/>
    <w:rsid w:val="00420BE9"/>
    <w:rsid w:val="00420DF7"/>
    <w:rsid w:val="0042361F"/>
    <w:rsid w:val="00423AD8"/>
    <w:rsid w:val="00423FDD"/>
    <w:rsid w:val="00424C85"/>
    <w:rsid w:val="00425112"/>
    <w:rsid w:val="004260BD"/>
    <w:rsid w:val="004276C9"/>
    <w:rsid w:val="0043012F"/>
    <w:rsid w:val="00430F1F"/>
    <w:rsid w:val="004326EA"/>
    <w:rsid w:val="00434CE9"/>
    <w:rsid w:val="00434F7C"/>
    <w:rsid w:val="0044434C"/>
    <w:rsid w:val="0044456B"/>
    <w:rsid w:val="004470C7"/>
    <w:rsid w:val="00447BD1"/>
    <w:rsid w:val="00450437"/>
    <w:rsid w:val="004507F3"/>
    <w:rsid w:val="00450AF4"/>
    <w:rsid w:val="00456A57"/>
    <w:rsid w:val="00460377"/>
    <w:rsid w:val="004607DE"/>
    <w:rsid w:val="004610A1"/>
    <w:rsid w:val="00462ADF"/>
    <w:rsid w:val="004671C7"/>
    <w:rsid w:val="0046791D"/>
    <w:rsid w:val="00472F4D"/>
    <w:rsid w:val="004730BF"/>
    <w:rsid w:val="004731A4"/>
    <w:rsid w:val="00474DCB"/>
    <w:rsid w:val="0047535C"/>
    <w:rsid w:val="004762F6"/>
    <w:rsid w:val="00485870"/>
    <w:rsid w:val="00485FE8"/>
    <w:rsid w:val="00486810"/>
    <w:rsid w:val="0049029F"/>
    <w:rsid w:val="00492054"/>
    <w:rsid w:val="00492473"/>
    <w:rsid w:val="00492B35"/>
    <w:rsid w:val="00492EB5"/>
    <w:rsid w:val="00494F77"/>
    <w:rsid w:val="00495F80"/>
    <w:rsid w:val="00497721"/>
    <w:rsid w:val="00497E7A"/>
    <w:rsid w:val="004A0229"/>
    <w:rsid w:val="004A35D2"/>
    <w:rsid w:val="004A4E2F"/>
    <w:rsid w:val="004A5770"/>
    <w:rsid w:val="004A5D8E"/>
    <w:rsid w:val="004A6484"/>
    <w:rsid w:val="004A71E4"/>
    <w:rsid w:val="004B2F00"/>
    <w:rsid w:val="004B4850"/>
    <w:rsid w:val="004B667A"/>
    <w:rsid w:val="004B6E31"/>
    <w:rsid w:val="004C1D66"/>
    <w:rsid w:val="004C2F79"/>
    <w:rsid w:val="004C31D7"/>
    <w:rsid w:val="004C4AD2"/>
    <w:rsid w:val="004C6981"/>
    <w:rsid w:val="004D0F35"/>
    <w:rsid w:val="004D114D"/>
    <w:rsid w:val="004D1F21"/>
    <w:rsid w:val="004D268C"/>
    <w:rsid w:val="004D2AD1"/>
    <w:rsid w:val="004D2DEC"/>
    <w:rsid w:val="004D43D9"/>
    <w:rsid w:val="004D50E0"/>
    <w:rsid w:val="004D59D8"/>
    <w:rsid w:val="004D5DA1"/>
    <w:rsid w:val="004D6B8C"/>
    <w:rsid w:val="004D7791"/>
    <w:rsid w:val="004D7910"/>
    <w:rsid w:val="004E150F"/>
    <w:rsid w:val="004E1DCA"/>
    <w:rsid w:val="004E23A1"/>
    <w:rsid w:val="004E3489"/>
    <w:rsid w:val="004E358A"/>
    <w:rsid w:val="004E37E3"/>
    <w:rsid w:val="004E3AD1"/>
    <w:rsid w:val="004E3AFA"/>
    <w:rsid w:val="004E4374"/>
    <w:rsid w:val="004E6588"/>
    <w:rsid w:val="004F2742"/>
    <w:rsid w:val="00500F3C"/>
    <w:rsid w:val="005012C7"/>
    <w:rsid w:val="00502A0A"/>
    <w:rsid w:val="0050382F"/>
    <w:rsid w:val="005042C6"/>
    <w:rsid w:val="00506C43"/>
    <w:rsid w:val="00507C50"/>
    <w:rsid w:val="005110D9"/>
    <w:rsid w:val="00511711"/>
    <w:rsid w:val="00513FEF"/>
    <w:rsid w:val="005142A9"/>
    <w:rsid w:val="00514D40"/>
    <w:rsid w:val="005162E1"/>
    <w:rsid w:val="00517C3A"/>
    <w:rsid w:val="005228E1"/>
    <w:rsid w:val="0052342F"/>
    <w:rsid w:val="00525DEE"/>
    <w:rsid w:val="00526A58"/>
    <w:rsid w:val="00527BF4"/>
    <w:rsid w:val="005324BE"/>
    <w:rsid w:val="00532680"/>
    <w:rsid w:val="00533166"/>
    <w:rsid w:val="00534F6C"/>
    <w:rsid w:val="00535994"/>
    <w:rsid w:val="0053646D"/>
    <w:rsid w:val="0053666F"/>
    <w:rsid w:val="00536D67"/>
    <w:rsid w:val="00540AAD"/>
    <w:rsid w:val="00543EC1"/>
    <w:rsid w:val="00546458"/>
    <w:rsid w:val="00550626"/>
    <w:rsid w:val="0055087C"/>
    <w:rsid w:val="00552A61"/>
    <w:rsid w:val="00552C01"/>
    <w:rsid w:val="00553413"/>
    <w:rsid w:val="00555983"/>
    <w:rsid w:val="00555BCA"/>
    <w:rsid w:val="00560E31"/>
    <w:rsid w:val="00560F5F"/>
    <w:rsid w:val="00561BDA"/>
    <w:rsid w:val="00562A04"/>
    <w:rsid w:val="00567DBF"/>
    <w:rsid w:val="0057269B"/>
    <w:rsid w:val="00581485"/>
    <w:rsid w:val="00581B23"/>
    <w:rsid w:val="0058219C"/>
    <w:rsid w:val="005838A3"/>
    <w:rsid w:val="00583CCE"/>
    <w:rsid w:val="00584A0E"/>
    <w:rsid w:val="00586CB0"/>
    <w:rsid w:val="0058707F"/>
    <w:rsid w:val="00591DBD"/>
    <w:rsid w:val="00592B93"/>
    <w:rsid w:val="005931FE"/>
    <w:rsid w:val="00594404"/>
    <w:rsid w:val="005971BC"/>
    <w:rsid w:val="005979D7"/>
    <w:rsid w:val="005A0028"/>
    <w:rsid w:val="005A0310"/>
    <w:rsid w:val="005A0ACC"/>
    <w:rsid w:val="005A1560"/>
    <w:rsid w:val="005A2F7A"/>
    <w:rsid w:val="005A5031"/>
    <w:rsid w:val="005A6374"/>
    <w:rsid w:val="005B0072"/>
    <w:rsid w:val="005B03C4"/>
    <w:rsid w:val="005B0732"/>
    <w:rsid w:val="005B1C90"/>
    <w:rsid w:val="005B38A0"/>
    <w:rsid w:val="005B491C"/>
    <w:rsid w:val="005B4CB4"/>
    <w:rsid w:val="005B4DBF"/>
    <w:rsid w:val="005B5DE2"/>
    <w:rsid w:val="005B6356"/>
    <w:rsid w:val="005B6432"/>
    <w:rsid w:val="005B674C"/>
    <w:rsid w:val="005C0C29"/>
    <w:rsid w:val="005C24F2"/>
    <w:rsid w:val="005C4C75"/>
    <w:rsid w:val="005C6DBB"/>
    <w:rsid w:val="005C7561"/>
    <w:rsid w:val="005D1E57"/>
    <w:rsid w:val="005D2F57"/>
    <w:rsid w:val="005D34F6"/>
    <w:rsid w:val="005D3539"/>
    <w:rsid w:val="005D4F1A"/>
    <w:rsid w:val="005E17D0"/>
    <w:rsid w:val="005E1884"/>
    <w:rsid w:val="005E2150"/>
    <w:rsid w:val="005E376D"/>
    <w:rsid w:val="005F1AD5"/>
    <w:rsid w:val="005F373A"/>
    <w:rsid w:val="005F3794"/>
    <w:rsid w:val="005F3F83"/>
    <w:rsid w:val="005F4F87"/>
    <w:rsid w:val="005F5478"/>
    <w:rsid w:val="005F65C5"/>
    <w:rsid w:val="005F6B0E"/>
    <w:rsid w:val="005F760E"/>
    <w:rsid w:val="005F7B1D"/>
    <w:rsid w:val="00601469"/>
    <w:rsid w:val="0060222A"/>
    <w:rsid w:val="0060277A"/>
    <w:rsid w:val="00602AC9"/>
    <w:rsid w:val="0060441B"/>
    <w:rsid w:val="006070C4"/>
    <w:rsid w:val="006107BF"/>
    <w:rsid w:val="00610C21"/>
    <w:rsid w:val="00610FB3"/>
    <w:rsid w:val="00611907"/>
    <w:rsid w:val="00611CD9"/>
    <w:rsid w:val="00613116"/>
    <w:rsid w:val="0061702C"/>
    <w:rsid w:val="006202A6"/>
    <w:rsid w:val="0062054B"/>
    <w:rsid w:val="00620926"/>
    <w:rsid w:val="00620A78"/>
    <w:rsid w:val="00621756"/>
    <w:rsid w:val="00621C4E"/>
    <w:rsid w:val="00621E6A"/>
    <w:rsid w:val="00621F36"/>
    <w:rsid w:val="0062392F"/>
    <w:rsid w:val="00624EAE"/>
    <w:rsid w:val="00624ECD"/>
    <w:rsid w:val="0062513D"/>
    <w:rsid w:val="006305D7"/>
    <w:rsid w:val="00632F63"/>
    <w:rsid w:val="00633A01"/>
    <w:rsid w:val="00633B97"/>
    <w:rsid w:val="00633EF9"/>
    <w:rsid w:val="006341F7"/>
    <w:rsid w:val="00634585"/>
    <w:rsid w:val="00635014"/>
    <w:rsid w:val="006354D4"/>
    <w:rsid w:val="0063564F"/>
    <w:rsid w:val="00635881"/>
    <w:rsid w:val="006369CE"/>
    <w:rsid w:val="006411CA"/>
    <w:rsid w:val="006420BA"/>
    <w:rsid w:val="00642980"/>
    <w:rsid w:val="006450C9"/>
    <w:rsid w:val="0064605E"/>
    <w:rsid w:val="0065135E"/>
    <w:rsid w:val="00656F90"/>
    <w:rsid w:val="00657BC4"/>
    <w:rsid w:val="006619C8"/>
    <w:rsid w:val="00665B00"/>
    <w:rsid w:val="006674E2"/>
    <w:rsid w:val="00671710"/>
    <w:rsid w:val="006724B9"/>
    <w:rsid w:val="00673414"/>
    <w:rsid w:val="0067513B"/>
    <w:rsid w:val="00675D19"/>
    <w:rsid w:val="00676079"/>
    <w:rsid w:val="00676ECD"/>
    <w:rsid w:val="00677D0A"/>
    <w:rsid w:val="0068185F"/>
    <w:rsid w:val="00693B03"/>
    <w:rsid w:val="00694DDC"/>
    <w:rsid w:val="00694E70"/>
    <w:rsid w:val="006A01CF"/>
    <w:rsid w:val="006A0705"/>
    <w:rsid w:val="006A60DD"/>
    <w:rsid w:val="006B0679"/>
    <w:rsid w:val="006B074C"/>
    <w:rsid w:val="006B3B84"/>
    <w:rsid w:val="006B4E7C"/>
    <w:rsid w:val="006B5D8C"/>
    <w:rsid w:val="006B61A6"/>
    <w:rsid w:val="006B72D4"/>
    <w:rsid w:val="006C0D9A"/>
    <w:rsid w:val="006C11CC"/>
    <w:rsid w:val="006C1AEB"/>
    <w:rsid w:val="006C2BEC"/>
    <w:rsid w:val="006C57FE"/>
    <w:rsid w:val="006C668E"/>
    <w:rsid w:val="006C78C9"/>
    <w:rsid w:val="006D0F4C"/>
    <w:rsid w:val="006D1783"/>
    <w:rsid w:val="006D1B53"/>
    <w:rsid w:val="006D6305"/>
    <w:rsid w:val="006E27CB"/>
    <w:rsid w:val="006E4B63"/>
    <w:rsid w:val="006E77AA"/>
    <w:rsid w:val="006F06E4"/>
    <w:rsid w:val="006F1DCF"/>
    <w:rsid w:val="006F29B5"/>
    <w:rsid w:val="006F4DC9"/>
    <w:rsid w:val="006F7B41"/>
    <w:rsid w:val="00702B5D"/>
    <w:rsid w:val="00702FFB"/>
    <w:rsid w:val="00703ED2"/>
    <w:rsid w:val="0070503C"/>
    <w:rsid w:val="00706E68"/>
    <w:rsid w:val="00707B8D"/>
    <w:rsid w:val="00707D73"/>
    <w:rsid w:val="00713636"/>
    <w:rsid w:val="00714B8C"/>
    <w:rsid w:val="0071675D"/>
    <w:rsid w:val="00717736"/>
    <w:rsid w:val="00717C18"/>
    <w:rsid w:val="00732933"/>
    <w:rsid w:val="00732B47"/>
    <w:rsid w:val="00733D88"/>
    <w:rsid w:val="00733FD3"/>
    <w:rsid w:val="00734660"/>
    <w:rsid w:val="00735CF5"/>
    <w:rsid w:val="00735DC6"/>
    <w:rsid w:val="0074063A"/>
    <w:rsid w:val="007409D6"/>
    <w:rsid w:val="00742AA4"/>
    <w:rsid w:val="00743BA1"/>
    <w:rsid w:val="00745F1E"/>
    <w:rsid w:val="007515FE"/>
    <w:rsid w:val="007601D0"/>
    <w:rsid w:val="007603BB"/>
    <w:rsid w:val="0076109D"/>
    <w:rsid w:val="00766042"/>
    <w:rsid w:val="00767107"/>
    <w:rsid w:val="00771AD3"/>
    <w:rsid w:val="007723E6"/>
    <w:rsid w:val="00773326"/>
    <w:rsid w:val="00773617"/>
    <w:rsid w:val="00773BFD"/>
    <w:rsid w:val="007743B3"/>
    <w:rsid w:val="00774490"/>
    <w:rsid w:val="0077581E"/>
    <w:rsid w:val="007819FF"/>
    <w:rsid w:val="00783548"/>
    <w:rsid w:val="0078360C"/>
    <w:rsid w:val="00784721"/>
    <w:rsid w:val="007849B6"/>
    <w:rsid w:val="00784A4C"/>
    <w:rsid w:val="00784BC6"/>
    <w:rsid w:val="0078523D"/>
    <w:rsid w:val="00785F61"/>
    <w:rsid w:val="00787CE9"/>
    <w:rsid w:val="00790E9B"/>
    <w:rsid w:val="00791AD3"/>
    <w:rsid w:val="007931DF"/>
    <w:rsid w:val="0079323D"/>
    <w:rsid w:val="007979D9"/>
    <w:rsid w:val="007A0172"/>
    <w:rsid w:val="007A05C0"/>
    <w:rsid w:val="007A1804"/>
    <w:rsid w:val="007A215A"/>
    <w:rsid w:val="007A2511"/>
    <w:rsid w:val="007A260E"/>
    <w:rsid w:val="007A31B1"/>
    <w:rsid w:val="007A4D4C"/>
    <w:rsid w:val="007A4DD6"/>
    <w:rsid w:val="007A5CB9"/>
    <w:rsid w:val="007A628B"/>
    <w:rsid w:val="007B0A9C"/>
    <w:rsid w:val="007B20AE"/>
    <w:rsid w:val="007B4B9D"/>
    <w:rsid w:val="007B6B07"/>
    <w:rsid w:val="007B6D43"/>
    <w:rsid w:val="007B749A"/>
    <w:rsid w:val="007B7725"/>
    <w:rsid w:val="007B7C6E"/>
    <w:rsid w:val="007C023F"/>
    <w:rsid w:val="007C042E"/>
    <w:rsid w:val="007C0F81"/>
    <w:rsid w:val="007C33ED"/>
    <w:rsid w:val="007C43DF"/>
    <w:rsid w:val="007C6BCA"/>
    <w:rsid w:val="007C7F9C"/>
    <w:rsid w:val="007D0240"/>
    <w:rsid w:val="007D02AF"/>
    <w:rsid w:val="007D10E1"/>
    <w:rsid w:val="007D42BE"/>
    <w:rsid w:val="007D44D7"/>
    <w:rsid w:val="007D51D3"/>
    <w:rsid w:val="007D5365"/>
    <w:rsid w:val="007D621A"/>
    <w:rsid w:val="007D7301"/>
    <w:rsid w:val="007D74A4"/>
    <w:rsid w:val="007E058A"/>
    <w:rsid w:val="007E2887"/>
    <w:rsid w:val="007E455F"/>
    <w:rsid w:val="007E5278"/>
    <w:rsid w:val="007E749C"/>
    <w:rsid w:val="007E74A6"/>
    <w:rsid w:val="007F191D"/>
    <w:rsid w:val="007F1B5C"/>
    <w:rsid w:val="007F6C86"/>
    <w:rsid w:val="00801257"/>
    <w:rsid w:val="00803878"/>
    <w:rsid w:val="00803B0A"/>
    <w:rsid w:val="00804DED"/>
    <w:rsid w:val="00805B96"/>
    <w:rsid w:val="00807444"/>
    <w:rsid w:val="00807E4B"/>
    <w:rsid w:val="008105BE"/>
    <w:rsid w:val="008115A5"/>
    <w:rsid w:val="00811D46"/>
    <w:rsid w:val="0081415D"/>
    <w:rsid w:val="00815956"/>
    <w:rsid w:val="00820229"/>
    <w:rsid w:val="008207C2"/>
    <w:rsid w:val="00821A68"/>
    <w:rsid w:val="00822448"/>
    <w:rsid w:val="00822734"/>
    <w:rsid w:val="00822ABE"/>
    <w:rsid w:val="008244D1"/>
    <w:rsid w:val="0082555B"/>
    <w:rsid w:val="00827F51"/>
    <w:rsid w:val="00830E5B"/>
    <w:rsid w:val="0083104E"/>
    <w:rsid w:val="008343BE"/>
    <w:rsid w:val="00836535"/>
    <w:rsid w:val="00837D2C"/>
    <w:rsid w:val="00840FB4"/>
    <w:rsid w:val="008410B2"/>
    <w:rsid w:val="008415A2"/>
    <w:rsid w:val="00841780"/>
    <w:rsid w:val="00844A9D"/>
    <w:rsid w:val="008500A0"/>
    <w:rsid w:val="00851A00"/>
    <w:rsid w:val="008524E5"/>
    <w:rsid w:val="0085351C"/>
    <w:rsid w:val="00853A88"/>
    <w:rsid w:val="0085435A"/>
    <w:rsid w:val="008549CA"/>
    <w:rsid w:val="008556C3"/>
    <w:rsid w:val="0085687C"/>
    <w:rsid w:val="008611C1"/>
    <w:rsid w:val="008622DA"/>
    <w:rsid w:val="00863BEF"/>
    <w:rsid w:val="00864B0B"/>
    <w:rsid w:val="00865A4B"/>
    <w:rsid w:val="008706C5"/>
    <w:rsid w:val="00873707"/>
    <w:rsid w:val="00874B20"/>
    <w:rsid w:val="008757C6"/>
    <w:rsid w:val="008763E1"/>
    <w:rsid w:val="00876AE7"/>
    <w:rsid w:val="0087775C"/>
    <w:rsid w:val="00877EC8"/>
    <w:rsid w:val="00880F36"/>
    <w:rsid w:val="00881446"/>
    <w:rsid w:val="008815E4"/>
    <w:rsid w:val="00881B3E"/>
    <w:rsid w:val="00885530"/>
    <w:rsid w:val="008910D1"/>
    <w:rsid w:val="0089296C"/>
    <w:rsid w:val="00896895"/>
    <w:rsid w:val="00896ABD"/>
    <w:rsid w:val="008970E4"/>
    <w:rsid w:val="00897AB6"/>
    <w:rsid w:val="00897DA8"/>
    <w:rsid w:val="008A3380"/>
    <w:rsid w:val="008A62BC"/>
    <w:rsid w:val="008A68F6"/>
    <w:rsid w:val="008A6E7E"/>
    <w:rsid w:val="008A7A9C"/>
    <w:rsid w:val="008A7D29"/>
    <w:rsid w:val="008A7D89"/>
    <w:rsid w:val="008B48C4"/>
    <w:rsid w:val="008B5218"/>
    <w:rsid w:val="008B5752"/>
    <w:rsid w:val="008B5C3D"/>
    <w:rsid w:val="008B7102"/>
    <w:rsid w:val="008B7CD5"/>
    <w:rsid w:val="008C3B7D"/>
    <w:rsid w:val="008D089E"/>
    <w:rsid w:val="008D0F90"/>
    <w:rsid w:val="008D3715"/>
    <w:rsid w:val="008D39BF"/>
    <w:rsid w:val="008D5465"/>
    <w:rsid w:val="008D5E61"/>
    <w:rsid w:val="008D6AD5"/>
    <w:rsid w:val="008D7374"/>
    <w:rsid w:val="008D7EB7"/>
    <w:rsid w:val="008D7EC5"/>
    <w:rsid w:val="008E16F3"/>
    <w:rsid w:val="008E3684"/>
    <w:rsid w:val="008E57F5"/>
    <w:rsid w:val="008E7606"/>
    <w:rsid w:val="008E7B41"/>
    <w:rsid w:val="008F0AE1"/>
    <w:rsid w:val="008F1DAA"/>
    <w:rsid w:val="008F2016"/>
    <w:rsid w:val="008F3EBD"/>
    <w:rsid w:val="008F60B2"/>
    <w:rsid w:val="008F6A21"/>
    <w:rsid w:val="008F6EBB"/>
    <w:rsid w:val="008F7A3E"/>
    <w:rsid w:val="008F7C41"/>
    <w:rsid w:val="00901C70"/>
    <w:rsid w:val="009031E2"/>
    <w:rsid w:val="00904085"/>
    <w:rsid w:val="0091276C"/>
    <w:rsid w:val="009145BE"/>
    <w:rsid w:val="009165AC"/>
    <w:rsid w:val="00916FFC"/>
    <w:rsid w:val="00917A57"/>
    <w:rsid w:val="0092053F"/>
    <w:rsid w:val="0092340A"/>
    <w:rsid w:val="00924515"/>
    <w:rsid w:val="009258AE"/>
    <w:rsid w:val="009313D9"/>
    <w:rsid w:val="00932ACB"/>
    <w:rsid w:val="00935B7F"/>
    <w:rsid w:val="00937395"/>
    <w:rsid w:val="00937A03"/>
    <w:rsid w:val="00941293"/>
    <w:rsid w:val="00942D5C"/>
    <w:rsid w:val="009434A3"/>
    <w:rsid w:val="00944D9E"/>
    <w:rsid w:val="00946372"/>
    <w:rsid w:val="00946990"/>
    <w:rsid w:val="0095032B"/>
    <w:rsid w:val="00950B13"/>
    <w:rsid w:val="00950C17"/>
    <w:rsid w:val="00951672"/>
    <w:rsid w:val="00951FAF"/>
    <w:rsid w:val="00954509"/>
    <w:rsid w:val="00954740"/>
    <w:rsid w:val="009557BC"/>
    <w:rsid w:val="00955AE5"/>
    <w:rsid w:val="00962E71"/>
    <w:rsid w:val="00963ABC"/>
    <w:rsid w:val="00965549"/>
    <w:rsid w:val="00965D21"/>
    <w:rsid w:val="00967764"/>
    <w:rsid w:val="00970B0E"/>
    <w:rsid w:val="00970BB9"/>
    <w:rsid w:val="00970D20"/>
    <w:rsid w:val="009726EE"/>
    <w:rsid w:val="00972CDE"/>
    <w:rsid w:val="00972E71"/>
    <w:rsid w:val="00973141"/>
    <w:rsid w:val="009733DD"/>
    <w:rsid w:val="00975573"/>
    <w:rsid w:val="009768BA"/>
    <w:rsid w:val="00976D03"/>
    <w:rsid w:val="00977B30"/>
    <w:rsid w:val="00980258"/>
    <w:rsid w:val="00980DFD"/>
    <w:rsid w:val="00982F41"/>
    <w:rsid w:val="00984017"/>
    <w:rsid w:val="0098421F"/>
    <w:rsid w:val="00985090"/>
    <w:rsid w:val="00986F6E"/>
    <w:rsid w:val="00987710"/>
    <w:rsid w:val="009904AB"/>
    <w:rsid w:val="00990991"/>
    <w:rsid w:val="00995688"/>
    <w:rsid w:val="009958A6"/>
    <w:rsid w:val="00995F7F"/>
    <w:rsid w:val="00996456"/>
    <w:rsid w:val="009A01C9"/>
    <w:rsid w:val="009A04F5"/>
    <w:rsid w:val="009A15EF"/>
    <w:rsid w:val="009A38A5"/>
    <w:rsid w:val="009A4455"/>
    <w:rsid w:val="009A5912"/>
    <w:rsid w:val="009A5B73"/>
    <w:rsid w:val="009A6CCA"/>
    <w:rsid w:val="009B118B"/>
    <w:rsid w:val="009B1737"/>
    <w:rsid w:val="009B3D4B"/>
    <w:rsid w:val="009B4E63"/>
    <w:rsid w:val="009B5B99"/>
    <w:rsid w:val="009B6ED4"/>
    <w:rsid w:val="009B6EFC"/>
    <w:rsid w:val="009C1FD0"/>
    <w:rsid w:val="009C2D94"/>
    <w:rsid w:val="009C2DF8"/>
    <w:rsid w:val="009C31BF"/>
    <w:rsid w:val="009C478A"/>
    <w:rsid w:val="009C5C7A"/>
    <w:rsid w:val="009C5FB4"/>
    <w:rsid w:val="009C68B7"/>
    <w:rsid w:val="009D0834"/>
    <w:rsid w:val="009D095A"/>
    <w:rsid w:val="009D0A1E"/>
    <w:rsid w:val="009D0A5D"/>
    <w:rsid w:val="009D1AD1"/>
    <w:rsid w:val="009D2AE3"/>
    <w:rsid w:val="009D52BC"/>
    <w:rsid w:val="009D6571"/>
    <w:rsid w:val="009D7257"/>
    <w:rsid w:val="009D7D0A"/>
    <w:rsid w:val="009E09D9"/>
    <w:rsid w:val="009F01B1"/>
    <w:rsid w:val="009F0857"/>
    <w:rsid w:val="009F0DBB"/>
    <w:rsid w:val="009F28F9"/>
    <w:rsid w:val="009F3887"/>
    <w:rsid w:val="009F40DC"/>
    <w:rsid w:val="009F659A"/>
    <w:rsid w:val="009F732B"/>
    <w:rsid w:val="00A01FE0"/>
    <w:rsid w:val="00A020C6"/>
    <w:rsid w:val="00A02EE5"/>
    <w:rsid w:val="00A03C33"/>
    <w:rsid w:val="00A04630"/>
    <w:rsid w:val="00A04B95"/>
    <w:rsid w:val="00A04E02"/>
    <w:rsid w:val="00A06945"/>
    <w:rsid w:val="00A10656"/>
    <w:rsid w:val="00A113C0"/>
    <w:rsid w:val="00A11B9D"/>
    <w:rsid w:val="00A12FA6"/>
    <w:rsid w:val="00A1339B"/>
    <w:rsid w:val="00A14ABA"/>
    <w:rsid w:val="00A16CBB"/>
    <w:rsid w:val="00A20DBF"/>
    <w:rsid w:val="00A21884"/>
    <w:rsid w:val="00A235F6"/>
    <w:rsid w:val="00A24CB6"/>
    <w:rsid w:val="00A25865"/>
    <w:rsid w:val="00A26CD2"/>
    <w:rsid w:val="00A27016"/>
    <w:rsid w:val="00A27667"/>
    <w:rsid w:val="00A314E9"/>
    <w:rsid w:val="00A32979"/>
    <w:rsid w:val="00A32C29"/>
    <w:rsid w:val="00A335F3"/>
    <w:rsid w:val="00A34A67"/>
    <w:rsid w:val="00A36D2F"/>
    <w:rsid w:val="00A37462"/>
    <w:rsid w:val="00A37C31"/>
    <w:rsid w:val="00A44E57"/>
    <w:rsid w:val="00A45344"/>
    <w:rsid w:val="00A459E1"/>
    <w:rsid w:val="00A46AC4"/>
    <w:rsid w:val="00A478A5"/>
    <w:rsid w:val="00A5058E"/>
    <w:rsid w:val="00A50900"/>
    <w:rsid w:val="00A5115E"/>
    <w:rsid w:val="00A52296"/>
    <w:rsid w:val="00A524FA"/>
    <w:rsid w:val="00A540B9"/>
    <w:rsid w:val="00A54DAB"/>
    <w:rsid w:val="00A55661"/>
    <w:rsid w:val="00A55AD2"/>
    <w:rsid w:val="00A61B70"/>
    <w:rsid w:val="00A61FA8"/>
    <w:rsid w:val="00A637F4"/>
    <w:rsid w:val="00A6416E"/>
    <w:rsid w:val="00A64687"/>
    <w:rsid w:val="00A64DF2"/>
    <w:rsid w:val="00A65485"/>
    <w:rsid w:val="00A66E05"/>
    <w:rsid w:val="00A67655"/>
    <w:rsid w:val="00A70244"/>
    <w:rsid w:val="00A703C5"/>
    <w:rsid w:val="00A70753"/>
    <w:rsid w:val="00A712D2"/>
    <w:rsid w:val="00A75084"/>
    <w:rsid w:val="00A82C8A"/>
    <w:rsid w:val="00A8346B"/>
    <w:rsid w:val="00A852FF"/>
    <w:rsid w:val="00A87337"/>
    <w:rsid w:val="00A90C97"/>
    <w:rsid w:val="00A91B84"/>
    <w:rsid w:val="00A92DDC"/>
    <w:rsid w:val="00A94F33"/>
    <w:rsid w:val="00A960C8"/>
    <w:rsid w:val="00A96604"/>
    <w:rsid w:val="00A97A47"/>
    <w:rsid w:val="00AA03DF"/>
    <w:rsid w:val="00AA1B4F"/>
    <w:rsid w:val="00AA21D8"/>
    <w:rsid w:val="00AA271A"/>
    <w:rsid w:val="00AA3270"/>
    <w:rsid w:val="00AA375A"/>
    <w:rsid w:val="00AA4CFA"/>
    <w:rsid w:val="00AA5472"/>
    <w:rsid w:val="00AA54F3"/>
    <w:rsid w:val="00AA6200"/>
    <w:rsid w:val="00AA6B43"/>
    <w:rsid w:val="00AA720D"/>
    <w:rsid w:val="00AA7B1F"/>
    <w:rsid w:val="00AB220B"/>
    <w:rsid w:val="00AB3145"/>
    <w:rsid w:val="00AB367A"/>
    <w:rsid w:val="00AB4A9C"/>
    <w:rsid w:val="00AB5037"/>
    <w:rsid w:val="00AB7BF8"/>
    <w:rsid w:val="00AC01D1"/>
    <w:rsid w:val="00AC0AB2"/>
    <w:rsid w:val="00AC0E9F"/>
    <w:rsid w:val="00AC2B10"/>
    <w:rsid w:val="00AC2DA2"/>
    <w:rsid w:val="00AC3DE2"/>
    <w:rsid w:val="00AC51BD"/>
    <w:rsid w:val="00AC52A5"/>
    <w:rsid w:val="00AC6EFD"/>
    <w:rsid w:val="00AC7151"/>
    <w:rsid w:val="00AC7773"/>
    <w:rsid w:val="00AD460A"/>
    <w:rsid w:val="00AD507F"/>
    <w:rsid w:val="00AD6A05"/>
    <w:rsid w:val="00AE0792"/>
    <w:rsid w:val="00AE118B"/>
    <w:rsid w:val="00AE272B"/>
    <w:rsid w:val="00AE3E3A"/>
    <w:rsid w:val="00AE6BDD"/>
    <w:rsid w:val="00AE77B4"/>
    <w:rsid w:val="00AE7C1A"/>
    <w:rsid w:val="00AE7DF8"/>
    <w:rsid w:val="00AF0D9C"/>
    <w:rsid w:val="00AF13AB"/>
    <w:rsid w:val="00AF1D36"/>
    <w:rsid w:val="00AF280B"/>
    <w:rsid w:val="00AF5F75"/>
    <w:rsid w:val="00AF6001"/>
    <w:rsid w:val="00AF6A72"/>
    <w:rsid w:val="00B008D9"/>
    <w:rsid w:val="00B01A16"/>
    <w:rsid w:val="00B020ED"/>
    <w:rsid w:val="00B079FE"/>
    <w:rsid w:val="00B07F45"/>
    <w:rsid w:val="00B1021A"/>
    <w:rsid w:val="00B10271"/>
    <w:rsid w:val="00B130E2"/>
    <w:rsid w:val="00B140D9"/>
    <w:rsid w:val="00B1481A"/>
    <w:rsid w:val="00B15A1F"/>
    <w:rsid w:val="00B15FE9"/>
    <w:rsid w:val="00B2148A"/>
    <w:rsid w:val="00B220C2"/>
    <w:rsid w:val="00B2276E"/>
    <w:rsid w:val="00B2322C"/>
    <w:rsid w:val="00B258A6"/>
    <w:rsid w:val="00B25B32"/>
    <w:rsid w:val="00B26C6D"/>
    <w:rsid w:val="00B32616"/>
    <w:rsid w:val="00B35441"/>
    <w:rsid w:val="00B36AF0"/>
    <w:rsid w:val="00B36C42"/>
    <w:rsid w:val="00B37AA9"/>
    <w:rsid w:val="00B42EA7"/>
    <w:rsid w:val="00B4573A"/>
    <w:rsid w:val="00B51845"/>
    <w:rsid w:val="00B51923"/>
    <w:rsid w:val="00B51A5C"/>
    <w:rsid w:val="00B5337C"/>
    <w:rsid w:val="00B53FDE"/>
    <w:rsid w:val="00B543A2"/>
    <w:rsid w:val="00B54693"/>
    <w:rsid w:val="00B54ACA"/>
    <w:rsid w:val="00B555F5"/>
    <w:rsid w:val="00B55825"/>
    <w:rsid w:val="00B56397"/>
    <w:rsid w:val="00B56D8E"/>
    <w:rsid w:val="00B571DA"/>
    <w:rsid w:val="00B6027B"/>
    <w:rsid w:val="00B6070F"/>
    <w:rsid w:val="00B636C8"/>
    <w:rsid w:val="00B65EDB"/>
    <w:rsid w:val="00B676F5"/>
    <w:rsid w:val="00B67AFF"/>
    <w:rsid w:val="00B67C41"/>
    <w:rsid w:val="00B70B59"/>
    <w:rsid w:val="00B72050"/>
    <w:rsid w:val="00B73657"/>
    <w:rsid w:val="00B739B3"/>
    <w:rsid w:val="00B77529"/>
    <w:rsid w:val="00B81B15"/>
    <w:rsid w:val="00B831CF"/>
    <w:rsid w:val="00B904F6"/>
    <w:rsid w:val="00B915AE"/>
    <w:rsid w:val="00B91A4C"/>
    <w:rsid w:val="00BA1735"/>
    <w:rsid w:val="00BA19FA"/>
    <w:rsid w:val="00BA1FDF"/>
    <w:rsid w:val="00BA4288"/>
    <w:rsid w:val="00BA651C"/>
    <w:rsid w:val="00BA6D8D"/>
    <w:rsid w:val="00BA719C"/>
    <w:rsid w:val="00BB0902"/>
    <w:rsid w:val="00BB1F9C"/>
    <w:rsid w:val="00BB2532"/>
    <w:rsid w:val="00BB48E5"/>
    <w:rsid w:val="00BB5607"/>
    <w:rsid w:val="00BB5ACA"/>
    <w:rsid w:val="00BB5D71"/>
    <w:rsid w:val="00BB627F"/>
    <w:rsid w:val="00BB7A69"/>
    <w:rsid w:val="00BC0C17"/>
    <w:rsid w:val="00BC3823"/>
    <w:rsid w:val="00BC5841"/>
    <w:rsid w:val="00BC5E38"/>
    <w:rsid w:val="00BC6D7A"/>
    <w:rsid w:val="00BD1206"/>
    <w:rsid w:val="00BD201A"/>
    <w:rsid w:val="00BD2DC4"/>
    <w:rsid w:val="00BD2EF0"/>
    <w:rsid w:val="00BD60B4"/>
    <w:rsid w:val="00BD661A"/>
    <w:rsid w:val="00BD796B"/>
    <w:rsid w:val="00BE0790"/>
    <w:rsid w:val="00BE2A2E"/>
    <w:rsid w:val="00BE40C0"/>
    <w:rsid w:val="00BE445C"/>
    <w:rsid w:val="00BE5E17"/>
    <w:rsid w:val="00BE5F4A"/>
    <w:rsid w:val="00BE7AEF"/>
    <w:rsid w:val="00BF09B0"/>
    <w:rsid w:val="00BF0C67"/>
    <w:rsid w:val="00BF1544"/>
    <w:rsid w:val="00BF1B53"/>
    <w:rsid w:val="00BF246D"/>
    <w:rsid w:val="00BF2682"/>
    <w:rsid w:val="00BF49D2"/>
    <w:rsid w:val="00BF56E9"/>
    <w:rsid w:val="00BF7FDD"/>
    <w:rsid w:val="00C006EC"/>
    <w:rsid w:val="00C00E1E"/>
    <w:rsid w:val="00C06F06"/>
    <w:rsid w:val="00C103C1"/>
    <w:rsid w:val="00C11F02"/>
    <w:rsid w:val="00C1225E"/>
    <w:rsid w:val="00C12C76"/>
    <w:rsid w:val="00C17BFF"/>
    <w:rsid w:val="00C17E24"/>
    <w:rsid w:val="00C20FAD"/>
    <w:rsid w:val="00C2375F"/>
    <w:rsid w:val="00C247CB"/>
    <w:rsid w:val="00C26464"/>
    <w:rsid w:val="00C26677"/>
    <w:rsid w:val="00C26B24"/>
    <w:rsid w:val="00C3054B"/>
    <w:rsid w:val="00C319A8"/>
    <w:rsid w:val="00C322EE"/>
    <w:rsid w:val="00C32C6F"/>
    <w:rsid w:val="00C32E66"/>
    <w:rsid w:val="00C33115"/>
    <w:rsid w:val="00C3355F"/>
    <w:rsid w:val="00C33A04"/>
    <w:rsid w:val="00C34B39"/>
    <w:rsid w:val="00C3569A"/>
    <w:rsid w:val="00C43F48"/>
    <w:rsid w:val="00C448FF"/>
    <w:rsid w:val="00C45E57"/>
    <w:rsid w:val="00C47016"/>
    <w:rsid w:val="00C52F29"/>
    <w:rsid w:val="00C5489B"/>
    <w:rsid w:val="00C552FA"/>
    <w:rsid w:val="00C56649"/>
    <w:rsid w:val="00C56CE6"/>
    <w:rsid w:val="00C5745F"/>
    <w:rsid w:val="00C5761D"/>
    <w:rsid w:val="00C60005"/>
    <w:rsid w:val="00C60BFF"/>
    <w:rsid w:val="00C61A98"/>
    <w:rsid w:val="00C63201"/>
    <w:rsid w:val="00C64E62"/>
    <w:rsid w:val="00C651D5"/>
    <w:rsid w:val="00C65CCC"/>
    <w:rsid w:val="00C65DA5"/>
    <w:rsid w:val="00C65DA9"/>
    <w:rsid w:val="00C70728"/>
    <w:rsid w:val="00C732F7"/>
    <w:rsid w:val="00C73D22"/>
    <w:rsid w:val="00C74262"/>
    <w:rsid w:val="00C74E04"/>
    <w:rsid w:val="00C7618F"/>
    <w:rsid w:val="00C7646A"/>
    <w:rsid w:val="00C765A9"/>
    <w:rsid w:val="00C80C53"/>
    <w:rsid w:val="00C81157"/>
    <w:rsid w:val="00C8162D"/>
    <w:rsid w:val="00C82D93"/>
    <w:rsid w:val="00C830BB"/>
    <w:rsid w:val="00C83A0B"/>
    <w:rsid w:val="00C842D0"/>
    <w:rsid w:val="00C84ED1"/>
    <w:rsid w:val="00C863CC"/>
    <w:rsid w:val="00C86BCC"/>
    <w:rsid w:val="00C9038F"/>
    <w:rsid w:val="00C916FB"/>
    <w:rsid w:val="00C91DA9"/>
    <w:rsid w:val="00C92226"/>
    <w:rsid w:val="00C92AAB"/>
    <w:rsid w:val="00C933CF"/>
    <w:rsid w:val="00C95D4C"/>
    <w:rsid w:val="00C960DC"/>
    <w:rsid w:val="00C9637F"/>
    <w:rsid w:val="00C9708A"/>
    <w:rsid w:val="00CA2435"/>
    <w:rsid w:val="00CA3A08"/>
    <w:rsid w:val="00CA4068"/>
    <w:rsid w:val="00CA425A"/>
    <w:rsid w:val="00CA5C2E"/>
    <w:rsid w:val="00CA67F4"/>
    <w:rsid w:val="00CA7AC5"/>
    <w:rsid w:val="00CA7E08"/>
    <w:rsid w:val="00CB28D1"/>
    <w:rsid w:val="00CB31E9"/>
    <w:rsid w:val="00CB37F8"/>
    <w:rsid w:val="00CB7762"/>
    <w:rsid w:val="00CB7DC3"/>
    <w:rsid w:val="00CC4458"/>
    <w:rsid w:val="00CC5BE1"/>
    <w:rsid w:val="00CC75A2"/>
    <w:rsid w:val="00CC7A18"/>
    <w:rsid w:val="00CD0E2F"/>
    <w:rsid w:val="00CD0F7B"/>
    <w:rsid w:val="00CD1D49"/>
    <w:rsid w:val="00CD2F20"/>
    <w:rsid w:val="00CD37B7"/>
    <w:rsid w:val="00CD6B20"/>
    <w:rsid w:val="00CE113C"/>
    <w:rsid w:val="00CE1339"/>
    <w:rsid w:val="00CE1CFC"/>
    <w:rsid w:val="00CE61CC"/>
    <w:rsid w:val="00CE6E42"/>
    <w:rsid w:val="00CE6E60"/>
    <w:rsid w:val="00CE74CA"/>
    <w:rsid w:val="00CE7682"/>
    <w:rsid w:val="00CE79B6"/>
    <w:rsid w:val="00CF20B7"/>
    <w:rsid w:val="00CF283B"/>
    <w:rsid w:val="00CF6692"/>
    <w:rsid w:val="00CF7441"/>
    <w:rsid w:val="00CF7EAF"/>
    <w:rsid w:val="00D005BB"/>
    <w:rsid w:val="00D00D16"/>
    <w:rsid w:val="00D02E9A"/>
    <w:rsid w:val="00D03C6C"/>
    <w:rsid w:val="00D04760"/>
    <w:rsid w:val="00D04A95"/>
    <w:rsid w:val="00D06288"/>
    <w:rsid w:val="00D068C7"/>
    <w:rsid w:val="00D06E93"/>
    <w:rsid w:val="00D128A4"/>
    <w:rsid w:val="00D147C8"/>
    <w:rsid w:val="00D15131"/>
    <w:rsid w:val="00D15EF8"/>
    <w:rsid w:val="00D16FA2"/>
    <w:rsid w:val="00D20954"/>
    <w:rsid w:val="00D21C39"/>
    <w:rsid w:val="00D21FC6"/>
    <w:rsid w:val="00D2243A"/>
    <w:rsid w:val="00D251AB"/>
    <w:rsid w:val="00D26329"/>
    <w:rsid w:val="00D301EB"/>
    <w:rsid w:val="00D31DDC"/>
    <w:rsid w:val="00D33393"/>
    <w:rsid w:val="00D33C94"/>
    <w:rsid w:val="00D33D36"/>
    <w:rsid w:val="00D34D94"/>
    <w:rsid w:val="00D34DFD"/>
    <w:rsid w:val="00D40510"/>
    <w:rsid w:val="00D409E2"/>
    <w:rsid w:val="00D41C9A"/>
    <w:rsid w:val="00D427D7"/>
    <w:rsid w:val="00D43740"/>
    <w:rsid w:val="00D44E62"/>
    <w:rsid w:val="00D45722"/>
    <w:rsid w:val="00D464A3"/>
    <w:rsid w:val="00D5057A"/>
    <w:rsid w:val="00D51570"/>
    <w:rsid w:val="00D52774"/>
    <w:rsid w:val="00D531FD"/>
    <w:rsid w:val="00D556AD"/>
    <w:rsid w:val="00D5782F"/>
    <w:rsid w:val="00D60381"/>
    <w:rsid w:val="00D616DE"/>
    <w:rsid w:val="00D62201"/>
    <w:rsid w:val="00D62482"/>
    <w:rsid w:val="00D651D1"/>
    <w:rsid w:val="00D6718E"/>
    <w:rsid w:val="00D717BB"/>
    <w:rsid w:val="00D7226B"/>
    <w:rsid w:val="00D72707"/>
    <w:rsid w:val="00D72961"/>
    <w:rsid w:val="00D75A9C"/>
    <w:rsid w:val="00D76297"/>
    <w:rsid w:val="00D829C8"/>
    <w:rsid w:val="00D8393D"/>
    <w:rsid w:val="00D83A84"/>
    <w:rsid w:val="00D858CB"/>
    <w:rsid w:val="00D86ACB"/>
    <w:rsid w:val="00D86B58"/>
    <w:rsid w:val="00D87664"/>
    <w:rsid w:val="00D87917"/>
    <w:rsid w:val="00D90871"/>
    <w:rsid w:val="00D9155F"/>
    <w:rsid w:val="00D917AB"/>
    <w:rsid w:val="00D93614"/>
    <w:rsid w:val="00D9403F"/>
    <w:rsid w:val="00D959B4"/>
    <w:rsid w:val="00D97116"/>
    <w:rsid w:val="00D97C31"/>
    <w:rsid w:val="00D97C77"/>
    <w:rsid w:val="00D97DDF"/>
    <w:rsid w:val="00DA44DE"/>
    <w:rsid w:val="00DA750B"/>
    <w:rsid w:val="00DB01D9"/>
    <w:rsid w:val="00DB07EC"/>
    <w:rsid w:val="00DB14C7"/>
    <w:rsid w:val="00DB2D3D"/>
    <w:rsid w:val="00DB5944"/>
    <w:rsid w:val="00DB620A"/>
    <w:rsid w:val="00DC3832"/>
    <w:rsid w:val="00DC434B"/>
    <w:rsid w:val="00DC7A51"/>
    <w:rsid w:val="00DD3B1E"/>
    <w:rsid w:val="00DD58D0"/>
    <w:rsid w:val="00DD77E9"/>
    <w:rsid w:val="00DE06B2"/>
    <w:rsid w:val="00DE5B5F"/>
    <w:rsid w:val="00DE6982"/>
    <w:rsid w:val="00DF14FC"/>
    <w:rsid w:val="00DF4E6B"/>
    <w:rsid w:val="00DF614E"/>
    <w:rsid w:val="00E00696"/>
    <w:rsid w:val="00E01AB3"/>
    <w:rsid w:val="00E03651"/>
    <w:rsid w:val="00E03808"/>
    <w:rsid w:val="00E0530F"/>
    <w:rsid w:val="00E060C2"/>
    <w:rsid w:val="00E06324"/>
    <w:rsid w:val="00E07323"/>
    <w:rsid w:val="00E07B81"/>
    <w:rsid w:val="00E10AFD"/>
    <w:rsid w:val="00E12B11"/>
    <w:rsid w:val="00E12FB0"/>
    <w:rsid w:val="00E14814"/>
    <w:rsid w:val="00E14B5D"/>
    <w:rsid w:val="00E1591B"/>
    <w:rsid w:val="00E16A50"/>
    <w:rsid w:val="00E17100"/>
    <w:rsid w:val="00E17B73"/>
    <w:rsid w:val="00E23449"/>
    <w:rsid w:val="00E249D5"/>
    <w:rsid w:val="00E25017"/>
    <w:rsid w:val="00E26F73"/>
    <w:rsid w:val="00E302D9"/>
    <w:rsid w:val="00E30A34"/>
    <w:rsid w:val="00E32ED3"/>
    <w:rsid w:val="00E33C68"/>
    <w:rsid w:val="00E33ECF"/>
    <w:rsid w:val="00E34EEB"/>
    <w:rsid w:val="00E3687C"/>
    <w:rsid w:val="00E42634"/>
    <w:rsid w:val="00E44E4D"/>
    <w:rsid w:val="00E44EB9"/>
    <w:rsid w:val="00E45BDC"/>
    <w:rsid w:val="00E460B7"/>
    <w:rsid w:val="00E46358"/>
    <w:rsid w:val="00E471DC"/>
    <w:rsid w:val="00E50EB4"/>
    <w:rsid w:val="00E5239B"/>
    <w:rsid w:val="00E532FC"/>
    <w:rsid w:val="00E559B4"/>
    <w:rsid w:val="00E55BB0"/>
    <w:rsid w:val="00E5758E"/>
    <w:rsid w:val="00E60015"/>
    <w:rsid w:val="00E6090C"/>
    <w:rsid w:val="00E609E5"/>
    <w:rsid w:val="00E60F27"/>
    <w:rsid w:val="00E63BCD"/>
    <w:rsid w:val="00E64D93"/>
    <w:rsid w:val="00E65EDB"/>
    <w:rsid w:val="00E66927"/>
    <w:rsid w:val="00E677B8"/>
    <w:rsid w:val="00E67E9E"/>
    <w:rsid w:val="00E67F77"/>
    <w:rsid w:val="00E67FA1"/>
    <w:rsid w:val="00E7115E"/>
    <w:rsid w:val="00E7159D"/>
    <w:rsid w:val="00E71638"/>
    <w:rsid w:val="00E7387D"/>
    <w:rsid w:val="00E73D53"/>
    <w:rsid w:val="00E75111"/>
    <w:rsid w:val="00E77296"/>
    <w:rsid w:val="00E81FF9"/>
    <w:rsid w:val="00E842C4"/>
    <w:rsid w:val="00E843CF"/>
    <w:rsid w:val="00E85EEA"/>
    <w:rsid w:val="00E87527"/>
    <w:rsid w:val="00E87EF7"/>
    <w:rsid w:val="00E926A8"/>
    <w:rsid w:val="00E93763"/>
    <w:rsid w:val="00E942F4"/>
    <w:rsid w:val="00E94ED6"/>
    <w:rsid w:val="00E95D16"/>
    <w:rsid w:val="00E96C4C"/>
    <w:rsid w:val="00E976A0"/>
    <w:rsid w:val="00EA1EC3"/>
    <w:rsid w:val="00EA21D2"/>
    <w:rsid w:val="00EA2AAE"/>
    <w:rsid w:val="00EA2EC0"/>
    <w:rsid w:val="00EA427A"/>
    <w:rsid w:val="00EA723B"/>
    <w:rsid w:val="00EB6072"/>
    <w:rsid w:val="00EB6350"/>
    <w:rsid w:val="00EB6870"/>
    <w:rsid w:val="00EB687A"/>
    <w:rsid w:val="00EB6ED4"/>
    <w:rsid w:val="00EC2ADB"/>
    <w:rsid w:val="00EC2F62"/>
    <w:rsid w:val="00EC377C"/>
    <w:rsid w:val="00EC44CC"/>
    <w:rsid w:val="00EC51B1"/>
    <w:rsid w:val="00EC62EB"/>
    <w:rsid w:val="00EC6E9F"/>
    <w:rsid w:val="00ED402C"/>
    <w:rsid w:val="00ED4179"/>
    <w:rsid w:val="00ED44F0"/>
    <w:rsid w:val="00ED4B33"/>
    <w:rsid w:val="00ED5993"/>
    <w:rsid w:val="00ED5A85"/>
    <w:rsid w:val="00ED5AC8"/>
    <w:rsid w:val="00ED5D62"/>
    <w:rsid w:val="00ED600D"/>
    <w:rsid w:val="00ED7DD6"/>
    <w:rsid w:val="00EE060B"/>
    <w:rsid w:val="00EE15A1"/>
    <w:rsid w:val="00EE1807"/>
    <w:rsid w:val="00EE2A5B"/>
    <w:rsid w:val="00EE2A7C"/>
    <w:rsid w:val="00EE2C42"/>
    <w:rsid w:val="00EE341B"/>
    <w:rsid w:val="00EE381B"/>
    <w:rsid w:val="00EE43A4"/>
    <w:rsid w:val="00EE4453"/>
    <w:rsid w:val="00EE5FCE"/>
    <w:rsid w:val="00EE6BBD"/>
    <w:rsid w:val="00EE6E1E"/>
    <w:rsid w:val="00EE705F"/>
    <w:rsid w:val="00EF1462"/>
    <w:rsid w:val="00EF2B36"/>
    <w:rsid w:val="00EF33D0"/>
    <w:rsid w:val="00EF4B4B"/>
    <w:rsid w:val="00EF54FD"/>
    <w:rsid w:val="00EF64FC"/>
    <w:rsid w:val="00F00E81"/>
    <w:rsid w:val="00F04FD8"/>
    <w:rsid w:val="00F07F0D"/>
    <w:rsid w:val="00F10C19"/>
    <w:rsid w:val="00F13112"/>
    <w:rsid w:val="00F14840"/>
    <w:rsid w:val="00F16FE6"/>
    <w:rsid w:val="00F23136"/>
    <w:rsid w:val="00F238BD"/>
    <w:rsid w:val="00F24992"/>
    <w:rsid w:val="00F32F2F"/>
    <w:rsid w:val="00F33F3F"/>
    <w:rsid w:val="00F35BDD"/>
    <w:rsid w:val="00F35EF0"/>
    <w:rsid w:val="00F375B3"/>
    <w:rsid w:val="00F3781F"/>
    <w:rsid w:val="00F403FD"/>
    <w:rsid w:val="00F40439"/>
    <w:rsid w:val="00F41E72"/>
    <w:rsid w:val="00F432FF"/>
    <w:rsid w:val="00F45238"/>
    <w:rsid w:val="00F4560E"/>
    <w:rsid w:val="00F45BDF"/>
    <w:rsid w:val="00F50300"/>
    <w:rsid w:val="00F511FF"/>
    <w:rsid w:val="00F5414B"/>
    <w:rsid w:val="00F56E39"/>
    <w:rsid w:val="00F57074"/>
    <w:rsid w:val="00F574B6"/>
    <w:rsid w:val="00F604DA"/>
    <w:rsid w:val="00F623E9"/>
    <w:rsid w:val="00F63951"/>
    <w:rsid w:val="00F63C86"/>
    <w:rsid w:val="00F713FC"/>
    <w:rsid w:val="00F7438C"/>
    <w:rsid w:val="00F766BE"/>
    <w:rsid w:val="00F77EB9"/>
    <w:rsid w:val="00F80317"/>
    <w:rsid w:val="00F80635"/>
    <w:rsid w:val="00F8115F"/>
    <w:rsid w:val="00F815D1"/>
    <w:rsid w:val="00F81E7E"/>
    <w:rsid w:val="00F81F0F"/>
    <w:rsid w:val="00F825F4"/>
    <w:rsid w:val="00F827F4"/>
    <w:rsid w:val="00F82E9C"/>
    <w:rsid w:val="00F838DF"/>
    <w:rsid w:val="00F92AA1"/>
    <w:rsid w:val="00F932DE"/>
    <w:rsid w:val="00F93FAC"/>
    <w:rsid w:val="00F94680"/>
    <w:rsid w:val="00F94EFE"/>
    <w:rsid w:val="00F963DD"/>
    <w:rsid w:val="00F9641A"/>
    <w:rsid w:val="00F97004"/>
    <w:rsid w:val="00FA067D"/>
    <w:rsid w:val="00FA2045"/>
    <w:rsid w:val="00FA32AD"/>
    <w:rsid w:val="00FA33C4"/>
    <w:rsid w:val="00FA50B0"/>
    <w:rsid w:val="00FA726D"/>
    <w:rsid w:val="00FA7A66"/>
    <w:rsid w:val="00FB1AA9"/>
    <w:rsid w:val="00FB4B5A"/>
    <w:rsid w:val="00FB5963"/>
    <w:rsid w:val="00FB5B8A"/>
    <w:rsid w:val="00FB5DAA"/>
    <w:rsid w:val="00FB7E71"/>
    <w:rsid w:val="00FC006C"/>
    <w:rsid w:val="00FC04B9"/>
    <w:rsid w:val="00FC161A"/>
    <w:rsid w:val="00FC23D5"/>
    <w:rsid w:val="00FC4337"/>
    <w:rsid w:val="00FC4C1A"/>
    <w:rsid w:val="00FC628F"/>
    <w:rsid w:val="00FC6468"/>
    <w:rsid w:val="00FC6D49"/>
    <w:rsid w:val="00FC7B44"/>
    <w:rsid w:val="00FD0C96"/>
    <w:rsid w:val="00FD1707"/>
    <w:rsid w:val="00FD3414"/>
    <w:rsid w:val="00FD4922"/>
    <w:rsid w:val="00FD6461"/>
    <w:rsid w:val="00FD7A56"/>
    <w:rsid w:val="00FE0281"/>
    <w:rsid w:val="00FE1EE8"/>
    <w:rsid w:val="00FE1FFF"/>
    <w:rsid w:val="00FE7083"/>
    <w:rsid w:val="00FF019F"/>
    <w:rsid w:val="00FF03FB"/>
    <w:rsid w:val="00FF1AC1"/>
    <w:rsid w:val="00FF1B2A"/>
    <w:rsid w:val="00FF2160"/>
    <w:rsid w:val="00FF2E31"/>
    <w:rsid w:val="00FF30AD"/>
    <w:rsid w:val="00FF30DE"/>
    <w:rsid w:val="00FF37CD"/>
    <w:rsid w:val="00FF644B"/>
    <w:rsid w:val="00FF6940"/>
    <w:rsid w:val="00FF6A96"/>
    <w:rsid w:val="00FF7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8DA"/>
    <w:rPr>
      <w:rFonts w:eastAsia="Times New Roman"/>
      <w:sz w:val="24"/>
      <w:szCs w:val="24"/>
      <w:lang w:eastAsia="ko-KR"/>
    </w:rPr>
  </w:style>
  <w:style w:type="paragraph" w:styleId="Heading1">
    <w:name w:val="heading 1"/>
    <w:basedOn w:val="Normal"/>
    <w:next w:val="Normal"/>
    <w:link w:val="Heading1Char"/>
    <w:uiPriority w:val="9"/>
    <w:qFormat/>
    <w:rsid w:val="008D3715"/>
    <w:pPr>
      <w:keepNext/>
      <w:widowControl w:val="0"/>
      <w:autoSpaceDE w:val="0"/>
      <w:autoSpaceDN w:val="0"/>
      <w:adjustRightInd w:val="0"/>
      <w:spacing w:before="240" w:after="60"/>
      <w:jc w:val="both"/>
      <w:outlineLvl w:val="0"/>
    </w:pPr>
    <w:rPr>
      <w:rFonts w:ascii="Calibri" w:eastAsia="Batang" w:hAnsi="Calibri"/>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eastAsia="Batang" w:hAnsi="Calibri"/>
      <w:b/>
      <w:bCs/>
      <w:iCs/>
      <w:color w:val="000000"/>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semiHidden/>
    <w:unhideWhenUsed/>
    <w:qFormat/>
    <w:rsid w:val="0028419F"/>
    <w:pPr>
      <w:keepNext/>
      <w:keepLines/>
      <w:widowControl w:val="0"/>
      <w:autoSpaceDE w:val="0"/>
      <w:autoSpaceDN w:val="0"/>
      <w:adjustRightInd w:val="0"/>
      <w:spacing w:before="40"/>
      <w:jc w:val="both"/>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eastAsia="Batang"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eastAsia="Batang" w:hAnsi="Calibri" w:cs="Calibri"/>
      <w:color w:val="000000"/>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eastAsia="Batang" w:hAnsi="Calibri" w:cs="Calibri"/>
      <w:color w:val="000000"/>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eastAsia="Batang" w:hAnsi="Calibri" w:cs="Calibri"/>
      <w:color w:val="000000"/>
      <w:lang w:eastAsia="en-US"/>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eastAsia="Batang"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eastAsia="Batang"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eastAsia="Batang" w:hAnsi="Calibri" w:cs="Calibri"/>
      <w:color w:val="000000"/>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period">
    <w:name w:val="period"/>
    <w:basedOn w:val="DefaultParagraphFont"/>
    <w:rsid w:val="005C6DBB"/>
  </w:style>
  <w:style w:type="character" w:customStyle="1" w:styleId="cit">
    <w:name w:val="cit"/>
    <w:basedOn w:val="DefaultParagraphFont"/>
    <w:rsid w:val="005C6DBB"/>
  </w:style>
  <w:style w:type="character" w:customStyle="1" w:styleId="citation-doi">
    <w:name w:val="citation-doi"/>
    <w:basedOn w:val="DefaultParagraphFont"/>
    <w:rsid w:val="005C6DBB"/>
  </w:style>
  <w:style w:type="character" w:customStyle="1" w:styleId="secondary-date">
    <w:name w:val="secondary-date"/>
    <w:basedOn w:val="DefaultParagraphFont"/>
    <w:rsid w:val="005C6DBB"/>
  </w:style>
  <w:style w:type="paragraph" w:customStyle="1" w:styleId="p">
    <w:name w:val="p"/>
    <w:basedOn w:val="Normal"/>
    <w:rsid w:val="0028419F"/>
    <w:pPr>
      <w:spacing w:before="100" w:beforeAutospacing="1" w:after="100" w:afterAutospacing="1"/>
    </w:pPr>
  </w:style>
  <w:style w:type="character" w:customStyle="1" w:styleId="Heading4Char">
    <w:name w:val="Heading 4 Char"/>
    <w:basedOn w:val="DefaultParagraphFont"/>
    <w:link w:val="Heading4"/>
    <w:uiPriority w:val="9"/>
    <w:semiHidden/>
    <w:rsid w:val="0028419F"/>
    <w:rPr>
      <w:rFonts w:asciiTheme="majorHAnsi" w:eastAsiaTheme="majorEastAsia" w:hAnsiTheme="majorHAnsi" w:cstheme="majorBidi"/>
      <w:i/>
      <w:iCs/>
      <w:color w:val="365F91" w:themeColor="accent1" w:themeShade="BF"/>
      <w:sz w:val="24"/>
      <w:szCs w:val="24"/>
    </w:rPr>
  </w:style>
  <w:style w:type="paragraph" w:styleId="FootnoteText">
    <w:name w:val="footnote text"/>
    <w:basedOn w:val="Normal"/>
    <w:link w:val="FootnoteTextChar"/>
    <w:uiPriority w:val="99"/>
    <w:semiHidden/>
    <w:unhideWhenUsed/>
    <w:rsid w:val="00702FFB"/>
    <w:rPr>
      <w:sz w:val="20"/>
      <w:szCs w:val="20"/>
    </w:rPr>
  </w:style>
  <w:style w:type="character" w:customStyle="1" w:styleId="FootnoteTextChar">
    <w:name w:val="Footnote Text Char"/>
    <w:basedOn w:val="DefaultParagraphFont"/>
    <w:link w:val="FootnoteText"/>
    <w:uiPriority w:val="99"/>
    <w:semiHidden/>
    <w:rsid w:val="00702FFB"/>
    <w:rPr>
      <w:rFonts w:eastAsia="Times New Roman"/>
      <w:lang w:eastAsia="ko-KR"/>
    </w:rPr>
  </w:style>
  <w:style w:type="character" w:styleId="FootnoteReference">
    <w:name w:val="footnote reference"/>
    <w:basedOn w:val="DefaultParagraphFont"/>
    <w:uiPriority w:val="99"/>
    <w:semiHidden/>
    <w:unhideWhenUsed/>
    <w:rsid w:val="00702FFB"/>
    <w:rPr>
      <w:vertAlign w:val="superscript"/>
    </w:rPr>
  </w:style>
  <w:style w:type="paragraph" w:styleId="Bibliography">
    <w:name w:val="Bibliography"/>
    <w:basedOn w:val="Normal"/>
    <w:next w:val="Normal"/>
    <w:uiPriority w:val="37"/>
    <w:unhideWhenUsed/>
    <w:rsid w:val="00702FFB"/>
    <w:pPr>
      <w:tabs>
        <w:tab w:val="left" w:pos="380"/>
      </w:tabs>
      <w:ind w:left="384" w:hanging="384"/>
    </w:pPr>
  </w:style>
  <w:style w:type="character" w:customStyle="1" w:styleId="markiu884fowy">
    <w:name w:val="markiu884fowy"/>
    <w:basedOn w:val="DefaultParagraphFont"/>
    <w:rsid w:val="007D1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8544">
      <w:bodyDiv w:val="1"/>
      <w:marLeft w:val="0"/>
      <w:marRight w:val="0"/>
      <w:marTop w:val="0"/>
      <w:marBottom w:val="0"/>
      <w:divBdr>
        <w:top w:val="none" w:sz="0" w:space="0" w:color="auto"/>
        <w:left w:val="none" w:sz="0" w:space="0" w:color="auto"/>
        <w:bottom w:val="none" w:sz="0" w:space="0" w:color="auto"/>
        <w:right w:val="none" w:sz="0" w:space="0" w:color="auto"/>
      </w:divBdr>
    </w:div>
    <w:div w:id="36857810">
      <w:bodyDiv w:val="1"/>
      <w:marLeft w:val="0"/>
      <w:marRight w:val="0"/>
      <w:marTop w:val="0"/>
      <w:marBottom w:val="0"/>
      <w:divBdr>
        <w:top w:val="none" w:sz="0" w:space="0" w:color="auto"/>
        <w:left w:val="none" w:sz="0" w:space="0" w:color="auto"/>
        <w:bottom w:val="none" w:sz="0" w:space="0" w:color="auto"/>
        <w:right w:val="none" w:sz="0" w:space="0" w:color="auto"/>
      </w:divBdr>
    </w:div>
    <w:div w:id="41297486">
      <w:bodyDiv w:val="1"/>
      <w:marLeft w:val="0"/>
      <w:marRight w:val="0"/>
      <w:marTop w:val="0"/>
      <w:marBottom w:val="0"/>
      <w:divBdr>
        <w:top w:val="none" w:sz="0" w:space="0" w:color="auto"/>
        <w:left w:val="none" w:sz="0" w:space="0" w:color="auto"/>
        <w:bottom w:val="none" w:sz="0" w:space="0" w:color="auto"/>
        <w:right w:val="none" w:sz="0" w:space="0" w:color="auto"/>
      </w:divBdr>
      <w:divsChild>
        <w:div w:id="621230845">
          <w:marLeft w:val="0"/>
          <w:marRight w:val="0"/>
          <w:marTop w:val="0"/>
          <w:marBottom w:val="0"/>
          <w:divBdr>
            <w:top w:val="none" w:sz="0" w:space="0" w:color="auto"/>
            <w:left w:val="none" w:sz="0" w:space="0" w:color="auto"/>
            <w:bottom w:val="none" w:sz="0" w:space="0" w:color="auto"/>
            <w:right w:val="none" w:sz="0" w:space="0" w:color="auto"/>
          </w:divBdr>
          <w:divsChild>
            <w:div w:id="448085771">
              <w:marLeft w:val="0"/>
              <w:marRight w:val="0"/>
              <w:marTop w:val="0"/>
              <w:marBottom w:val="0"/>
              <w:divBdr>
                <w:top w:val="none" w:sz="0" w:space="0" w:color="auto"/>
                <w:left w:val="none" w:sz="0" w:space="0" w:color="auto"/>
                <w:bottom w:val="none" w:sz="0" w:space="0" w:color="auto"/>
                <w:right w:val="none" w:sz="0" w:space="0" w:color="auto"/>
              </w:divBdr>
              <w:divsChild>
                <w:div w:id="1241327563">
                  <w:marLeft w:val="0"/>
                  <w:marRight w:val="0"/>
                  <w:marTop w:val="0"/>
                  <w:marBottom w:val="0"/>
                  <w:divBdr>
                    <w:top w:val="none" w:sz="0" w:space="0" w:color="auto"/>
                    <w:left w:val="none" w:sz="0" w:space="0" w:color="auto"/>
                    <w:bottom w:val="none" w:sz="0" w:space="0" w:color="auto"/>
                    <w:right w:val="none" w:sz="0" w:space="0" w:color="auto"/>
                  </w:divBdr>
                  <w:divsChild>
                    <w:div w:id="9349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9775">
      <w:bodyDiv w:val="1"/>
      <w:marLeft w:val="0"/>
      <w:marRight w:val="0"/>
      <w:marTop w:val="0"/>
      <w:marBottom w:val="0"/>
      <w:divBdr>
        <w:top w:val="none" w:sz="0" w:space="0" w:color="auto"/>
        <w:left w:val="none" w:sz="0" w:space="0" w:color="auto"/>
        <w:bottom w:val="none" w:sz="0" w:space="0" w:color="auto"/>
        <w:right w:val="none" w:sz="0" w:space="0" w:color="auto"/>
      </w:divBdr>
    </w:div>
    <w:div w:id="207497561">
      <w:bodyDiv w:val="1"/>
      <w:marLeft w:val="0"/>
      <w:marRight w:val="0"/>
      <w:marTop w:val="0"/>
      <w:marBottom w:val="0"/>
      <w:divBdr>
        <w:top w:val="none" w:sz="0" w:space="0" w:color="auto"/>
        <w:left w:val="none" w:sz="0" w:space="0" w:color="auto"/>
        <w:bottom w:val="none" w:sz="0" w:space="0" w:color="auto"/>
        <w:right w:val="none" w:sz="0" w:space="0" w:color="auto"/>
      </w:divBdr>
    </w:div>
    <w:div w:id="254482732">
      <w:bodyDiv w:val="1"/>
      <w:marLeft w:val="0"/>
      <w:marRight w:val="0"/>
      <w:marTop w:val="0"/>
      <w:marBottom w:val="0"/>
      <w:divBdr>
        <w:top w:val="none" w:sz="0" w:space="0" w:color="auto"/>
        <w:left w:val="none" w:sz="0" w:space="0" w:color="auto"/>
        <w:bottom w:val="none" w:sz="0" w:space="0" w:color="auto"/>
        <w:right w:val="none" w:sz="0" w:space="0" w:color="auto"/>
      </w:divBdr>
    </w:div>
    <w:div w:id="274989614">
      <w:bodyDiv w:val="1"/>
      <w:marLeft w:val="0"/>
      <w:marRight w:val="0"/>
      <w:marTop w:val="0"/>
      <w:marBottom w:val="0"/>
      <w:divBdr>
        <w:top w:val="none" w:sz="0" w:space="0" w:color="auto"/>
        <w:left w:val="none" w:sz="0" w:space="0" w:color="auto"/>
        <w:bottom w:val="none" w:sz="0" w:space="0" w:color="auto"/>
        <w:right w:val="none" w:sz="0" w:space="0" w:color="auto"/>
      </w:divBdr>
      <w:divsChild>
        <w:div w:id="2134908330">
          <w:marLeft w:val="0"/>
          <w:marRight w:val="0"/>
          <w:marTop w:val="0"/>
          <w:marBottom w:val="0"/>
          <w:divBdr>
            <w:top w:val="none" w:sz="0" w:space="0" w:color="auto"/>
            <w:left w:val="none" w:sz="0" w:space="0" w:color="auto"/>
            <w:bottom w:val="none" w:sz="0" w:space="0" w:color="auto"/>
            <w:right w:val="none" w:sz="0" w:space="0" w:color="auto"/>
          </w:divBdr>
          <w:divsChild>
            <w:div w:id="753205521">
              <w:marLeft w:val="0"/>
              <w:marRight w:val="0"/>
              <w:marTop w:val="0"/>
              <w:marBottom w:val="0"/>
              <w:divBdr>
                <w:top w:val="none" w:sz="0" w:space="0" w:color="auto"/>
                <w:left w:val="none" w:sz="0" w:space="0" w:color="auto"/>
                <w:bottom w:val="none" w:sz="0" w:space="0" w:color="auto"/>
                <w:right w:val="none" w:sz="0" w:space="0" w:color="auto"/>
              </w:divBdr>
              <w:divsChild>
                <w:div w:id="1486895683">
                  <w:marLeft w:val="0"/>
                  <w:marRight w:val="0"/>
                  <w:marTop w:val="0"/>
                  <w:marBottom w:val="0"/>
                  <w:divBdr>
                    <w:top w:val="none" w:sz="0" w:space="0" w:color="auto"/>
                    <w:left w:val="none" w:sz="0" w:space="0" w:color="auto"/>
                    <w:bottom w:val="none" w:sz="0" w:space="0" w:color="auto"/>
                    <w:right w:val="none" w:sz="0" w:space="0" w:color="auto"/>
                  </w:divBdr>
                  <w:divsChild>
                    <w:div w:id="9295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2875012">
      <w:bodyDiv w:val="1"/>
      <w:marLeft w:val="0"/>
      <w:marRight w:val="0"/>
      <w:marTop w:val="0"/>
      <w:marBottom w:val="0"/>
      <w:divBdr>
        <w:top w:val="none" w:sz="0" w:space="0" w:color="auto"/>
        <w:left w:val="none" w:sz="0" w:space="0" w:color="auto"/>
        <w:bottom w:val="none" w:sz="0" w:space="0" w:color="auto"/>
        <w:right w:val="none" w:sz="0" w:space="0" w:color="auto"/>
      </w:divBdr>
    </w:div>
    <w:div w:id="473333343">
      <w:bodyDiv w:val="1"/>
      <w:marLeft w:val="0"/>
      <w:marRight w:val="0"/>
      <w:marTop w:val="0"/>
      <w:marBottom w:val="0"/>
      <w:divBdr>
        <w:top w:val="none" w:sz="0" w:space="0" w:color="auto"/>
        <w:left w:val="none" w:sz="0" w:space="0" w:color="auto"/>
        <w:bottom w:val="none" w:sz="0" w:space="0" w:color="auto"/>
        <w:right w:val="none" w:sz="0" w:space="0" w:color="auto"/>
      </w:divBdr>
    </w:div>
    <w:div w:id="635065498">
      <w:bodyDiv w:val="1"/>
      <w:marLeft w:val="0"/>
      <w:marRight w:val="0"/>
      <w:marTop w:val="0"/>
      <w:marBottom w:val="0"/>
      <w:divBdr>
        <w:top w:val="none" w:sz="0" w:space="0" w:color="auto"/>
        <w:left w:val="none" w:sz="0" w:space="0" w:color="auto"/>
        <w:bottom w:val="none" w:sz="0" w:space="0" w:color="auto"/>
        <w:right w:val="none" w:sz="0" w:space="0" w:color="auto"/>
      </w:divBdr>
    </w:div>
    <w:div w:id="643391057">
      <w:bodyDiv w:val="1"/>
      <w:marLeft w:val="0"/>
      <w:marRight w:val="0"/>
      <w:marTop w:val="0"/>
      <w:marBottom w:val="0"/>
      <w:divBdr>
        <w:top w:val="none" w:sz="0" w:space="0" w:color="auto"/>
        <w:left w:val="none" w:sz="0" w:space="0" w:color="auto"/>
        <w:bottom w:val="none" w:sz="0" w:space="0" w:color="auto"/>
        <w:right w:val="none" w:sz="0" w:space="0" w:color="auto"/>
      </w:divBdr>
    </w:div>
    <w:div w:id="671180510">
      <w:bodyDiv w:val="1"/>
      <w:marLeft w:val="0"/>
      <w:marRight w:val="0"/>
      <w:marTop w:val="0"/>
      <w:marBottom w:val="0"/>
      <w:divBdr>
        <w:top w:val="none" w:sz="0" w:space="0" w:color="auto"/>
        <w:left w:val="none" w:sz="0" w:space="0" w:color="auto"/>
        <w:bottom w:val="none" w:sz="0" w:space="0" w:color="auto"/>
        <w:right w:val="none" w:sz="0" w:space="0" w:color="auto"/>
      </w:divBdr>
    </w:div>
    <w:div w:id="708799562">
      <w:bodyDiv w:val="1"/>
      <w:marLeft w:val="0"/>
      <w:marRight w:val="0"/>
      <w:marTop w:val="0"/>
      <w:marBottom w:val="0"/>
      <w:divBdr>
        <w:top w:val="none" w:sz="0" w:space="0" w:color="auto"/>
        <w:left w:val="none" w:sz="0" w:space="0" w:color="auto"/>
        <w:bottom w:val="none" w:sz="0" w:space="0" w:color="auto"/>
        <w:right w:val="none" w:sz="0" w:space="0" w:color="auto"/>
      </w:divBdr>
    </w:div>
    <w:div w:id="714281126">
      <w:bodyDiv w:val="1"/>
      <w:marLeft w:val="0"/>
      <w:marRight w:val="0"/>
      <w:marTop w:val="0"/>
      <w:marBottom w:val="0"/>
      <w:divBdr>
        <w:top w:val="none" w:sz="0" w:space="0" w:color="auto"/>
        <w:left w:val="none" w:sz="0" w:space="0" w:color="auto"/>
        <w:bottom w:val="none" w:sz="0" w:space="0" w:color="auto"/>
        <w:right w:val="none" w:sz="0" w:space="0" w:color="auto"/>
      </w:divBdr>
    </w:div>
    <w:div w:id="717555158">
      <w:bodyDiv w:val="1"/>
      <w:marLeft w:val="0"/>
      <w:marRight w:val="0"/>
      <w:marTop w:val="0"/>
      <w:marBottom w:val="0"/>
      <w:divBdr>
        <w:top w:val="none" w:sz="0" w:space="0" w:color="auto"/>
        <w:left w:val="none" w:sz="0" w:space="0" w:color="auto"/>
        <w:bottom w:val="none" w:sz="0" w:space="0" w:color="auto"/>
        <w:right w:val="none" w:sz="0" w:space="0" w:color="auto"/>
      </w:divBdr>
    </w:div>
    <w:div w:id="739140176">
      <w:bodyDiv w:val="1"/>
      <w:marLeft w:val="0"/>
      <w:marRight w:val="0"/>
      <w:marTop w:val="0"/>
      <w:marBottom w:val="0"/>
      <w:divBdr>
        <w:top w:val="none" w:sz="0" w:space="0" w:color="auto"/>
        <w:left w:val="none" w:sz="0" w:space="0" w:color="auto"/>
        <w:bottom w:val="none" w:sz="0" w:space="0" w:color="auto"/>
        <w:right w:val="none" w:sz="0" w:space="0" w:color="auto"/>
      </w:divBdr>
    </w:div>
    <w:div w:id="74646586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9889">
      <w:bodyDiv w:val="1"/>
      <w:marLeft w:val="0"/>
      <w:marRight w:val="0"/>
      <w:marTop w:val="0"/>
      <w:marBottom w:val="0"/>
      <w:divBdr>
        <w:top w:val="none" w:sz="0" w:space="0" w:color="auto"/>
        <w:left w:val="none" w:sz="0" w:space="0" w:color="auto"/>
        <w:bottom w:val="none" w:sz="0" w:space="0" w:color="auto"/>
        <w:right w:val="none" w:sz="0" w:space="0" w:color="auto"/>
      </w:divBdr>
      <w:divsChild>
        <w:div w:id="882405592">
          <w:marLeft w:val="0"/>
          <w:marRight w:val="0"/>
          <w:marTop w:val="0"/>
          <w:marBottom w:val="0"/>
          <w:divBdr>
            <w:top w:val="none" w:sz="0" w:space="0" w:color="auto"/>
            <w:left w:val="none" w:sz="0" w:space="0" w:color="auto"/>
            <w:bottom w:val="none" w:sz="0" w:space="0" w:color="auto"/>
            <w:right w:val="none" w:sz="0" w:space="0" w:color="auto"/>
          </w:divBdr>
          <w:divsChild>
            <w:div w:id="2118258233">
              <w:marLeft w:val="0"/>
              <w:marRight w:val="0"/>
              <w:marTop w:val="0"/>
              <w:marBottom w:val="0"/>
              <w:divBdr>
                <w:top w:val="none" w:sz="0" w:space="0" w:color="auto"/>
                <w:left w:val="none" w:sz="0" w:space="0" w:color="auto"/>
                <w:bottom w:val="none" w:sz="0" w:space="0" w:color="auto"/>
                <w:right w:val="none" w:sz="0" w:space="0" w:color="auto"/>
              </w:divBdr>
              <w:divsChild>
                <w:div w:id="14335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634848">
      <w:bodyDiv w:val="1"/>
      <w:marLeft w:val="0"/>
      <w:marRight w:val="0"/>
      <w:marTop w:val="0"/>
      <w:marBottom w:val="0"/>
      <w:divBdr>
        <w:top w:val="none" w:sz="0" w:space="0" w:color="auto"/>
        <w:left w:val="none" w:sz="0" w:space="0" w:color="auto"/>
        <w:bottom w:val="none" w:sz="0" w:space="0" w:color="auto"/>
        <w:right w:val="none" w:sz="0" w:space="0" w:color="auto"/>
      </w:divBdr>
    </w:div>
    <w:div w:id="856701289">
      <w:bodyDiv w:val="1"/>
      <w:marLeft w:val="0"/>
      <w:marRight w:val="0"/>
      <w:marTop w:val="0"/>
      <w:marBottom w:val="0"/>
      <w:divBdr>
        <w:top w:val="none" w:sz="0" w:space="0" w:color="auto"/>
        <w:left w:val="none" w:sz="0" w:space="0" w:color="auto"/>
        <w:bottom w:val="none" w:sz="0" w:space="0" w:color="auto"/>
        <w:right w:val="none" w:sz="0" w:space="0" w:color="auto"/>
      </w:divBdr>
    </w:div>
    <w:div w:id="886644991">
      <w:bodyDiv w:val="1"/>
      <w:marLeft w:val="0"/>
      <w:marRight w:val="0"/>
      <w:marTop w:val="0"/>
      <w:marBottom w:val="0"/>
      <w:divBdr>
        <w:top w:val="none" w:sz="0" w:space="0" w:color="auto"/>
        <w:left w:val="none" w:sz="0" w:space="0" w:color="auto"/>
        <w:bottom w:val="none" w:sz="0" w:space="0" w:color="auto"/>
        <w:right w:val="none" w:sz="0" w:space="0" w:color="auto"/>
      </w:divBdr>
    </w:div>
    <w:div w:id="904414007">
      <w:bodyDiv w:val="1"/>
      <w:marLeft w:val="0"/>
      <w:marRight w:val="0"/>
      <w:marTop w:val="0"/>
      <w:marBottom w:val="0"/>
      <w:divBdr>
        <w:top w:val="none" w:sz="0" w:space="0" w:color="auto"/>
        <w:left w:val="none" w:sz="0" w:space="0" w:color="auto"/>
        <w:bottom w:val="none" w:sz="0" w:space="0" w:color="auto"/>
        <w:right w:val="none" w:sz="0" w:space="0" w:color="auto"/>
      </w:divBdr>
    </w:div>
    <w:div w:id="913974055">
      <w:bodyDiv w:val="1"/>
      <w:marLeft w:val="0"/>
      <w:marRight w:val="0"/>
      <w:marTop w:val="0"/>
      <w:marBottom w:val="0"/>
      <w:divBdr>
        <w:top w:val="none" w:sz="0" w:space="0" w:color="auto"/>
        <w:left w:val="none" w:sz="0" w:space="0" w:color="auto"/>
        <w:bottom w:val="none" w:sz="0" w:space="0" w:color="auto"/>
        <w:right w:val="none" w:sz="0" w:space="0" w:color="auto"/>
      </w:divBdr>
    </w:div>
    <w:div w:id="950014812">
      <w:bodyDiv w:val="1"/>
      <w:marLeft w:val="0"/>
      <w:marRight w:val="0"/>
      <w:marTop w:val="0"/>
      <w:marBottom w:val="0"/>
      <w:divBdr>
        <w:top w:val="none" w:sz="0" w:space="0" w:color="auto"/>
        <w:left w:val="none" w:sz="0" w:space="0" w:color="auto"/>
        <w:bottom w:val="none" w:sz="0" w:space="0" w:color="auto"/>
        <w:right w:val="none" w:sz="0" w:space="0" w:color="auto"/>
      </w:divBdr>
    </w:div>
    <w:div w:id="968122339">
      <w:bodyDiv w:val="1"/>
      <w:marLeft w:val="0"/>
      <w:marRight w:val="0"/>
      <w:marTop w:val="0"/>
      <w:marBottom w:val="0"/>
      <w:divBdr>
        <w:top w:val="none" w:sz="0" w:space="0" w:color="auto"/>
        <w:left w:val="none" w:sz="0" w:space="0" w:color="auto"/>
        <w:bottom w:val="none" w:sz="0" w:space="0" w:color="auto"/>
        <w:right w:val="none" w:sz="0" w:space="0" w:color="auto"/>
      </w:divBdr>
    </w:div>
    <w:div w:id="983390804">
      <w:bodyDiv w:val="1"/>
      <w:marLeft w:val="0"/>
      <w:marRight w:val="0"/>
      <w:marTop w:val="0"/>
      <w:marBottom w:val="0"/>
      <w:divBdr>
        <w:top w:val="none" w:sz="0" w:space="0" w:color="auto"/>
        <w:left w:val="none" w:sz="0" w:space="0" w:color="auto"/>
        <w:bottom w:val="none" w:sz="0" w:space="0" w:color="auto"/>
        <w:right w:val="none" w:sz="0" w:space="0" w:color="auto"/>
      </w:divBdr>
    </w:div>
    <w:div w:id="1103839877">
      <w:bodyDiv w:val="1"/>
      <w:marLeft w:val="0"/>
      <w:marRight w:val="0"/>
      <w:marTop w:val="0"/>
      <w:marBottom w:val="0"/>
      <w:divBdr>
        <w:top w:val="none" w:sz="0" w:space="0" w:color="auto"/>
        <w:left w:val="none" w:sz="0" w:space="0" w:color="auto"/>
        <w:bottom w:val="none" w:sz="0" w:space="0" w:color="auto"/>
        <w:right w:val="none" w:sz="0" w:space="0" w:color="auto"/>
      </w:divBdr>
      <w:divsChild>
        <w:div w:id="848985358">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3738077">
      <w:bodyDiv w:val="1"/>
      <w:marLeft w:val="0"/>
      <w:marRight w:val="0"/>
      <w:marTop w:val="0"/>
      <w:marBottom w:val="0"/>
      <w:divBdr>
        <w:top w:val="none" w:sz="0" w:space="0" w:color="auto"/>
        <w:left w:val="none" w:sz="0" w:space="0" w:color="auto"/>
        <w:bottom w:val="none" w:sz="0" w:space="0" w:color="auto"/>
        <w:right w:val="none" w:sz="0" w:space="0" w:color="auto"/>
      </w:divBdr>
    </w:div>
    <w:div w:id="1148782051">
      <w:bodyDiv w:val="1"/>
      <w:marLeft w:val="0"/>
      <w:marRight w:val="0"/>
      <w:marTop w:val="0"/>
      <w:marBottom w:val="0"/>
      <w:divBdr>
        <w:top w:val="none" w:sz="0" w:space="0" w:color="auto"/>
        <w:left w:val="none" w:sz="0" w:space="0" w:color="auto"/>
        <w:bottom w:val="none" w:sz="0" w:space="0" w:color="auto"/>
        <w:right w:val="none" w:sz="0" w:space="0" w:color="auto"/>
      </w:divBdr>
      <w:divsChild>
        <w:div w:id="1969436664">
          <w:marLeft w:val="0"/>
          <w:marRight w:val="0"/>
          <w:marTop w:val="0"/>
          <w:marBottom w:val="0"/>
          <w:divBdr>
            <w:top w:val="none" w:sz="0" w:space="0" w:color="auto"/>
            <w:left w:val="none" w:sz="0" w:space="0" w:color="auto"/>
            <w:bottom w:val="none" w:sz="0" w:space="0" w:color="auto"/>
            <w:right w:val="none" w:sz="0" w:space="0" w:color="auto"/>
          </w:divBdr>
          <w:divsChild>
            <w:div w:id="607541864">
              <w:marLeft w:val="0"/>
              <w:marRight w:val="0"/>
              <w:marTop w:val="0"/>
              <w:marBottom w:val="0"/>
              <w:divBdr>
                <w:top w:val="none" w:sz="0" w:space="0" w:color="auto"/>
                <w:left w:val="none" w:sz="0" w:space="0" w:color="auto"/>
                <w:bottom w:val="none" w:sz="0" w:space="0" w:color="auto"/>
                <w:right w:val="none" w:sz="0" w:space="0" w:color="auto"/>
              </w:divBdr>
              <w:divsChild>
                <w:div w:id="1775520237">
                  <w:marLeft w:val="0"/>
                  <w:marRight w:val="0"/>
                  <w:marTop w:val="0"/>
                  <w:marBottom w:val="0"/>
                  <w:divBdr>
                    <w:top w:val="none" w:sz="0" w:space="0" w:color="auto"/>
                    <w:left w:val="none" w:sz="0" w:space="0" w:color="auto"/>
                    <w:bottom w:val="none" w:sz="0" w:space="0" w:color="auto"/>
                    <w:right w:val="none" w:sz="0" w:space="0" w:color="auto"/>
                  </w:divBdr>
                  <w:divsChild>
                    <w:div w:id="8584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609869">
      <w:bodyDiv w:val="1"/>
      <w:marLeft w:val="0"/>
      <w:marRight w:val="0"/>
      <w:marTop w:val="0"/>
      <w:marBottom w:val="0"/>
      <w:divBdr>
        <w:top w:val="none" w:sz="0" w:space="0" w:color="auto"/>
        <w:left w:val="none" w:sz="0" w:space="0" w:color="auto"/>
        <w:bottom w:val="none" w:sz="0" w:space="0" w:color="auto"/>
        <w:right w:val="none" w:sz="0" w:space="0" w:color="auto"/>
      </w:divBdr>
    </w:div>
    <w:div w:id="1197041291">
      <w:bodyDiv w:val="1"/>
      <w:marLeft w:val="0"/>
      <w:marRight w:val="0"/>
      <w:marTop w:val="0"/>
      <w:marBottom w:val="0"/>
      <w:divBdr>
        <w:top w:val="none" w:sz="0" w:space="0" w:color="auto"/>
        <w:left w:val="none" w:sz="0" w:space="0" w:color="auto"/>
        <w:bottom w:val="none" w:sz="0" w:space="0" w:color="auto"/>
        <w:right w:val="none" w:sz="0" w:space="0" w:color="auto"/>
      </w:divBdr>
    </w:div>
    <w:div w:id="1230187906">
      <w:bodyDiv w:val="1"/>
      <w:marLeft w:val="0"/>
      <w:marRight w:val="0"/>
      <w:marTop w:val="0"/>
      <w:marBottom w:val="0"/>
      <w:divBdr>
        <w:top w:val="none" w:sz="0" w:space="0" w:color="auto"/>
        <w:left w:val="none" w:sz="0" w:space="0" w:color="auto"/>
        <w:bottom w:val="none" w:sz="0" w:space="0" w:color="auto"/>
        <w:right w:val="none" w:sz="0" w:space="0" w:color="auto"/>
      </w:divBdr>
    </w:div>
    <w:div w:id="1249117066">
      <w:bodyDiv w:val="1"/>
      <w:marLeft w:val="0"/>
      <w:marRight w:val="0"/>
      <w:marTop w:val="0"/>
      <w:marBottom w:val="0"/>
      <w:divBdr>
        <w:top w:val="none" w:sz="0" w:space="0" w:color="auto"/>
        <w:left w:val="none" w:sz="0" w:space="0" w:color="auto"/>
        <w:bottom w:val="none" w:sz="0" w:space="0" w:color="auto"/>
        <w:right w:val="none" w:sz="0" w:space="0" w:color="auto"/>
      </w:divBdr>
    </w:div>
    <w:div w:id="1254709288">
      <w:bodyDiv w:val="1"/>
      <w:marLeft w:val="0"/>
      <w:marRight w:val="0"/>
      <w:marTop w:val="0"/>
      <w:marBottom w:val="0"/>
      <w:divBdr>
        <w:top w:val="none" w:sz="0" w:space="0" w:color="auto"/>
        <w:left w:val="none" w:sz="0" w:space="0" w:color="auto"/>
        <w:bottom w:val="none" w:sz="0" w:space="0" w:color="auto"/>
        <w:right w:val="none" w:sz="0" w:space="0" w:color="auto"/>
      </w:divBdr>
    </w:div>
    <w:div w:id="1296328172">
      <w:bodyDiv w:val="1"/>
      <w:marLeft w:val="0"/>
      <w:marRight w:val="0"/>
      <w:marTop w:val="0"/>
      <w:marBottom w:val="0"/>
      <w:divBdr>
        <w:top w:val="none" w:sz="0" w:space="0" w:color="auto"/>
        <w:left w:val="none" w:sz="0" w:space="0" w:color="auto"/>
        <w:bottom w:val="none" w:sz="0" w:space="0" w:color="auto"/>
        <w:right w:val="none" w:sz="0" w:space="0" w:color="auto"/>
      </w:divBdr>
    </w:div>
    <w:div w:id="1335765447">
      <w:bodyDiv w:val="1"/>
      <w:marLeft w:val="0"/>
      <w:marRight w:val="0"/>
      <w:marTop w:val="0"/>
      <w:marBottom w:val="0"/>
      <w:divBdr>
        <w:top w:val="none" w:sz="0" w:space="0" w:color="auto"/>
        <w:left w:val="none" w:sz="0" w:space="0" w:color="auto"/>
        <w:bottom w:val="none" w:sz="0" w:space="0" w:color="auto"/>
        <w:right w:val="none" w:sz="0" w:space="0" w:color="auto"/>
      </w:divBdr>
    </w:div>
    <w:div w:id="1366516068">
      <w:bodyDiv w:val="1"/>
      <w:marLeft w:val="0"/>
      <w:marRight w:val="0"/>
      <w:marTop w:val="0"/>
      <w:marBottom w:val="0"/>
      <w:divBdr>
        <w:top w:val="none" w:sz="0" w:space="0" w:color="auto"/>
        <w:left w:val="none" w:sz="0" w:space="0" w:color="auto"/>
        <w:bottom w:val="none" w:sz="0" w:space="0" w:color="auto"/>
        <w:right w:val="none" w:sz="0" w:space="0" w:color="auto"/>
      </w:divBdr>
    </w:div>
    <w:div w:id="1414929866">
      <w:bodyDiv w:val="1"/>
      <w:marLeft w:val="0"/>
      <w:marRight w:val="0"/>
      <w:marTop w:val="0"/>
      <w:marBottom w:val="0"/>
      <w:divBdr>
        <w:top w:val="none" w:sz="0" w:space="0" w:color="auto"/>
        <w:left w:val="none" w:sz="0" w:space="0" w:color="auto"/>
        <w:bottom w:val="none" w:sz="0" w:space="0" w:color="auto"/>
        <w:right w:val="none" w:sz="0" w:space="0" w:color="auto"/>
      </w:divBdr>
    </w:div>
    <w:div w:id="1437293452">
      <w:bodyDiv w:val="1"/>
      <w:marLeft w:val="0"/>
      <w:marRight w:val="0"/>
      <w:marTop w:val="0"/>
      <w:marBottom w:val="0"/>
      <w:divBdr>
        <w:top w:val="none" w:sz="0" w:space="0" w:color="auto"/>
        <w:left w:val="none" w:sz="0" w:space="0" w:color="auto"/>
        <w:bottom w:val="none" w:sz="0" w:space="0" w:color="auto"/>
        <w:right w:val="none" w:sz="0" w:space="0" w:color="auto"/>
      </w:divBdr>
      <w:divsChild>
        <w:div w:id="785805886">
          <w:marLeft w:val="0"/>
          <w:marRight w:val="0"/>
          <w:marTop w:val="0"/>
          <w:marBottom w:val="0"/>
          <w:divBdr>
            <w:top w:val="none" w:sz="0" w:space="0" w:color="auto"/>
            <w:left w:val="none" w:sz="0" w:space="0" w:color="auto"/>
            <w:bottom w:val="none" w:sz="0" w:space="0" w:color="auto"/>
            <w:right w:val="none" w:sz="0" w:space="0" w:color="auto"/>
          </w:divBdr>
          <w:divsChild>
            <w:div w:id="1259169317">
              <w:marLeft w:val="0"/>
              <w:marRight w:val="0"/>
              <w:marTop w:val="0"/>
              <w:marBottom w:val="0"/>
              <w:divBdr>
                <w:top w:val="none" w:sz="0" w:space="0" w:color="auto"/>
                <w:left w:val="none" w:sz="0" w:space="0" w:color="auto"/>
                <w:bottom w:val="none" w:sz="0" w:space="0" w:color="auto"/>
                <w:right w:val="none" w:sz="0" w:space="0" w:color="auto"/>
              </w:divBdr>
              <w:divsChild>
                <w:div w:id="21472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32980">
      <w:bodyDiv w:val="1"/>
      <w:marLeft w:val="0"/>
      <w:marRight w:val="0"/>
      <w:marTop w:val="0"/>
      <w:marBottom w:val="0"/>
      <w:divBdr>
        <w:top w:val="none" w:sz="0" w:space="0" w:color="auto"/>
        <w:left w:val="none" w:sz="0" w:space="0" w:color="auto"/>
        <w:bottom w:val="none" w:sz="0" w:space="0" w:color="auto"/>
        <w:right w:val="none" w:sz="0" w:space="0" w:color="auto"/>
      </w:divBdr>
    </w:div>
    <w:div w:id="1486166602">
      <w:bodyDiv w:val="1"/>
      <w:marLeft w:val="0"/>
      <w:marRight w:val="0"/>
      <w:marTop w:val="0"/>
      <w:marBottom w:val="0"/>
      <w:divBdr>
        <w:top w:val="none" w:sz="0" w:space="0" w:color="auto"/>
        <w:left w:val="none" w:sz="0" w:space="0" w:color="auto"/>
        <w:bottom w:val="none" w:sz="0" w:space="0" w:color="auto"/>
        <w:right w:val="none" w:sz="0" w:space="0" w:color="auto"/>
      </w:divBdr>
    </w:div>
    <w:div w:id="1528370030">
      <w:bodyDiv w:val="1"/>
      <w:marLeft w:val="0"/>
      <w:marRight w:val="0"/>
      <w:marTop w:val="0"/>
      <w:marBottom w:val="0"/>
      <w:divBdr>
        <w:top w:val="none" w:sz="0" w:space="0" w:color="auto"/>
        <w:left w:val="none" w:sz="0" w:space="0" w:color="auto"/>
        <w:bottom w:val="none" w:sz="0" w:space="0" w:color="auto"/>
        <w:right w:val="none" w:sz="0" w:space="0" w:color="auto"/>
      </w:divBdr>
    </w:div>
    <w:div w:id="1638532997">
      <w:bodyDiv w:val="1"/>
      <w:marLeft w:val="0"/>
      <w:marRight w:val="0"/>
      <w:marTop w:val="0"/>
      <w:marBottom w:val="0"/>
      <w:divBdr>
        <w:top w:val="none" w:sz="0" w:space="0" w:color="auto"/>
        <w:left w:val="none" w:sz="0" w:space="0" w:color="auto"/>
        <w:bottom w:val="none" w:sz="0" w:space="0" w:color="auto"/>
        <w:right w:val="none" w:sz="0" w:space="0" w:color="auto"/>
      </w:divBdr>
    </w:div>
    <w:div w:id="1740402691">
      <w:bodyDiv w:val="1"/>
      <w:marLeft w:val="0"/>
      <w:marRight w:val="0"/>
      <w:marTop w:val="0"/>
      <w:marBottom w:val="0"/>
      <w:divBdr>
        <w:top w:val="none" w:sz="0" w:space="0" w:color="auto"/>
        <w:left w:val="none" w:sz="0" w:space="0" w:color="auto"/>
        <w:bottom w:val="none" w:sz="0" w:space="0" w:color="auto"/>
        <w:right w:val="none" w:sz="0" w:space="0" w:color="auto"/>
      </w:divBdr>
    </w:div>
    <w:div w:id="1742673930">
      <w:bodyDiv w:val="1"/>
      <w:marLeft w:val="0"/>
      <w:marRight w:val="0"/>
      <w:marTop w:val="0"/>
      <w:marBottom w:val="0"/>
      <w:divBdr>
        <w:top w:val="none" w:sz="0" w:space="0" w:color="auto"/>
        <w:left w:val="none" w:sz="0" w:space="0" w:color="auto"/>
        <w:bottom w:val="none" w:sz="0" w:space="0" w:color="auto"/>
        <w:right w:val="none" w:sz="0" w:space="0" w:color="auto"/>
      </w:divBdr>
      <w:divsChild>
        <w:div w:id="1294797163">
          <w:marLeft w:val="0"/>
          <w:marRight w:val="0"/>
          <w:marTop w:val="0"/>
          <w:marBottom w:val="0"/>
          <w:divBdr>
            <w:top w:val="none" w:sz="0" w:space="0" w:color="auto"/>
            <w:left w:val="none" w:sz="0" w:space="0" w:color="auto"/>
            <w:bottom w:val="none" w:sz="0" w:space="0" w:color="auto"/>
            <w:right w:val="none" w:sz="0" w:space="0" w:color="auto"/>
          </w:divBdr>
          <w:divsChild>
            <w:div w:id="1609924309">
              <w:marLeft w:val="0"/>
              <w:marRight w:val="0"/>
              <w:marTop w:val="0"/>
              <w:marBottom w:val="0"/>
              <w:divBdr>
                <w:top w:val="none" w:sz="0" w:space="0" w:color="auto"/>
                <w:left w:val="none" w:sz="0" w:space="0" w:color="auto"/>
                <w:bottom w:val="none" w:sz="0" w:space="0" w:color="auto"/>
                <w:right w:val="none" w:sz="0" w:space="0" w:color="auto"/>
              </w:divBdr>
              <w:divsChild>
                <w:div w:id="20176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21875">
      <w:bodyDiv w:val="1"/>
      <w:marLeft w:val="0"/>
      <w:marRight w:val="0"/>
      <w:marTop w:val="0"/>
      <w:marBottom w:val="0"/>
      <w:divBdr>
        <w:top w:val="none" w:sz="0" w:space="0" w:color="auto"/>
        <w:left w:val="none" w:sz="0" w:space="0" w:color="auto"/>
        <w:bottom w:val="none" w:sz="0" w:space="0" w:color="auto"/>
        <w:right w:val="none" w:sz="0" w:space="0" w:color="auto"/>
      </w:divBdr>
    </w:div>
    <w:div w:id="182172602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0288759">
      <w:bodyDiv w:val="1"/>
      <w:marLeft w:val="0"/>
      <w:marRight w:val="0"/>
      <w:marTop w:val="0"/>
      <w:marBottom w:val="0"/>
      <w:divBdr>
        <w:top w:val="none" w:sz="0" w:space="0" w:color="auto"/>
        <w:left w:val="none" w:sz="0" w:space="0" w:color="auto"/>
        <w:bottom w:val="none" w:sz="0" w:space="0" w:color="auto"/>
        <w:right w:val="none" w:sz="0" w:space="0" w:color="auto"/>
      </w:divBdr>
    </w:div>
    <w:div w:id="1923753047">
      <w:bodyDiv w:val="1"/>
      <w:marLeft w:val="0"/>
      <w:marRight w:val="0"/>
      <w:marTop w:val="0"/>
      <w:marBottom w:val="0"/>
      <w:divBdr>
        <w:top w:val="none" w:sz="0" w:space="0" w:color="auto"/>
        <w:left w:val="none" w:sz="0" w:space="0" w:color="auto"/>
        <w:bottom w:val="none" w:sz="0" w:space="0" w:color="auto"/>
        <w:right w:val="none" w:sz="0" w:space="0" w:color="auto"/>
      </w:divBdr>
      <w:divsChild>
        <w:div w:id="253167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1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9265800">
      <w:bodyDiv w:val="1"/>
      <w:marLeft w:val="0"/>
      <w:marRight w:val="0"/>
      <w:marTop w:val="0"/>
      <w:marBottom w:val="0"/>
      <w:divBdr>
        <w:top w:val="none" w:sz="0" w:space="0" w:color="auto"/>
        <w:left w:val="none" w:sz="0" w:space="0" w:color="auto"/>
        <w:bottom w:val="none" w:sz="0" w:space="0" w:color="auto"/>
        <w:right w:val="none" w:sz="0" w:space="0" w:color="auto"/>
      </w:divBdr>
      <w:divsChild>
        <w:div w:id="797452390">
          <w:marLeft w:val="0"/>
          <w:marRight w:val="0"/>
          <w:marTop w:val="0"/>
          <w:marBottom w:val="0"/>
          <w:divBdr>
            <w:top w:val="none" w:sz="0" w:space="0" w:color="auto"/>
            <w:left w:val="none" w:sz="0" w:space="0" w:color="auto"/>
            <w:bottom w:val="none" w:sz="0" w:space="0" w:color="auto"/>
            <w:right w:val="none" w:sz="0" w:space="0" w:color="auto"/>
          </w:divBdr>
          <w:divsChild>
            <w:div w:id="1802074255">
              <w:marLeft w:val="0"/>
              <w:marRight w:val="0"/>
              <w:marTop w:val="0"/>
              <w:marBottom w:val="0"/>
              <w:divBdr>
                <w:top w:val="none" w:sz="0" w:space="0" w:color="auto"/>
                <w:left w:val="none" w:sz="0" w:space="0" w:color="auto"/>
                <w:bottom w:val="none" w:sz="0" w:space="0" w:color="auto"/>
                <w:right w:val="none" w:sz="0" w:space="0" w:color="auto"/>
              </w:divBdr>
              <w:divsChild>
                <w:div w:id="19436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34924">
      <w:bodyDiv w:val="1"/>
      <w:marLeft w:val="0"/>
      <w:marRight w:val="0"/>
      <w:marTop w:val="0"/>
      <w:marBottom w:val="0"/>
      <w:divBdr>
        <w:top w:val="none" w:sz="0" w:space="0" w:color="auto"/>
        <w:left w:val="none" w:sz="0" w:space="0" w:color="auto"/>
        <w:bottom w:val="none" w:sz="0" w:space="0" w:color="auto"/>
        <w:right w:val="none" w:sz="0" w:space="0" w:color="auto"/>
      </w:divBdr>
    </w:div>
    <w:div w:id="2021813739">
      <w:bodyDiv w:val="1"/>
      <w:marLeft w:val="0"/>
      <w:marRight w:val="0"/>
      <w:marTop w:val="0"/>
      <w:marBottom w:val="0"/>
      <w:divBdr>
        <w:top w:val="none" w:sz="0" w:space="0" w:color="auto"/>
        <w:left w:val="none" w:sz="0" w:space="0" w:color="auto"/>
        <w:bottom w:val="none" w:sz="0" w:space="0" w:color="auto"/>
        <w:right w:val="none" w:sz="0" w:space="0" w:color="auto"/>
      </w:divBdr>
    </w:div>
    <w:div w:id="208536899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670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2CF41-862B-804C-992C-D80BD475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14214</Words>
  <Characters>81023</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2020-09-21T18:23:00Z</dcterms:created>
  <dcterms:modified xsi:type="dcterms:W3CDTF">2020-09-22T14:05:00Z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id="4DUAICfJ"/&gt;&lt;style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