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A767C" w14:textId="3C29F35C" w:rsidR="00AE6049" w:rsidRPr="0010022E" w:rsidRDefault="006305D7" w:rsidP="00365544">
      <w:pPr>
        <w:rPr>
          <w:rFonts w:asciiTheme="minorHAnsi" w:hAnsiTheme="minorHAnsi" w:cstheme="minorHAnsi"/>
          <w:bCs/>
          <w:color w:val="auto"/>
        </w:rPr>
      </w:pPr>
      <w:r w:rsidRPr="00365544">
        <w:rPr>
          <w:rFonts w:asciiTheme="minorHAnsi" w:hAnsiTheme="minorHAnsi" w:cstheme="minorHAnsi"/>
          <w:b/>
          <w:bCs/>
          <w:color w:val="auto"/>
        </w:rPr>
        <w:t>TITLE</w:t>
      </w:r>
      <w:r w:rsidR="006E6362" w:rsidRPr="00365544">
        <w:rPr>
          <w:rFonts w:asciiTheme="minorHAnsi" w:hAnsiTheme="minorHAnsi" w:cstheme="minorHAnsi"/>
          <w:b/>
          <w:bCs/>
          <w:color w:val="auto"/>
        </w:rPr>
        <w:t>:</w:t>
      </w:r>
    </w:p>
    <w:p w14:paraId="0C76090E" w14:textId="1130691D" w:rsidR="007A4DD6" w:rsidRPr="0010022E" w:rsidRDefault="00A22CF9" w:rsidP="00365544">
      <w:pPr>
        <w:pStyle w:val="BodyText"/>
        <w:jc w:val="both"/>
        <w:rPr>
          <w:rFonts w:asciiTheme="minorHAnsi" w:hAnsiTheme="minorHAnsi" w:cstheme="minorHAnsi"/>
        </w:rPr>
      </w:pPr>
      <w:r w:rsidRPr="00365544">
        <w:rPr>
          <w:rFonts w:asciiTheme="minorHAnsi" w:hAnsiTheme="minorHAnsi" w:cstheme="minorHAnsi"/>
        </w:rPr>
        <w:t>Coculture of</w:t>
      </w:r>
      <w:r w:rsidR="00C44ACB" w:rsidRPr="00365544">
        <w:rPr>
          <w:rFonts w:asciiTheme="minorHAnsi" w:hAnsiTheme="minorHAnsi" w:cstheme="minorHAnsi"/>
        </w:rPr>
        <w:t xml:space="preserve"> </w:t>
      </w:r>
      <w:r w:rsidR="00534C60">
        <w:rPr>
          <w:rFonts w:asciiTheme="minorHAnsi" w:hAnsiTheme="minorHAnsi" w:cstheme="minorHAnsi"/>
        </w:rPr>
        <w:t>A</w:t>
      </w:r>
      <w:r w:rsidR="00F631DA" w:rsidRPr="00365544">
        <w:rPr>
          <w:rFonts w:asciiTheme="minorHAnsi" w:hAnsiTheme="minorHAnsi" w:cstheme="minorHAnsi"/>
        </w:rPr>
        <w:t xml:space="preserve">xotomized </w:t>
      </w:r>
      <w:r w:rsidR="00534C60">
        <w:rPr>
          <w:rFonts w:asciiTheme="minorHAnsi" w:hAnsiTheme="minorHAnsi" w:cstheme="minorHAnsi"/>
        </w:rPr>
        <w:t>R</w:t>
      </w:r>
      <w:r w:rsidRPr="00365544">
        <w:rPr>
          <w:rFonts w:asciiTheme="minorHAnsi" w:hAnsiTheme="minorHAnsi" w:cstheme="minorHAnsi"/>
        </w:rPr>
        <w:t xml:space="preserve">at </w:t>
      </w:r>
      <w:r w:rsidR="00534C60">
        <w:rPr>
          <w:rFonts w:asciiTheme="minorHAnsi" w:hAnsiTheme="minorHAnsi" w:cstheme="minorHAnsi"/>
        </w:rPr>
        <w:t>R</w:t>
      </w:r>
      <w:r w:rsidRPr="00365544">
        <w:rPr>
          <w:rFonts w:asciiTheme="minorHAnsi" w:hAnsiTheme="minorHAnsi" w:cstheme="minorHAnsi"/>
        </w:rPr>
        <w:t xml:space="preserve">etinal </w:t>
      </w:r>
      <w:r w:rsidR="00534C60">
        <w:rPr>
          <w:rFonts w:asciiTheme="minorHAnsi" w:hAnsiTheme="minorHAnsi" w:cstheme="minorHAnsi"/>
        </w:rPr>
        <w:t>G</w:t>
      </w:r>
      <w:r w:rsidRPr="00365544">
        <w:rPr>
          <w:rFonts w:asciiTheme="minorHAnsi" w:hAnsiTheme="minorHAnsi" w:cstheme="minorHAnsi"/>
        </w:rPr>
        <w:t xml:space="preserve">anglion </w:t>
      </w:r>
      <w:r w:rsidR="00534C60">
        <w:rPr>
          <w:rFonts w:asciiTheme="minorHAnsi" w:hAnsiTheme="minorHAnsi" w:cstheme="minorHAnsi"/>
        </w:rPr>
        <w:t>N</w:t>
      </w:r>
      <w:r w:rsidRPr="00365544">
        <w:rPr>
          <w:rFonts w:asciiTheme="minorHAnsi" w:hAnsiTheme="minorHAnsi" w:cstheme="minorHAnsi"/>
        </w:rPr>
        <w:t xml:space="preserve">eurons with </w:t>
      </w:r>
      <w:r w:rsidR="00534C60">
        <w:rPr>
          <w:rFonts w:asciiTheme="minorHAnsi" w:hAnsiTheme="minorHAnsi" w:cstheme="minorHAnsi"/>
        </w:rPr>
        <w:t>O</w:t>
      </w:r>
      <w:r w:rsidRPr="00365544">
        <w:rPr>
          <w:rFonts w:asciiTheme="minorHAnsi" w:hAnsiTheme="minorHAnsi" w:cstheme="minorHAnsi"/>
        </w:rPr>
        <w:t xml:space="preserve">lfactory </w:t>
      </w:r>
      <w:r w:rsidR="00534C60">
        <w:rPr>
          <w:rFonts w:asciiTheme="minorHAnsi" w:hAnsiTheme="minorHAnsi" w:cstheme="minorHAnsi"/>
        </w:rPr>
        <w:t>E</w:t>
      </w:r>
      <w:r w:rsidRPr="00365544">
        <w:rPr>
          <w:rFonts w:asciiTheme="minorHAnsi" w:hAnsiTheme="minorHAnsi" w:cstheme="minorHAnsi"/>
        </w:rPr>
        <w:t xml:space="preserve">nsheathing </w:t>
      </w:r>
      <w:r w:rsidR="00534C60">
        <w:rPr>
          <w:rFonts w:asciiTheme="minorHAnsi" w:hAnsiTheme="minorHAnsi" w:cstheme="minorHAnsi"/>
        </w:rPr>
        <w:t>G</w:t>
      </w:r>
      <w:r w:rsidRPr="00365544">
        <w:rPr>
          <w:rFonts w:asciiTheme="minorHAnsi" w:hAnsiTheme="minorHAnsi" w:cstheme="minorHAnsi"/>
        </w:rPr>
        <w:t>lia</w:t>
      </w:r>
      <w:r w:rsidR="008C7DF2" w:rsidRPr="00365544">
        <w:rPr>
          <w:rFonts w:asciiTheme="minorHAnsi" w:hAnsiTheme="minorHAnsi" w:cstheme="minorHAnsi"/>
        </w:rPr>
        <w:t>,</w:t>
      </w:r>
      <w:r w:rsidRPr="00365544">
        <w:rPr>
          <w:rFonts w:asciiTheme="minorHAnsi" w:hAnsiTheme="minorHAnsi" w:cstheme="minorHAnsi"/>
        </w:rPr>
        <w:t xml:space="preserve"> as a</w:t>
      </w:r>
      <w:r w:rsidR="000642E3" w:rsidRPr="00365544">
        <w:rPr>
          <w:rFonts w:asciiTheme="minorHAnsi" w:hAnsiTheme="minorHAnsi" w:cstheme="minorHAnsi"/>
        </w:rPr>
        <w:t xml:space="preserve">n </w:t>
      </w:r>
      <w:r w:rsidR="00534C60">
        <w:rPr>
          <w:rFonts w:asciiTheme="minorHAnsi" w:hAnsiTheme="minorHAnsi" w:cstheme="minorHAnsi"/>
        </w:rPr>
        <w:t>I</w:t>
      </w:r>
      <w:r w:rsidR="000642E3" w:rsidRPr="00365544">
        <w:rPr>
          <w:rFonts w:asciiTheme="minorHAnsi" w:hAnsiTheme="minorHAnsi" w:cstheme="minorHAnsi"/>
        </w:rPr>
        <w:t xml:space="preserve">n </w:t>
      </w:r>
      <w:r w:rsidR="00534C60">
        <w:rPr>
          <w:rFonts w:asciiTheme="minorHAnsi" w:hAnsiTheme="minorHAnsi" w:cstheme="minorHAnsi"/>
        </w:rPr>
        <w:t>V</w:t>
      </w:r>
      <w:r w:rsidR="000642E3" w:rsidRPr="00365544">
        <w:rPr>
          <w:rFonts w:asciiTheme="minorHAnsi" w:hAnsiTheme="minorHAnsi" w:cstheme="minorHAnsi"/>
        </w:rPr>
        <w:t>itro</w:t>
      </w:r>
      <w:r w:rsidRPr="00365544">
        <w:rPr>
          <w:rFonts w:asciiTheme="minorHAnsi" w:hAnsiTheme="minorHAnsi" w:cstheme="minorHAnsi"/>
        </w:rPr>
        <w:t xml:space="preserve"> </w:t>
      </w:r>
      <w:r w:rsidR="00534C60">
        <w:rPr>
          <w:rFonts w:asciiTheme="minorHAnsi" w:hAnsiTheme="minorHAnsi" w:cstheme="minorHAnsi"/>
        </w:rPr>
        <w:t>M</w:t>
      </w:r>
      <w:r w:rsidRPr="00365544">
        <w:rPr>
          <w:rFonts w:asciiTheme="minorHAnsi" w:hAnsiTheme="minorHAnsi" w:cstheme="minorHAnsi"/>
        </w:rPr>
        <w:t xml:space="preserve">odel of </w:t>
      </w:r>
      <w:r w:rsidR="00534C60">
        <w:rPr>
          <w:rFonts w:asciiTheme="minorHAnsi" w:hAnsiTheme="minorHAnsi" w:cstheme="minorHAnsi"/>
        </w:rPr>
        <w:t>A</w:t>
      </w:r>
      <w:r w:rsidRPr="00365544">
        <w:rPr>
          <w:rFonts w:asciiTheme="minorHAnsi" w:hAnsiTheme="minorHAnsi" w:cstheme="minorHAnsi"/>
        </w:rPr>
        <w:t xml:space="preserve">dult </w:t>
      </w:r>
      <w:r w:rsidR="00534C60">
        <w:rPr>
          <w:rFonts w:asciiTheme="minorHAnsi" w:hAnsiTheme="minorHAnsi" w:cstheme="minorHAnsi"/>
        </w:rPr>
        <w:t>A</w:t>
      </w:r>
      <w:r w:rsidRPr="00365544">
        <w:rPr>
          <w:rFonts w:asciiTheme="minorHAnsi" w:hAnsiTheme="minorHAnsi" w:cstheme="minorHAnsi"/>
        </w:rPr>
        <w:t xml:space="preserve">xonal </w:t>
      </w:r>
      <w:r w:rsidR="00534C60">
        <w:rPr>
          <w:rFonts w:asciiTheme="minorHAnsi" w:hAnsiTheme="minorHAnsi" w:cstheme="minorHAnsi"/>
        </w:rPr>
        <w:t>R</w:t>
      </w:r>
      <w:r w:rsidRPr="00365544">
        <w:rPr>
          <w:rFonts w:asciiTheme="minorHAnsi" w:hAnsiTheme="minorHAnsi" w:cstheme="minorHAnsi"/>
        </w:rPr>
        <w:t>egeneration.</w:t>
      </w:r>
    </w:p>
    <w:p w14:paraId="3C95773B" w14:textId="77777777" w:rsidR="00AE6049" w:rsidRPr="00365544" w:rsidRDefault="00AE6049" w:rsidP="00365544">
      <w:pPr>
        <w:rPr>
          <w:rFonts w:asciiTheme="minorHAnsi" w:hAnsiTheme="minorHAnsi" w:cstheme="minorHAnsi"/>
          <w:b/>
          <w:bCs/>
          <w:color w:val="auto"/>
        </w:rPr>
      </w:pPr>
    </w:p>
    <w:p w14:paraId="3D080DA3" w14:textId="093D3642" w:rsidR="006305D7" w:rsidRPr="00365544" w:rsidRDefault="006305D7" w:rsidP="00365544">
      <w:pPr>
        <w:rPr>
          <w:rFonts w:asciiTheme="minorHAnsi" w:hAnsiTheme="minorHAnsi" w:cstheme="minorHAnsi"/>
          <w:color w:val="auto"/>
          <w:lang w:val="es-ES"/>
        </w:rPr>
      </w:pPr>
      <w:r w:rsidRPr="00365544">
        <w:rPr>
          <w:rFonts w:asciiTheme="minorHAnsi" w:hAnsiTheme="minorHAnsi" w:cstheme="minorHAnsi"/>
          <w:b/>
          <w:bCs/>
          <w:color w:val="auto"/>
          <w:lang w:val="es-ES"/>
        </w:rPr>
        <w:t>AUTHORS</w:t>
      </w:r>
      <w:r w:rsidR="000B662E" w:rsidRPr="00365544">
        <w:rPr>
          <w:rFonts w:asciiTheme="minorHAnsi" w:hAnsiTheme="minorHAnsi" w:cstheme="minorHAnsi"/>
          <w:b/>
          <w:bCs/>
          <w:color w:val="auto"/>
          <w:lang w:val="es-ES"/>
        </w:rPr>
        <w:t xml:space="preserve"> </w:t>
      </w:r>
      <w:r w:rsidR="00086FF5" w:rsidRPr="00365544">
        <w:rPr>
          <w:rFonts w:asciiTheme="minorHAnsi" w:hAnsiTheme="minorHAnsi" w:cstheme="minorHAnsi"/>
          <w:b/>
          <w:bCs/>
          <w:color w:val="auto"/>
          <w:lang w:val="es-ES"/>
        </w:rPr>
        <w:t xml:space="preserve">AND </w:t>
      </w:r>
      <w:r w:rsidR="000B662E" w:rsidRPr="00365544">
        <w:rPr>
          <w:rFonts w:asciiTheme="minorHAnsi" w:hAnsiTheme="minorHAnsi" w:cstheme="minorHAnsi"/>
          <w:b/>
          <w:bCs/>
          <w:color w:val="auto"/>
          <w:lang w:val="es-ES"/>
        </w:rPr>
        <w:t>AFFILIATIONS</w:t>
      </w:r>
      <w:r w:rsidRPr="00365544">
        <w:rPr>
          <w:rFonts w:asciiTheme="minorHAnsi" w:hAnsiTheme="minorHAnsi" w:cstheme="minorHAnsi"/>
          <w:b/>
          <w:bCs/>
          <w:color w:val="auto"/>
          <w:lang w:val="es-ES"/>
        </w:rPr>
        <w:t>:</w:t>
      </w:r>
    </w:p>
    <w:p w14:paraId="72300681" w14:textId="26691D56" w:rsidR="009E2093" w:rsidRPr="00365544" w:rsidRDefault="009E2093" w:rsidP="00365544">
      <w:pPr>
        <w:rPr>
          <w:rFonts w:asciiTheme="minorHAnsi" w:hAnsiTheme="minorHAnsi" w:cstheme="minorHAnsi"/>
          <w:color w:val="auto"/>
          <w:lang w:val="es-ES"/>
        </w:rPr>
      </w:pPr>
      <w:r w:rsidRPr="00365544">
        <w:rPr>
          <w:rFonts w:asciiTheme="minorHAnsi" w:hAnsiTheme="minorHAnsi" w:cstheme="minorHAnsi"/>
          <w:color w:val="auto"/>
          <w:lang w:val="es-ES"/>
        </w:rPr>
        <w:t>María Portela-Lomba</w:t>
      </w:r>
      <w:r w:rsidR="00BF3CDA" w:rsidRPr="00365544">
        <w:rPr>
          <w:rFonts w:asciiTheme="minorHAnsi" w:hAnsiTheme="minorHAnsi" w:cstheme="minorHAnsi"/>
          <w:color w:val="auto"/>
          <w:vertAlign w:val="superscript"/>
          <w:lang w:val="es-ES"/>
        </w:rPr>
        <w:t>1</w:t>
      </w:r>
      <w:r w:rsidRPr="00365544">
        <w:rPr>
          <w:rFonts w:asciiTheme="minorHAnsi" w:hAnsiTheme="minorHAnsi" w:cstheme="minorHAnsi"/>
          <w:color w:val="auto"/>
          <w:lang w:val="es-ES"/>
        </w:rPr>
        <w:t>, Diana Simón</w:t>
      </w:r>
      <w:r w:rsidR="00BF3CDA" w:rsidRPr="00365544">
        <w:rPr>
          <w:rFonts w:asciiTheme="minorHAnsi" w:hAnsiTheme="minorHAnsi" w:cstheme="minorHAnsi"/>
          <w:color w:val="auto"/>
          <w:vertAlign w:val="superscript"/>
          <w:lang w:val="es-ES"/>
        </w:rPr>
        <w:t>1</w:t>
      </w:r>
      <w:r w:rsidRPr="00365544">
        <w:rPr>
          <w:rFonts w:asciiTheme="minorHAnsi" w:hAnsiTheme="minorHAnsi" w:cstheme="minorHAnsi"/>
          <w:color w:val="auto"/>
          <w:lang w:val="es-ES"/>
        </w:rPr>
        <w:t>, Cristina Russo</w:t>
      </w:r>
      <w:r w:rsidR="00BF3CDA" w:rsidRPr="00365544">
        <w:rPr>
          <w:rFonts w:asciiTheme="minorHAnsi" w:hAnsiTheme="minorHAnsi" w:cstheme="minorHAnsi"/>
          <w:color w:val="auto"/>
          <w:vertAlign w:val="superscript"/>
          <w:lang w:val="es-ES"/>
        </w:rPr>
        <w:t>2</w:t>
      </w:r>
      <w:r w:rsidRPr="00365544">
        <w:rPr>
          <w:rFonts w:asciiTheme="minorHAnsi" w:hAnsiTheme="minorHAnsi" w:cstheme="minorHAnsi"/>
          <w:color w:val="auto"/>
          <w:lang w:val="es-ES"/>
        </w:rPr>
        <w:t>, Javier Sierra</w:t>
      </w:r>
      <w:r w:rsidR="00BF3CDA" w:rsidRPr="00365544">
        <w:rPr>
          <w:rFonts w:asciiTheme="minorHAnsi" w:hAnsiTheme="minorHAnsi" w:cstheme="minorHAnsi"/>
          <w:color w:val="auto"/>
          <w:vertAlign w:val="superscript"/>
          <w:lang w:val="es-ES"/>
        </w:rPr>
        <w:t>1</w:t>
      </w:r>
      <w:r w:rsidRPr="00365544">
        <w:rPr>
          <w:rFonts w:asciiTheme="minorHAnsi" w:hAnsiTheme="minorHAnsi" w:cstheme="minorHAnsi"/>
          <w:color w:val="auto"/>
          <w:lang w:val="es-ES"/>
        </w:rPr>
        <w:t>*, María Teresa Moreno-Flores</w:t>
      </w:r>
      <w:r w:rsidR="00BF3CDA" w:rsidRPr="00365544">
        <w:rPr>
          <w:rFonts w:asciiTheme="minorHAnsi" w:hAnsiTheme="minorHAnsi" w:cstheme="minorHAnsi"/>
          <w:color w:val="auto"/>
          <w:vertAlign w:val="superscript"/>
          <w:lang w:val="es-ES"/>
        </w:rPr>
        <w:t>3,</w:t>
      </w:r>
      <w:r w:rsidRPr="00365544">
        <w:rPr>
          <w:rFonts w:asciiTheme="minorHAnsi" w:hAnsiTheme="minorHAnsi" w:cstheme="minorHAnsi"/>
          <w:color w:val="auto"/>
          <w:lang w:val="es-ES"/>
        </w:rPr>
        <w:t>*</w:t>
      </w:r>
    </w:p>
    <w:p w14:paraId="2997275D" w14:textId="77777777" w:rsidR="00063F03" w:rsidRPr="00365544" w:rsidRDefault="00063F03" w:rsidP="00365544">
      <w:pPr>
        <w:rPr>
          <w:rFonts w:asciiTheme="minorHAnsi" w:hAnsiTheme="minorHAnsi" w:cstheme="minorHAnsi"/>
          <w:color w:val="auto"/>
          <w:lang w:val="es-ES"/>
        </w:rPr>
      </w:pPr>
    </w:p>
    <w:p w14:paraId="67200640" w14:textId="43C65CD1" w:rsidR="00063F03" w:rsidRPr="00365544" w:rsidRDefault="00063F03" w:rsidP="00365544">
      <w:pPr>
        <w:rPr>
          <w:rFonts w:asciiTheme="minorHAnsi" w:hAnsiTheme="minorHAnsi" w:cstheme="minorHAnsi"/>
          <w:color w:val="auto"/>
          <w:lang w:val="es-ES"/>
        </w:rPr>
      </w:pPr>
      <w:r w:rsidRPr="00365544">
        <w:rPr>
          <w:rFonts w:asciiTheme="minorHAnsi" w:hAnsiTheme="minorHAnsi" w:cstheme="minorHAnsi"/>
          <w:color w:val="auto"/>
          <w:vertAlign w:val="superscript"/>
          <w:lang w:val="es-ES"/>
        </w:rPr>
        <w:t>1</w:t>
      </w:r>
      <w:r w:rsidRPr="00365544">
        <w:rPr>
          <w:rFonts w:ascii="AdvTTa9c1b374" w:hAnsi="AdvTTa9c1b374" w:cs="AdvTTa9c1b374"/>
          <w:color w:val="auto"/>
          <w:sz w:val="14"/>
          <w:szCs w:val="14"/>
          <w:lang w:val="es-ES"/>
        </w:rPr>
        <w:t xml:space="preserve"> </w:t>
      </w:r>
      <w:r w:rsidRPr="00365544">
        <w:rPr>
          <w:rFonts w:asciiTheme="minorHAnsi" w:hAnsiTheme="minorHAnsi" w:cstheme="minorHAnsi"/>
          <w:color w:val="auto"/>
          <w:lang w:val="es-ES"/>
        </w:rPr>
        <w:t>Facultad de CC Experimentales, Universidad Francisco de Vitoria, Pozuelo de Alarcón, Madrid, Spain</w:t>
      </w:r>
    </w:p>
    <w:p w14:paraId="6B00B4DC" w14:textId="56918ECD" w:rsidR="00063F03" w:rsidRPr="00365544" w:rsidRDefault="00063F03" w:rsidP="00365544">
      <w:pPr>
        <w:rPr>
          <w:rFonts w:asciiTheme="minorHAnsi" w:hAnsiTheme="minorHAnsi" w:cstheme="minorHAnsi"/>
          <w:color w:val="auto"/>
          <w:shd w:val="clear" w:color="auto" w:fill="FFFFFF"/>
        </w:rPr>
      </w:pPr>
      <w:r w:rsidRPr="00365544">
        <w:rPr>
          <w:rFonts w:asciiTheme="minorHAnsi" w:hAnsiTheme="minorHAnsi" w:cstheme="minorHAnsi"/>
          <w:color w:val="auto"/>
          <w:vertAlign w:val="superscript"/>
        </w:rPr>
        <w:t>2</w:t>
      </w:r>
      <w:r w:rsidR="008B26D1" w:rsidRPr="00365544">
        <w:rPr>
          <w:rFonts w:asciiTheme="minorHAnsi" w:hAnsiTheme="minorHAnsi" w:cstheme="minorHAnsi"/>
          <w:color w:val="auto"/>
          <w:shd w:val="clear" w:color="auto" w:fill="FFFFFF"/>
        </w:rPr>
        <w:t>Dept. Biomedical and Biotechnological Sciences, Section of Physiology, University of Catania, Italy.</w:t>
      </w:r>
    </w:p>
    <w:p w14:paraId="1AC40448" w14:textId="1170BEB5" w:rsidR="00063F03" w:rsidRPr="00365544" w:rsidRDefault="00063F03" w:rsidP="00365544">
      <w:pPr>
        <w:rPr>
          <w:rFonts w:asciiTheme="minorHAnsi" w:hAnsiTheme="minorHAnsi" w:cstheme="minorHAnsi"/>
          <w:color w:val="auto"/>
          <w:lang w:val="es-ES"/>
        </w:rPr>
      </w:pPr>
      <w:r w:rsidRPr="00365544">
        <w:rPr>
          <w:rFonts w:asciiTheme="minorHAnsi" w:hAnsiTheme="minorHAnsi" w:cstheme="minorHAnsi"/>
          <w:color w:val="auto"/>
          <w:vertAlign w:val="superscript"/>
          <w:lang w:val="es-ES"/>
        </w:rPr>
        <w:t>3</w:t>
      </w:r>
      <w:r w:rsidRPr="00365544">
        <w:rPr>
          <w:rFonts w:ascii="AdvTTa9c1b374" w:hAnsi="AdvTTa9c1b374" w:cs="AdvTTa9c1b374"/>
          <w:color w:val="auto"/>
          <w:sz w:val="14"/>
          <w:szCs w:val="14"/>
          <w:lang w:val="es-ES"/>
        </w:rPr>
        <w:t xml:space="preserve"> </w:t>
      </w:r>
      <w:r w:rsidR="00A52A7D" w:rsidRPr="00365544">
        <w:rPr>
          <w:rFonts w:asciiTheme="minorHAnsi" w:hAnsiTheme="minorHAnsi" w:cstheme="minorHAnsi"/>
          <w:color w:val="auto"/>
          <w:lang w:val="es-ES"/>
        </w:rPr>
        <w:t xml:space="preserve">Dept. Anatomía, Histología y Neurociencia, </w:t>
      </w:r>
      <w:r w:rsidRPr="00365544">
        <w:rPr>
          <w:rFonts w:asciiTheme="minorHAnsi" w:hAnsiTheme="minorHAnsi" w:cstheme="minorHAnsi"/>
          <w:color w:val="auto"/>
          <w:lang w:val="es-ES"/>
        </w:rPr>
        <w:t>Facultad de Medicina, Universidad Autónoma de Madrid, Madrid, Spain</w:t>
      </w:r>
    </w:p>
    <w:p w14:paraId="169DA66D" w14:textId="77777777" w:rsidR="00063F03" w:rsidRPr="00365544" w:rsidRDefault="00063F03" w:rsidP="00365544">
      <w:pPr>
        <w:rPr>
          <w:rFonts w:asciiTheme="minorHAnsi" w:hAnsiTheme="minorHAnsi" w:cstheme="minorHAnsi"/>
          <w:color w:val="auto"/>
          <w:lang w:val="es-ES"/>
        </w:rPr>
      </w:pPr>
    </w:p>
    <w:p w14:paraId="6CB2A1DD" w14:textId="7B7FA433" w:rsidR="000631D3" w:rsidRPr="00365544" w:rsidRDefault="000631D3" w:rsidP="00365544">
      <w:pPr>
        <w:rPr>
          <w:rFonts w:asciiTheme="minorHAnsi" w:hAnsiTheme="minorHAnsi" w:cstheme="minorHAnsi"/>
          <w:color w:val="auto"/>
        </w:rPr>
      </w:pPr>
      <w:r w:rsidRPr="00365544">
        <w:rPr>
          <w:rFonts w:asciiTheme="minorHAnsi" w:hAnsiTheme="minorHAnsi" w:cstheme="minorHAnsi"/>
          <w:color w:val="auto"/>
        </w:rPr>
        <w:t>E-mail addresses of co-authors:</w:t>
      </w:r>
    </w:p>
    <w:p w14:paraId="146A3636" w14:textId="430076DA" w:rsidR="000631D3" w:rsidRPr="00365544" w:rsidRDefault="000631D3" w:rsidP="00365544">
      <w:pPr>
        <w:rPr>
          <w:rFonts w:asciiTheme="minorHAnsi" w:hAnsiTheme="minorHAnsi" w:cstheme="minorHAnsi"/>
          <w:color w:val="auto"/>
          <w:lang w:val="es-ES"/>
        </w:rPr>
      </w:pPr>
      <w:r w:rsidRPr="00365544">
        <w:rPr>
          <w:rFonts w:asciiTheme="minorHAnsi" w:hAnsiTheme="minorHAnsi" w:cstheme="minorHAnsi"/>
          <w:color w:val="auto"/>
          <w:lang w:val="es-ES"/>
        </w:rPr>
        <w:t>María Portela-Lomba:</w:t>
      </w:r>
      <w:r w:rsidR="00534C60">
        <w:rPr>
          <w:rFonts w:asciiTheme="minorHAnsi" w:hAnsiTheme="minorHAnsi" w:cstheme="minorHAnsi"/>
          <w:color w:val="auto"/>
          <w:lang w:val="es-ES"/>
        </w:rPr>
        <w:tab/>
      </w:r>
      <w:r w:rsidR="00534C60">
        <w:rPr>
          <w:rFonts w:asciiTheme="minorHAnsi" w:hAnsiTheme="minorHAnsi" w:cstheme="minorHAnsi"/>
          <w:color w:val="auto"/>
          <w:lang w:val="es-ES"/>
        </w:rPr>
        <w:tab/>
        <w:t>(</w:t>
      </w:r>
      <w:hyperlink r:id="rId11" w:history="1">
        <w:r w:rsidR="00534C60" w:rsidRPr="0010022E">
          <w:rPr>
            <w:rStyle w:val="Hyperlink"/>
            <w:bdr w:val="none" w:sz="0" w:space="0" w:color="auto" w:frame="1"/>
            <w:shd w:val="clear" w:color="auto" w:fill="FFFFFF"/>
            <w:lang w:val="es-ES"/>
          </w:rPr>
          <w:t>7020134@alumnos.ufv.es</w:t>
        </w:r>
      </w:hyperlink>
      <w:r w:rsidR="00534C60">
        <w:rPr>
          <w:rStyle w:val="Hyperlink"/>
          <w:color w:val="auto"/>
          <w:bdr w:val="none" w:sz="0" w:space="0" w:color="auto" w:frame="1"/>
          <w:shd w:val="clear" w:color="auto" w:fill="FFFFFF"/>
          <w:lang w:val="es-ES"/>
        </w:rPr>
        <w:t>)</w:t>
      </w:r>
    </w:p>
    <w:p w14:paraId="4F0BCC2C" w14:textId="03DC6AFB" w:rsidR="00A12533" w:rsidRPr="00365544" w:rsidRDefault="000631D3" w:rsidP="00365544">
      <w:pPr>
        <w:rPr>
          <w:rFonts w:asciiTheme="minorHAnsi" w:hAnsiTheme="minorHAnsi" w:cstheme="minorHAnsi"/>
          <w:color w:val="auto"/>
          <w:lang w:val="es-ES"/>
        </w:rPr>
      </w:pPr>
      <w:r w:rsidRPr="00365544">
        <w:rPr>
          <w:rFonts w:asciiTheme="minorHAnsi" w:hAnsiTheme="minorHAnsi" w:cstheme="minorHAnsi"/>
          <w:color w:val="auto"/>
          <w:lang w:val="es-ES"/>
        </w:rPr>
        <w:t>Diana Simón:</w:t>
      </w:r>
      <w:r w:rsidR="00534C60">
        <w:rPr>
          <w:rFonts w:asciiTheme="minorHAnsi" w:hAnsiTheme="minorHAnsi" w:cstheme="minorHAnsi"/>
          <w:color w:val="auto"/>
          <w:lang w:val="es-ES"/>
        </w:rPr>
        <w:tab/>
      </w:r>
      <w:r w:rsidR="00534C60">
        <w:rPr>
          <w:rFonts w:asciiTheme="minorHAnsi" w:hAnsiTheme="minorHAnsi" w:cstheme="minorHAnsi"/>
          <w:color w:val="auto"/>
          <w:lang w:val="es-ES"/>
        </w:rPr>
        <w:tab/>
      </w:r>
      <w:r w:rsidR="00534C60">
        <w:rPr>
          <w:rFonts w:asciiTheme="minorHAnsi" w:hAnsiTheme="minorHAnsi" w:cstheme="minorHAnsi"/>
          <w:color w:val="auto"/>
          <w:lang w:val="es-ES"/>
        </w:rPr>
        <w:tab/>
        <w:t>(</w:t>
      </w:r>
      <w:hyperlink r:id="rId12" w:history="1">
        <w:r w:rsidR="00534C60" w:rsidRPr="0010022E">
          <w:rPr>
            <w:rStyle w:val="Hyperlink"/>
            <w:rFonts w:asciiTheme="minorHAnsi" w:hAnsiTheme="minorHAnsi" w:cstheme="minorHAnsi"/>
            <w:lang w:val="es-ES"/>
          </w:rPr>
          <w:t>d.simon@ufv.es</w:t>
        </w:r>
      </w:hyperlink>
      <w:r w:rsidR="00534C60">
        <w:rPr>
          <w:rStyle w:val="Hyperlink"/>
          <w:rFonts w:asciiTheme="minorHAnsi" w:hAnsiTheme="minorHAnsi" w:cstheme="minorHAnsi"/>
          <w:color w:val="auto"/>
          <w:lang w:val="es-ES"/>
        </w:rPr>
        <w:t>)</w:t>
      </w:r>
    </w:p>
    <w:p w14:paraId="0DC11202" w14:textId="3A00D43C" w:rsidR="000631D3" w:rsidRPr="00365544" w:rsidRDefault="000631D3" w:rsidP="00365544">
      <w:pPr>
        <w:rPr>
          <w:rFonts w:ascii="Segoe UI" w:hAnsi="Segoe UI" w:cs="Segoe UI"/>
          <w:color w:val="auto"/>
          <w:sz w:val="23"/>
          <w:szCs w:val="23"/>
          <w:shd w:val="clear" w:color="auto" w:fill="FFFFFF"/>
          <w:lang w:val="es-ES"/>
        </w:rPr>
      </w:pPr>
      <w:r w:rsidRPr="00365544">
        <w:rPr>
          <w:rFonts w:asciiTheme="minorHAnsi" w:hAnsiTheme="minorHAnsi" w:cstheme="minorHAnsi"/>
          <w:color w:val="auto"/>
          <w:lang w:val="es-ES"/>
        </w:rPr>
        <w:t>Cristina Russo</w:t>
      </w:r>
      <w:r w:rsidR="00A12533" w:rsidRPr="00365544">
        <w:rPr>
          <w:rFonts w:asciiTheme="minorHAnsi" w:hAnsiTheme="minorHAnsi" w:cstheme="minorHAnsi"/>
          <w:color w:val="auto"/>
          <w:lang w:val="es-ES"/>
        </w:rPr>
        <w:t>:</w:t>
      </w:r>
      <w:r w:rsidR="00534C60">
        <w:rPr>
          <w:rFonts w:asciiTheme="minorHAnsi" w:hAnsiTheme="minorHAnsi" w:cstheme="minorHAnsi"/>
          <w:color w:val="auto"/>
          <w:lang w:val="es-ES"/>
        </w:rPr>
        <w:tab/>
      </w:r>
      <w:r w:rsidR="00534C60">
        <w:rPr>
          <w:rFonts w:asciiTheme="minorHAnsi" w:hAnsiTheme="minorHAnsi" w:cstheme="minorHAnsi"/>
          <w:color w:val="auto"/>
          <w:lang w:val="es-ES"/>
        </w:rPr>
        <w:tab/>
      </w:r>
      <w:r w:rsidR="00534C60">
        <w:rPr>
          <w:rFonts w:asciiTheme="minorHAnsi" w:hAnsiTheme="minorHAnsi" w:cstheme="minorHAnsi"/>
          <w:color w:val="auto"/>
          <w:lang w:val="es-ES"/>
        </w:rPr>
        <w:tab/>
        <w:t>(</w:t>
      </w:r>
      <w:hyperlink r:id="rId13" w:history="1">
        <w:r w:rsidR="00534C60" w:rsidRPr="0010022E">
          <w:rPr>
            <w:rStyle w:val="Hyperlink"/>
            <w:rFonts w:ascii="Segoe UI" w:hAnsi="Segoe UI" w:cs="Segoe UI"/>
            <w:sz w:val="23"/>
            <w:szCs w:val="23"/>
            <w:shd w:val="clear" w:color="auto" w:fill="FFFFFF"/>
            <w:lang w:val="es-ES"/>
          </w:rPr>
          <w:t>cristina.russo87@alice.it</w:t>
        </w:r>
      </w:hyperlink>
      <w:r w:rsidR="00534C60">
        <w:rPr>
          <w:rStyle w:val="Hyperlink"/>
          <w:rFonts w:ascii="Segoe UI" w:hAnsi="Segoe UI" w:cs="Segoe UI"/>
          <w:color w:val="auto"/>
          <w:sz w:val="23"/>
          <w:szCs w:val="23"/>
          <w:shd w:val="clear" w:color="auto" w:fill="FFFFFF"/>
          <w:lang w:val="es-ES"/>
        </w:rPr>
        <w:t>)</w:t>
      </w:r>
    </w:p>
    <w:p w14:paraId="3DA14C49" w14:textId="282BEF4B" w:rsidR="00534C60" w:rsidRPr="00365544" w:rsidRDefault="00534C60" w:rsidP="00534C60">
      <w:pPr>
        <w:rPr>
          <w:rFonts w:asciiTheme="minorHAnsi" w:hAnsiTheme="minorHAnsi" w:cstheme="minorHAnsi"/>
          <w:color w:val="auto"/>
          <w:lang w:val="es-ES"/>
        </w:rPr>
      </w:pPr>
      <w:r w:rsidRPr="00365544">
        <w:rPr>
          <w:rFonts w:asciiTheme="minorHAnsi" w:hAnsiTheme="minorHAnsi" w:cstheme="minorHAnsi"/>
          <w:color w:val="auto"/>
          <w:lang w:val="es-ES"/>
        </w:rPr>
        <w:t>Javier Sierra:</w:t>
      </w:r>
      <w:r>
        <w:rPr>
          <w:rFonts w:asciiTheme="minorHAnsi" w:hAnsiTheme="minorHAnsi" w:cstheme="minorHAnsi"/>
          <w:color w:val="auto"/>
          <w:lang w:val="es-ES"/>
        </w:rPr>
        <w:tab/>
      </w:r>
      <w:r>
        <w:rPr>
          <w:rFonts w:asciiTheme="minorHAnsi" w:hAnsiTheme="minorHAnsi" w:cstheme="minorHAnsi"/>
          <w:color w:val="auto"/>
          <w:lang w:val="es-ES"/>
        </w:rPr>
        <w:tab/>
      </w:r>
      <w:r>
        <w:rPr>
          <w:rFonts w:asciiTheme="minorHAnsi" w:hAnsiTheme="minorHAnsi" w:cstheme="minorHAnsi"/>
          <w:color w:val="auto"/>
          <w:lang w:val="es-ES"/>
        </w:rPr>
        <w:tab/>
        <w:t>(</w:t>
      </w:r>
      <w:hyperlink r:id="rId14" w:history="1">
        <w:r w:rsidRPr="00365544">
          <w:rPr>
            <w:rStyle w:val="Hyperlink"/>
            <w:rFonts w:asciiTheme="minorHAnsi" w:hAnsiTheme="minorHAnsi" w:cstheme="minorHAnsi"/>
            <w:color w:val="auto"/>
            <w:lang w:val="es-ES"/>
          </w:rPr>
          <w:t>j.sierra.prof@ufv.es</w:t>
        </w:r>
      </w:hyperlink>
      <w:r>
        <w:rPr>
          <w:rStyle w:val="Hyperlink"/>
          <w:rFonts w:asciiTheme="minorHAnsi" w:hAnsiTheme="minorHAnsi" w:cstheme="minorHAnsi"/>
          <w:color w:val="auto"/>
          <w:lang w:val="es-ES"/>
        </w:rPr>
        <w:t>)</w:t>
      </w:r>
    </w:p>
    <w:p w14:paraId="6FF85C77" w14:textId="0F7D9FA7" w:rsidR="00534C60" w:rsidRPr="00365544" w:rsidRDefault="00534C60" w:rsidP="00534C60">
      <w:pPr>
        <w:rPr>
          <w:rFonts w:asciiTheme="minorHAnsi" w:hAnsiTheme="minorHAnsi" w:cstheme="minorHAnsi"/>
          <w:color w:val="auto"/>
          <w:lang w:val="es-ES"/>
        </w:rPr>
      </w:pPr>
      <w:r w:rsidRPr="00365544">
        <w:rPr>
          <w:rFonts w:asciiTheme="minorHAnsi" w:hAnsiTheme="minorHAnsi" w:cstheme="minorHAnsi"/>
          <w:color w:val="auto"/>
          <w:lang w:val="es-ES"/>
        </w:rPr>
        <w:t>María Teresa Moreno-Flores:</w:t>
      </w:r>
      <w:r>
        <w:rPr>
          <w:rFonts w:asciiTheme="minorHAnsi" w:hAnsiTheme="minorHAnsi" w:cstheme="minorHAnsi"/>
          <w:color w:val="auto"/>
          <w:lang w:val="es-ES"/>
        </w:rPr>
        <w:tab/>
        <w:t>(</w:t>
      </w:r>
      <w:hyperlink r:id="rId15" w:history="1">
        <w:r w:rsidRPr="0010022E">
          <w:rPr>
            <w:rStyle w:val="Hyperlink"/>
            <w:rFonts w:asciiTheme="minorHAnsi" w:hAnsiTheme="minorHAnsi" w:cstheme="minorHAnsi"/>
            <w:lang w:val="es-ES"/>
          </w:rPr>
          <w:t>mteresa.moreno@uam.es</w:t>
        </w:r>
      </w:hyperlink>
      <w:r>
        <w:rPr>
          <w:rStyle w:val="Hyperlink"/>
          <w:rFonts w:asciiTheme="minorHAnsi" w:hAnsiTheme="minorHAnsi" w:cstheme="minorHAnsi"/>
          <w:color w:val="auto"/>
          <w:lang w:val="es-ES"/>
        </w:rPr>
        <w:t>)</w:t>
      </w:r>
    </w:p>
    <w:p w14:paraId="0B22D0FB" w14:textId="77777777" w:rsidR="00534C60" w:rsidRPr="00365544" w:rsidRDefault="00534C60" w:rsidP="00365544">
      <w:pPr>
        <w:rPr>
          <w:rFonts w:asciiTheme="minorHAnsi" w:hAnsiTheme="minorHAnsi" w:cstheme="minorHAnsi"/>
          <w:color w:val="auto"/>
          <w:lang w:val="es-ES"/>
        </w:rPr>
      </w:pPr>
    </w:p>
    <w:p w14:paraId="12724EC8" w14:textId="3E43FA77" w:rsidR="000631D3" w:rsidRPr="00365544" w:rsidRDefault="00534C60" w:rsidP="00365544">
      <w:pPr>
        <w:rPr>
          <w:rFonts w:asciiTheme="minorHAnsi" w:hAnsiTheme="minorHAnsi" w:cstheme="minorHAnsi"/>
          <w:color w:val="auto"/>
          <w:lang w:val="es-ES"/>
        </w:rPr>
      </w:pPr>
      <w:r>
        <w:rPr>
          <w:rFonts w:asciiTheme="minorHAnsi" w:hAnsiTheme="minorHAnsi" w:cstheme="minorHAnsi"/>
          <w:color w:val="auto"/>
          <w:lang w:val="es-ES"/>
        </w:rPr>
        <w:t>*</w:t>
      </w:r>
      <w:r w:rsidR="000631D3" w:rsidRPr="00365544">
        <w:rPr>
          <w:rFonts w:asciiTheme="minorHAnsi" w:hAnsiTheme="minorHAnsi" w:cstheme="minorHAnsi"/>
          <w:color w:val="auto"/>
          <w:lang w:val="es-ES"/>
        </w:rPr>
        <w:t>Co-corresponding authors:</w:t>
      </w:r>
    </w:p>
    <w:p w14:paraId="465EB821" w14:textId="4CDACC5A" w:rsidR="000631D3" w:rsidRPr="00365544" w:rsidRDefault="000631D3" w:rsidP="00365544">
      <w:pPr>
        <w:rPr>
          <w:rFonts w:asciiTheme="minorHAnsi" w:hAnsiTheme="minorHAnsi" w:cstheme="minorHAnsi"/>
          <w:color w:val="auto"/>
          <w:lang w:val="es-ES"/>
        </w:rPr>
      </w:pPr>
      <w:r w:rsidRPr="00365544">
        <w:rPr>
          <w:rFonts w:asciiTheme="minorHAnsi" w:hAnsiTheme="minorHAnsi" w:cstheme="minorHAnsi"/>
          <w:color w:val="auto"/>
          <w:lang w:val="es-ES"/>
        </w:rPr>
        <w:t>Javier Sierra</w:t>
      </w:r>
      <w:r w:rsidR="00A12533" w:rsidRPr="00365544">
        <w:rPr>
          <w:rFonts w:asciiTheme="minorHAnsi" w:hAnsiTheme="minorHAnsi" w:cstheme="minorHAnsi"/>
          <w:color w:val="auto"/>
          <w:lang w:val="es-ES"/>
        </w:rPr>
        <w:t>:</w:t>
      </w:r>
      <w:r w:rsidR="00534C60">
        <w:rPr>
          <w:rFonts w:asciiTheme="minorHAnsi" w:hAnsiTheme="minorHAnsi" w:cstheme="minorHAnsi"/>
          <w:color w:val="auto"/>
          <w:lang w:val="es-ES"/>
        </w:rPr>
        <w:tab/>
      </w:r>
      <w:r w:rsidR="00534C60">
        <w:rPr>
          <w:rFonts w:asciiTheme="minorHAnsi" w:hAnsiTheme="minorHAnsi" w:cstheme="minorHAnsi"/>
          <w:color w:val="auto"/>
          <w:lang w:val="es-ES"/>
        </w:rPr>
        <w:tab/>
      </w:r>
      <w:r w:rsidR="00534C60">
        <w:rPr>
          <w:rFonts w:asciiTheme="minorHAnsi" w:hAnsiTheme="minorHAnsi" w:cstheme="minorHAnsi"/>
          <w:color w:val="auto"/>
          <w:lang w:val="es-ES"/>
        </w:rPr>
        <w:tab/>
        <w:t>(</w:t>
      </w:r>
      <w:hyperlink r:id="rId16" w:history="1">
        <w:r w:rsidR="00534C60" w:rsidRPr="0010022E">
          <w:rPr>
            <w:rStyle w:val="Hyperlink"/>
            <w:rFonts w:asciiTheme="minorHAnsi" w:hAnsiTheme="minorHAnsi" w:cstheme="minorHAnsi"/>
            <w:lang w:val="es-ES"/>
          </w:rPr>
          <w:t>j.sierra.prof@ufv.es</w:t>
        </w:r>
      </w:hyperlink>
      <w:r w:rsidR="00534C60">
        <w:rPr>
          <w:rStyle w:val="Hyperlink"/>
          <w:rFonts w:asciiTheme="minorHAnsi" w:hAnsiTheme="minorHAnsi" w:cstheme="minorHAnsi"/>
          <w:color w:val="auto"/>
          <w:lang w:val="es-ES"/>
        </w:rPr>
        <w:t>)</w:t>
      </w:r>
    </w:p>
    <w:p w14:paraId="3FD28806" w14:textId="00DE6846" w:rsidR="009E2093" w:rsidRPr="00365544" w:rsidRDefault="000631D3" w:rsidP="00365544">
      <w:pPr>
        <w:rPr>
          <w:rFonts w:asciiTheme="minorHAnsi" w:hAnsiTheme="minorHAnsi" w:cstheme="minorHAnsi"/>
          <w:color w:val="auto"/>
          <w:lang w:val="es-ES"/>
        </w:rPr>
      </w:pPr>
      <w:r w:rsidRPr="00365544">
        <w:rPr>
          <w:rFonts w:asciiTheme="minorHAnsi" w:hAnsiTheme="minorHAnsi" w:cstheme="minorHAnsi"/>
          <w:color w:val="auto"/>
          <w:lang w:val="es-ES"/>
        </w:rPr>
        <w:t>María Teresa Moreno-Flores</w:t>
      </w:r>
      <w:r w:rsidR="00A12533" w:rsidRPr="00365544">
        <w:rPr>
          <w:rFonts w:asciiTheme="minorHAnsi" w:hAnsiTheme="minorHAnsi" w:cstheme="minorHAnsi"/>
          <w:color w:val="auto"/>
          <w:lang w:val="es-ES"/>
        </w:rPr>
        <w:t>:</w:t>
      </w:r>
      <w:r w:rsidR="00534C60">
        <w:rPr>
          <w:rFonts w:asciiTheme="minorHAnsi" w:hAnsiTheme="minorHAnsi" w:cstheme="minorHAnsi"/>
          <w:color w:val="auto"/>
          <w:lang w:val="es-ES"/>
        </w:rPr>
        <w:tab/>
        <w:t>(</w:t>
      </w:r>
      <w:hyperlink r:id="rId17" w:history="1">
        <w:r w:rsidR="00534C60" w:rsidRPr="0010022E">
          <w:rPr>
            <w:rStyle w:val="Hyperlink"/>
            <w:rFonts w:asciiTheme="minorHAnsi" w:hAnsiTheme="minorHAnsi" w:cstheme="minorHAnsi"/>
            <w:lang w:val="es-ES"/>
          </w:rPr>
          <w:t>mteresa.moreno@uam.es</w:t>
        </w:r>
      </w:hyperlink>
      <w:r w:rsidR="00534C60">
        <w:rPr>
          <w:rStyle w:val="Hyperlink"/>
          <w:rFonts w:asciiTheme="minorHAnsi" w:hAnsiTheme="minorHAnsi" w:cstheme="minorHAnsi"/>
          <w:color w:val="auto"/>
          <w:lang w:val="es-ES"/>
        </w:rPr>
        <w:t>)</w:t>
      </w:r>
    </w:p>
    <w:p w14:paraId="60FCB589" w14:textId="42D11221" w:rsidR="00D04A95" w:rsidRPr="00365544" w:rsidRDefault="00D04A95" w:rsidP="00365544">
      <w:pPr>
        <w:rPr>
          <w:rFonts w:asciiTheme="minorHAnsi" w:hAnsiTheme="minorHAnsi" w:cstheme="minorHAnsi"/>
          <w:bCs/>
          <w:color w:val="auto"/>
          <w:lang w:val="es-ES"/>
        </w:rPr>
      </w:pPr>
    </w:p>
    <w:p w14:paraId="1CAA212E" w14:textId="6F52F528" w:rsidR="00AE6049" w:rsidRPr="00365544" w:rsidRDefault="006305D7" w:rsidP="00365544">
      <w:pPr>
        <w:pStyle w:val="NormalWeb"/>
        <w:spacing w:before="0" w:beforeAutospacing="0" w:after="0" w:afterAutospacing="0"/>
        <w:rPr>
          <w:rFonts w:asciiTheme="minorHAnsi" w:hAnsiTheme="minorHAnsi" w:cstheme="minorHAnsi"/>
          <w:color w:val="auto"/>
        </w:rPr>
      </w:pPr>
      <w:r w:rsidRPr="00365544">
        <w:rPr>
          <w:rFonts w:asciiTheme="minorHAnsi" w:hAnsiTheme="minorHAnsi" w:cstheme="minorHAnsi"/>
          <w:b/>
          <w:bCs/>
          <w:color w:val="auto"/>
        </w:rPr>
        <w:t>KEYWORDS:</w:t>
      </w:r>
    </w:p>
    <w:p w14:paraId="6C0B0781" w14:textId="3314A009" w:rsidR="007A4DD6" w:rsidRPr="00365544" w:rsidRDefault="00A85D83" w:rsidP="0036554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o</w:t>
      </w:r>
      <w:r w:rsidR="0014737B" w:rsidRPr="00365544">
        <w:rPr>
          <w:rFonts w:asciiTheme="minorHAnsi" w:hAnsiTheme="minorHAnsi" w:cstheme="minorHAnsi"/>
          <w:color w:val="auto"/>
        </w:rPr>
        <w:t xml:space="preserve">lfactory ensheathing glia (OEG), adult axonal regeneration, in vitro assay, retinal ganglion neurons (RGN), coculture, </w:t>
      </w:r>
      <w:r w:rsidR="009925C4" w:rsidRPr="00365544">
        <w:rPr>
          <w:rFonts w:asciiTheme="minorHAnsi" w:hAnsiTheme="minorHAnsi" w:cstheme="minorHAnsi"/>
          <w:color w:val="auto"/>
        </w:rPr>
        <w:t>axotomy</w:t>
      </w:r>
    </w:p>
    <w:p w14:paraId="0467DFE0" w14:textId="77777777" w:rsidR="00596C2E" w:rsidRPr="00365544" w:rsidRDefault="00596C2E" w:rsidP="00365544">
      <w:pPr>
        <w:pStyle w:val="NormalWeb"/>
        <w:spacing w:before="0" w:beforeAutospacing="0" w:after="0" w:afterAutospacing="0"/>
        <w:rPr>
          <w:rFonts w:asciiTheme="minorHAnsi" w:hAnsiTheme="minorHAnsi" w:cstheme="minorHAnsi"/>
          <w:color w:val="auto"/>
        </w:rPr>
      </w:pPr>
    </w:p>
    <w:p w14:paraId="4145F543" w14:textId="394C5A14" w:rsidR="00AA671F" w:rsidRPr="00365544" w:rsidRDefault="00086FF5" w:rsidP="00365544">
      <w:pPr>
        <w:rPr>
          <w:rFonts w:asciiTheme="minorHAnsi" w:hAnsiTheme="minorHAnsi" w:cstheme="minorHAnsi"/>
          <w:color w:val="auto"/>
        </w:rPr>
      </w:pPr>
      <w:r w:rsidRPr="00365544">
        <w:rPr>
          <w:rFonts w:asciiTheme="minorHAnsi" w:hAnsiTheme="minorHAnsi" w:cstheme="minorHAnsi"/>
          <w:b/>
          <w:bCs/>
          <w:color w:val="auto"/>
        </w:rPr>
        <w:t>SUMMARY</w:t>
      </w:r>
      <w:r w:rsidR="006305D7" w:rsidRPr="00365544">
        <w:rPr>
          <w:rFonts w:asciiTheme="minorHAnsi" w:hAnsiTheme="minorHAnsi" w:cstheme="minorHAnsi"/>
          <w:b/>
          <w:bCs/>
          <w:color w:val="auto"/>
        </w:rPr>
        <w:t>:</w:t>
      </w:r>
    </w:p>
    <w:p w14:paraId="10D52747" w14:textId="251E12CF" w:rsidR="00596C2E" w:rsidRPr="00365544" w:rsidRDefault="00AA671F" w:rsidP="00365544">
      <w:pPr>
        <w:rPr>
          <w:rFonts w:asciiTheme="minorHAnsi" w:hAnsiTheme="minorHAnsi" w:cstheme="minorHAnsi"/>
          <w:color w:val="auto"/>
        </w:rPr>
      </w:pPr>
      <w:r w:rsidRPr="00365544">
        <w:rPr>
          <w:rFonts w:asciiTheme="minorHAnsi" w:hAnsiTheme="minorHAnsi" w:cstheme="minorHAnsi"/>
          <w:color w:val="auto"/>
        </w:rPr>
        <w:t xml:space="preserve">We present an in vitro </w:t>
      </w:r>
      <w:r w:rsidR="00F65FA1" w:rsidRPr="00365544">
        <w:rPr>
          <w:rFonts w:asciiTheme="minorHAnsi" w:hAnsiTheme="minorHAnsi" w:cstheme="minorHAnsi"/>
          <w:color w:val="auto"/>
        </w:rPr>
        <w:t xml:space="preserve">model to assess olfactory ensheathing glia (OEG) neuroregenerative capacity, </w:t>
      </w:r>
      <w:r w:rsidR="00654CEF" w:rsidRPr="00365544">
        <w:rPr>
          <w:rFonts w:asciiTheme="minorHAnsi" w:hAnsiTheme="minorHAnsi" w:cstheme="minorHAnsi"/>
          <w:color w:val="auto"/>
        </w:rPr>
        <w:t>after neural injury.</w:t>
      </w:r>
      <w:r w:rsidR="00AB5910" w:rsidRPr="00365544">
        <w:rPr>
          <w:rFonts w:asciiTheme="minorHAnsi" w:hAnsiTheme="minorHAnsi" w:cstheme="minorHAnsi"/>
          <w:color w:val="auto"/>
        </w:rPr>
        <w:t xml:space="preserve"> It is based on a coculture of axotomized adult retinal ganglion neurons (RGN) on OEG monolayers and subsequent study of axonal regeneration, by analyzing RGN axonal and somatodendritic markers.</w:t>
      </w:r>
    </w:p>
    <w:p w14:paraId="481A2FA3" w14:textId="6FCE1489" w:rsidR="00596C2E" w:rsidRPr="00365544" w:rsidRDefault="00596C2E" w:rsidP="00365544">
      <w:pPr>
        <w:rPr>
          <w:rFonts w:asciiTheme="minorHAnsi" w:hAnsiTheme="minorHAnsi" w:cstheme="minorHAnsi"/>
          <w:color w:val="auto"/>
        </w:rPr>
      </w:pPr>
    </w:p>
    <w:p w14:paraId="03F7FFB2" w14:textId="41287ED1" w:rsidR="00A12533" w:rsidRPr="00365544" w:rsidRDefault="006305D7" w:rsidP="00365544">
      <w:pPr>
        <w:rPr>
          <w:rFonts w:asciiTheme="minorHAnsi" w:hAnsiTheme="minorHAnsi" w:cstheme="minorHAnsi"/>
          <w:color w:val="auto"/>
        </w:rPr>
      </w:pPr>
      <w:r w:rsidRPr="00365544">
        <w:rPr>
          <w:rFonts w:asciiTheme="minorHAnsi" w:hAnsiTheme="minorHAnsi" w:cstheme="minorHAnsi"/>
          <w:b/>
          <w:bCs/>
          <w:color w:val="auto"/>
        </w:rPr>
        <w:t>ABSTRACT:</w:t>
      </w:r>
    </w:p>
    <w:p w14:paraId="6A006D35" w14:textId="661722F9" w:rsidR="002B1D45" w:rsidRDefault="002B1D45" w:rsidP="00365544">
      <w:pPr>
        <w:rPr>
          <w:rFonts w:asciiTheme="minorHAnsi" w:hAnsiTheme="minorHAnsi" w:cstheme="minorHAnsi"/>
          <w:color w:val="auto"/>
        </w:rPr>
      </w:pPr>
      <w:r w:rsidRPr="00365544">
        <w:rPr>
          <w:rFonts w:asciiTheme="minorHAnsi" w:hAnsiTheme="minorHAnsi" w:cstheme="minorHAnsi"/>
          <w:color w:val="auto"/>
        </w:rPr>
        <w:t>Olfactory ensheathing glia (OEG) cells are localized all the way from the olfactory mucosa to and into the olfactory nerve layer (ONL) of the olfactory bulb. Throughout adult life, they are key for axonal growing of newly generated olfactory neurons, from the lamina propria to the ONL. Due to their pro-regenerative properties, these cells have been used to foster axonal regeneration in spinal cord or optic nerve injury models.</w:t>
      </w:r>
    </w:p>
    <w:p w14:paraId="20A58725" w14:textId="77777777" w:rsidR="001A7D8B" w:rsidRPr="00365544" w:rsidRDefault="001A7D8B" w:rsidP="00365544">
      <w:pPr>
        <w:rPr>
          <w:rFonts w:asciiTheme="minorHAnsi" w:hAnsiTheme="minorHAnsi" w:cstheme="minorHAnsi"/>
          <w:color w:val="auto"/>
        </w:rPr>
      </w:pPr>
    </w:p>
    <w:p w14:paraId="2D6A892F" w14:textId="44D67472" w:rsidR="002B1D45" w:rsidRPr="00365544" w:rsidRDefault="002B1D45" w:rsidP="00365544">
      <w:pPr>
        <w:rPr>
          <w:color w:val="auto"/>
        </w:rPr>
      </w:pPr>
      <w:r w:rsidRPr="00365544">
        <w:rPr>
          <w:rFonts w:asciiTheme="minorHAnsi" w:hAnsiTheme="minorHAnsi" w:cstheme="minorHAnsi"/>
          <w:color w:val="auto"/>
        </w:rPr>
        <w:t>We present an in vitro model to assay and measure OEG neuro</w:t>
      </w:r>
      <w:r w:rsidR="00381F06" w:rsidRPr="00365544">
        <w:rPr>
          <w:rFonts w:asciiTheme="minorHAnsi" w:hAnsiTheme="minorHAnsi" w:cstheme="minorHAnsi"/>
          <w:color w:val="auto"/>
        </w:rPr>
        <w:t>re</w:t>
      </w:r>
      <w:r w:rsidRPr="00365544">
        <w:rPr>
          <w:rFonts w:asciiTheme="minorHAnsi" w:hAnsiTheme="minorHAnsi" w:cstheme="minorHAnsi"/>
          <w:color w:val="auto"/>
        </w:rPr>
        <w:t xml:space="preserve">generative capacity after neural </w:t>
      </w:r>
      <w:r w:rsidRPr="00365544">
        <w:rPr>
          <w:rFonts w:asciiTheme="minorHAnsi" w:hAnsiTheme="minorHAnsi" w:cstheme="minorHAnsi"/>
          <w:color w:val="auto"/>
        </w:rPr>
        <w:lastRenderedPageBreak/>
        <w:t>injury. In this model, reversibly immortalized human OEG (ihOEG) is cultured as a monolayer, retinas are extracted from adult rats and retinal ganglion neurons (RGN) are cocultured onto the OEG monolayer. After 96</w:t>
      </w:r>
      <w:r w:rsidR="001A7D8B">
        <w:rPr>
          <w:rFonts w:asciiTheme="minorHAnsi" w:hAnsiTheme="minorHAnsi" w:cstheme="minorHAnsi"/>
          <w:color w:val="auto"/>
        </w:rPr>
        <w:t xml:space="preserve"> </w:t>
      </w:r>
      <w:r w:rsidRPr="00365544">
        <w:rPr>
          <w:rFonts w:asciiTheme="minorHAnsi" w:hAnsiTheme="minorHAnsi" w:cstheme="minorHAnsi"/>
          <w:color w:val="auto"/>
        </w:rPr>
        <w:t xml:space="preserve">h, </w:t>
      </w:r>
      <w:r w:rsidRPr="00365544">
        <w:rPr>
          <w:color w:val="auto"/>
        </w:rPr>
        <w:t>axonal and somatodendritic markers in RGNs are analyzed by immunofluorescence and the number of RGNs with axon and the mean axonal length/neuron are quantified.</w:t>
      </w:r>
    </w:p>
    <w:p w14:paraId="00E82488" w14:textId="77777777" w:rsidR="00365544" w:rsidRPr="00365544" w:rsidRDefault="00365544" w:rsidP="00365544">
      <w:pPr>
        <w:rPr>
          <w:color w:val="auto"/>
        </w:rPr>
      </w:pPr>
    </w:p>
    <w:p w14:paraId="660234E6" w14:textId="013C000D" w:rsidR="004776CB" w:rsidRPr="00365544" w:rsidRDefault="002B1D45" w:rsidP="00365544">
      <w:pPr>
        <w:rPr>
          <w:color w:val="auto"/>
        </w:rPr>
      </w:pPr>
      <w:r w:rsidRPr="00365544">
        <w:rPr>
          <w:color w:val="auto"/>
        </w:rPr>
        <w:t>This protocol has the advantage over other in vitro assays that rely on embryonic or postnatal neurons, that it evaluates OEG neuroregenerative properties in adult tissue. Also, it is not only useful for assessing the neuroregenerative potential of ihOEG but can be extended to different sources of OEG or other glial cells.</w:t>
      </w:r>
    </w:p>
    <w:p w14:paraId="051F2DD8" w14:textId="7D87B827" w:rsidR="008E08E5" w:rsidRPr="00365544" w:rsidRDefault="008E08E5" w:rsidP="00365544">
      <w:pPr>
        <w:rPr>
          <w:rFonts w:asciiTheme="minorHAnsi" w:hAnsiTheme="minorHAnsi" w:cstheme="minorHAnsi"/>
          <w:color w:val="auto"/>
        </w:rPr>
      </w:pPr>
    </w:p>
    <w:p w14:paraId="237AD7DD" w14:textId="4995F1B1" w:rsidR="00D15131" w:rsidRPr="00365544" w:rsidRDefault="006305D7" w:rsidP="00365544">
      <w:pPr>
        <w:rPr>
          <w:rFonts w:asciiTheme="minorHAnsi" w:hAnsiTheme="minorHAnsi" w:cstheme="minorHAnsi"/>
          <w:b/>
          <w:color w:val="auto"/>
        </w:rPr>
      </w:pPr>
      <w:r w:rsidRPr="00365544">
        <w:rPr>
          <w:rFonts w:asciiTheme="minorHAnsi" w:hAnsiTheme="minorHAnsi" w:cstheme="minorHAnsi"/>
          <w:b/>
          <w:color w:val="auto"/>
        </w:rPr>
        <w:t>INTRODUCTION</w:t>
      </w:r>
      <w:r w:rsidRPr="00365544">
        <w:rPr>
          <w:rFonts w:asciiTheme="minorHAnsi" w:hAnsiTheme="minorHAnsi" w:cstheme="minorHAnsi"/>
          <w:b/>
          <w:bCs/>
          <w:color w:val="auto"/>
        </w:rPr>
        <w:t>:</w:t>
      </w:r>
    </w:p>
    <w:p w14:paraId="0D2BA6E0" w14:textId="1702A9E0" w:rsidR="00654CEF" w:rsidRPr="0010022E" w:rsidRDefault="00654CEF" w:rsidP="00365544">
      <w:pPr>
        <w:rPr>
          <w:color w:val="auto"/>
        </w:rPr>
      </w:pPr>
      <w:r w:rsidRPr="00365544">
        <w:rPr>
          <w:color w:val="auto"/>
        </w:rPr>
        <w:t>Adult central nervous system (CNS) neurons have limited regenerative capacity after injury or disease. A common strategy to promote CNS regeneration is transplantation, at the injury site, of cell types that induce axonal or neuronal growth such as stem cells, Schwann cells, astrocytes or olfactory ensheathing glia (OEG) cells</w:t>
      </w:r>
      <w:r w:rsidRPr="00365544">
        <w:rPr>
          <w:color w:val="auto"/>
          <w:vertAlign w:val="superscript"/>
        </w:rPr>
        <w:t>1</w:t>
      </w:r>
      <w:r w:rsidR="001B01BD">
        <w:rPr>
          <w:color w:val="auto"/>
          <w:vertAlign w:val="superscript"/>
        </w:rPr>
        <w:t>–</w:t>
      </w:r>
      <w:r w:rsidRPr="00365544">
        <w:rPr>
          <w:color w:val="auto"/>
          <w:vertAlign w:val="superscript"/>
        </w:rPr>
        <w:t>5</w:t>
      </w:r>
      <w:r w:rsidRPr="00365544">
        <w:rPr>
          <w:i/>
          <w:iCs/>
          <w:color w:val="auto"/>
        </w:rPr>
        <w:t>.</w:t>
      </w:r>
    </w:p>
    <w:p w14:paraId="09ECEB53" w14:textId="77777777" w:rsidR="00365544" w:rsidRPr="0010022E" w:rsidRDefault="00365544" w:rsidP="00365544">
      <w:pPr>
        <w:rPr>
          <w:color w:val="auto"/>
        </w:rPr>
      </w:pPr>
    </w:p>
    <w:p w14:paraId="5EAD9FD0" w14:textId="698A748D" w:rsidR="00654CEF" w:rsidRPr="00365544" w:rsidRDefault="00654CEF" w:rsidP="00365544">
      <w:pPr>
        <w:rPr>
          <w:color w:val="auto"/>
        </w:rPr>
      </w:pPr>
      <w:r w:rsidRPr="00365544">
        <w:rPr>
          <w:color w:val="auto"/>
        </w:rPr>
        <w:t>OEG</w:t>
      </w:r>
      <w:r w:rsidRPr="00365544">
        <w:rPr>
          <w:i/>
          <w:iCs/>
          <w:color w:val="auto"/>
        </w:rPr>
        <w:t xml:space="preserve"> </w:t>
      </w:r>
      <w:r w:rsidRPr="00365544">
        <w:rPr>
          <w:color w:val="auto"/>
        </w:rPr>
        <w:t>derives from the neural crest</w:t>
      </w:r>
      <w:r w:rsidR="00D945D5" w:rsidRPr="00365544">
        <w:rPr>
          <w:color w:val="auto"/>
          <w:vertAlign w:val="superscript"/>
        </w:rPr>
        <w:t xml:space="preserve">6 </w:t>
      </w:r>
      <w:r w:rsidRPr="00365544">
        <w:rPr>
          <w:color w:val="auto"/>
        </w:rPr>
        <w:t xml:space="preserve">and locates in the olfactory mucosa and in the olfactory bulb. In the adult, olfactory sensory neurons die regularly as the result of environmental exposure and they are replaced by newly differentiated neurons. OEG surrounds and guides these new olfactory axons to enter the olfactory bulb and to establish new synapses with their targets in the </w:t>
      </w:r>
      <w:r w:rsidR="003230DC" w:rsidRPr="00365544">
        <w:rPr>
          <w:color w:val="auto"/>
        </w:rPr>
        <w:t>CNS</w:t>
      </w:r>
      <w:r w:rsidR="00D945D5" w:rsidRPr="00365544">
        <w:rPr>
          <w:color w:val="auto"/>
          <w:vertAlign w:val="superscript"/>
        </w:rPr>
        <w:t>7</w:t>
      </w:r>
      <w:r w:rsidR="00D945D5" w:rsidRPr="00365544">
        <w:rPr>
          <w:i/>
          <w:iCs/>
          <w:color w:val="auto"/>
        </w:rPr>
        <w:t>.</w:t>
      </w:r>
      <w:r w:rsidR="00D945D5" w:rsidRPr="0010022E">
        <w:rPr>
          <w:color w:val="auto"/>
        </w:rPr>
        <w:t xml:space="preserve"> </w:t>
      </w:r>
      <w:r w:rsidRPr="00365544">
        <w:rPr>
          <w:color w:val="auto"/>
        </w:rPr>
        <w:t>Due to these physiological attributes, OEG has been used in models of CNS injury such as spinal cord or optic nerve injury and its neuroregenerative and neuroprotective properties become proven</w:t>
      </w:r>
      <w:r w:rsidR="00D945D5" w:rsidRPr="00365544">
        <w:rPr>
          <w:color w:val="auto"/>
          <w:vertAlign w:val="superscript"/>
        </w:rPr>
        <w:t>8</w:t>
      </w:r>
      <w:r w:rsidR="001B01BD">
        <w:rPr>
          <w:color w:val="auto"/>
          <w:vertAlign w:val="superscript"/>
        </w:rPr>
        <w:t>–</w:t>
      </w:r>
      <w:r w:rsidR="00D945D5" w:rsidRPr="00365544">
        <w:rPr>
          <w:color w:val="auto"/>
          <w:vertAlign w:val="superscript"/>
        </w:rPr>
        <w:t>11</w:t>
      </w:r>
      <w:r w:rsidR="00D945D5" w:rsidRPr="00365544">
        <w:rPr>
          <w:color w:val="auto"/>
        </w:rPr>
        <w:t xml:space="preserve">. </w:t>
      </w:r>
      <w:r w:rsidRPr="00365544">
        <w:rPr>
          <w:color w:val="auto"/>
        </w:rPr>
        <w:t>Several factors have been identified as responsible of the pro-regenerative characteristics of these cells, including extracellular matrix proteases production or secretion of neurotrophic and axonal</w:t>
      </w:r>
      <w:r w:rsidR="00381F06" w:rsidRPr="00365544">
        <w:rPr>
          <w:color w:val="auto"/>
        </w:rPr>
        <w:t xml:space="preserve"> growth factors</w:t>
      </w:r>
      <w:r w:rsidR="00D945D5" w:rsidRPr="00365544">
        <w:rPr>
          <w:color w:val="auto"/>
          <w:vertAlign w:val="superscript"/>
        </w:rPr>
        <w:t>12</w:t>
      </w:r>
      <w:r w:rsidR="001B01BD">
        <w:rPr>
          <w:color w:val="auto"/>
          <w:vertAlign w:val="superscript"/>
        </w:rPr>
        <w:t>–</w:t>
      </w:r>
      <w:r w:rsidR="00D945D5" w:rsidRPr="00365544">
        <w:rPr>
          <w:color w:val="auto"/>
          <w:vertAlign w:val="superscript"/>
        </w:rPr>
        <w:t>14</w:t>
      </w:r>
      <w:r w:rsidR="00D945D5" w:rsidRPr="00365544">
        <w:rPr>
          <w:color w:val="auto"/>
        </w:rPr>
        <w:t>.</w:t>
      </w:r>
    </w:p>
    <w:p w14:paraId="2656C2D3" w14:textId="77777777" w:rsidR="00365544" w:rsidRPr="00365544" w:rsidRDefault="00365544" w:rsidP="00365544">
      <w:pPr>
        <w:rPr>
          <w:color w:val="auto"/>
        </w:rPr>
      </w:pPr>
    </w:p>
    <w:p w14:paraId="45D8D07E" w14:textId="23CBB16F" w:rsidR="00654CEF" w:rsidRPr="00365544" w:rsidRDefault="00654CEF" w:rsidP="00365544">
      <w:pPr>
        <w:rPr>
          <w:color w:val="auto"/>
        </w:rPr>
      </w:pPr>
      <w:r w:rsidRPr="00365544">
        <w:rPr>
          <w:color w:val="auto"/>
        </w:rPr>
        <w:t xml:space="preserve">Given the technical limitations to expand primary OEG cells, </w:t>
      </w:r>
      <w:r w:rsidR="00543BB2">
        <w:rPr>
          <w:color w:val="auto"/>
        </w:rPr>
        <w:t>we</w:t>
      </w:r>
      <w:r w:rsidRPr="00365544">
        <w:rPr>
          <w:color w:val="auto"/>
        </w:rPr>
        <w:t xml:space="preserve"> previously established and characterized reversible immortalized human OEG</w:t>
      </w:r>
      <w:r w:rsidR="0081741A" w:rsidRPr="00365544">
        <w:rPr>
          <w:color w:val="auto"/>
        </w:rPr>
        <w:t xml:space="preserve"> </w:t>
      </w:r>
      <w:r w:rsidRPr="00365544">
        <w:rPr>
          <w:color w:val="auto"/>
        </w:rPr>
        <w:t xml:space="preserve">(ihOEG) clonal lines, which provide an unlimited supply of homogeneous OEG. These ihOEG cells </w:t>
      </w:r>
      <w:bookmarkStart w:id="0" w:name="_Hlk45387899"/>
      <w:r w:rsidRPr="00365544">
        <w:rPr>
          <w:color w:val="auto"/>
        </w:rPr>
        <w:t>derive from primary cultures, prepared from olfactory bulbs obtained in autopsies</w:t>
      </w:r>
      <w:bookmarkEnd w:id="0"/>
      <w:r w:rsidR="00685AB4" w:rsidRPr="00365544">
        <w:rPr>
          <w:color w:val="auto"/>
        </w:rPr>
        <w:t>. T</w:t>
      </w:r>
      <w:r w:rsidRPr="00365544">
        <w:rPr>
          <w:color w:val="auto"/>
        </w:rPr>
        <w:t xml:space="preserve">hey were immortalized by transduction of the telomerase catalytic subunit (TERT) and </w:t>
      </w:r>
      <w:r w:rsidR="00F340DC" w:rsidRPr="00365544">
        <w:rPr>
          <w:color w:val="auto"/>
        </w:rPr>
        <w:t xml:space="preserve">the </w:t>
      </w:r>
      <w:r w:rsidRPr="00365544">
        <w:rPr>
          <w:color w:val="auto"/>
        </w:rPr>
        <w:t>oncogene Bmi-1</w:t>
      </w:r>
      <w:r w:rsidR="00685AB4" w:rsidRPr="00365544">
        <w:rPr>
          <w:color w:val="auto"/>
        </w:rPr>
        <w:t xml:space="preserve"> </w:t>
      </w:r>
      <w:r w:rsidRPr="00365544">
        <w:rPr>
          <w:color w:val="auto"/>
        </w:rPr>
        <w:t>and modified with the SV40 virus large T antigen</w:t>
      </w:r>
      <w:r w:rsidR="00685AB4" w:rsidRPr="00365544">
        <w:rPr>
          <w:color w:val="auto"/>
          <w:vertAlign w:val="superscript"/>
        </w:rPr>
        <w:t>15</w:t>
      </w:r>
      <w:r w:rsidR="001B01BD">
        <w:rPr>
          <w:color w:val="auto"/>
          <w:vertAlign w:val="superscript"/>
        </w:rPr>
        <w:t>–</w:t>
      </w:r>
      <w:r w:rsidR="00685AB4" w:rsidRPr="00365544">
        <w:rPr>
          <w:color w:val="auto"/>
          <w:vertAlign w:val="superscript"/>
        </w:rPr>
        <w:t>18</w:t>
      </w:r>
      <w:r w:rsidR="00685AB4" w:rsidRPr="00365544">
        <w:rPr>
          <w:color w:val="auto"/>
        </w:rPr>
        <w:t xml:space="preserve">. </w:t>
      </w:r>
      <w:r w:rsidRPr="00365544">
        <w:rPr>
          <w:color w:val="auto"/>
        </w:rPr>
        <w:t>Two of these ihOEG cell lines are Ts14, which maintains the regenerative capacity of the original cultures and Ts12, a low regenerative line that is used as a low regeneration control in these experiments</w:t>
      </w:r>
      <w:r w:rsidR="00685AB4" w:rsidRPr="00365544">
        <w:rPr>
          <w:color w:val="auto"/>
          <w:vertAlign w:val="superscript"/>
        </w:rPr>
        <w:t>18</w:t>
      </w:r>
      <w:r w:rsidRPr="00365544">
        <w:rPr>
          <w:color w:val="auto"/>
        </w:rPr>
        <w:t>.</w:t>
      </w:r>
    </w:p>
    <w:p w14:paraId="09CAFF2B" w14:textId="77777777" w:rsidR="00365544" w:rsidRPr="00365544" w:rsidRDefault="00365544" w:rsidP="00365544">
      <w:pPr>
        <w:rPr>
          <w:color w:val="auto"/>
        </w:rPr>
      </w:pPr>
    </w:p>
    <w:p w14:paraId="29C35B20" w14:textId="5DBE451B" w:rsidR="00654CEF" w:rsidRPr="00365544" w:rsidRDefault="00654CEF" w:rsidP="00365544">
      <w:pPr>
        <w:rPr>
          <w:color w:val="auto"/>
        </w:rPr>
      </w:pPr>
      <w:r w:rsidRPr="00365544">
        <w:rPr>
          <w:color w:val="auto"/>
        </w:rPr>
        <w:t>To assess OEG capacity to foster axonal regeneration after neural injury, several in vitro models have been implemented. In these models, OEG is applied to cultures of different neuronal origin and neurite formation and elongation</w:t>
      </w:r>
      <w:r w:rsidR="001B01BD">
        <w:rPr>
          <w:color w:val="auto"/>
        </w:rPr>
        <w:t>—</w:t>
      </w:r>
      <w:r w:rsidRPr="00365544">
        <w:rPr>
          <w:color w:val="auto"/>
        </w:rPr>
        <w:t>in response to glial coculture</w:t>
      </w:r>
      <w:r w:rsidR="001B01BD">
        <w:rPr>
          <w:color w:val="auto"/>
        </w:rPr>
        <w:t>—</w:t>
      </w:r>
      <w:r w:rsidRPr="00365544">
        <w:rPr>
          <w:color w:val="auto"/>
        </w:rPr>
        <w:t>are assayed. Examples of such neuronal sources are neonatal rat cortical neurons</w:t>
      </w:r>
      <w:r w:rsidR="00685AB4" w:rsidRPr="00365544">
        <w:rPr>
          <w:color w:val="auto"/>
          <w:vertAlign w:val="superscript"/>
        </w:rPr>
        <w:t>19</w:t>
      </w:r>
      <w:r w:rsidRPr="00365544">
        <w:rPr>
          <w:color w:val="auto"/>
        </w:rPr>
        <w:t>, scratch wounds performed on rat embryonic neurons from cortical tissue</w:t>
      </w:r>
      <w:r w:rsidR="00685AB4" w:rsidRPr="00365544">
        <w:rPr>
          <w:color w:val="auto"/>
          <w:vertAlign w:val="superscript"/>
        </w:rPr>
        <w:t>20</w:t>
      </w:r>
      <w:r w:rsidR="00685AB4" w:rsidRPr="00365544">
        <w:rPr>
          <w:color w:val="auto"/>
        </w:rPr>
        <w:t xml:space="preserve">, </w:t>
      </w:r>
      <w:r w:rsidRPr="00365544">
        <w:rPr>
          <w:color w:val="auto"/>
        </w:rPr>
        <w:t>rat</w:t>
      </w:r>
      <w:r w:rsidRPr="00365544">
        <w:rPr>
          <w:i/>
          <w:iCs/>
          <w:color w:val="auto"/>
        </w:rPr>
        <w:t xml:space="preserve"> </w:t>
      </w:r>
      <w:r w:rsidRPr="00365544">
        <w:rPr>
          <w:color w:val="auto"/>
        </w:rPr>
        <w:t>retinal explants</w:t>
      </w:r>
      <w:r w:rsidR="00685AB4" w:rsidRPr="00365544">
        <w:rPr>
          <w:color w:val="auto"/>
          <w:vertAlign w:val="superscript"/>
        </w:rPr>
        <w:t>21</w:t>
      </w:r>
      <w:r w:rsidRPr="00365544">
        <w:rPr>
          <w:color w:val="auto"/>
        </w:rPr>
        <w:t>,</w:t>
      </w:r>
      <w:r w:rsidR="00685AB4" w:rsidRPr="00365544">
        <w:rPr>
          <w:color w:val="auto"/>
        </w:rPr>
        <w:t xml:space="preserve"> </w:t>
      </w:r>
      <w:r w:rsidRPr="00365544">
        <w:rPr>
          <w:color w:val="auto"/>
        </w:rPr>
        <w:t>rat hypothalamic or hippocampal postnatal neurons</w:t>
      </w:r>
      <w:r w:rsidR="00685AB4" w:rsidRPr="00365544">
        <w:rPr>
          <w:color w:val="auto"/>
          <w:vertAlign w:val="superscript"/>
        </w:rPr>
        <w:t>22,23</w:t>
      </w:r>
      <w:r w:rsidRPr="00365544">
        <w:rPr>
          <w:color w:val="auto"/>
        </w:rPr>
        <w:t>, postnatal rat dorsal root ganglion neurons</w:t>
      </w:r>
      <w:r w:rsidR="00685AB4" w:rsidRPr="00365544">
        <w:rPr>
          <w:color w:val="auto"/>
          <w:vertAlign w:val="superscript"/>
        </w:rPr>
        <w:t>24</w:t>
      </w:r>
      <w:r w:rsidRPr="00365544">
        <w:rPr>
          <w:color w:val="auto"/>
        </w:rPr>
        <w:t>, postnatal mouse corticospinal tract neurons</w:t>
      </w:r>
      <w:r w:rsidR="00685AB4" w:rsidRPr="00365544">
        <w:rPr>
          <w:color w:val="auto"/>
          <w:vertAlign w:val="superscript"/>
        </w:rPr>
        <w:t>25</w:t>
      </w:r>
      <w:r w:rsidRPr="00365544">
        <w:rPr>
          <w:color w:val="auto"/>
        </w:rPr>
        <w:t>, human NT2 neurons</w:t>
      </w:r>
      <w:r w:rsidR="00685AB4" w:rsidRPr="00365544">
        <w:rPr>
          <w:color w:val="auto"/>
          <w:vertAlign w:val="superscript"/>
        </w:rPr>
        <w:t>26</w:t>
      </w:r>
      <w:r w:rsidR="001B01BD" w:rsidRPr="0010022E">
        <w:rPr>
          <w:color w:val="auto"/>
        </w:rPr>
        <w:t>,</w:t>
      </w:r>
      <w:r w:rsidR="00685AB4" w:rsidRPr="00365544">
        <w:rPr>
          <w:color w:val="auto"/>
        </w:rPr>
        <w:t xml:space="preserve"> </w:t>
      </w:r>
      <w:r w:rsidRPr="00365544">
        <w:rPr>
          <w:color w:val="auto"/>
        </w:rPr>
        <w:t>or postnatal cerebral cortical neurons on reactive astrocyte scar-like cultures</w:t>
      </w:r>
      <w:r w:rsidR="00685AB4" w:rsidRPr="00365544">
        <w:rPr>
          <w:color w:val="auto"/>
          <w:vertAlign w:val="superscript"/>
        </w:rPr>
        <w:t>27</w:t>
      </w:r>
      <w:r w:rsidR="00685AB4" w:rsidRPr="00365544">
        <w:rPr>
          <w:color w:val="auto"/>
        </w:rPr>
        <w:t>.</w:t>
      </w:r>
    </w:p>
    <w:p w14:paraId="1885D39A" w14:textId="77777777" w:rsidR="00365544" w:rsidRPr="00365544" w:rsidRDefault="00365544" w:rsidP="00365544">
      <w:pPr>
        <w:rPr>
          <w:color w:val="auto"/>
        </w:rPr>
      </w:pPr>
    </w:p>
    <w:p w14:paraId="468B9CF0" w14:textId="45B0BA56" w:rsidR="00654CEF" w:rsidRPr="00365544" w:rsidRDefault="00654CEF" w:rsidP="00365544">
      <w:pPr>
        <w:rPr>
          <w:color w:val="auto"/>
        </w:rPr>
      </w:pPr>
      <w:r w:rsidRPr="00365544">
        <w:rPr>
          <w:color w:val="auto"/>
        </w:rPr>
        <w:t xml:space="preserve">In these models, however, the regeneration assay relies on embryonic or postnatal neurons, which have an intrinsic plasticity </w:t>
      </w:r>
      <w:r w:rsidR="00685AB4" w:rsidRPr="00365544">
        <w:rPr>
          <w:color w:val="auto"/>
        </w:rPr>
        <w:t xml:space="preserve">that is </w:t>
      </w:r>
      <w:r w:rsidRPr="00365544">
        <w:rPr>
          <w:color w:val="auto"/>
        </w:rPr>
        <w:t xml:space="preserve">absent </w:t>
      </w:r>
      <w:r w:rsidR="0048164D" w:rsidRPr="00365544">
        <w:rPr>
          <w:color w:val="auto"/>
        </w:rPr>
        <w:t>in</w:t>
      </w:r>
      <w:r w:rsidRPr="00365544">
        <w:rPr>
          <w:color w:val="auto"/>
        </w:rPr>
        <w:t xml:space="preserve"> injured adult neurons. To overcome this drawback, </w:t>
      </w:r>
      <w:bookmarkStart w:id="1" w:name="_Hlk45389637"/>
      <w:r w:rsidRPr="00365544">
        <w:rPr>
          <w:color w:val="auto"/>
        </w:rPr>
        <w:t xml:space="preserve">we present a model of adult axonal regeneration in cocultures of OEG lines with adult retinal ganglion neurons (RGNs), </w:t>
      </w:r>
      <w:bookmarkEnd w:id="1"/>
      <w:r w:rsidRPr="00365544">
        <w:rPr>
          <w:color w:val="auto"/>
        </w:rPr>
        <w:t>based on the one originally developed by Wigley et al.</w:t>
      </w:r>
      <w:r w:rsidR="00685AB4" w:rsidRPr="00365544">
        <w:rPr>
          <w:color w:val="auto"/>
          <w:vertAlign w:val="superscript"/>
        </w:rPr>
        <w:t>28</w:t>
      </w:r>
      <w:r w:rsidR="001B01BD">
        <w:rPr>
          <w:color w:val="auto"/>
          <w:vertAlign w:val="superscript"/>
        </w:rPr>
        <w:t>–</w:t>
      </w:r>
      <w:r w:rsidR="00685AB4" w:rsidRPr="00365544">
        <w:rPr>
          <w:color w:val="auto"/>
          <w:vertAlign w:val="superscript"/>
        </w:rPr>
        <w:t>31</w:t>
      </w:r>
      <w:r w:rsidR="00685AB4" w:rsidRPr="00365544">
        <w:rPr>
          <w:color w:val="auto"/>
        </w:rPr>
        <w:t xml:space="preserve"> </w:t>
      </w:r>
      <w:r w:rsidRPr="00365544">
        <w:rPr>
          <w:color w:val="auto"/>
        </w:rPr>
        <w:t>and modified and used by our group</w:t>
      </w:r>
      <w:r w:rsidRPr="00365544">
        <w:rPr>
          <w:color w:val="auto"/>
          <w:vertAlign w:val="superscript"/>
        </w:rPr>
        <w:t>12</w:t>
      </w:r>
      <w:r w:rsidR="001B01BD">
        <w:rPr>
          <w:color w:val="auto"/>
          <w:vertAlign w:val="superscript"/>
        </w:rPr>
        <w:t>–</w:t>
      </w:r>
      <w:r w:rsidR="00A47BF9" w:rsidRPr="00365544">
        <w:rPr>
          <w:color w:val="auto"/>
          <w:vertAlign w:val="superscript"/>
        </w:rPr>
        <w:t>18,</w:t>
      </w:r>
      <w:r w:rsidRPr="00365544">
        <w:rPr>
          <w:color w:val="auto"/>
          <w:vertAlign w:val="superscript"/>
        </w:rPr>
        <w:t>32,33</w:t>
      </w:r>
      <w:r w:rsidRPr="00365544">
        <w:rPr>
          <w:color w:val="auto"/>
        </w:rPr>
        <w:t xml:space="preserve">. Briefly, </w:t>
      </w:r>
      <w:bookmarkStart w:id="2" w:name="_Hlk45388108"/>
      <w:r w:rsidRPr="00365544">
        <w:rPr>
          <w:color w:val="auto"/>
        </w:rPr>
        <w:t>retinal tissue is</w:t>
      </w:r>
      <w:r w:rsidR="00A53499" w:rsidRPr="00365544">
        <w:rPr>
          <w:color w:val="auto"/>
        </w:rPr>
        <w:t xml:space="preserve"> </w:t>
      </w:r>
      <w:r w:rsidRPr="00365544">
        <w:rPr>
          <w:color w:val="auto"/>
        </w:rPr>
        <w:t>extracted from adult rats and digested with papain. Retinal cell suspension is then plated on either polyl</w:t>
      </w:r>
      <w:r w:rsidR="0056787B" w:rsidRPr="00365544">
        <w:rPr>
          <w:color w:val="auto"/>
        </w:rPr>
        <w:t>y</w:t>
      </w:r>
      <w:r w:rsidRPr="00365544">
        <w:rPr>
          <w:color w:val="auto"/>
        </w:rPr>
        <w:t xml:space="preserve">sine-treated coverslips or </w:t>
      </w:r>
      <w:r w:rsidR="0028566E" w:rsidRPr="00365544">
        <w:rPr>
          <w:color w:val="auto"/>
        </w:rPr>
        <w:t xml:space="preserve">onto </w:t>
      </w:r>
      <w:r w:rsidRPr="00365544">
        <w:rPr>
          <w:color w:val="auto"/>
        </w:rPr>
        <w:t xml:space="preserve">Ts14 and Ts12 monolayers. Cultures are maintained for 96 h before they are fixed and then immunofluorescence for axonal </w:t>
      </w:r>
      <w:r w:rsidR="00BA1924" w:rsidRPr="00365544">
        <w:rPr>
          <w:color w:val="auto"/>
        </w:rPr>
        <w:t>(MAP1B and NF-H proteins)</w:t>
      </w:r>
      <w:r w:rsidR="00B63160" w:rsidRPr="00365544">
        <w:rPr>
          <w:color w:val="auto"/>
          <w:vertAlign w:val="superscript"/>
        </w:rPr>
        <w:t>34</w:t>
      </w:r>
      <w:r w:rsidR="00BA1924" w:rsidRPr="00365544">
        <w:rPr>
          <w:color w:val="auto"/>
        </w:rPr>
        <w:t xml:space="preserve"> </w:t>
      </w:r>
      <w:r w:rsidRPr="00365544">
        <w:rPr>
          <w:color w:val="auto"/>
        </w:rPr>
        <w:t>and somatodendr</w:t>
      </w:r>
      <w:r w:rsidR="00685AB4" w:rsidRPr="00365544">
        <w:rPr>
          <w:color w:val="auto"/>
        </w:rPr>
        <w:t>i</w:t>
      </w:r>
      <w:r w:rsidRPr="00365544">
        <w:rPr>
          <w:color w:val="auto"/>
        </w:rPr>
        <w:t>tic</w:t>
      </w:r>
      <w:r w:rsidR="00BA1924" w:rsidRPr="00365544">
        <w:rPr>
          <w:color w:val="auto"/>
        </w:rPr>
        <w:t xml:space="preserve"> (MAP2A and B)</w:t>
      </w:r>
      <w:r w:rsidR="00B63160" w:rsidRPr="00365544">
        <w:rPr>
          <w:color w:val="auto"/>
          <w:vertAlign w:val="superscript"/>
        </w:rPr>
        <w:t>35</w:t>
      </w:r>
      <w:r w:rsidRPr="00365544">
        <w:rPr>
          <w:color w:val="auto"/>
        </w:rPr>
        <w:t xml:space="preserve"> markers is performed</w:t>
      </w:r>
      <w:r w:rsidR="00BA1924" w:rsidRPr="00365544">
        <w:rPr>
          <w:color w:val="auto"/>
        </w:rPr>
        <w:t xml:space="preserve">. </w:t>
      </w:r>
      <w:r w:rsidRPr="00365544">
        <w:rPr>
          <w:color w:val="auto"/>
        </w:rPr>
        <w:t xml:space="preserve">Axonal regeneration is quantified as </w:t>
      </w:r>
      <w:r w:rsidR="001B01BD">
        <w:rPr>
          <w:color w:val="auto"/>
        </w:rPr>
        <w:t xml:space="preserve">a </w:t>
      </w:r>
      <w:r w:rsidRPr="00365544">
        <w:rPr>
          <w:color w:val="auto"/>
        </w:rPr>
        <w:t xml:space="preserve">percentage of neurons with axon, </w:t>
      </w:r>
      <w:r w:rsidR="00543BB2">
        <w:rPr>
          <w:color w:val="auto"/>
        </w:rPr>
        <w:t xml:space="preserve">with </w:t>
      </w:r>
      <w:r w:rsidRPr="00365544">
        <w:rPr>
          <w:color w:val="auto"/>
        </w:rPr>
        <w:t xml:space="preserve">respect to </w:t>
      </w:r>
      <w:r w:rsidR="00543BB2">
        <w:rPr>
          <w:color w:val="auto"/>
        </w:rPr>
        <w:t xml:space="preserve">the </w:t>
      </w:r>
      <w:r w:rsidRPr="00365544">
        <w:rPr>
          <w:color w:val="auto"/>
        </w:rPr>
        <w:t xml:space="preserve">total population of RGNs and axonal regeneration index is calculated as </w:t>
      </w:r>
      <w:r w:rsidR="00DA04D9">
        <w:rPr>
          <w:color w:val="auto"/>
        </w:rPr>
        <w:t xml:space="preserve">the </w:t>
      </w:r>
      <w:r w:rsidRPr="00365544">
        <w:rPr>
          <w:color w:val="auto"/>
        </w:rPr>
        <w:t>mean axonal length</w:t>
      </w:r>
      <w:r w:rsidR="00685AB4" w:rsidRPr="00365544">
        <w:rPr>
          <w:color w:val="auto"/>
        </w:rPr>
        <w:t xml:space="preserve"> per </w:t>
      </w:r>
      <w:r w:rsidRPr="00365544">
        <w:rPr>
          <w:color w:val="auto"/>
        </w:rPr>
        <w:t xml:space="preserve">neuron. </w:t>
      </w:r>
      <w:bookmarkEnd w:id="2"/>
      <w:r w:rsidRPr="00365544">
        <w:rPr>
          <w:color w:val="auto"/>
        </w:rPr>
        <w:t>This protocol is not only useful for assessing the neuroregenerative potential of ihOEG but can be extended to different sources of OEG or other glial cells.</w:t>
      </w:r>
    </w:p>
    <w:p w14:paraId="7EA648C1" w14:textId="77777777" w:rsidR="000C6595" w:rsidRPr="00365544" w:rsidRDefault="000C6595" w:rsidP="00365544">
      <w:pPr>
        <w:rPr>
          <w:rFonts w:asciiTheme="minorHAnsi" w:hAnsiTheme="minorHAnsi" w:cstheme="minorHAnsi"/>
          <w:b/>
          <w:color w:val="auto"/>
        </w:rPr>
      </w:pPr>
    </w:p>
    <w:p w14:paraId="3D4CD2F3" w14:textId="63B9BC07" w:rsidR="006305D7" w:rsidRPr="00365544" w:rsidRDefault="006305D7" w:rsidP="00365544">
      <w:pPr>
        <w:rPr>
          <w:rFonts w:asciiTheme="minorHAnsi" w:hAnsiTheme="minorHAnsi" w:cstheme="minorHAnsi"/>
          <w:color w:val="auto"/>
        </w:rPr>
      </w:pPr>
      <w:bookmarkStart w:id="3" w:name="_Hlk45298833"/>
      <w:r w:rsidRPr="00365544">
        <w:rPr>
          <w:rFonts w:asciiTheme="minorHAnsi" w:hAnsiTheme="minorHAnsi" w:cstheme="minorHAnsi"/>
          <w:b/>
          <w:color w:val="auto"/>
        </w:rPr>
        <w:t>PROTO</w:t>
      </w:r>
      <w:r w:rsidR="006B01C5" w:rsidRPr="00365544">
        <w:rPr>
          <w:rFonts w:asciiTheme="minorHAnsi" w:hAnsiTheme="minorHAnsi" w:cstheme="minorHAnsi"/>
          <w:b/>
          <w:color w:val="auto"/>
        </w:rPr>
        <w:t>COL:</w:t>
      </w:r>
    </w:p>
    <w:p w14:paraId="4650F943" w14:textId="77777777" w:rsidR="00365544" w:rsidRPr="00365544" w:rsidRDefault="00365544" w:rsidP="00365544">
      <w:pPr>
        <w:rPr>
          <w:color w:val="auto"/>
        </w:rPr>
      </w:pPr>
      <w:bookmarkStart w:id="4" w:name="_Hlk45901261"/>
    </w:p>
    <w:p w14:paraId="2E4E62E4" w14:textId="30893A67" w:rsidR="00CB536B" w:rsidRPr="00365544" w:rsidRDefault="00CB536B" w:rsidP="00365544">
      <w:pPr>
        <w:rPr>
          <w:b/>
          <w:bCs/>
          <w:color w:val="auto"/>
        </w:rPr>
      </w:pPr>
      <w:r w:rsidRPr="00365544">
        <w:rPr>
          <w:color w:val="auto"/>
        </w:rPr>
        <w:t>NOTE: Animal experimentation was approved by national and institutional bioethics committees.</w:t>
      </w:r>
    </w:p>
    <w:p w14:paraId="10348E69" w14:textId="77777777" w:rsidR="00CB536B" w:rsidRPr="00365544" w:rsidRDefault="00CB536B" w:rsidP="00365544">
      <w:pPr>
        <w:rPr>
          <w:b/>
          <w:bCs/>
          <w:color w:val="auto"/>
        </w:rPr>
      </w:pPr>
    </w:p>
    <w:p w14:paraId="4B4813DB" w14:textId="1B9250FF" w:rsidR="00CB536B" w:rsidRPr="00365544" w:rsidRDefault="00CB536B" w:rsidP="00365544">
      <w:pPr>
        <w:pStyle w:val="ListParagraph"/>
        <w:numPr>
          <w:ilvl w:val="0"/>
          <w:numId w:val="29"/>
        </w:numPr>
        <w:ind w:left="0" w:firstLine="0"/>
        <w:rPr>
          <w:b/>
          <w:bCs/>
          <w:color w:val="auto"/>
        </w:rPr>
      </w:pPr>
      <w:r w:rsidRPr="00365544">
        <w:rPr>
          <w:b/>
          <w:bCs/>
          <w:color w:val="auto"/>
        </w:rPr>
        <w:t>ihOEG (Ts12 and Ts14) culture</w:t>
      </w:r>
    </w:p>
    <w:p w14:paraId="0DB21C5B" w14:textId="77777777" w:rsidR="00365544" w:rsidRPr="00365544" w:rsidRDefault="00365544" w:rsidP="00365544">
      <w:pPr>
        <w:pStyle w:val="ListParagraph"/>
        <w:ind w:left="0"/>
        <w:rPr>
          <w:b/>
          <w:bCs/>
          <w:color w:val="auto"/>
        </w:rPr>
      </w:pPr>
    </w:p>
    <w:p w14:paraId="272E9DDD" w14:textId="56F30757" w:rsidR="00CB536B" w:rsidRDefault="00CB536B" w:rsidP="00365544">
      <w:pPr>
        <w:pStyle w:val="ListParagraph"/>
        <w:ind w:left="0"/>
        <w:rPr>
          <w:color w:val="auto"/>
        </w:rPr>
      </w:pPr>
      <w:r w:rsidRPr="00365544">
        <w:rPr>
          <w:color w:val="auto"/>
        </w:rPr>
        <w:t>NOTE: This procedure is done under sterile conditions in a tissue culture biosafety cabinet.</w:t>
      </w:r>
    </w:p>
    <w:p w14:paraId="446D6933" w14:textId="77777777" w:rsidR="00365544" w:rsidRPr="00365544" w:rsidRDefault="00365544" w:rsidP="00365544">
      <w:pPr>
        <w:pStyle w:val="ListParagraph"/>
        <w:ind w:left="0"/>
        <w:rPr>
          <w:b/>
          <w:bCs/>
          <w:color w:val="auto"/>
        </w:rPr>
      </w:pPr>
    </w:p>
    <w:p w14:paraId="426AF0F1" w14:textId="4DEC64D5" w:rsidR="00CB536B" w:rsidRDefault="00CB536B" w:rsidP="00365544">
      <w:pPr>
        <w:pStyle w:val="ListParagraph"/>
        <w:numPr>
          <w:ilvl w:val="1"/>
          <w:numId w:val="38"/>
        </w:numPr>
        <w:ind w:left="0" w:firstLine="0"/>
        <w:rPr>
          <w:color w:val="auto"/>
        </w:rPr>
      </w:pPr>
      <w:r w:rsidRPr="00365544">
        <w:rPr>
          <w:color w:val="auto"/>
        </w:rPr>
        <w:t xml:space="preserve">Prepare 50 mL ME10 OEG culture medium as provided in </w:t>
      </w:r>
      <w:r w:rsidRPr="0010022E">
        <w:rPr>
          <w:b/>
          <w:bCs/>
          <w:color w:val="auto"/>
        </w:rPr>
        <w:t>Table 1</w:t>
      </w:r>
      <w:r w:rsidR="00205676" w:rsidRPr="00365544">
        <w:rPr>
          <w:color w:val="auto"/>
        </w:rPr>
        <w:t>.</w:t>
      </w:r>
    </w:p>
    <w:p w14:paraId="00E51F5E" w14:textId="77777777" w:rsidR="00365544" w:rsidRPr="00365544" w:rsidRDefault="00365544" w:rsidP="00365544">
      <w:pPr>
        <w:pStyle w:val="ListParagraph"/>
        <w:ind w:left="0"/>
        <w:rPr>
          <w:color w:val="auto"/>
        </w:rPr>
      </w:pPr>
    </w:p>
    <w:p w14:paraId="1BAA163C" w14:textId="074BD8F2" w:rsidR="00CB536B" w:rsidRPr="00365544" w:rsidRDefault="00CB536B" w:rsidP="00365544">
      <w:pPr>
        <w:pStyle w:val="ListParagraph"/>
        <w:numPr>
          <w:ilvl w:val="1"/>
          <w:numId w:val="38"/>
        </w:numPr>
        <w:ind w:left="0" w:firstLine="0"/>
        <w:rPr>
          <w:color w:val="auto"/>
        </w:rPr>
      </w:pPr>
      <w:r w:rsidRPr="00365544">
        <w:rPr>
          <w:color w:val="auto"/>
        </w:rPr>
        <w:t xml:space="preserve">Prepare 5 mL of DMEM/F12-FBS, as provided in </w:t>
      </w:r>
      <w:r w:rsidRPr="0010022E">
        <w:rPr>
          <w:b/>
          <w:bCs/>
          <w:color w:val="auto"/>
        </w:rPr>
        <w:t>Table 1</w:t>
      </w:r>
      <w:r w:rsidRPr="00365544">
        <w:rPr>
          <w:color w:val="auto"/>
        </w:rPr>
        <w:t>, in a 15</w:t>
      </w:r>
      <w:r w:rsidR="00F32D5D" w:rsidRPr="00365544">
        <w:rPr>
          <w:color w:val="auto"/>
        </w:rPr>
        <w:t xml:space="preserve"> </w:t>
      </w:r>
      <w:r w:rsidRPr="00365544">
        <w:rPr>
          <w:color w:val="auto"/>
        </w:rPr>
        <w:t>mL conical tube.</w:t>
      </w:r>
    </w:p>
    <w:p w14:paraId="4FB72547" w14:textId="77777777" w:rsidR="00365544" w:rsidRDefault="00365544" w:rsidP="00365544">
      <w:pPr>
        <w:pStyle w:val="ListParagraph"/>
        <w:ind w:left="0"/>
        <w:rPr>
          <w:color w:val="auto"/>
        </w:rPr>
      </w:pPr>
    </w:p>
    <w:p w14:paraId="6723B69D" w14:textId="65AD42AC" w:rsidR="00CB536B" w:rsidRPr="00365544" w:rsidRDefault="00543BB2" w:rsidP="00365544">
      <w:pPr>
        <w:pStyle w:val="ListParagraph"/>
        <w:numPr>
          <w:ilvl w:val="1"/>
          <w:numId w:val="38"/>
        </w:numPr>
        <w:ind w:left="0" w:firstLine="0"/>
        <w:rPr>
          <w:color w:val="auto"/>
        </w:rPr>
      </w:pPr>
      <w:r>
        <w:rPr>
          <w:color w:val="auto"/>
        </w:rPr>
        <w:t>Warm</w:t>
      </w:r>
      <w:r w:rsidRPr="00365544">
        <w:rPr>
          <w:color w:val="auto"/>
        </w:rPr>
        <w:t xml:space="preserve"> </w:t>
      </w:r>
      <w:r w:rsidR="00CB536B" w:rsidRPr="00365544">
        <w:rPr>
          <w:color w:val="auto"/>
        </w:rPr>
        <w:t>both media at 37</w:t>
      </w:r>
      <w:r w:rsidR="00F32D5D" w:rsidRPr="00365544">
        <w:rPr>
          <w:color w:val="auto"/>
        </w:rPr>
        <w:t xml:space="preserve"> </w:t>
      </w:r>
      <w:r w:rsidR="0007503D">
        <w:t>°C</w:t>
      </w:r>
      <w:r w:rsidR="00CB536B" w:rsidRPr="00365544">
        <w:rPr>
          <w:color w:val="auto"/>
        </w:rPr>
        <w:t xml:space="preserve"> in a clean water bath, for 15 min.</w:t>
      </w:r>
    </w:p>
    <w:p w14:paraId="5D4F837C" w14:textId="77777777" w:rsidR="00365544" w:rsidRPr="00365544" w:rsidRDefault="00365544" w:rsidP="00365544">
      <w:pPr>
        <w:pStyle w:val="ListParagraph"/>
        <w:ind w:left="0"/>
        <w:rPr>
          <w:color w:val="auto"/>
        </w:rPr>
      </w:pPr>
    </w:p>
    <w:p w14:paraId="6021956D" w14:textId="42E3A81C" w:rsidR="00CB536B" w:rsidRPr="00365544" w:rsidRDefault="00CB536B" w:rsidP="00365544">
      <w:pPr>
        <w:pStyle w:val="ListParagraph"/>
        <w:numPr>
          <w:ilvl w:val="1"/>
          <w:numId w:val="38"/>
        </w:numPr>
        <w:ind w:left="0" w:firstLine="0"/>
        <w:rPr>
          <w:color w:val="auto"/>
        </w:rPr>
      </w:pPr>
      <w:r w:rsidRPr="00365544">
        <w:rPr>
          <w:rFonts w:asciiTheme="minorHAnsi" w:eastAsiaTheme="minorHAnsi" w:hAnsiTheme="minorHAnsi" w:cstheme="minorHAnsi"/>
          <w:color w:val="auto"/>
        </w:rPr>
        <w:t xml:space="preserve">Thaw Ts12 and Ts14 cells vials </w:t>
      </w:r>
      <w:r w:rsidRPr="00365544">
        <w:rPr>
          <w:color w:val="auto"/>
        </w:rPr>
        <w:t>at 37</w:t>
      </w:r>
      <w:r w:rsidR="00F32D5D" w:rsidRPr="00365544">
        <w:rPr>
          <w:color w:val="auto"/>
        </w:rPr>
        <w:t xml:space="preserve"> </w:t>
      </w:r>
      <w:r w:rsidR="0007503D">
        <w:t>°C</w:t>
      </w:r>
      <w:r w:rsidRPr="00365544">
        <w:rPr>
          <w:color w:val="auto"/>
        </w:rPr>
        <w:t xml:space="preserve"> in a clean water bath.</w:t>
      </w:r>
    </w:p>
    <w:p w14:paraId="508C5DA0" w14:textId="77777777" w:rsidR="00365544" w:rsidRDefault="00365544" w:rsidP="00365544">
      <w:pPr>
        <w:pStyle w:val="ListParagraph"/>
        <w:ind w:left="0"/>
        <w:rPr>
          <w:color w:val="auto"/>
        </w:rPr>
      </w:pPr>
    </w:p>
    <w:p w14:paraId="036E6220" w14:textId="32B51C08" w:rsidR="00CB536B" w:rsidRPr="00365544" w:rsidRDefault="00CB536B" w:rsidP="00365544">
      <w:pPr>
        <w:pStyle w:val="ListParagraph"/>
        <w:numPr>
          <w:ilvl w:val="1"/>
          <w:numId w:val="38"/>
        </w:numPr>
        <w:ind w:left="0" w:firstLine="0"/>
        <w:rPr>
          <w:color w:val="auto"/>
        </w:rPr>
      </w:pPr>
      <w:r w:rsidRPr="00365544">
        <w:rPr>
          <w:color w:val="auto"/>
        </w:rPr>
        <w:t xml:space="preserve">Resuspend and add cells to the DMEM/F12-FBS culture medium </w:t>
      </w:r>
      <w:r w:rsidR="00B44E6E" w:rsidRPr="00365544">
        <w:rPr>
          <w:color w:val="auto"/>
        </w:rPr>
        <w:t xml:space="preserve">prepared </w:t>
      </w:r>
      <w:r w:rsidRPr="00365544">
        <w:rPr>
          <w:color w:val="auto"/>
        </w:rPr>
        <w:t xml:space="preserve">in </w:t>
      </w:r>
      <w:r w:rsidR="0007503D">
        <w:rPr>
          <w:color w:val="auto"/>
        </w:rPr>
        <w:t>s</w:t>
      </w:r>
      <w:r w:rsidRPr="00365544">
        <w:rPr>
          <w:color w:val="auto"/>
        </w:rPr>
        <w:t>tep 2.</w:t>
      </w:r>
    </w:p>
    <w:p w14:paraId="1EF3B7C3" w14:textId="77777777" w:rsidR="00365544" w:rsidRDefault="00365544" w:rsidP="00365544">
      <w:pPr>
        <w:pStyle w:val="ListParagraph"/>
        <w:ind w:left="0"/>
        <w:rPr>
          <w:color w:val="auto"/>
        </w:rPr>
      </w:pPr>
    </w:p>
    <w:p w14:paraId="3CB70BD7" w14:textId="34E3B717" w:rsidR="00CB536B" w:rsidRPr="00365544" w:rsidRDefault="00CB536B" w:rsidP="00365544">
      <w:pPr>
        <w:pStyle w:val="ListParagraph"/>
        <w:numPr>
          <w:ilvl w:val="1"/>
          <w:numId w:val="38"/>
        </w:numPr>
        <w:ind w:left="0" w:firstLine="0"/>
        <w:rPr>
          <w:color w:val="auto"/>
        </w:rPr>
      </w:pPr>
      <w:r w:rsidRPr="00365544">
        <w:rPr>
          <w:color w:val="auto"/>
        </w:rPr>
        <w:t xml:space="preserve">Centrifuge for 5 min at </w:t>
      </w:r>
      <w:r w:rsidR="00B44E6E" w:rsidRPr="00365544">
        <w:rPr>
          <w:color w:val="auto"/>
        </w:rPr>
        <w:t>3</w:t>
      </w:r>
      <w:r w:rsidRPr="00365544">
        <w:rPr>
          <w:color w:val="auto"/>
        </w:rPr>
        <w:t xml:space="preserve">00 x </w:t>
      </w:r>
      <w:r w:rsidRPr="0010022E">
        <w:rPr>
          <w:i/>
          <w:iCs/>
          <w:color w:val="auto"/>
        </w:rPr>
        <w:t>g</w:t>
      </w:r>
      <w:r w:rsidRPr="00365544">
        <w:rPr>
          <w:color w:val="auto"/>
        </w:rPr>
        <w:t>.</w:t>
      </w:r>
    </w:p>
    <w:p w14:paraId="20538B44" w14:textId="77777777" w:rsidR="00365544" w:rsidRDefault="00365544" w:rsidP="00365544">
      <w:pPr>
        <w:pStyle w:val="ListParagraph"/>
        <w:ind w:left="0"/>
        <w:rPr>
          <w:color w:val="auto"/>
        </w:rPr>
      </w:pPr>
    </w:p>
    <w:p w14:paraId="554E0302" w14:textId="7250C99D" w:rsidR="00CB536B" w:rsidRPr="00365544" w:rsidRDefault="00CB536B" w:rsidP="00365544">
      <w:pPr>
        <w:pStyle w:val="ListParagraph"/>
        <w:numPr>
          <w:ilvl w:val="1"/>
          <w:numId w:val="38"/>
        </w:numPr>
        <w:ind w:left="0" w:firstLine="0"/>
        <w:rPr>
          <w:color w:val="auto"/>
        </w:rPr>
      </w:pPr>
      <w:r w:rsidRPr="00365544">
        <w:rPr>
          <w:color w:val="auto"/>
        </w:rPr>
        <w:t>Aspire the supernatant.</w:t>
      </w:r>
    </w:p>
    <w:p w14:paraId="5381F960" w14:textId="77777777" w:rsidR="00365544" w:rsidRDefault="00365544" w:rsidP="00365544">
      <w:pPr>
        <w:pStyle w:val="ListParagraph"/>
        <w:ind w:left="0"/>
        <w:rPr>
          <w:color w:val="auto"/>
        </w:rPr>
      </w:pPr>
    </w:p>
    <w:p w14:paraId="2CD63DA4" w14:textId="2D0C7F72" w:rsidR="00CB536B" w:rsidRPr="00365544" w:rsidRDefault="00CB536B" w:rsidP="00365544">
      <w:pPr>
        <w:pStyle w:val="ListParagraph"/>
        <w:numPr>
          <w:ilvl w:val="1"/>
          <w:numId w:val="38"/>
        </w:numPr>
        <w:ind w:left="0" w:firstLine="0"/>
        <w:rPr>
          <w:color w:val="auto"/>
        </w:rPr>
      </w:pPr>
      <w:r w:rsidRPr="00365544">
        <w:rPr>
          <w:color w:val="auto"/>
        </w:rPr>
        <w:t>Add 500 µ</w:t>
      </w:r>
      <w:r w:rsidR="00F32D5D" w:rsidRPr="00365544">
        <w:rPr>
          <w:color w:val="auto"/>
        </w:rPr>
        <w:t>L</w:t>
      </w:r>
      <w:r w:rsidRPr="00365544">
        <w:rPr>
          <w:color w:val="auto"/>
        </w:rPr>
        <w:t xml:space="preserve"> of ME10 medium and resuspend the pellet.</w:t>
      </w:r>
    </w:p>
    <w:p w14:paraId="2516DD2B" w14:textId="77777777" w:rsidR="00365544" w:rsidRDefault="00365544" w:rsidP="00365544">
      <w:pPr>
        <w:pStyle w:val="ListParagraph"/>
        <w:ind w:left="0"/>
        <w:rPr>
          <w:color w:val="auto"/>
        </w:rPr>
      </w:pPr>
    </w:p>
    <w:p w14:paraId="32079538" w14:textId="3F57C46A" w:rsidR="00CB536B" w:rsidRPr="00365544" w:rsidRDefault="00CB536B" w:rsidP="00365544">
      <w:pPr>
        <w:pStyle w:val="ListParagraph"/>
        <w:numPr>
          <w:ilvl w:val="1"/>
          <w:numId w:val="38"/>
        </w:numPr>
        <w:ind w:left="0" w:firstLine="0"/>
        <w:rPr>
          <w:color w:val="auto"/>
        </w:rPr>
      </w:pPr>
      <w:r w:rsidRPr="00365544">
        <w:rPr>
          <w:color w:val="auto"/>
        </w:rPr>
        <w:t>Prepare a p60 cell culture dish with 3 mL of ME10 and add the cellular suspension, dropwise.</w:t>
      </w:r>
    </w:p>
    <w:p w14:paraId="4D2BD04A" w14:textId="77777777" w:rsidR="00365544" w:rsidRDefault="00365544" w:rsidP="00365544">
      <w:pPr>
        <w:pStyle w:val="ListParagraph"/>
        <w:ind w:left="0"/>
        <w:rPr>
          <w:color w:val="auto"/>
        </w:rPr>
      </w:pPr>
    </w:p>
    <w:p w14:paraId="67F45A9C" w14:textId="364F17AA" w:rsidR="00CB536B" w:rsidRDefault="00CB536B" w:rsidP="00365544">
      <w:pPr>
        <w:pStyle w:val="ListParagraph"/>
        <w:numPr>
          <w:ilvl w:val="1"/>
          <w:numId w:val="38"/>
        </w:numPr>
        <w:ind w:left="0" w:firstLine="0"/>
        <w:rPr>
          <w:color w:val="auto"/>
        </w:rPr>
      </w:pPr>
      <w:r w:rsidRPr="00365544">
        <w:rPr>
          <w:color w:val="auto"/>
        </w:rPr>
        <w:t>Move to distribute the cells uniformly across the plate.</w:t>
      </w:r>
    </w:p>
    <w:p w14:paraId="134B9BF1" w14:textId="77777777" w:rsidR="00543BB2" w:rsidRPr="00365544" w:rsidRDefault="00543BB2" w:rsidP="0010022E">
      <w:pPr>
        <w:pStyle w:val="ListParagraph"/>
        <w:ind w:left="0"/>
        <w:rPr>
          <w:color w:val="auto"/>
        </w:rPr>
      </w:pPr>
    </w:p>
    <w:p w14:paraId="244507A3" w14:textId="6A72BC87" w:rsidR="00CB536B" w:rsidRPr="0010022E" w:rsidRDefault="00CB536B" w:rsidP="00365544">
      <w:pPr>
        <w:pStyle w:val="ListParagraph"/>
        <w:numPr>
          <w:ilvl w:val="1"/>
          <w:numId w:val="38"/>
        </w:numPr>
        <w:ind w:left="0" w:firstLine="0"/>
        <w:rPr>
          <w:color w:val="auto"/>
        </w:rPr>
      </w:pPr>
      <w:r w:rsidRPr="00365544">
        <w:rPr>
          <w:color w:val="auto"/>
        </w:rPr>
        <w:lastRenderedPageBreak/>
        <w:t xml:space="preserve">Culture cells </w:t>
      </w:r>
      <w:r w:rsidRPr="00365544">
        <w:rPr>
          <w:rFonts w:asciiTheme="minorHAnsi" w:eastAsiaTheme="minorHAnsi" w:hAnsiTheme="minorHAnsi" w:cstheme="minorHAnsi"/>
          <w:color w:val="auto"/>
        </w:rPr>
        <w:t>at 37</w:t>
      </w:r>
      <w:r w:rsidR="00F32D5D" w:rsidRPr="00365544">
        <w:rPr>
          <w:rFonts w:asciiTheme="minorHAnsi" w:eastAsiaTheme="minorHAnsi" w:hAnsiTheme="minorHAnsi" w:cstheme="minorHAnsi"/>
          <w:color w:val="auto"/>
        </w:rPr>
        <w:t xml:space="preserve"> </w:t>
      </w:r>
      <w:r w:rsidR="0007503D">
        <w:t>°C</w:t>
      </w:r>
      <w:r w:rsidRPr="00365544">
        <w:rPr>
          <w:rFonts w:asciiTheme="minorHAnsi" w:eastAsiaTheme="minorHAnsi" w:hAnsiTheme="minorHAnsi" w:cstheme="minorHAnsi"/>
          <w:color w:val="auto"/>
        </w:rPr>
        <w:t xml:space="preserve"> in 5% CO</w:t>
      </w:r>
      <w:r w:rsidRPr="0010022E">
        <w:rPr>
          <w:rFonts w:asciiTheme="minorHAnsi" w:eastAsiaTheme="minorHAnsi" w:hAnsiTheme="minorHAnsi" w:cstheme="minorHAnsi"/>
          <w:color w:val="auto"/>
          <w:vertAlign w:val="subscript"/>
        </w:rPr>
        <w:t>2</w:t>
      </w:r>
      <w:r w:rsidRPr="00365544">
        <w:rPr>
          <w:rFonts w:asciiTheme="minorHAnsi" w:eastAsiaTheme="minorHAnsi" w:hAnsiTheme="minorHAnsi" w:cstheme="minorHAnsi"/>
          <w:color w:val="auto"/>
        </w:rPr>
        <w:t>.</w:t>
      </w:r>
    </w:p>
    <w:p w14:paraId="0742C073" w14:textId="77777777" w:rsidR="00CB536B" w:rsidRPr="00365544" w:rsidRDefault="00CB536B" w:rsidP="00365544">
      <w:pPr>
        <w:rPr>
          <w:rFonts w:asciiTheme="minorHAnsi" w:eastAsiaTheme="minorHAnsi" w:hAnsiTheme="minorHAnsi" w:cstheme="minorHAnsi"/>
          <w:color w:val="auto"/>
        </w:rPr>
      </w:pPr>
    </w:p>
    <w:p w14:paraId="4F52BC7A" w14:textId="7050DEA0" w:rsidR="002973F5" w:rsidRPr="00365544" w:rsidRDefault="00CB536B" w:rsidP="00365544">
      <w:pPr>
        <w:rPr>
          <w:rFonts w:asciiTheme="minorHAnsi" w:eastAsiaTheme="minorHAnsi" w:hAnsiTheme="minorHAnsi" w:cstheme="minorHAnsi"/>
          <w:color w:val="auto"/>
        </w:rPr>
      </w:pPr>
      <w:r w:rsidRPr="00365544">
        <w:rPr>
          <w:rFonts w:asciiTheme="minorHAnsi" w:eastAsiaTheme="minorHAnsi" w:hAnsiTheme="minorHAnsi" w:cstheme="minorHAnsi"/>
          <w:color w:val="auto"/>
        </w:rPr>
        <w:t xml:space="preserve">NOTE: After reaching confluence, at least another passage must be done to optimize cells for coculture. 90% confluence is needed before seeding them on </w:t>
      </w:r>
      <w:r w:rsidR="00F00632">
        <w:rPr>
          <w:rFonts w:asciiTheme="minorHAnsi" w:eastAsiaTheme="minorHAnsi" w:hAnsiTheme="minorHAnsi" w:cstheme="minorHAnsi"/>
          <w:color w:val="auto"/>
        </w:rPr>
        <w:t xml:space="preserve">the </w:t>
      </w:r>
      <w:r w:rsidRPr="00365544">
        <w:rPr>
          <w:rFonts w:asciiTheme="minorHAnsi" w:eastAsiaTheme="minorHAnsi" w:hAnsiTheme="minorHAnsi" w:cstheme="minorHAnsi"/>
          <w:color w:val="auto"/>
        </w:rPr>
        <w:t>coverslips for coculture.</w:t>
      </w:r>
      <w:r w:rsidR="00543BB2">
        <w:rPr>
          <w:color w:val="auto"/>
        </w:rPr>
        <w:t xml:space="preserve"> </w:t>
      </w:r>
      <w:r w:rsidR="00571539" w:rsidRPr="00365544">
        <w:rPr>
          <w:color w:val="auto"/>
        </w:rPr>
        <w:t>A confluent p-60 has a mean cell number of 7 x 10</w:t>
      </w:r>
      <w:r w:rsidR="000C6595" w:rsidRPr="00365544">
        <w:rPr>
          <w:color w:val="auto"/>
          <w:vertAlign w:val="superscript"/>
        </w:rPr>
        <w:t>5</w:t>
      </w:r>
      <w:r w:rsidR="00571539" w:rsidRPr="00365544">
        <w:rPr>
          <w:color w:val="auto"/>
        </w:rPr>
        <w:t xml:space="preserve"> for Ts14 and 2</w:t>
      </w:r>
      <w:r w:rsidR="000C6595" w:rsidRPr="00365544">
        <w:rPr>
          <w:color w:val="auto"/>
        </w:rPr>
        <w:t>.</w:t>
      </w:r>
      <w:r w:rsidR="00571539" w:rsidRPr="00365544">
        <w:rPr>
          <w:color w:val="auto"/>
        </w:rPr>
        <w:t>5 x 10</w:t>
      </w:r>
      <w:r w:rsidR="000C6595" w:rsidRPr="00365544">
        <w:rPr>
          <w:color w:val="auto"/>
          <w:vertAlign w:val="superscript"/>
        </w:rPr>
        <w:t>6</w:t>
      </w:r>
      <w:r w:rsidR="00571539" w:rsidRPr="00365544">
        <w:rPr>
          <w:color w:val="auto"/>
        </w:rPr>
        <w:t xml:space="preserve"> for Ts12 cell lines</w:t>
      </w:r>
      <w:r w:rsidR="00571539" w:rsidRPr="00365544">
        <w:rPr>
          <w:i/>
          <w:iCs/>
          <w:color w:val="auto"/>
        </w:rPr>
        <w:t>.</w:t>
      </w:r>
      <w:r w:rsidR="003E0A90" w:rsidRPr="00365544">
        <w:rPr>
          <w:i/>
          <w:iCs/>
          <w:color w:val="auto"/>
        </w:rPr>
        <w:t xml:space="preserve"> </w:t>
      </w:r>
      <w:r w:rsidR="003E0A90" w:rsidRPr="00365544">
        <w:rPr>
          <w:color w:val="auto"/>
        </w:rPr>
        <w:t>Ts12 and Ts14 cell lines should be passaged every 2</w:t>
      </w:r>
      <w:r w:rsidR="0007503D">
        <w:rPr>
          <w:color w:val="auto"/>
        </w:rPr>
        <w:t>–</w:t>
      </w:r>
      <w:r w:rsidR="003E0A90" w:rsidRPr="00365544">
        <w:rPr>
          <w:color w:val="auto"/>
        </w:rPr>
        <w:t>3 days.</w:t>
      </w:r>
    </w:p>
    <w:p w14:paraId="1CB8B91A" w14:textId="77777777" w:rsidR="000C6595" w:rsidRPr="00365544" w:rsidRDefault="000C6595" w:rsidP="00365544">
      <w:pPr>
        <w:rPr>
          <w:rFonts w:asciiTheme="minorHAnsi" w:eastAsiaTheme="minorHAnsi" w:hAnsiTheme="minorHAnsi" w:cstheme="minorHAnsi"/>
          <w:color w:val="auto"/>
        </w:rPr>
      </w:pPr>
    </w:p>
    <w:p w14:paraId="7112A639" w14:textId="6979A6C5" w:rsidR="00CB536B" w:rsidRPr="00365544" w:rsidRDefault="00CB536B" w:rsidP="00365544">
      <w:pPr>
        <w:pStyle w:val="ListParagraph"/>
        <w:numPr>
          <w:ilvl w:val="0"/>
          <w:numId w:val="29"/>
        </w:numPr>
        <w:ind w:left="0" w:firstLine="0"/>
        <w:rPr>
          <w:b/>
          <w:bCs/>
          <w:color w:val="auto"/>
        </w:rPr>
      </w:pPr>
      <w:r w:rsidRPr="00365544">
        <w:rPr>
          <w:b/>
          <w:bCs/>
          <w:color w:val="auto"/>
        </w:rPr>
        <w:t>Preparation of ihOEG (Ts12 and Ts14) for the assay</w:t>
      </w:r>
    </w:p>
    <w:p w14:paraId="10D1BAF5" w14:textId="77777777" w:rsidR="00365544" w:rsidRPr="00365544" w:rsidRDefault="00365544" w:rsidP="00365544">
      <w:pPr>
        <w:pStyle w:val="ListParagraph"/>
        <w:ind w:left="0"/>
        <w:rPr>
          <w:b/>
          <w:bCs/>
          <w:color w:val="auto"/>
        </w:rPr>
      </w:pPr>
    </w:p>
    <w:p w14:paraId="737FBA69" w14:textId="0FB7B123" w:rsidR="00CB536B" w:rsidRDefault="00CB536B" w:rsidP="00365544">
      <w:pPr>
        <w:pStyle w:val="ListParagraph"/>
        <w:ind w:left="0"/>
        <w:rPr>
          <w:color w:val="auto"/>
        </w:rPr>
      </w:pPr>
      <w:r w:rsidRPr="00365544">
        <w:rPr>
          <w:color w:val="auto"/>
        </w:rPr>
        <w:t>NOTE: This step must be done 24 h before RGN dissection and coculture.</w:t>
      </w:r>
    </w:p>
    <w:p w14:paraId="151338F9" w14:textId="77777777" w:rsidR="0007503D" w:rsidRPr="00365544" w:rsidRDefault="0007503D" w:rsidP="00365544">
      <w:pPr>
        <w:pStyle w:val="ListParagraph"/>
        <w:ind w:left="0"/>
        <w:rPr>
          <w:b/>
          <w:bCs/>
          <w:color w:val="auto"/>
        </w:rPr>
      </w:pPr>
    </w:p>
    <w:p w14:paraId="061F48F5" w14:textId="7AFFBD23" w:rsidR="00CB536B" w:rsidRPr="00365544" w:rsidRDefault="00CB536B" w:rsidP="00365544">
      <w:pPr>
        <w:pStyle w:val="ListParagraph"/>
        <w:numPr>
          <w:ilvl w:val="1"/>
          <w:numId w:val="39"/>
        </w:numPr>
        <w:ind w:left="0" w:firstLine="0"/>
        <w:rPr>
          <w:color w:val="auto"/>
        </w:rPr>
      </w:pPr>
      <w:r w:rsidRPr="00365544">
        <w:rPr>
          <w:color w:val="auto"/>
        </w:rPr>
        <w:t xml:space="preserve">Treat 12 mm Ø coverslips with 10 µg/mL poly-L-lysine (PLL) for </w:t>
      </w:r>
      <w:r w:rsidR="00F32D5D" w:rsidRPr="00365544">
        <w:rPr>
          <w:color w:val="auto"/>
        </w:rPr>
        <w:t>1 h</w:t>
      </w:r>
      <w:r w:rsidRPr="00365544">
        <w:rPr>
          <w:color w:val="auto"/>
        </w:rPr>
        <w:t>.</w:t>
      </w:r>
    </w:p>
    <w:p w14:paraId="6604C945" w14:textId="77777777" w:rsidR="00664AA3" w:rsidRDefault="00664AA3" w:rsidP="00365544">
      <w:pPr>
        <w:rPr>
          <w:color w:val="auto"/>
        </w:rPr>
      </w:pPr>
    </w:p>
    <w:p w14:paraId="793E8763" w14:textId="7AC66417" w:rsidR="00CB536B" w:rsidRPr="00365544" w:rsidRDefault="00CB536B" w:rsidP="00365544">
      <w:pPr>
        <w:rPr>
          <w:color w:val="auto"/>
        </w:rPr>
      </w:pPr>
      <w:r w:rsidRPr="00365544">
        <w:rPr>
          <w:color w:val="auto"/>
        </w:rPr>
        <w:t xml:space="preserve">NOTE: </w:t>
      </w:r>
      <w:r w:rsidR="00664AA3">
        <w:rPr>
          <w:color w:val="auto"/>
        </w:rPr>
        <w:t>The c</w:t>
      </w:r>
      <w:r w:rsidRPr="00365544">
        <w:rPr>
          <w:color w:val="auto"/>
        </w:rPr>
        <w:t xml:space="preserve">overslips can be left </w:t>
      </w:r>
      <w:r w:rsidR="00543BB2">
        <w:rPr>
          <w:color w:val="auto"/>
        </w:rPr>
        <w:t xml:space="preserve">overnight </w:t>
      </w:r>
      <w:r w:rsidRPr="00365544">
        <w:rPr>
          <w:color w:val="auto"/>
        </w:rPr>
        <w:t>in PLL solution.</w:t>
      </w:r>
    </w:p>
    <w:p w14:paraId="5E535318" w14:textId="77777777" w:rsidR="00365544" w:rsidRDefault="00365544" w:rsidP="00365544">
      <w:pPr>
        <w:pStyle w:val="ListParagraph"/>
        <w:ind w:left="0"/>
        <w:rPr>
          <w:color w:val="auto"/>
        </w:rPr>
      </w:pPr>
    </w:p>
    <w:p w14:paraId="6EDCDD7E" w14:textId="59BFF7C8" w:rsidR="00CB536B" w:rsidRPr="00365544" w:rsidRDefault="00CB536B" w:rsidP="00365544">
      <w:pPr>
        <w:pStyle w:val="ListParagraph"/>
        <w:numPr>
          <w:ilvl w:val="1"/>
          <w:numId w:val="39"/>
        </w:numPr>
        <w:ind w:left="0" w:firstLine="0"/>
        <w:rPr>
          <w:color w:val="auto"/>
        </w:rPr>
      </w:pPr>
      <w:r w:rsidRPr="00365544">
        <w:rPr>
          <w:color w:val="auto"/>
        </w:rPr>
        <w:t xml:space="preserve">Wash </w:t>
      </w:r>
      <w:r w:rsidR="00664AA3">
        <w:rPr>
          <w:color w:val="auto"/>
        </w:rPr>
        <w:t xml:space="preserve">the </w:t>
      </w:r>
      <w:r w:rsidRPr="00365544">
        <w:rPr>
          <w:color w:val="auto"/>
        </w:rPr>
        <w:t xml:space="preserve">coverslips with </w:t>
      </w:r>
      <w:r w:rsidR="006B39EC">
        <w:rPr>
          <w:color w:val="auto"/>
        </w:rPr>
        <w:t xml:space="preserve">1x </w:t>
      </w:r>
      <w:r w:rsidRPr="00365544">
        <w:rPr>
          <w:color w:val="auto"/>
        </w:rPr>
        <w:t>phosphate buffer saline (PBS), three times.</w:t>
      </w:r>
    </w:p>
    <w:p w14:paraId="04E7C067" w14:textId="77777777" w:rsidR="00365544" w:rsidRDefault="00365544" w:rsidP="00365544">
      <w:pPr>
        <w:pStyle w:val="ListParagraph"/>
        <w:ind w:left="0"/>
        <w:rPr>
          <w:color w:val="auto"/>
        </w:rPr>
      </w:pPr>
    </w:p>
    <w:p w14:paraId="2A2A26C8" w14:textId="3491A28D" w:rsidR="00CB536B" w:rsidRPr="00365544" w:rsidRDefault="00CB536B" w:rsidP="00365544">
      <w:pPr>
        <w:pStyle w:val="ListParagraph"/>
        <w:numPr>
          <w:ilvl w:val="1"/>
          <w:numId w:val="39"/>
        </w:numPr>
        <w:ind w:left="0" w:firstLine="0"/>
        <w:rPr>
          <w:color w:val="auto"/>
        </w:rPr>
      </w:pPr>
      <w:r w:rsidRPr="00365544">
        <w:rPr>
          <w:color w:val="auto"/>
        </w:rPr>
        <w:t>Detach Ts12 and Ts14 ihOEG cells from p60 cell culture dish</w:t>
      </w:r>
      <w:r w:rsidR="0007503D">
        <w:rPr>
          <w:color w:val="auto"/>
        </w:rPr>
        <w:t>.</w:t>
      </w:r>
    </w:p>
    <w:p w14:paraId="61C71BF6" w14:textId="112F6C41" w:rsidR="00365544" w:rsidRPr="00365544" w:rsidRDefault="00365544" w:rsidP="00365544">
      <w:pPr>
        <w:pStyle w:val="ListParagraph"/>
        <w:ind w:left="0"/>
        <w:rPr>
          <w:i/>
          <w:iCs/>
          <w:color w:val="auto"/>
        </w:rPr>
      </w:pPr>
    </w:p>
    <w:p w14:paraId="2E1E91D0" w14:textId="4601400F" w:rsidR="00CB536B" w:rsidRPr="0010022E" w:rsidRDefault="00CB536B" w:rsidP="00365544">
      <w:pPr>
        <w:pStyle w:val="ListParagraph"/>
        <w:numPr>
          <w:ilvl w:val="2"/>
          <w:numId w:val="39"/>
        </w:numPr>
        <w:ind w:left="0" w:firstLine="0"/>
        <w:rPr>
          <w:color w:val="auto"/>
        </w:rPr>
      </w:pPr>
      <w:r w:rsidRPr="00365544">
        <w:rPr>
          <w:color w:val="auto"/>
        </w:rPr>
        <w:t xml:space="preserve">Add </w:t>
      </w:r>
      <w:r w:rsidR="00B44E6E" w:rsidRPr="00365544">
        <w:rPr>
          <w:color w:val="auto"/>
        </w:rPr>
        <w:t>4</w:t>
      </w:r>
      <w:r w:rsidRPr="00365544">
        <w:rPr>
          <w:color w:val="auto"/>
        </w:rPr>
        <w:t xml:space="preserve"> mL of DMEM/F12-FBS culture medium (</w:t>
      </w:r>
      <w:r w:rsidRPr="0010022E">
        <w:rPr>
          <w:b/>
          <w:bCs/>
          <w:color w:val="auto"/>
        </w:rPr>
        <w:t>Table 1</w:t>
      </w:r>
      <w:r w:rsidRPr="00365544">
        <w:rPr>
          <w:color w:val="auto"/>
        </w:rPr>
        <w:t>) to a 15</w:t>
      </w:r>
      <w:r w:rsidR="00532E84" w:rsidRPr="00365544">
        <w:rPr>
          <w:color w:val="auto"/>
        </w:rPr>
        <w:t xml:space="preserve"> </w:t>
      </w:r>
      <w:r w:rsidRPr="00365544">
        <w:rPr>
          <w:color w:val="auto"/>
        </w:rPr>
        <w:t xml:space="preserve">mL conical tube. </w:t>
      </w:r>
      <w:r w:rsidR="00543BB2">
        <w:rPr>
          <w:color w:val="auto"/>
        </w:rPr>
        <w:t>Warm</w:t>
      </w:r>
      <w:r w:rsidR="00543BB2" w:rsidRPr="00365544">
        <w:rPr>
          <w:color w:val="auto"/>
        </w:rPr>
        <w:t xml:space="preserve"> </w:t>
      </w:r>
      <w:r w:rsidRPr="00365544">
        <w:rPr>
          <w:color w:val="auto"/>
        </w:rPr>
        <w:t>at 37</w:t>
      </w:r>
      <w:r w:rsidR="00532E84" w:rsidRPr="00365544">
        <w:rPr>
          <w:color w:val="auto"/>
        </w:rPr>
        <w:t xml:space="preserve"> </w:t>
      </w:r>
      <w:r w:rsidR="0007503D">
        <w:t>°C</w:t>
      </w:r>
      <w:r w:rsidRPr="00365544">
        <w:rPr>
          <w:color w:val="auto"/>
        </w:rPr>
        <w:t xml:space="preserve"> in a clean water bath.</w:t>
      </w:r>
    </w:p>
    <w:p w14:paraId="68898132" w14:textId="77777777" w:rsidR="00365544" w:rsidRPr="0010022E" w:rsidRDefault="00365544" w:rsidP="00365544">
      <w:pPr>
        <w:pStyle w:val="ListParagraph"/>
        <w:ind w:left="0"/>
        <w:rPr>
          <w:color w:val="auto"/>
        </w:rPr>
      </w:pPr>
    </w:p>
    <w:p w14:paraId="65CC9328" w14:textId="4F96A84A" w:rsidR="00CB536B" w:rsidRPr="0010022E" w:rsidRDefault="00CB536B" w:rsidP="00365544">
      <w:pPr>
        <w:pStyle w:val="ListParagraph"/>
        <w:numPr>
          <w:ilvl w:val="2"/>
          <w:numId w:val="39"/>
        </w:numPr>
        <w:ind w:left="0" w:firstLine="0"/>
        <w:rPr>
          <w:color w:val="auto"/>
        </w:rPr>
      </w:pPr>
      <w:r w:rsidRPr="00365544">
        <w:rPr>
          <w:color w:val="auto"/>
        </w:rPr>
        <w:t>Remove</w:t>
      </w:r>
      <w:r w:rsidR="0007503D">
        <w:rPr>
          <w:color w:val="auto"/>
        </w:rPr>
        <w:t xml:space="preserve"> the</w:t>
      </w:r>
      <w:r w:rsidRPr="00365544">
        <w:rPr>
          <w:color w:val="auto"/>
        </w:rPr>
        <w:t xml:space="preserve"> medium from plates and wash cells with 1 mL </w:t>
      </w:r>
      <w:r w:rsidR="00543BB2">
        <w:rPr>
          <w:color w:val="auto"/>
        </w:rPr>
        <w:t xml:space="preserve">of 1x </w:t>
      </w:r>
      <w:r w:rsidRPr="00365544">
        <w:rPr>
          <w:color w:val="auto"/>
        </w:rPr>
        <w:t>PBS-EDTA, once.</w:t>
      </w:r>
    </w:p>
    <w:p w14:paraId="471A0CF3" w14:textId="77777777" w:rsidR="00365544" w:rsidRPr="0010022E" w:rsidRDefault="00365544" w:rsidP="00365544">
      <w:pPr>
        <w:pStyle w:val="ListParagraph"/>
        <w:ind w:left="0"/>
        <w:rPr>
          <w:color w:val="auto"/>
        </w:rPr>
      </w:pPr>
    </w:p>
    <w:p w14:paraId="74364104" w14:textId="0F3FC938" w:rsidR="00CB536B" w:rsidRPr="0010022E" w:rsidRDefault="00CB536B" w:rsidP="00365544">
      <w:pPr>
        <w:pStyle w:val="ListParagraph"/>
        <w:numPr>
          <w:ilvl w:val="2"/>
          <w:numId w:val="39"/>
        </w:numPr>
        <w:ind w:left="0" w:firstLine="0"/>
        <w:rPr>
          <w:color w:val="auto"/>
        </w:rPr>
      </w:pPr>
      <w:r w:rsidRPr="00365544">
        <w:rPr>
          <w:color w:val="auto"/>
        </w:rPr>
        <w:t>Add 1</w:t>
      </w:r>
      <w:r w:rsidR="00A23970" w:rsidRPr="00365544">
        <w:rPr>
          <w:color w:val="auto"/>
        </w:rPr>
        <w:t xml:space="preserve"> </w:t>
      </w:r>
      <w:r w:rsidRPr="00365544">
        <w:rPr>
          <w:color w:val="auto"/>
        </w:rPr>
        <w:t>m</w:t>
      </w:r>
      <w:r w:rsidR="00532E84" w:rsidRPr="00365544">
        <w:rPr>
          <w:color w:val="auto"/>
        </w:rPr>
        <w:t>L</w:t>
      </w:r>
      <w:r w:rsidR="00543BB2">
        <w:rPr>
          <w:color w:val="auto"/>
        </w:rPr>
        <w:t xml:space="preserve"> of</w:t>
      </w:r>
      <w:r w:rsidRPr="00365544">
        <w:rPr>
          <w:color w:val="auto"/>
        </w:rPr>
        <w:t xml:space="preserve"> trypsin-EDTA to the OEG cells and incubate for 3</w:t>
      </w:r>
      <w:r w:rsidR="0007503D">
        <w:rPr>
          <w:color w:val="auto"/>
        </w:rPr>
        <w:t>–</w:t>
      </w:r>
      <w:r w:rsidRPr="00365544">
        <w:rPr>
          <w:color w:val="auto"/>
        </w:rPr>
        <w:t>5 min at 37</w:t>
      </w:r>
      <w:r w:rsidR="00532E84" w:rsidRPr="00365544">
        <w:rPr>
          <w:color w:val="auto"/>
        </w:rPr>
        <w:t xml:space="preserve"> </w:t>
      </w:r>
      <w:r w:rsidR="0007503D">
        <w:t>°C</w:t>
      </w:r>
      <w:r w:rsidRPr="00365544">
        <w:rPr>
          <w:color w:val="auto"/>
        </w:rPr>
        <w:t>, 5% CO</w:t>
      </w:r>
      <w:r w:rsidRPr="0010022E">
        <w:rPr>
          <w:color w:val="auto"/>
          <w:vertAlign w:val="subscript"/>
        </w:rPr>
        <w:t>2</w:t>
      </w:r>
      <w:r w:rsidRPr="00365544">
        <w:rPr>
          <w:i/>
          <w:iCs/>
          <w:color w:val="auto"/>
        </w:rPr>
        <w:t>.</w:t>
      </w:r>
    </w:p>
    <w:p w14:paraId="35061E92" w14:textId="77777777" w:rsidR="00365544" w:rsidRPr="0010022E" w:rsidRDefault="00365544" w:rsidP="00365544">
      <w:pPr>
        <w:pStyle w:val="ListParagraph"/>
        <w:ind w:left="0"/>
        <w:rPr>
          <w:color w:val="auto"/>
        </w:rPr>
      </w:pPr>
    </w:p>
    <w:p w14:paraId="60692E56" w14:textId="0897723C" w:rsidR="00CB536B" w:rsidRPr="0010022E" w:rsidRDefault="00CB536B" w:rsidP="00365544">
      <w:pPr>
        <w:pStyle w:val="ListParagraph"/>
        <w:numPr>
          <w:ilvl w:val="2"/>
          <w:numId w:val="39"/>
        </w:numPr>
        <w:ind w:left="0" w:firstLine="0"/>
        <w:rPr>
          <w:color w:val="auto"/>
        </w:rPr>
      </w:pPr>
      <w:r w:rsidRPr="00365544">
        <w:rPr>
          <w:color w:val="auto"/>
        </w:rPr>
        <w:t>Collect cells with a p1000 pipette and transfer them to medium prepared in step 3.1.</w:t>
      </w:r>
    </w:p>
    <w:p w14:paraId="5BCAAA74" w14:textId="77777777" w:rsidR="00365544" w:rsidRPr="0010022E" w:rsidRDefault="00365544" w:rsidP="00365544">
      <w:pPr>
        <w:pStyle w:val="ListParagraph"/>
        <w:ind w:left="0"/>
        <w:rPr>
          <w:color w:val="auto"/>
        </w:rPr>
      </w:pPr>
    </w:p>
    <w:p w14:paraId="3E238B0F" w14:textId="558B4B0A" w:rsidR="00CB536B" w:rsidRPr="0010022E" w:rsidRDefault="00CB536B" w:rsidP="00365544">
      <w:pPr>
        <w:pStyle w:val="ListParagraph"/>
        <w:numPr>
          <w:ilvl w:val="2"/>
          <w:numId w:val="39"/>
        </w:numPr>
        <w:ind w:left="0" w:firstLine="0"/>
        <w:rPr>
          <w:color w:val="auto"/>
        </w:rPr>
      </w:pPr>
      <w:r w:rsidRPr="00365544">
        <w:rPr>
          <w:color w:val="auto"/>
        </w:rPr>
        <w:t xml:space="preserve">Centrifuge for 5 min at </w:t>
      </w:r>
      <w:r w:rsidR="002973F5" w:rsidRPr="00365544">
        <w:rPr>
          <w:color w:val="auto"/>
        </w:rPr>
        <w:t>2</w:t>
      </w:r>
      <w:r w:rsidRPr="00365544">
        <w:rPr>
          <w:color w:val="auto"/>
        </w:rPr>
        <w:t xml:space="preserve">00 x </w:t>
      </w:r>
      <w:r w:rsidRPr="0010022E">
        <w:rPr>
          <w:i/>
          <w:iCs/>
          <w:color w:val="auto"/>
        </w:rPr>
        <w:t>g</w:t>
      </w:r>
      <w:r w:rsidRPr="00365544">
        <w:rPr>
          <w:color w:val="auto"/>
        </w:rPr>
        <w:t>.</w:t>
      </w:r>
    </w:p>
    <w:p w14:paraId="3C6BAF6A" w14:textId="77777777" w:rsidR="00365544" w:rsidRPr="0010022E" w:rsidRDefault="00365544" w:rsidP="00365544">
      <w:pPr>
        <w:pStyle w:val="ListParagraph"/>
        <w:ind w:left="0"/>
        <w:rPr>
          <w:color w:val="auto"/>
        </w:rPr>
      </w:pPr>
    </w:p>
    <w:p w14:paraId="749A94EA" w14:textId="13D70F1E" w:rsidR="00CB536B" w:rsidRPr="0010022E" w:rsidRDefault="00CB536B" w:rsidP="00365544">
      <w:pPr>
        <w:pStyle w:val="ListParagraph"/>
        <w:numPr>
          <w:ilvl w:val="2"/>
          <w:numId w:val="39"/>
        </w:numPr>
        <w:ind w:left="0" w:firstLine="0"/>
        <w:rPr>
          <w:color w:val="auto"/>
        </w:rPr>
      </w:pPr>
      <w:r w:rsidRPr="00365544">
        <w:rPr>
          <w:color w:val="auto"/>
        </w:rPr>
        <w:t>Aspire the supernatant.</w:t>
      </w:r>
    </w:p>
    <w:p w14:paraId="31665E7C" w14:textId="77777777" w:rsidR="00365544" w:rsidRPr="0010022E" w:rsidRDefault="00365544" w:rsidP="00365544">
      <w:pPr>
        <w:pStyle w:val="ListParagraph"/>
        <w:ind w:left="0"/>
        <w:rPr>
          <w:color w:val="auto"/>
        </w:rPr>
      </w:pPr>
    </w:p>
    <w:p w14:paraId="694FC65F" w14:textId="0032A165" w:rsidR="00CB536B" w:rsidRPr="0010022E" w:rsidRDefault="00CB536B" w:rsidP="00365544">
      <w:pPr>
        <w:pStyle w:val="ListParagraph"/>
        <w:numPr>
          <w:ilvl w:val="2"/>
          <w:numId w:val="39"/>
        </w:numPr>
        <w:ind w:left="0" w:firstLine="0"/>
        <w:rPr>
          <w:color w:val="auto"/>
        </w:rPr>
      </w:pPr>
      <w:r w:rsidRPr="00365544">
        <w:rPr>
          <w:color w:val="auto"/>
        </w:rPr>
        <w:t>Add 1 mL of ME10 medium and resuspend the pellet.</w:t>
      </w:r>
    </w:p>
    <w:p w14:paraId="63441A6E" w14:textId="77777777" w:rsidR="00365544" w:rsidRPr="0010022E" w:rsidRDefault="00365544" w:rsidP="00365544">
      <w:pPr>
        <w:pStyle w:val="ListParagraph"/>
        <w:ind w:left="0"/>
        <w:rPr>
          <w:color w:val="auto"/>
        </w:rPr>
      </w:pPr>
    </w:p>
    <w:p w14:paraId="347A23F9" w14:textId="76EAF232" w:rsidR="00CB536B" w:rsidRPr="0010022E" w:rsidRDefault="00CB536B" w:rsidP="00365544">
      <w:pPr>
        <w:pStyle w:val="ListParagraph"/>
        <w:numPr>
          <w:ilvl w:val="2"/>
          <w:numId w:val="39"/>
        </w:numPr>
        <w:ind w:left="0" w:firstLine="0"/>
        <w:rPr>
          <w:color w:val="auto"/>
        </w:rPr>
      </w:pPr>
      <w:r w:rsidRPr="00365544">
        <w:rPr>
          <w:color w:val="auto"/>
        </w:rPr>
        <w:t xml:space="preserve">Count </w:t>
      </w:r>
      <w:r w:rsidR="0007503D">
        <w:rPr>
          <w:color w:val="auto"/>
        </w:rPr>
        <w:t xml:space="preserve">the </w:t>
      </w:r>
      <w:r w:rsidRPr="00365544">
        <w:rPr>
          <w:color w:val="auto"/>
        </w:rPr>
        <w:t>cell number</w:t>
      </w:r>
      <w:r w:rsidRPr="00365544">
        <w:rPr>
          <w:i/>
          <w:iCs/>
          <w:color w:val="auto"/>
        </w:rPr>
        <w:t xml:space="preserve"> </w:t>
      </w:r>
      <w:r w:rsidRPr="00365544">
        <w:rPr>
          <w:color w:val="auto"/>
        </w:rPr>
        <w:t>in a hemocytometer.</w:t>
      </w:r>
    </w:p>
    <w:p w14:paraId="46DA6005" w14:textId="77777777" w:rsidR="00365544" w:rsidRPr="0010022E" w:rsidRDefault="00365544" w:rsidP="00365544">
      <w:pPr>
        <w:pStyle w:val="ListParagraph"/>
        <w:ind w:left="0"/>
        <w:rPr>
          <w:color w:val="auto"/>
        </w:rPr>
      </w:pPr>
    </w:p>
    <w:p w14:paraId="4CC2CBCB" w14:textId="1D17267D" w:rsidR="00CB536B" w:rsidRPr="0010022E" w:rsidRDefault="00CB536B" w:rsidP="00365544">
      <w:pPr>
        <w:pStyle w:val="ListParagraph"/>
        <w:numPr>
          <w:ilvl w:val="1"/>
          <w:numId w:val="39"/>
        </w:numPr>
        <w:ind w:left="0" w:firstLine="0"/>
        <w:rPr>
          <w:color w:val="auto"/>
        </w:rPr>
      </w:pPr>
      <w:r w:rsidRPr="00365544">
        <w:rPr>
          <w:color w:val="auto"/>
        </w:rPr>
        <w:t>Seed 80</w:t>
      </w:r>
      <w:r w:rsidR="00A23970" w:rsidRPr="00365544">
        <w:rPr>
          <w:color w:val="auto"/>
        </w:rPr>
        <w:t>,</w:t>
      </w:r>
      <w:r w:rsidRPr="00365544">
        <w:rPr>
          <w:color w:val="auto"/>
        </w:rPr>
        <w:t>000 Ts14 cells or 100</w:t>
      </w:r>
      <w:r w:rsidR="00A23970" w:rsidRPr="00365544">
        <w:rPr>
          <w:color w:val="auto"/>
        </w:rPr>
        <w:t>,</w:t>
      </w:r>
      <w:r w:rsidRPr="00365544">
        <w:rPr>
          <w:color w:val="auto"/>
        </w:rPr>
        <w:t xml:space="preserve">000 Ts12 cells onto </w:t>
      </w:r>
      <w:r w:rsidR="00F00632">
        <w:rPr>
          <w:color w:val="auto"/>
        </w:rPr>
        <w:t xml:space="preserve">the </w:t>
      </w:r>
      <w:r w:rsidRPr="00365544">
        <w:rPr>
          <w:color w:val="auto"/>
        </w:rPr>
        <w:t>coverslips in 24</w:t>
      </w:r>
      <w:r w:rsidR="0007503D">
        <w:rPr>
          <w:color w:val="auto"/>
        </w:rPr>
        <w:t>-</w:t>
      </w:r>
      <w:r w:rsidRPr="00365544">
        <w:rPr>
          <w:color w:val="auto"/>
        </w:rPr>
        <w:t>well plates in 500 µL of ME10 medium.</w:t>
      </w:r>
    </w:p>
    <w:p w14:paraId="74C1EEFB" w14:textId="77777777" w:rsidR="00365544" w:rsidRPr="0010022E" w:rsidRDefault="00365544" w:rsidP="00365544">
      <w:pPr>
        <w:pStyle w:val="ListParagraph"/>
        <w:ind w:left="0"/>
        <w:rPr>
          <w:color w:val="auto"/>
        </w:rPr>
      </w:pPr>
    </w:p>
    <w:p w14:paraId="6810F765" w14:textId="696A93A6" w:rsidR="00CB536B" w:rsidRPr="0010022E" w:rsidRDefault="00CB536B" w:rsidP="00365544">
      <w:pPr>
        <w:pStyle w:val="ListParagraph"/>
        <w:numPr>
          <w:ilvl w:val="1"/>
          <w:numId w:val="39"/>
        </w:numPr>
        <w:ind w:left="0" w:firstLine="0"/>
        <w:rPr>
          <w:color w:val="auto"/>
        </w:rPr>
      </w:pPr>
      <w:r w:rsidRPr="00365544">
        <w:rPr>
          <w:color w:val="auto"/>
        </w:rPr>
        <w:t xml:space="preserve">Culture cells </w:t>
      </w:r>
      <w:r w:rsidRPr="00365544">
        <w:rPr>
          <w:rFonts w:asciiTheme="minorHAnsi" w:eastAsiaTheme="minorHAnsi" w:hAnsiTheme="minorHAnsi" w:cstheme="minorHAnsi"/>
          <w:color w:val="auto"/>
        </w:rPr>
        <w:t>at 37</w:t>
      </w:r>
      <w:r w:rsidR="00F412FC" w:rsidRPr="00365544">
        <w:rPr>
          <w:rFonts w:asciiTheme="minorHAnsi" w:eastAsiaTheme="minorHAnsi" w:hAnsiTheme="minorHAnsi" w:cstheme="minorHAnsi"/>
          <w:color w:val="auto"/>
        </w:rPr>
        <w:t xml:space="preserve"> </w:t>
      </w:r>
      <w:r w:rsidR="0007503D">
        <w:t>°C</w:t>
      </w:r>
      <w:r w:rsidRPr="00365544">
        <w:rPr>
          <w:rFonts w:asciiTheme="minorHAnsi" w:eastAsiaTheme="minorHAnsi" w:hAnsiTheme="minorHAnsi" w:cstheme="minorHAnsi"/>
          <w:color w:val="auto"/>
        </w:rPr>
        <w:t xml:space="preserve"> in 5% CO</w:t>
      </w:r>
      <w:r w:rsidRPr="0010022E">
        <w:rPr>
          <w:rFonts w:asciiTheme="minorHAnsi" w:eastAsiaTheme="minorHAnsi" w:hAnsiTheme="minorHAnsi" w:cstheme="minorHAnsi"/>
          <w:color w:val="auto"/>
          <w:vertAlign w:val="subscript"/>
        </w:rPr>
        <w:t>2</w:t>
      </w:r>
      <w:r w:rsidRPr="00365544">
        <w:rPr>
          <w:rFonts w:asciiTheme="minorHAnsi" w:eastAsiaTheme="minorHAnsi" w:hAnsiTheme="minorHAnsi" w:cstheme="minorHAnsi"/>
          <w:color w:val="auto"/>
        </w:rPr>
        <w:t>, for 24 h.</w:t>
      </w:r>
    </w:p>
    <w:p w14:paraId="251517E4" w14:textId="77777777" w:rsidR="00CB536B" w:rsidRPr="00365544" w:rsidRDefault="00CB536B" w:rsidP="00365544">
      <w:pPr>
        <w:rPr>
          <w:color w:val="auto"/>
          <w:highlight w:val="yellow"/>
        </w:rPr>
      </w:pPr>
    </w:p>
    <w:p w14:paraId="35425EEB" w14:textId="38AF45DC" w:rsidR="00CB536B" w:rsidRPr="00365544" w:rsidRDefault="00CB536B" w:rsidP="00365544">
      <w:pPr>
        <w:pStyle w:val="ListParagraph"/>
        <w:numPr>
          <w:ilvl w:val="0"/>
          <w:numId w:val="29"/>
        </w:numPr>
        <w:ind w:left="0" w:firstLine="0"/>
        <w:rPr>
          <w:color w:val="auto"/>
          <w:highlight w:val="yellow"/>
        </w:rPr>
      </w:pPr>
      <w:r w:rsidRPr="00365544">
        <w:rPr>
          <w:b/>
          <w:bCs/>
          <w:color w:val="auto"/>
          <w:highlight w:val="yellow"/>
        </w:rPr>
        <w:t>Retinal tissue dissection</w:t>
      </w:r>
    </w:p>
    <w:p w14:paraId="23536457" w14:textId="77777777" w:rsidR="00365544" w:rsidRDefault="00365544" w:rsidP="00365544">
      <w:pPr>
        <w:pStyle w:val="ListParagraph"/>
        <w:ind w:left="0"/>
        <w:rPr>
          <w:color w:val="auto"/>
        </w:rPr>
      </w:pPr>
    </w:p>
    <w:p w14:paraId="6099CC9D" w14:textId="057AAF4E" w:rsidR="00CB536B" w:rsidRDefault="00CB536B" w:rsidP="00365544">
      <w:pPr>
        <w:pStyle w:val="ListParagraph"/>
        <w:ind w:left="0"/>
        <w:rPr>
          <w:color w:val="auto"/>
        </w:rPr>
      </w:pPr>
      <w:r w:rsidRPr="00365544">
        <w:rPr>
          <w:color w:val="auto"/>
        </w:rPr>
        <w:t xml:space="preserve">NOTE: 2-month old male Wistar rats are used as RGN source. Two retinas (one rat) for 20 wells </w:t>
      </w:r>
      <w:r w:rsidRPr="00365544">
        <w:rPr>
          <w:color w:val="auto"/>
        </w:rPr>
        <w:lastRenderedPageBreak/>
        <w:t>of a 24</w:t>
      </w:r>
      <w:r w:rsidR="0007503D">
        <w:rPr>
          <w:color w:val="auto"/>
        </w:rPr>
        <w:t>-</w:t>
      </w:r>
      <w:r w:rsidRPr="00365544">
        <w:rPr>
          <w:color w:val="auto"/>
        </w:rPr>
        <w:t>well cell dish.</w:t>
      </w:r>
      <w:r w:rsidR="00543BB2">
        <w:rPr>
          <w:color w:val="auto"/>
        </w:rPr>
        <w:t xml:space="preserve"> </w:t>
      </w:r>
      <w:r w:rsidRPr="00365544">
        <w:rPr>
          <w:color w:val="auto"/>
        </w:rPr>
        <w:t>Autoclave surgical material before use.</w:t>
      </w:r>
      <w:r w:rsidR="00543BB2">
        <w:rPr>
          <w:color w:val="auto"/>
        </w:rPr>
        <w:t xml:space="preserve"> </w:t>
      </w:r>
      <w:r w:rsidRPr="00365544">
        <w:rPr>
          <w:color w:val="auto"/>
        </w:rPr>
        <w:t>Papain dissociation kit is commercially purchased (</w:t>
      </w:r>
      <w:r w:rsidRPr="0010022E">
        <w:rPr>
          <w:b/>
          <w:bCs/>
          <w:color w:val="auto"/>
        </w:rPr>
        <w:t>Table of Materials</w:t>
      </w:r>
      <w:r w:rsidRPr="00365544">
        <w:rPr>
          <w:color w:val="auto"/>
        </w:rPr>
        <w:t xml:space="preserve">). Follow </w:t>
      </w:r>
      <w:r w:rsidR="008B0443">
        <w:rPr>
          <w:color w:val="auto"/>
        </w:rPr>
        <w:t xml:space="preserve">the </w:t>
      </w:r>
      <w:r w:rsidRPr="00365544">
        <w:rPr>
          <w:color w:val="auto"/>
        </w:rPr>
        <w:t xml:space="preserve">provider´s instructions </w:t>
      </w:r>
      <w:r w:rsidR="009C0772" w:rsidRPr="00365544">
        <w:rPr>
          <w:color w:val="auto"/>
        </w:rPr>
        <w:t>for</w:t>
      </w:r>
      <w:r w:rsidRPr="00365544">
        <w:rPr>
          <w:color w:val="auto"/>
        </w:rPr>
        <w:t xml:space="preserve"> reconstitut</w:t>
      </w:r>
      <w:r w:rsidR="009C0772" w:rsidRPr="00365544">
        <w:rPr>
          <w:color w:val="auto"/>
        </w:rPr>
        <w:t>ion</w:t>
      </w:r>
      <w:r w:rsidRPr="00365544">
        <w:rPr>
          <w:color w:val="auto"/>
        </w:rPr>
        <w:t>.</w:t>
      </w:r>
      <w:r w:rsidR="00543BB2">
        <w:rPr>
          <w:color w:val="auto"/>
        </w:rPr>
        <w:t xml:space="preserve"> </w:t>
      </w:r>
      <w:r w:rsidR="00096CA7" w:rsidRPr="00365544">
        <w:rPr>
          <w:color w:val="auto"/>
        </w:rPr>
        <w:t>Reconstitute D,L-2-amino-5-phosphonovaleric acid (APV) in 5</w:t>
      </w:r>
      <w:r w:rsidR="00A23970" w:rsidRPr="00365544">
        <w:rPr>
          <w:color w:val="auto"/>
        </w:rPr>
        <w:t xml:space="preserve"> </w:t>
      </w:r>
      <w:r w:rsidR="00096CA7" w:rsidRPr="00365544">
        <w:rPr>
          <w:color w:val="auto"/>
        </w:rPr>
        <w:t xml:space="preserve">mM stock and prepare </w:t>
      </w:r>
      <w:r w:rsidR="008B0443">
        <w:rPr>
          <w:color w:val="auto"/>
        </w:rPr>
        <w:t xml:space="preserve">the </w:t>
      </w:r>
      <w:r w:rsidR="00096CA7" w:rsidRPr="00365544">
        <w:rPr>
          <w:color w:val="auto"/>
        </w:rPr>
        <w:t>aliquots.</w:t>
      </w:r>
    </w:p>
    <w:p w14:paraId="1902E684" w14:textId="77777777" w:rsidR="00365544" w:rsidRPr="00365544" w:rsidRDefault="00365544" w:rsidP="00365544">
      <w:pPr>
        <w:pStyle w:val="ListParagraph"/>
        <w:ind w:left="0"/>
        <w:rPr>
          <w:color w:val="auto"/>
        </w:rPr>
      </w:pPr>
    </w:p>
    <w:p w14:paraId="074B7D54" w14:textId="4EA3E979" w:rsidR="00CB536B" w:rsidRPr="00365544" w:rsidRDefault="00CB536B" w:rsidP="00365544">
      <w:pPr>
        <w:pStyle w:val="ListParagraph"/>
        <w:numPr>
          <w:ilvl w:val="1"/>
          <w:numId w:val="40"/>
        </w:numPr>
        <w:ind w:left="0" w:firstLine="0"/>
        <w:rPr>
          <w:color w:val="auto"/>
          <w:highlight w:val="yellow"/>
        </w:rPr>
      </w:pPr>
      <w:r w:rsidRPr="00365544">
        <w:rPr>
          <w:color w:val="auto"/>
          <w:highlight w:val="yellow"/>
        </w:rPr>
        <w:t>On the day of the assay, prepare the following media</w:t>
      </w:r>
      <w:r w:rsidR="00543BB2">
        <w:rPr>
          <w:color w:val="auto"/>
          <w:highlight w:val="yellow"/>
        </w:rPr>
        <w:t>.</w:t>
      </w:r>
    </w:p>
    <w:p w14:paraId="226E7DFC" w14:textId="77777777" w:rsidR="00365544" w:rsidRDefault="00365544" w:rsidP="00365544">
      <w:pPr>
        <w:pStyle w:val="ListParagraph"/>
        <w:ind w:left="0"/>
        <w:rPr>
          <w:color w:val="auto"/>
          <w:highlight w:val="yellow"/>
        </w:rPr>
      </w:pPr>
    </w:p>
    <w:p w14:paraId="5A51719E" w14:textId="2A0345A6" w:rsidR="00EE1A60" w:rsidRPr="00365544" w:rsidRDefault="00543BB2" w:rsidP="00365544">
      <w:pPr>
        <w:pStyle w:val="ListParagraph"/>
        <w:numPr>
          <w:ilvl w:val="2"/>
          <w:numId w:val="40"/>
        </w:numPr>
        <w:ind w:left="0" w:firstLine="0"/>
        <w:rPr>
          <w:color w:val="auto"/>
          <w:highlight w:val="yellow"/>
        </w:rPr>
      </w:pPr>
      <w:r>
        <w:rPr>
          <w:color w:val="auto"/>
          <w:highlight w:val="yellow"/>
        </w:rPr>
        <w:t>Prepare a</w:t>
      </w:r>
      <w:r w:rsidRPr="00365544">
        <w:rPr>
          <w:color w:val="auto"/>
          <w:highlight w:val="yellow"/>
        </w:rPr>
        <w:t xml:space="preserve"> </w:t>
      </w:r>
      <w:r w:rsidR="00CB536B" w:rsidRPr="00365544">
        <w:rPr>
          <w:color w:val="auto"/>
          <w:highlight w:val="yellow"/>
        </w:rPr>
        <w:t>p60 cell culture dish with 5</w:t>
      </w:r>
      <w:r w:rsidR="00A23970" w:rsidRPr="00365544">
        <w:rPr>
          <w:color w:val="auto"/>
          <w:highlight w:val="yellow"/>
        </w:rPr>
        <w:t xml:space="preserve"> </w:t>
      </w:r>
      <w:r w:rsidR="00CB536B" w:rsidRPr="00365544">
        <w:rPr>
          <w:color w:val="auto"/>
          <w:highlight w:val="yellow"/>
        </w:rPr>
        <w:t>mL of cold EBSS (vial 1 of the papain dissociation kit).</w:t>
      </w:r>
    </w:p>
    <w:p w14:paraId="2373D321" w14:textId="77777777" w:rsidR="00365544" w:rsidRDefault="00365544" w:rsidP="00365544">
      <w:pPr>
        <w:pStyle w:val="ListParagraph"/>
        <w:ind w:left="0"/>
        <w:rPr>
          <w:rFonts w:asciiTheme="minorHAnsi" w:hAnsiTheme="minorHAnsi" w:cstheme="minorHAnsi"/>
          <w:i/>
          <w:iCs/>
          <w:color w:val="auto"/>
          <w:highlight w:val="yellow"/>
        </w:rPr>
      </w:pPr>
    </w:p>
    <w:p w14:paraId="6C117417" w14:textId="7376B570" w:rsidR="00CB536B" w:rsidRPr="0010022E" w:rsidRDefault="00543BB2" w:rsidP="0010022E">
      <w:pPr>
        <w:pStyle w:val="ListParagraph"/>
        <w:numPr>
          <w:ilvl w:val="2"/>
          <w:numId w:val="40"/>
        </w:numPr>
        <w:ind w:left="0" w:firstLine="0"/>
        <w:rPr>
          <w:rFonts w:asciiTheme="minorHAnsi" w:hAnsiTheme="minorHAnsi" w:cstheme="minorHAnsi"/>
          <w:color w:val="auto"/>
          <w:highlight w:val="yellow"/>
        </w:rPr>
      </w:pPr>
      <w:r>
        <w:rPr>
          <w:color w:val="auto"/>
          <w:highlight w:val="yellow"/>
        </w:rPr>
        <w:t>Prepare a</w:t>
      </w:r>
      <w:r w:rsidRPr="00365544">
        <w:rPr>
          <w:color w:val="auto"/>
          <w:highlight w:val="yellow"/>
        </w:rPr>
        <w:t xml:space="preserve"> </w:t>
      </w:r>
      <w:r w:rsidR="00CB536B" w:rsidRPr="00F00632">
        <w:rPr>
          <w:color w:val="auto"/>
          <w:highlight w:val="yellow"/>
        </w:rPr>
        <w:t>p60 cell culture dish</w:t>
      </w:r>
      <w:r w:rsidR="00CB536B" w:rsidRPr="00F00632">
        <w:rPr>
          <w:rFonts w:asciiTheme="minorHAnsi" w:hAnsiTheme="minorHAnsi" w:cstheme="minorHAnsi"/>
          <w:color w:val="auto"/>
          <w:highlight w:val="yellow"/>
        </w:rPr>
        <w:t xml:space="preserve"> with</w:t>
      </w:r>
      <w:r w:rsidR="00F00632" w:rsidRPr="00F00632">
        <w:rPr>
          <w:rFonts w:asciiTheme="minorHAnsi" w:hAnsiTheme="minorHAnsi" w:cstheme="minorHAnsi"/>
          <w:color w:val="auto"/>
          <w:highlight w:val="yellow"/>
        </w:rPr>
        <w:t xml:space="preserve"> </w:t>
      </w:r>
      <w:r w:rsidR="00F00632" w:rsidRPr="00A85D83">
        <w:rPr>
          <w:rFonts w:asciiTheme="minorHAnsi" w:hAnsiTheme="minorHAnsi" w:cstheme="minorHAnsi"/>
          <w:color w:val="auto"/>
          <w:highlight w:val="yellow"/>
        </w:rPr>
        <w:t>r</w:t>
      </w:r>
      <w:r w:rsidR="00CB536B" w:rsidRPr="00A85D83">
        <w:rPr>
          <w:rFonts w:asciiTheme="minorHAnsi" w:hAnsiTheme="minorHAnsi" w:cstheme="minorHAnsi"/>
          <w:color w:val="auto"/>
          <w:highlight w:val="yellow"/>
        </w:rPr>
        <w:t xml:space="preserve">econstituted </w:t>
      </w:r>
      <w:r w:rsidR="00CB536B" w:rsidRPr="00A85D83">
        <w:rPr>
          <w:color w:val="auto"/>
          <w:highlight w:val="yellow"/>
        </w:rPr>
        <w:t>vial 2</w:t>
      </w:r>
      <w:r w:rsidR="00EE1A60" w:rsidRPr="00A85D83">
        <w:rPr>
          <w:color w:val="auto"/>
          <w:highlight w:val="yellow"/>
        </w:rPr>
        <w:t xml:space="preserve"> (papain)</w:t>
      </w:r>
      <w:r w:rsidR="00CB536B" w:rsidRPr="00A85D83">
        <w:rPr>
          <w:color w:val="auto"/>
          <w:highlight w:val="yellow"/>
        </w:rPr>
        <w:t xml:space="preserve"> of the </w:t>
      </w:r>
      <w:r w:rsidR="00CB536B" w:rsidRPr="00A85D83">
        <w:rPr>
          <w:rFonts w:asciiTheme="minorHAnsi" w:hAnsiTheme="minorHAnsi" w:cstheme="minorHAnsi"/>
          <w:color w:val="auto"/>
          <w:highlight w:val="yellow"/>
        </w:rPr>
        <w:t>papain dissociation kit</w:t>
      </w:r>
      <w:r w:rsidR="00EE1A60" w:rsidRPr="00A85D83">
        <w:rPr>
          <w:rFonts w:asciiTheme="minorHAnsi" w:hAnsiTheme="minorHAnsi" w:cstheme="minorHAnsi"/>
          <w:color w:val="auto"/>
          <w:highlight w:val="yellow"/>
        </w:rPr>
        <w:t xml:space="preserve"> plus 50 µL of </w:t>
      </w:r>
      <w:r w:rsidR="00EE1A60" w:rsidRPr="00A85D83">
        <w:rPr>
          <w:color w:val="auto"/>
          <w:highlight w:val="yellow"/>
        </w:rPr>
        <w:t>APV</w:t>
      </w:r>
      <w:r w:rsidR="00F00632" w:rsidRPr="00A85D83">
        <w:rPr>
          <w:color w:val="auto"/>
          <w:highlight w:val="yellow"/>
        </w:rPr>
        <w:t xml:space="preserve">, </w:t>
      </w:r>
      <w:r w:rsidR="00F60F61" w:rsidRPr="00F00632">
        <w:rPr>
          <w:rFonts w:asciiTheme="minorHAnsi" w:hAnsiTheme="minorHAnsi" w:cstheme="minorHAnsi"/>
          <w:color w:val="auto"/>
          <w:highlight w:val="yellow"/>
        </w:rPr>
        <w:t xml:space="preserve">250 µL </w:t>
      </w:r>
      <w:r w:rsidR="00EE1A60" w:rsidRPr="00F00632">
        <w:rPr>
          <w:rFonts w:asciiTheme="minorHAnsi" w:hAnsiTheme="minorHAnsi" w:cstheme="minorHAnsi"/>
          <w:color w:val="auto"/>
          <w:highlight w:val="yellow"/>
        </w:rPr>
        <w:t xml:space="preserve">of </w:t>
      </w:r>
      <w:r w:rsidR="0068703E" w:rsidRPr="00F00632">
        <w:rPr>
          <w:rFonts w:asciiTheme="minorHAnsi" w:hAnsiTheme="minorHAnsi" w:cstheme="minorHAnsi"/>
          <w:color w:val="auto"/>
          <w:highlight w:val="yellow"/>
        </w:rPr>
        <w:t>vial 3 (</w:t>
      </w:r>
      <w:r w:rsidRPr="00F00632">
        <w:rPr>
          <w:rFonts w:asciiTheme="minorHAnsi" w:hAnsiTheme="minorHAnsi" w:cstheme="minorHAnsi"/>
          <w:color w:val="auto"/>
          <w:highlight w:val="yellow"/>
        </w:rPr>
        <w:t>DN</w:t>
      </w:r>
      <w:r>
        <w:rPr>
          <w:rFonts w:asciiTheme="minorHAnsi" w:hAnsiTheme="minorHAnsi" w:cstheme="minorHAnsi"/>
          <w:color w:val="auto"/>
          <w:highlight w:val="yellow"/>
        </w:rPr>
        <w:t>a</w:t>
      </w:r>
      <w:r w:rsidRPr="00F00632">
        <w:rPr>
          <w:rFonts w:asciiTheme="minorHAnsi" w:hAnsiTheme="minorHAnsi" w:cstheme="minorHAnsi"/>
          <w:color w:val="auto"/>
          <w:highlight w:val="yellow"/>
        </w:rPr>
        <w:t>se</w:t>
      </w:r>
      <w:r w:rsidR="0068703E" w:rsidRPr="00F00632">
        <w:rPr>
          <w:rFonts w:asciiTheme="minorHAnsi" w:hAnsiTheme="minorHAnsi" w:cstheme="minorHAnsi"/>
          <w:color w:val="auto"/>
          <w:highlight w:val="yellow"/>
        </w:rPr>
        <w:t xml:space="preserve">) plus </w:t>
      </w:r>
      <w:r w:rsidR="008B1ABB" w:rsidRPr="00F00632">
        <w:rPr>
          <w:rFonts w:asciiTheme="minorHAnsi" w:hAnsiTheme="minorHAnsi" w:cstheme="minorHAnsi"/>
          <w:color w:val="auto"/>
          <w:highlight w:val="yellow"/>
        </w:rPr>
        <w:t>5</w:t>
      </w:r>
      <w:r w:rsidR="00EE1A60" w:rsidRPr="00F00632">
        <w:rPr>
          <w:rFonts w:asciiTheme="minorHAnsi" w:hAnsiTheme="minorHAnsi" w:cstheme="minorHAnsi"/>
          <w:color w:val="auto"/>
          <w:highlight w:val="yellow"/>
        </w:rPr>
        <w:t xml:space="preserve"> µL of APV.</w:t>
      </w:r>
    </w:p>
    <w:p w14:paraId="67A56A2D" w14:textId="77777777" w:rsidR="00365544" w:rsidRDefault="00365544" w:rsidP="00365544">
      <w:pPr>
        <w:pStyle w:val="ListParagraph"/>
        <w:ind w:left="0"/>
        <w:rPr>
          <w:rFonts w:asciiTheme="minorHAnsi" w:hAnsiTheme="minorHAnsi" w:cstheme="minorHAnsi"/>
          <w:color w:val="auto"/>
          <w:highlight w:val="yellow"/>
        </w:rPr>
      </w:pPr>
    </w:p>
    <w:p w14:paraId="3E5CEBE4" w14:textId="2C1B6C38" w:rsidR="00B54264" w:rsidRPr="00365544" w:rsidRDefault="00B54264" w:rsidP="00365544">
      <w:pPr>
        <w:pStyle w:val="ListParagraph"/>
        <w:numPr>
          <w:ilvl w:val="2"/>
          <w:numId w:val="40"/>
        </w:numPr>
        <w:ind w:left="0" w:firstLine="0"/>
        <w:rPr>
          <w:rFonts w:asciiTheme="minorHAnsi" w:hAnsiTheme="minorHAnsi" w:cstheme="minorHAnsi"/>
          <w:color w:val="auto"/>
          <w:highlight w:val="yellow"/>
        </w:rPr>
      </w:pPr>
      <w:r w:rsidRPr="00365544">
        <w:rPr>
          <w:rFonts w:asciiTheme="minorHAnsi" w:hAnsiTheme="minorHAnsi" w:cstheme="minorHAnsi"/>
          <w:color w:val="auto"/>
          <w:highlight w:val="yellow"/>
        </w:rPr>
        <w:t>In a sterile tube mix 2</w:t>
      </w:r>
      <w:r w:rsidR="00A23970" w:rsidRPr="00365544">
        <w:rPr>
          <w:rFonts w:asciiTheme="minorHAnsi" w:hAnsiTheme="minorHAnsi" w:cstheme="minorHAnsi"/>
          <w:color w:val="auto"/>
          <w:highlight w:val="yellow"/>
        </w:rPr>
        <w:t>.</w:t>
      </w:r>
      <w:r w:rsidRPr="00365544">
        <w:rPr>
          <w:rFonts w:asciiTheme="minorHAnsi" w:hAnsiTheme="minorHAnsi" w:cstheme="minorHAnsi"/>
          <w:color w:val="auto"/>
          <w:highlight w:val="yellow"/>
        </w:rPr>
        <w:t>7 m</w:t>
      </w:r>
      <w:r w:rsidR="0003400D" w:rsidRPr="00365544">
        <w:rPr>
          <w:rFonts w:asciiTheme="minorHAnsi" w:hAnsiTheme="minorHAnsi" w:cstheme="minorHAnsi"/>
          <w:color w:val="auto"/>
          <w:highlight w:val="yellow"/>
        </w:rPr>
        <w:t>L</w:t>
      </w:r>
      <w:r w:rsidRPr="00365544">
        <w:rPr>
          <w:rFonts w:asciiTheme="minorHAnsi" w:hAnsiTheme="minorHAnsi" w:cstheme="minorHAnsi"/>
          <w:color w:val="auto"/>
          <w:highlight w:val="yellow"/>
        </w:rPr>
        <w:t xml:space="preserve"> </w:t>
      </w:r>
      <w:r w:rsidR="0010022E">
        <w:rPr>
          <w:rFonts w:asciiTheme="minorHAnsi" w:hAnsiTheme="minorHAnsi" w:cstheme="minorHAnsi"/>
          <w:color w:val="auto"/>
          <w:highlight w:val="yellow"/>
        </w:rPr>
        <w:t xml:space="preserve">of </w:t>
      </w:r>
      <w:r w:rsidRPr="00365544">
        <w:rPr>
          <w:rFonts w:asciiTheme="minorHAnsi" w:hAnsiTheme="minorHAnsi" w:cstheme="minorHAnsi"/>
          <w:color w:val="auto"/>
          <w:highlight w:val="yellow"/>
        </w:rPr>
        <w:t xml:space="preserve">vial 1 with 300 µL </w:t>
      </w:r>
      <w:r w:rsidR="0010022E">
        <w:rPr>
          <w:rFonts w:asciiTheme="minorHAnsi" w:hAnsiTheme="minorHAnsi" w:cstheme="minorHAnsi"/>
          <w:color w:val="auto"/>
          <w:highlight w:val="yellow"/>
        </w:rPr>
        <w:t xml:space="preserve">of </w:t>
      </w:r>
      <w:r w:rsidRPr="00365544">
        <w:rPr>
          <w:rFonts w:asciiTheme="minorHAnsi" w:hAnsiTheme="minorHAnsi" w:cstheme="minorHAnsi"/>
          <w:color w:val="auto"/>
          <w:highlight w:val="yellow"/>
        </w:rPr>
        <w:t xml:space="preserve">vial 4 (albumin-ovomucoid protease inhibitor). Add 150 µL </w:t>
      </w:r>
      <w:r w:rsidR="0010022E">
        <w:rPr>
          <w:rFonts w:asciiTheme="minorHAnsi" w:hAnsiTheme="minorHAnsi" w:cstheme="minorHAnsi"/>
          <w:color w:val="auto"/>
          <w:highlight w:val="yellow"/>
        </w:rPr>
        <w:t xml:space="preserve">of </w:t>
      </w:r>
      <w:r w:rsidRPr="00365544">
        <w:rPr>
          <w:rFonts w:asciiTheme="minorHAnsi" w:hAnsiTheme="minorHAnsi" w:cstheme="minorHAnsi"/>
          <w:color w:val="auto"/>
          <w:highlight w:val="yellow"/>
        </w:rPr>
        <w:t>vial 3 (</w:t>
      </w:r>
      <w:r w:rsidR="00543BB2" w:rsidRPr="00365544">
        <w:rPr>
          <w:rFonts w:asciiTheme="minorHAnsi" w:hAnsiTheme="minorHAnsi" w:cstheme="minorHAnsi"/>
          <w:color w:val="auto"/>
          <w:highlight w:val="yellow"/>
        </w:rPr>
        <w:t>DN</w:t>
      </w:r>
      <w:r w:rsidR="00543BB2">
        <w:rPr>
          <w:rFonts w:asciiTheme="minorHAnsi" w:hAnsiTheme="minorHAnsi" w:cstheme="minorHAnsi"/>
          <w:color w:val="auto"/>
          <w:highlight w:val="yellow"/>
        </w:rPr>
        <w:t>a</w:t>
      </w:r>
      <w:r w:rsidR="00543BB2" w:rsidRPr="00365544">
        <w:rPr>
          <w:rFonts w:asciiTheme="minorHAnsi" w:hAnsiTheme="minorHAnsi" w:cstheme="minorHAnsi"/>
          <w:color w:val="auto"/>
          <w:highlight w:val="yellow"/>
        </w:rPr>
        <w:t>se</w:t>
      </w:r>
      <w:r w:rsidRPr="00365544">
        <w:rPr>
          <w:rFonts w:asciiTheme="minorHAnsi" w:hAnsiTheme="minorHAnsi" w:cstheme="minorHAnsi"/>
          <w:color w:val="auto"/>
          <w:highlight w:val="yellow"/>
        </w:rPr>
        <w:t>) plus 30 µL</w:t>
      </w:r>
      <w:r w:rsidR="0010022E" w:rsidRPr="0010022E">
        <w:rPr>
          <w:rFonts w:asciiTheme="minorHAnsi" w:hAnsiTheme="minorHAnsi" w:cstheme="minorHAnsi"/>
          <w:color w:val="auto"/>
          <w:highlight w:val="yellow"/>
        </w:rPr>
        <w:t xml:space="preserve"> </w:t>
      </w:r>
      <w:r w:rsidR="0010022E">
        <w:rPr>
          <w:rFonts w:asciiTheme="minorHAnsi" w:hAnsiTheme="minorHAnsi" w:cstheme="minorHAnsi"/>
          <w:color w:val="auto"/>
          <w:highlight w:val="yellow"/>
        </w:rPr>
        <w:t>of</w:t>
      </w:r>
      <w:r w:rsidRPr="00365544">
        <w:rPr>
          <w:rFonts w:asciiTheme="minorHAnsi" w:hAnsiTheme="minorHAnsi" w:cstheme="minorHAnsi"/>
          <w:color w:val="auto"/>
          <w:highlight w:val="yellow"/>
        </w:rPr>
        <w:t xml:space="preserve"> APV.</w:t>
      </w:r>
    </w:p>
    <w:p w14:paraId="18E98B2B" w14:textId="77777777" w:rsidR="00365544" w:rsidRDefault="00365544" w:rsidP="00365544">
      <w:pPr>
        <w:pStyle w:val="ListParagraph"/>
        <w:ind w:left="0"/>
        <w:rPr>
          <w:color w:val="auto"/>
          <w:highlight w:val="yellow"/>
        </w:rPr>
      </w:pPr>
    </w:p>
    <w:p w14:paraId="749F8D44" w14:textId="76160B9B" w:rsidR="00CB536B" w:rsidRPr="00365544" w:rsidRDefault="0010022E" w:rsidP="00365544">
      <w:pPr>
        <w:pStyle w:val="ListParagraph"/>
        <w:numPr>
          <w:ilvl w:val="2"/>
          <w:numId w:val="40"/>
        </w:numPr>
        <w:ind w:left="0" w:firstLine="0"/>
        <w:rPr>
          <w:color w:val="auto"/>
          <w:highlight w:val="yellow"/>
        </w:rPr>
      </w:pPr>
      <w:r>
        <w:rPr>
          <w:color w:val="auto"/>
          <w:highlight w:val="yellow"/>
        </w:rPr>
        <w:t xml:space="preserve">Prepare </w:t>
      </w:r>
      <w:r w:rsidR="00CB536B" w:rsidRPr="00365544">
        <w:rPr>
          <w:color w:val="auto"/>
          <w:highlight w:val="yellow"/>
        </w:rPr>
        <w:t xml:space="preserve">20 mL of Neurobasal-B27 medium (NB-B27) as provided in </w:t>
      </w:r>
      <w:r w:rsidR="00CB536B" w:rsidRPr="0010022E">
        <w:rPr>
          <w:b/>
          <w:bCs/>
          <w:color w:val="auto"/>
          <w:highlight w:val="yellow"/>
        </w:rPr>
        <w:t>Table 1</w:t>
      </w:r>
      <w:r w:rsidR="00CB536B" w:rsidRPr="00365544">
        <w:rPr>
          <w:color w:val="auto"/>
          <w:highlight w:val="yellow"/>
        </w:rPr>
        <w:t>.</w:t>
      </w:r>
    </w:p>
    <w:p w14:paraId="7F7D8F07" w14:textId="77777777" w:rsidR="00365544" w:rsidRDefault="00365544" w:rsidP="00365544">
      <w:pPr>
        <w:pStyle w:val="ListParagraph"/>
        <w:ind w:left="0"/>
        <w:rPr>
          <w:color w:val="auto"/>
          <w:highlight w:val="yellow"/>
        </w:rPr>
      </w:pPr>
    </w:p>
    <w:p w14:paraId="27FB4DBC" w14:textId="350AEEF2" w:rsidR="00CB536B" w:rsidRPr="0010022E" w:rsidRDefault="00CB536B" w:rsidP="00365544">
      <w:pPr>
        <w:pStyle w:val="ListParagraph"/>
        <w:numPr>
          <w:ilvl w:val="1"/>
          <w:numId w:val="40"/>
        </w:numPr>
        <w:ind w:left="0" w:firstLine="0"/>
        <w:rPr>
          <w:color w:val="auto"/>
        </w:rPr>
      </w:pPr>
      <w:r w:rsidRPr="0010022E">
        <w:rPr>
          <w:color w:val="auto"/>
        </w:rPr>
        <w:t>Sacrifice a rat by asphyxiation with CO</w:t>
      </w:r>
      <w:r w:rsidRPr="0010022E">
        <w:rPr>
          <w:color w:val="auto"/>
          <w:vertAlign w:val="subscript"/>
        </w:rPr>
        <w:t>2</w:t>
      </w:r>
      <w:r w:rsidRPr="0010022E">
        <w:rPr>
          <w:color w:val="auto"/>
        </w:rPr>
        <w:t>.</w:t>
      </w:r>
    </w:p>
    <w:p w14:paraId="58CFE386" w14:textId="77777777" w:rsidR="00365544" w:rsidRDefault="00365544" w:rsidP="00365544">
      <w:pPr>
        <w:pStyle w:val="ListParagraph"/>
        <w:ind w:left="0"/>
        <w:rPr>
          <w:color w:val="auto"/>
          <w:highlight w:val="yellow"/>
        </w:rPr>
      </w:pPr>
    </w:p>
    <w:p w14:paraId="6EE1EBA7" w14:textId="331374CA" w:rsidR="00CB536B" w:rsidRPr="00365544" w:rsidRDefault="00CB536B" w:rsidP="00365544">
      <w:pPr>
        <w:pStyle w:val="ListParagraph"/>
        <w:numPr>
          <w:ilvl w:val="1"/>
          <w:numId w:val="40"/>
        </w:numPr>
        <w:ind w:left="0" w:firstLine="0"/>
        <w:rPr>
          <w:color w:val="auto"/>
          <w:highlight w:val="yellow"/>
        </w:rPr>
      </w:pPr>
      <w:r w:rsidRPr="0010022E">
        <w:rPr>
          <w:color w:val="auto"/>
        </w:rPr>
        <w:t>Remove the head by decapitation with guillotine</w:t>
      </w:r>
      <w:r w:rsidR="008B0443" w:rsidRPr="0010022E">
        <w:rPr>
          <w:color w:val="auto"/>
        </w:rPr>
        <w:t>;</w:t>
      </w:r>
      <w:r w:rsidRPr="0010022E">
        <w:rPr>
          <w:color w:val="auto"/>
        </w:rPr>
        <w:t xml:space="preserve"> </w:t>
      </w:r>
      <w:r w:rsidRPr="00365544">
        <w:rPr>
          <w:color w:val="auto"/>
          <w:highlight w:val="yellow"/>
        </w:rPr>
        <w:t>place it in a 100 mm Petri dish and spray the head with ethanol 70% before placing it in a laminar flow hood</w:t>
      </w:r>
      <w:r w:rsidR="005B62E7" w:rsidRPr="00365544">
        <w:rPr>
          <w:color w:val="auto"/>
          <w:highlight w:val="yellow"/>
        </w:rPr>
        <w:t>.</w:t>
      </w:r>
    </w:p>
    <w:p w14:paraId="7B954E84" w14:textId="77777777" w:rsidR="00365544" w:rsidRDefault="00365544" w:rsidP="00365544">
      <w:pPr>
        <w:pStyle w:val="ListParagraph"/>
        <w:ind w:left="0"/>
        <w:rPr>
          <w:color w:val="auto"/>
          <w:highlight w:val="yellow"/>
        </w:rPr>
      </w:pPr>
    </w:p>
    <w:p w14:paraId="6C1A5502" w14:textId="0FBDB354" w:rsidR="00CB536B" w:rsidRPr="00365544" w:rsidRDefault="00CB536B" w:rsidP="00365544">
      <w:pPr>
        <w:pStyle w:val="ListParagraph"/>
        <w:numPr>
          <w:ilvl w:val="1"/>
          <w:numId w:val="40"/>
        </w:numPr>
        <w:ind w:left="0" w:firstLine="0"/>
        <w:rPr>
          <w:color w:val="auto"/>
          <w:highlight w:val="yellow"/>
        </w:rPr>
      </w:pPr>
      <w:r w:rsidRPr="00365544">
        <w:rPr>
          <w:color w:val="auto"/>
          <w:highlight w:val="yellow"/>
        </w:rPr>
        <w:t xml:space="preserve">Cut the rat´s whiskers with scissors so they do not interfere with the eye </w:t>
      </w:r>
      <w:r w:rsidR="006755AF" w:rsidRPr="00365544">
        <w:rPr>
          <w:color w:val="auto"/>
          <w:highlight w:val="yellow"/>
        </w:rPr>
        <w:t>manipulation</w:t>
      </w:r>
      <w:r w:rsidRPr="00365544">
        <w:rPr>
          <w:color w:val="auto"/>
          <w:highlight w:val="yellow"/>
        </w:rPr>
        <w:t>.</w:t>
      </w:r>
    </w:p>
    <w:p w14:paraId="51D1921E" w14:textId="77777777" w:rsidR="00365544" w:rsidRDefault="00365544" w:rsidP="00365544">
      <w:pPr>
        <w:pStyle w:val="ListParagraph"/>
        <w:ind w:left="0"/>
        <w:rPr>
          <w:color w:val="auto"/>
          <w:highlight w:val="yellow"/>
        </w:rPr>
      </w:pPr>
    </w:p>
    <w:p w14:paraId="493C2AEE" w14:textId="51E17851" w:rsidR="00CB536B" w:rsidRPr="00365544" w:rsidRDefault="00213A27" w:rsidP="00365544">
      <w:pPr>
        <w:pStyle w:val="ListParagraph"/>
        <w:numPr>
          <w:ilvl w:val="1"/>
          <w:numId w:val="40"/>
        </w:numPr>
        <w:ind w:left="0" w:firstLine="0"/>
        <w:rPr>
          <w:color w:val="auto"/>
          <w:highlight w:val="yellow"/>
        </w:rPr>
      </w:pPr>
      <w:r w:rsidRPr="00365544">
        <w:rPr>
          <w:color w:val="auto"/>
          <w:highlight w:val="yellow"/>
        </w:rPr>
        <w:t>G</w:t>
      </w:r>
      <w:r w:rsidR="002C14B9" w:rsidRPr="00365544">
        <w:rPr>
          <w:color w:val="auto"/>
          <w:highlight w:val="yellow"/>
        </w:rPr>
        <w:t>rip the optic nerve with forceps to pull out the eyeball enough to be able to make an incision across the eye with a scalpel.</w:t>
      </w:r>
    </w:p>
    <w:p w14:paraId="7A9F5A12" w14:textId="77777777" w:rsidR="00365544" w:rsidRDefault="00365544" w:rsidP="00365544">
      <w:pPr>
        <w:pStyle w:val="ListParagraph"/>
        <w:ind w:left="0"/>
        <w:rPr>
          <w:color w:val="auto"/>
          <w:highlight w:val="yellow"/>
        </w:rPr>
      </w:pPr>
    </w:p>
    <w:p w14:paraId="2447DA62" w14:textId="0C743810" w:rsidR="00CB536B" w:rsidRPr="00365544" w:rsidRDefault="00CB536B" w:rsidP="00365544">
      <w:pPr>
        <w:pStyle w:val="ListParagraph"/>
        <w:numPr>
          <w:ilvl w:val="1"/>
          <w:numId w:val="40"/>
        </w:numPr>
        <w:ind w:left="0" w:firstLine="0"/>
        <w:rPr>
          <w:color w:val="auto"/>
          <w:highlight w:val="yellow"/>
        </w:rPr>
      </w:pPr>
      <w:r w:rsidRPr="00365544">
        <w:rPr>
          <w:color w:val="auto"/>
          <w:highlight w:val="yellow"/>
        </w:rPr>
        <w:t>Remove the lens and vitreous humor</w:t>
      </w:r>
      <w:r w:rsidR="00642845" w:rsidRPr="00365544">
        <w:rPr>
          <w:color w:val="auto"/>
          <w:highlight w:val="yellow"/>
        </w:rPr>
        <w:t xml:space="preserve"> and pull out the retina (orange</w:t>
      </w:r>
      <w:r w:rsidR="00BA7D6D" w:rsidRPr="00365544">
        <w:rPr>
          <w:color w:val="auto"/>
          <w:highlight w:val="yellow"/>
        </w:rPr>
        <w:t>-</w:t>
      </w:r>
      <w:r w:rsidRPr="00365544">
        <w:rPr>
          <w:color w:val="auto"/>
          <w:highlight w:val="yellow"/>
        </w:rPr>
        <w:t>like tissue)</w:t>
      </w:r>
      <w:r w:rsidR="001E2100" w:rsidRPr="00365544">
        <w:rPr>
          <w:color w:val="auto"/>
          <w:highlight w:val="yellow"/>
        </w:rPr>
        <w:t xml:space="preserve">, while </w:t>
      </w:r>
      <w:r w:rsidR="00893F9D" w:rsidRPr="00365544">
        <w:rPr>
          <w:color w:val="auto"/>
          <w:highlight w:val="yellow"/>
        </w:rPr>
        <w:t>the remaining</w:t>
      </w:r>
      <w:r w:rsidR="001E2100" w:rsidRPr="00365544">
        <w:rPr>
          <w:color w:val="auto"/>
          <w:highlight w:val="yellow"/>
        </w:rPr>
        <w:t xml:space="preserve"> layers of the eye </w:t>
      </w:r>
      <w:r w:rsidR="00893F9D" w:rsidRPr="00365544">
        <w:rPr>
          <w:color w:val="auto"/>
          <w:highlight w:val="yellow"/>
        </w:rPr>
        <w:t>stay</w:t>
      </w:r>
      <w:r w:rsidR="00BA7D6D" w:rsidRPr="00365544">
        <w:rPr>
          <w:color w:val="auto"/>
          <w:highlight w:val="yellow"/>
        </w:rPr>
        <w:t xml:space="preserve"> </w:t>
      </w:r>
      <w:r w:rsidR="001E2100" w:rsidRPr="00365544">
        <w:rPr>
          <w:color w:val="auto"/>
          <w:highlight w:val="yellow"/>
        </w:rPr>
        <w:t xml:space="preserve">inside </w:t>
      </w:r>
      <w:bookmarkStart w:id="5" w:name="_Hlk50380417"/>
      <w:r w:rsidR="001E2100" w:rsidRPr="00365544">
        <w:rPr>
          <w:color w:val="auto"/>
          <w:highlight w:val="yellow"/>
        </w:rPr>
        <w:t>(including the pigment epithelial layer)</w:t>
      </w:r>
      <w:r w:rsidRPr="00365544">
        <w:rPr>
          <w:color w:val="auto"/>
          <w:highlight w:val="yellow"/>
        </w:rPr>
        <w:t>.</w:t>
      </w:r>
    </w:p>
    <w:bookmarkEnd w:id="5"/>
    <w:p w14:paraId="56B9E943" w14:textId="77777777" w:rsidR="00365544" w:rsidRDefault="00365544" w:rsidP="00365544">
      <w:pPr>
        <w:pStyle w:val="ListParagraph"/>
        <w:ind w:left="0"/>
        <w:rPr>
          <w:color w:val="auto"/>
          <w:highlight w:val="yellow"/>
        </w:rPr>
      </w:pPr>
    </w:p>
    <w:p w14:paraId="7391A6FB" w14:textId="619766A6" w:rsidR="00CB536B" w:rsidRPr="00365544" w:rsidRDefault="00CB536B" w:rsidP="00365544">
      <w:pPr>
        <w:pStyle w:val="ListParagraph"/>
        <w:numPr>
          <w:ilvl w:val="1"/>
          <w:numId w:val="40"/>
        </w:numPr>
        <w:ind w:left="0" w:firstLine="0"/>
        <w:rPr>
          <w:color w:val="auto"/>
          <w:highlight w:val="yellow"/>
        </w:rPr>
      </w:pPr>
      <w:r w:rsidRPr="00365544">
        <w:rPr>
          <w:color w:val="auto"/>
          <w:highlight w:val="yellow"/>
        </w:rPr>
        <w:t xml:space="preserve">Place the retina in the p60 cell culture dish prepared in </w:t>
      </w:r>
      <w:r w:rsidR="008B0443">
        <w:rPr>
          <w:color w:val="auto"/>
          <w:highlight w:val="yellow"/>
        </w:rPr>
        <w:t>s</w:t>
      </w:r>
      <w:r w:rsidRPr="00365544">
        <w:rPr>
          <w:color w:val="auto"/>
          <w:highlight w:val="yellow"/>
        </w:rPr>
        <w:t>tep 3.1.1.</w:t>
      </w:r>
    </w:p>
    <w:p w14:paraId="39E33EA7" w14:textId="77777777" w:rsidR="00365544" w:rsidRPr="00365544" w:rsidRDefault="00365544" w:rsidP="00365544">
      <w:pPr>
        <w:pStyle w:val="ListParagraph"/>
        <w:ind w:left="0"/>
        <w:rPr>
          <w:color w:val="auto"/>
          <w:highlight w:val="yellow"/>
        </w:rPr>
      </w:pPr>
    </w:p>
    <w:p w14:paraId="35BFF308" w14:textId="0849C7EC" w:rsidR="00CB536B" w:rsidRPr="00365544" w:rsidRDefault="00CB536B" w:rsidP="00365544">
      <w:pPr>
        <w:pStyle w:val="ListParagraph"/>
        <w:numPr>
          <w:ilvl w:val="1"/>
          <w:numId w:val="40"/>
        </w:numPr>
        <w:ind w:left="0" w:firstLine="0"/>
        <w:rPr>
          <w:color w:val="auto"/>
          <w:highlight w:val="yellow"/>
        </w:rPr>
      </w:pPr>
      <w:r w:rsidRPr="00365544">
        <w:rPr>
          <w:rFonts w:asciiTheme="minorHAnsi" w:hAnsiTheme="minorHAnsi" w:cstheme="minorHAnsi"/>
          <w:color w:val="auto"/>
          <w:highlight w:val="yellow"/>
        </w:rPr>
        <w:t xml:space="preserve">Transfer the retina to the </w:t>
      </w:r>
      <w:r w:rsidRPr="00365544">
        <w:rPr>
          <w:color w:val="auto"/>
          <w:highlight w:val="yellow"/>
        </w:rPr>
        <w:t xml:space="preserve">p60 cell culture dish </w:t>
      </w:r>
      <w:r w:rsidRPr="00365544">
        <w:rPr>
          <w:rFonts w:asciiTheme="minorHAnsi" w:hAnsiTheme="minorHAnsi" w:cstheme="minorHAnsi"/>
          <w:color w:val="auto"/>
          <w:highlight w:val="yellow"/>
        </w:rPr>
        <w:t xml:space="preserve">prepared in </w:t>
      </w:r>
      <w:r w:rsidR="008B0443">
        <w:rPr>
          <w:rFonts w:asciiTheme="minorHAnsi" w:hAnsiTheme="minorHAnsi" w:cstheme="minorHAnsi"/>
          <w:color w:val="auto"/>
          <w:highlight w:val="yellow"/>
        </w:rPr>
        <w:t>s</w:t>
      </w:r>
      <w:r w:rsidRPr="00365544">
        <w:rPr>
          <w:rFonts w:asciiTheme="minorHAnsi" w:hAnsiTheme="minorHAnsi" w:cstheme="minorHAnsi"/>
          <w:color w:val="auto"/>
          <w:highlight w:val="yellow"/>
        </w:rPr>
        <w:t>tep 3.1.</w:t>
      </w:r>
      <w:r w:rsidR="00096CA7" w:rsidRPr="00365544">
        <w:rPr>
          <w:rFonts w:asciiTheme="minorHAnsi" w:hAnsiTheme="minorHAnsi" w:cstheme="minorHAnsi"/>
          <w:color w:val="auto"/>
          <w:highlight w:val="yellow"/>
        </w:rPr>
        <w:t>2</w:t>
      </w:r>
      <w:r w:rsidRPr="00365544">
        <w:rPr>
          <w:rFonts w:asciiTheme="minorHAnsi" w:hAnsiTheme="minorHAnsi" w:cstheme="minorHAnsi"/>
          <w:color w:val="auto"/>
          <w:highlight w:val="yellow"/>
        </w:rPr>
        <w:t xml:space="preserve"> </w:t>
      </w:r>
      <w:r w:rsidRPr="00365544">
        <w:rPr>
          <w:color w:val="auto"/>
          <w:highlight w:val="yellow"/>
        </w:rPr>
        <w:t>and cut it with the scalpel in small pieces</w:t>
      </w:r>
      <w:r w:rsidR="002C14B9" w:rsidRPr="00365544">
        <w:rPr>
          <w:color w:val="auto"/>
          <w:highlight w:val="yellow"/>
        </w:rPr>
        <w:t xml:space="preserve"> of an approximate size</w:t>
      </w:r>
      <w:r w:rsidR="001E2100" w:rsidRPr="00365544">
        <w:rPr>
          <w:color w:val="auto"/>
          <w:highlight w:val="yellow"/>
        </w:rPr>
        <w:t xml:space="preserve"> &lt;</w:t>
      </w:r>
      <w:r w:rsidR="002C14B9" w:rsidRPr="00365544">
        <w:rPr>
          <w:color w:val="auto"/>
          <w:highlight w:val="yellow"/>
        </w:rPr>
        <w:t xml:space="preserve"> 1 mm</w:t>
      </w:r>
      <w:r w:rsidRPr="00365544">
        <w:rPr>
          <w:color w:val="auto"/>
          <w:highlight w:val="yellow"/>
        </w:rPr>
        <w:t>.</w:t>
      </w:r>
    </w:p>
    <w:p w14:paraId="5F83CD2C" w14:textId="77777777" w:rsidR="00365544" w:rsidRPr="00365544" w:rsidRDefault="00365544" w:rsidP="00365544">
      <w:pPr>
        <w:pStyle w:val="ListParagraph"/>
        <w:ind w:left="0"/>
        <w:rPr>
          <w:color w:val="auto"/>
          <w:highlight w:val="yellow"/>
        </w:rPr>
      </w:pPr>
    </w:p>
    <w:p w14:paraId="0506E92C" w14:textId="6596A6A4" w:rsidR="008B1ABB" w:rsidRPr="00365544" w:rsidRDefault="00DA1409" w:rsidP="00365544">
      <w:pPr>
        <w:pStyle w:val="ListParagraph"/>
        <w:numPr>
          <w:ilvl w:val="1"/>
          <w:numId w:val="40"/>
        </w:numPr>
        <w:ind w:left="0" w:firstLine="0"/>
        <w:rPr>
          <w:color w:val="auto"/>
          <w:highlight w:val="yellow"/>
        </w:rPr>
      </w:pPr>
      <w:r w:rsidRPr="00365544">
        <w:rPr>
          <w:rFonts w:asciiTheme="minorHAnsi" w:hAnsiTheme="minorHAnsi" w:cstheme="minorHAnsi"/>
          <w:color w:val="auto"/>
          <w:highlight w:val="yellow"/>
        </w:rPr>
        <w:t>Transfer to a 15 mL plastic tube.</w:t>
      </w:r>
    </w:p>
    <w:p w14:paraId="2C2EAD4A" w14:textId="77777777" w:rsidR="00365544" w:rsidRDefault="00365544" w:rsidP="00365544">
      <w:pPr>
        <w:pStyle w:val="ListParagraph"/>
        <w:ind w:left="0"/>
        <w:rPr>
          <w:color w:val="auto"/>
          <w:highlight w:val="yellow"/>
        </w:rPr>
      </w:pPr>
    </w:p>
    <w:p w14:paraId="1FDB3986" w14:textId="124DC541" w:rsidR="00CB536B" w:rsidRPr="00365544" w:rsidRDefault="00CB536B" w:rsidP="00365544">
      <w:pPr>
        <w:pStyle w:val="ListParagraph"/>
        <w:numPr>
          <w:ilvl w:val="1"/>
          <w:numId w:val="40"/>
        </w:numPr>
        <w:ind w:left="0" w:firstLine="0"/>
        <w:rPr>
          <w:color w:val="auto"/>
          <w:highlight w:val="yellow"/>
        </w:rPr>
      </w:pPr>
      <w:r w:rsidRPr="00365544">
        <w:rPr>
          <w:color w:val="auto"/>
          <w:highlight w:val="yellow"/>
        </w:rPr>
        <w:t>Incubate</w:t>
      </w:r>
      <w:r w:rsidRPr="00365544">
        <w:rPr>
          <w:rFonts w:asciiTheme="minorHAnsi" w:hAnsiTheme="minorHAnsi" w:cstheme="minorHAnsi"/>
          <w:color w:val="auto"/>
          <w:highlight w:val="yellow"/>
        </w:rPr>
        <w:t xml:space="preserve"> the tissue for 30 mi</w:t>
      </w:r>
      <w:r w:rsidR="00436D7D" w:rsidRPr="00365544">
        <w:rPr>
          <w:rFonts w:asciiTheme="minorHAnsi" w:hAnsiTheme="minorHAnsi" w:cstheme="minorHAnsi"/>
          <w:color w:val="auto"/>
          <w:highlight w:val="yellow"/>
        </w:rPr>
        <w:t>n</w:t>
      </w:r>
      <w:r w:rsidRPr="00365544">
        <w:rPr>
          <w:rFonts w:asciiTheme="minorHAnsi" w:hAnsiTheme="minorHAnsi" w:cstheme="minorHAnsi"/>
          <w:color w:val="auto"/>
          <w:highlight w:val="yellow"/>
        </w:rPr>
        <w:t xml:space="preserve">, in a humidified incubator at 37 </w:t>
      </w:r>
      <w:r w:rsidR="008B0443" w:rsidRPr="0010022E">
        <w:rPr>
          <w:highlight w:val="yellow"/>
        </w:rPr>
        <w:t>°C</w:t>
      </w:r>
      <w:r w:rsidRPr="00365544">
        <w:rPr>
          <w:rFonts w:asciiTheme="minorHAnsi" w:hAnsiTheme="minorHAnsi" w:cstheme="minorHAnsi"/>
          <w:color w:val="auto"/>
          <w:highlight w:val="yellow"/>
        </w:rPr>
        <w:t xml:space="preserve"> under 5% CO</w:t>
      </w:r>
      <w:r w:rsidRPr="0010022E">
        <w:rPr>
          <w:rFonts w:asciiTheme="minorHAnsi" w:hAnsiTheme="minorHAnsi" w:cstheme="minorHAnsi"/>
          <w:color w:val="auto"/>
          <w:highlight w:val="yellow"/>
          <w:vertAlign w:val="subscript"/>
        </w:rPr>
        <w:t>2</w:t>
      </w:r>
      <w:r w:rsidRPr="00365544">
        <w:rPr>
          <w:rFonts w:asciiTheme="minorHAnsi" w:hAnsiTheme="minorHAnsi" w:cstheme="minorHAnsi"/>
          <w:color w:val="auto"/>
          <w:highlight w:val="yellow"/>
        </w:rPr>
        <w:t xml:space="preserve">, with </w:t>
      </w:r>
      <w:r w:rsidRPr="00365544">
        <w:rPr>
          <w:color w:val="auto"/>
          <w:highlight w:val="yellow"/>
        </w:rPr>
        <w:t>agitation</w:t>
      </w:r>
      <w:r w:rsidRPr="00365544">
        <w:rPr>
          <w:rFonts w:asciiTheme="minorHAnsi" w:hAnsiTheme="minorHAnsi" w:cstheme="minorHAnsi"/>
          <w:color w:val="auto"/>
          <w:highlight w:val="yellow"/>
        </w:rPr>
        <w:t xml:space="preserve"> every 10 min.</w:t>
      </w:r>
    </w:p>
    <w:p w14:paraId="05C2AB18" w14:textId="77777777" w:rsidR="00365544" w:rsidRPr="00365544" w:rsidRDefault="00365544" w:rsidP="00365544">
      <w:pPr>
        <w:pStyle w:val="ListParagraph"/>
        <w:ind w:left="0"/>
        <w:rPr>
          <w:color w:val="auto"/>
          <w:highlight w:val="yellow"/>
        </w:rPr>
      </w:pPr>
    </w:p>
    <w:p w14:paraId="383A8553" w14:textId="00F9AF31" w:rsidR="00CB536B" w:rsidRPr="00365544" w:rsidRDefault="00CB536B" w:rsidP="00365544">
      <w:pPr>
        <w:pStyle w:val="ListParagraph"/>
        <w:numPr>
          <w:ilvl w:val="1"/>
          <w:numId w:val="40"/>
        </w:numPr>
        <w:ind w:left="0" w:firstLine="0"/>
        <w:rPr>
          <w:color w:val="auto"/>
          <w:highlight w:val="yellow"/>
        </w:rPr>
      </w:pPr>
      <w:r w:rsidRPr="00365544">
        <w:rPr>
          <w:rFonts w:asciiTheme="minorHAnsi" w:eastAsiaTheme="minorHAnsi" w:hAnsiTheme="minorHAnsi" w:cstheme="minorHAnsi"/>
          <w:color w:val="auto"/>
          <w:highlight w:val="yellow"/>
        </w:rPr>
        <w:t>Dissociate cell clumps</w:t>
      </w:r>
      <w:r w:rsidRPr="00365544">
        <w:rPr>
          <w:rFonts w:asciiTheme="minorHAnsi" w:hAnsiTheme="minorHAnsi" w:cstheme="minorHAnsi"/>
          <w:color w:val="auto"/>
          <w:highlight w:val="yellow"/>
        </w:rPr>
        <w:t xml:space="preserve"> by pipetting up and down with a glass Pasteur pipette.</w:t>
      </w:r>
    </w:p>
    <w:p w14:paraId="503C1B03" w14:textId="77777777" w:rsidR="00365544" w:rsidRPr="00365544" w:rsidRDefault="00365544" w:rsidP="00365544">
      <w:pPr>
        <w:pStyle w:val="ListParagraph"/>
        <w:ind w:left="0"/>
        <w:rPr>
          <w:color w:val="auto"/>
          <w:highlight w:val="yellow"/>
        </w:rPr>
      </w:pPr>
    </w:p>
    <w:p w14:paraId="51AB72A5" w14:textId="25051D27" w:rsidR="00331504" w:rsidRPr="00365544" w:rsidRDefault="00CB536B" w:rsidP="00365544">
      <w:pPr>
        <w:pStyle w:val="ListParagraph"/>
        <w:numPr>
          <w:ilvl w:val="1"/>
          <w:numId w:val="40"/>
        </w:numPr>
        <w:ind w:left="0" w:firstLine="0"/>
        <w:rPr>
          <w:color w:val="auto"/>
          <w:highlight w:val="yellow"/>
        </w:rPr>
      </w:pPr>
      <w:r w:rsidRPr="00365544">
        <w:rPr>
          <w:rFonts w:asciiTheme="minorHAnsi" w:hAnsiTheme="minorHAnsi" w:cstheme="minorHAnsi"/>
          <w:color w:val="auto"/>
          <w:highlight w:val="yellow"/>
        </w:rPr>
        <w:t xml:space="preserve">Centrifuge the cell suspension at </w:t>
      </w:r>
      <w:r w:rsidR="002973F5" w:rsidRPr="00365544">
        <w:rPr>
          <w:rFonts w:asciiTheme="minorHAnsi" w:hAnsiTheme="minorHAnsi" w:cstheme="minorHAnsi"/>
          <w:color w:val="auto"/>
          <w:highlight w:val="yellow"/>
        </w:rPr>
        <w:t>2</w:t>
      </w:r>
      <w:r w:rsidRPr="00365544">
        <w:rPr>
          <w:rFonts w:asciiTheme="minorHAnsi" w:hAnsiTheme="minorHAnsi" w:cstheme="minorHAnsi"/>
          <w:color w:val="auto"/>
          <w:highlight w:val="yellow"/>
        </w:rPr>
        <w:t>00</w:t>
      </w:r>
      <w:r w:rsidR="00327906" w:rsidRPr="00365544">
        <w:rPr>
          <w:rFonts w:asciiTheme="minorHAnsi" w:hAnsiTheme="minorHAnsi" w:cstheme="minorHAnsi"/>
          <w:color w:val="auto"/>
          <w:highlight w:val="yellow"/>
        </w:rPr>
        <w:t xml:space="preserve"> x</w:t>
      </w:r>
      <w:r w:rsidRPr="00365544">
        <w:rPr>
          <w:rFonts w:asciiTheme="minorHAnsi" w:hAnsiTheme="minorHAnsi" w:cstheme="minorHAnsi"/>
          <w:color w:val="auto"/>
          <w:highlight w:val="yellow"/>
        </w:rPr>
        <w:t xml:space="preserve"> </w:t>
      </w:r>
      <w:r w:rsidRPr="0010022E">
        <w:rPr>
          <w:rFonts w:asciiTheme="minorHAnsi" w:hAnsiTheme="minorHAnsi" w:cstheme="minorHAnsi"/>
          <w:i/>
          <w:iCs/>
          <w:color w:val="auto"/>
          <w:highlight w:val="yellow"/>
        </w:rPr>
        <w:t>g</w:t>
      </w:r>
      <w:r w:rsidRPr="00365544">
        <w:rPr>
          <w:rFonts w:asciiTheme="minorHAnsi" w:hAnsiTheme="minorHAnsi" w:cstheme="minorHAnsi"/>
          <w:color w:val="auto"/>
          <w:highlight w:val="yellow"/>
        </w:rPr>
        <w:t xml:space="preserve"> for 5 min.</w:t>
      </w:r>
    </w:p>
    <w:p w14:paraId="1371149E" w14:textId="77777777" w:rsidR="00365544" w:rsidRPr="00365544" w:rsidRDefault="00365544" w:rsidP="00365544">
      <w:pPr>
        <w:pStyle w:val="ListParagraph"/>
        <w:ind w:left="0"/>
        <w:rPr>
          <w:color w:val="auto"/>
          <w:highlight w:val="yellow"/>
        </w:rPr>
      </w:pPr>
    </w:p>
    <w:p w14:paraId="46FA6F5D" w14:textId="0F5511CD" w:rsidR="00CB536B" w:rsidRPr="00365544" w:rsidRDefault="00CB536B" w:rsidP="00365544">
      <w:pPr>
        <w:pStyle w:val="ListParagraph"/>
        <w:numPr>
          <w:ilvl w:val="1"/>
          <w:numId w:val="40"/>
        </w:numPr>
        <w:ind w:left="0" w:firstLine="0"/>
        <w:rPr>
          <w:color w:val="auto"/>
          <w:highlight w:val="yellow"/>
        </w:rPr>
      </w:pPr>
      <w:r w:rsidRPr="00365544">
        <w:rPr>
          <w:rFonts w:asciiTheme="minorHAnsi" w:hAnsiTheme="minorHAnsi" w:cstheme="minorHAnsi"/>
          <w:color w:val="auto"/>
          <w:highlight w:val="yellow"/>
        </w:rPr>
        <w:t>Discard supernatant and</w:t>
      </w:r>
      <w:r w:rsidR="00331504" w:rsidRPr="00365544">
        <w:rPr>
          <w:rFonts w:asciiTheme="minorHAnsi" w:hAnsiTheme="minorHAnsi" w:cstheme="minorHAnsi"/>
          <w:color w:val="auto"/>
          <w:highlight w:val="yellow"/>
        </w:rPr>
        <w:t xml:space="preserve"> to inactivate papain, </w:t>
      </w:r>
      <w:r w:rsidRPr="00365544">
        <w:rPr>
          <w:rFonts w:asciiTheme="minorHAnsi" w:hAnsiTheme="minorHAnsi" w:cstheme="minorHAnsi"/>
          <w:color w:val="auto"/>
          <w:highlight w:val="yellow"/>
        </w:rPr>
        <w:t xml:space="preserve">resuspend the cell pellet </w:t>
      </w:r>
      <w:r w:rsidR="0049628E" w:rsidRPr="00365544">
        <w:rPr>
          <w:rFonts w:asciiTheme="minorHAnsi" w:hAnsiTheme="minorHAnsi" w:cstheme="minorHAnsi"/>
          <w:color w:val="auto"/>
          <w:highlight w:val="yellow"/>
        </w:rPr>
        <w:t xml:space="preserve">in </w:t>
      </w:r>
      <w:r w:rsidR="00B54264" w:rsidRPr="00365544">
        <w:rPr>
          <w:rFonts w:asciiTheme="minorHAnsi" w:hAnsiTheme="minorHAnsi" w:cstheme="minorHAnsi"/>
          <w:color w:val="auto"/>
          <w:highlight w:val="yellow"/>
        </w:rPr>
        <w:t>the</w:t>
      </w:r>
      <w:r w:rsidRPr="00365544">
        <w:rPr>
          <w:rFonts w:asciiTheme="minorHAnsi" w:hAnsiTheme="minorHAnsi" w:cstheme="minorHAnsi"/>
          <w:color w:val="auto"/>
          <w:highlight w:val="yellow"/>
        </w:rPr>
        <w:t xml:space="preserve"> solution </w:t>
      </w:r>
      <w:r w:rsidR="00B54264" w:rsidRPr="00365544">
        <w:rPr>
          <w:rFonts w:asciiTheme="minorHAnsi" w:hAnsiTheme="minorHAnsi" w:cstheme="minorHAnsi"/>
          <w:color w:val="auto"/>
          <w:highlight w:val="yellow"/>
        </w:rPr>
        <w:t>prepared in step 3.1.</w:t>
      </w:r>
      <w:r w:rsidR="00096CA7" w:rsidRPr="00365544">
        <w:rPr>
          <w:rFonts w:asciiTheme="minorHAnsi" w:hAnsiTheme="minorHAnsi" w:cstheme="minorHAnsi"/>
          <w:color w:val="auto"/>
          <w:highlight w:val="yellow"/>
        </w:rPr>
        <w:t>3</w:t>
      </w:r>
      <w:r w:rsidR="00B54264" w:rsidRPr="00365544">
        <w:rPr>
          <w:rFonts w:asciiTheme="minorHAnsi" w:hAnsiTheme="minorHAnsi" w:cstheme="minorHAnsi"/>
          <w:color w:val="auto"/>
          <w:highlight w:val="yellow"/>
        </w:rPr>
        <w:t xml:space="preserve">. </w:t>
      </w:r>
      <w:r w:rsidR="0049628E" w:rsidRPr="00365544">
        <w:rPr>
          <w:rFonts w:asciiTheme="minorHAnsi" w:hAnsiTheme="minorHAnsi" w:cstheme="minorHAnsi"/>
          <w:color w:val="auto"/>
          <w:highlight w:val="yellow"/>
        </w:rPr>
        <w:t>(1</w:t>
      </w:r>
      <w:r w:rsidR="00327906" w:rsidRPr="00365544">
        <w:rPr>
          <w:rFonts w:asciiTheme="minorHAnsi" w:hAnsiTheme="minorHAnsi" w:cstheme="minorHAnsi"/>
          <w:color w:val="auto"/>
          <w:highlight w:val="yellow"/>
        </w:rPr>
        <w:t>.</w:t>
      </w:r>
      <w:r w:rsidR="0049628E" w:rsidRPr="00365544">
        <w:rPr>
          <w:rFonts w:asciiTheme="minorHAnsi" w:hAnsiTheme="minorHAnsi" w:cstheme="minorHAnsi"/>
          <w:color w:val="auto"/>
          <w:highlight w:val="yellow"/>
        </w:rPr>
        <w:t>5 m</w:t>
      </w:r>
      <w:r w:rsidR="00327906" w:rsidRPr="00365544">
        <w:rPr>
          <w:rFonts w:asciiTheme="minorHAnsi" w:hAnsiTheme="minorHAnsi" w:cstheme="minorHAnsi"/>
          <w:color w:val="auto"/>
          <w:highlight w:val="yellow"/>
        </w:rPr>
        <w:t>L</w:t>
      </w:r>
      <w:r w:rsidR="0049628E" w:rsidRPr="00365544">
        <w:rPr>
          <w:rFonts w:asciiTheme="minorHAnsi" w:hAnsiTheme="minorHAnsi" w:cstheme="minorHAnsi"/>
          <w:color w:val="auto"/>
          <w:highlight w:val="yellow"/>
        </w:rPr>
        <w:t xml:space="preserve"> for 2 eyes).</w:t>
      </w:r>
    </w:p>
    <w:p w14:paraId="208E985B" w14:textId="77777777" w:rsidR="00365544" w:rsidRDefault="00365544" w:rsidP="00365544">
      <w:pPr>
        <w:pStyle w:val="ListParagraph"/>
        <w:ind w:left="0"/>
        <w:rPr>
          <w:color w:val="auto"/>
          <w:highlight w:val="yellow"/>
        </w:rPr>
      </w:pPr>
    </w:p>
    <w:p w14:paraId="31F29781" w14:textId="523135D7" w:rsidR="00B54264" w:rsidRPr="00365544" w:rsidRDefault="008B0443" w:rsidP="00365544">
      <w:pPr>
        <w:pStyle w:val="ListParagraph"/>
        <w:numPr>
          <w:ilvl w:val="1"/>
          <w:numId w:val="40"/>
        </w:numPr>
        <w:ind w:left="0" w:firstLine="0"/>
        <w:rPr>
          <w:color w:val="auto"/>
          <w:highlight w:val="yellow"/>
        </w:rPr>
      </w:pPr>
      <w:r>
        <w:rPr>
          <w:color w:val="auto"/>
          <w:highlight w:val="yellow"/>
        </w:rPr>
        <w:t>Carefully p</w:t>
      </w:r>
      <w:r w:rsidR="00B54264" w:rsidRPr="00365544">
        <w:rPr>
          <w:color w:val="auto"/>
          <w:highlight w:val="yellow"/>
        </w:rPr>
        <w:t xml:space="preserve">ipet this cell suspension </w:t>
      </w:r>
      <w:r w:rsidR="0010022E">
        <w:rPr>
          <w:color w:val="auto"/>
          <w:highlight w:val="yellow"/>
        </w:rPr>
        <w:t>i</w:t>
      </w:r>
      <w:r w:rsidR="0010022E" w:rsidRPr="00365544">
        <w:rPr>
          <w:color w:val="auto"/>
          <w:highlight w:val="yellow"/>
        </w:rPr>
        <w:t xml:space="preserve">nto </w:t>
      </w:r>
      <w:r w:rsidR="00B54264" w:rsidRPr="00365544">
        <w:rPr>
          <w:color w:val="auto"/>
          <w:highlight w:val="yellow"/>
        </w:rPr>
        <w:t xml:space="preserve">5 </w:t>
      </w:r>
      <w:r w:rsidR="0010022E" w:rsidRPr="00365544">
        <w:rPr>
          <w:color w:val="auto"/>
          <w:highlight w:val="yellow"/>
        </w:rPr>
        <w:t>mL</w:t>
      </w:r>
      <w:r w:rsidR="0010022E">
        <w:rPr>
          <w:color w:val="auto"/>
          <w:highlight w:val="yellow"/>
        </w:rPr>
        <w:t xml:space="preserve"> </w:t>
      </w:r>
      <w:r w:rsidR="00B54264" w:rsidRPr="00365544">
        <w:rPr>
          <w:color w:val="auto"/>
          <w:highlight w:val="yellow"/>
        </w:rPr>
        <w:t>of reconstituted vial 4.</w:t>
      </w:r>
    </w:p>
    <w:p w14:paraId="40A41A04" w14:textId="77777777" w:rsidR="00365544" w:rsidRDefault="00365544" w:rsidP="00365544">
      <w:pPr>
        <w:pStyle w:val="ListParagraph"/>
        <w:ind w:left="0"/>
        <w:rPr>
          <w:color w:val="auto"/>
          <w:highlight w:val="yellow"/>
        </w:rPr>
      </w:pPr>
    </w:p>
    <w:p w14:paraId="1D8AE4EF" w14:textId="4B27603E" w:rsidR="008E77E9" w:rsidRPr="00365544" w:rsidRDefault="00CB536B" w:rsidP="00365544">
      <w:pPr>
        <w:pStyle w:val="ListParagraph"/>
        <w:numPr>
          <w:ilvl w:val="1"/>
          <w:numId w:val="40"/>
        </w:numPr>
        <w:ind w:left="0" w:firstLine="0"/>
        <w:rPr>
          <w:color w:val="auto"/>
          <w:highlight w:val="yellow"/>
        </w:rPr>
      </w:pPr>
      <w:r w:rsidRPr="00365544">
        <w:rPr>
          <w:color w:val="auto"/>
          <w:highlight w:val="yellow"/>
        </w:rPr>
        <w:t xml:space="preserve">Centrifuge </w:t>
      </w:r>
      <w:r w:rsidRPr="00365544">
        <w:rPr>
          <w:rFonts w:asciiTheme="minorHAnsi" w:hAnsiTheme="minorHAnsi" w:cstheme="minorHAnsi"/>
          <w:color w:val="auto"/>
          <w:highlight w:val="yellow"/>
        </w:rPr>
        <w:t xml:space="preserve">at </w:t>
      </w:r>
      <w:r w:rsidR="002973F5" w:rsidRPr="00365544">
        <w:rPr>
          <w:rFonts w:asciiTheme="minorHAnsi" w:hAnsiTheme="minorHAnsi" w:cstheme="minorHAnsi"/>
          <w:color w:val="auto"/>
          <w:highlight w:val="yellow"/>
        </w:rPr>
        <w:t>2</w:t>
      </w:r>
      <w:r w:rsidRPr="00365544">
        <w:rPr>
          <w:rFonts w:asciiTheme="minorHAnsi" w:hAnsiTheme="minorHAnsi" w:cstheme="minorHAnsi"/>
          <w:color w:val="auto"/>
          <w:highlight w:val="yellow"/>
        </w:rPr>
        <w:t xml:space="preserve">00 </w:t>
      </w:r>
      <w:r w:rsidR="00327906" w:rsidRPr="00365544">
        <w:rPr>
          <w:rFonts w:asciiTheme="minorHAnsi" w:hAnsiTheme="minorHAnsi" w:cstheme="minorHAnsi"/>
          <w:color w:val="auto"/>
          <w:highlight w:val="yellow"/>
        </w:rPr>
        <w:t xml:space="preserve">x </w:t>
      </w:r>
      <w:r w:rsidRPr="0010022E">
        <w:rPr>
          <w:rFonts w:asciiTheme="minorHAnsi" w:hAnsiTheme="minorHAnsi" w:cstheme="minorHAnsi"/>
          <w:i/>
          <w:iCs/>
          <w:color w:val="auto"/>
          <w:highlight w:val="yellow"/>
        </w:rPr>
        <w:t>g</w:t>
      </w:r>
      <w:r w:rsidRPr="00365544">
        <w:rPr>
          <w:rFonts w:asciiTheme="minorHAnsi" w:hAnsiTheme="minorHAnsi" w:cstheme="minorHAnsi"/>
          <w:color w:val="auto"/>
          <w:highlight w:val="yellow"/>
        </w:rPr>
        <w:t xml:space="preserve"> for 5 min.</w:t>
      </w:r>
    </w:p>
    <w:p w14:paraId="24C79B8B" w14:textId="77777777" w:rsidR="00365544" w:rsidRPr="00365544" w:rsidRDefault="00365544" w:rsidP="00365544">
      <w:pPr>
        <w:pStyle w:val="ListParagraph"/>
        <w:ind w:left="0"/>
        <w:rPr>
          <w:color w:val="auto"/>
          <w:highlight w:val="yellow"/>
        </w:rPr>
      </w:pPr>
    </w:p>
    <w:p w14:paraId="5BEB4793" w14:textId="7D7F02CD" w:rsidR="00CB536B" w:rsidRPr="00365544" w:rsidRDefault="008E77E9" w:rsidP="00365544">
      <w:pPr>
        <w:pStyle w:val="ListParagraph"/>
        <w:numPr>
          <w:ilvl w:val="1"/>
          <w:numId w:val="40"/>
        </w:numPr>
        <w:ind w:left="0" w:firstLine="0"/>
        <w:rPr>
          <w:color w:val="auto"/>
          <w:highlight w:val="yellow"/>
        </w:rPr>
      </w:pPr>
      <w:r w:rsidRPr="00365544">
        <w:rPr>
          <w:rFonts w:asciiTheme="minorHAnsi" w:hAnsiTheme="minorHAnsi" w:cstheme="minorHAnsi"/>
          <w:color w:val="auto"/>
          <w:highlight w:val="yellow"/>
        </w:rPr>
        <w:t>W</w:t>
      </w:r>
      <w:r w:rsidR="00893F9D" w:rsidRPr="00365544">
        <w:rPr>
          <w:rFonts w:asciiTheme="minorHAnsi" w:hAnsiTheme="minorHAnsi" w:cstheme="minorHAnsi"/>
          <w:color w:val="auto"/>
          <w:highlight w:val="yellow"/>
        </w:rPr>
        <w:t xml:space="preserve">hile centrifuging, completely remove the ME-10 medium from the OEG 24 well cell </w:t>
      </w:r>
      <w:r w:rsidR="00F73783" w:rsidRPr="00365544">
        <w:rPr>
          <w:rFonts w:asciiTheme="minorHAnsi" w:hAnsiTheme="minorHAnsi" w:cstheme="minorHAnsi"/>
          <w:color w:val="auto"/>
          <w:highlight w:val="yellow"/>
        </w:rPr>
        <w:t>plate</w:t>
      </w:r>
      <w:r w:rsidR="00B374CC" w:rsidRPr="00365544">
        <w:rPr>
          <w:rFonts w:asciiTheme="minorHAnsi" w:hAnsiTheme="minorHAnsi" w:cstheme="minorHAnsi"/>
          <w:color w:val="auto"/>
          <w:highlight w:val="yellow"/>
        </w:rPr>
        <w:t xml:space="preserve"> </w:t>
      </w:r>
      <w:r w:rsidR="00B374CC" w:rsidRPr="00365544">
        <w:rPr>
          <w:color w:val="auto"/>
          <w:highlight w:val="yellow"/>
        </w:rPr>
        <w:t xml:space="preserve">(previously prepared in </w:t>
      </w:r>
      <w:r w:rsidR="008B0443">
        <w:rPr>
          <w:color w:val="auto"/>
          <w:highlight w:val="yellow"/>
        </w:rPr>
        <w:t>s</w:t>
      </w:r>
      <w:r w:rsidR="00B374CC" w:rsidRPr="00365544">
        <w:rPr>
          <w:color w:val="auto"/>
          <w:highlight w:val="yellow"/>
        </w:rPr>
        <w:t>tep 2)</w:t>
      </w:r>
      <w:r w:rsidR="00B374CC" w:rsidRPr="00365544">
        <w:rPr>
          <w:color w:val="auto"/>
        </w:rPr>
        <w:t xml:space="preserve"> </w:t>
      </w:r>
      <w:r w:rsidR="00893F9D" w:rsidRPr="00365544">
        <w:rPr>
          <w:rFonts w:asciiTheme="minorHAnsi" w:hAnsiTheme="minorHAnsi" w:cstheme="minorHAnsi"/>
          <w:color w:val="auto"/>
          <w:highlight w:val="yellow"/>
        </w:rPr>
        <w:t>and replace it with 500 µL of NB-B27 medium per well.</w:t>
      </w:r>
    </w:p>
    <w:p w14:paraId="63B5B25A" w14:textId="77777777" w:rsidR="00365544" w:rsidRPr="00365544" w:rsidRDefault="00365544" w:rsidP="00365544">
      <w:pPr>
        <w:pStyle w:val="ListParagraph"/>
        <w:ind w:left="0"/>
        <w:rPr>
          <w:color w:val="auto"/>
          <w:highlight w:val="yellow"/>
        </w:rPr>
      </w:pPr>
    </w:p>
    <w:p w14:paraId="60ED4353" w14:textId="0C9B62CB" w:rsidR="009604F3" w:rsidRPr="00365544" w:rsidRDefault="00CB536B" w:rsidP="00365544">
      <w:pPr>
        <w:pStyle w:val="ListParagraph"/>
        <w:numPr>
          <w:ilvl w:val="1"/>
          <w:numId w:val="40"/>
        </w:numPr>
        <w:ind w:left="0" w:firstLine="0"/>
        <w:rPr>
          <w:color w:val="auto"/>
          <w:highlight w:val="yellow"/>
        </w:rPr>
      </w:pPr>
      <w:r w:rsidRPr="00365544">
        <w:rPr>
          <w:rFonts w:asciiTheme="minorHAnsi" w:hAnsiTheme="minorHAnsi" w:cstheme="minorHAnsi"/>
          <w:color w:val="auto"/>
          <w:highlight w:val="yellow"/>
        </w:rPr>
        <w:t>Discard</w:t>
      </w:r>
      <w:r w:rsidR="008B0443">
        <w:rPr>
          <w:rFonts w:asciiTheme="minorHAnsi" w:hAnsiTheme="minorHAnsi" w:cstheme="minorHAnsi"/>
          <w:color w:val="auto"/>
          <w:highlight w:val="yellow"/>
        </w:rPr>
        <w:t xml:space="preserve"> the</w:t>
      </w:r>
      <w:r w:rsidRPr="00365544">
        <w:rPr>
          <w:rFonts w:asciiTheme="minorHAnsi" w:hAnsiTheme="minorHAnsi" w:cstheme="minorHAnsi"/>
          <w:color w:val="auto"/>
          <w:highlight w:val="yellow"/>
        </w:rPr>
        <w:t xml:space="preserve"> supernatant and resuspend the cells in 2 mL of NB-B27 medium.</w:t>
      </w:r>
    </w:p>
    <w:p w14:paraId="00F8D73C" w14:textId="77777777" w:rsidR="00365544" w:rsidRDefault="00365544" w:rsidP="00365544">
      <w:pPr>
        <w:pStyle w:val="ListParagraph"/>
        <w:ind w:left="0"/>
        <w:rPr>
          <w:color w:val="auto"/>
          <w:highlight w:val="yellow"/>
        </w:rPr>
      </w:pPr>
      <w:bookmarkStart w:id="6" w:name="_Hlk50560272"/>
    </w:p>
    <w:p w14:paraId="7CD791FC" w14:textId="4029C403" w:rsidR="00CB536B" w:rsidRPr="00365544" w:rsidRDefault="00CB536B" w:rsidP="00365544">
      <w:pPr>
        <w:pStyle w:val="ListParagraph"/>
        <w:numPr>
          <w:ilvl w:val="1"/>
          <w:numId w:val="40"/>
        </w:numPr>
        <w:ind w:left="0" w:firstLine="0"/>
        <w:rPr>
          <w:color w:val="auto"/>
          <w:highlight w:val="yellow"/>
        </w:rPr>
      </w:pPr>
      <w:r w:rsidRPr="00365544">
        <w:rPr>
          <w:color w:val="auto"/>
          <w:highlight w:val="yellow"/>
        </w:rPr>
        <w:t xml:space="preserve">Plate 100 </w:t>
      </w:r>
      <w:r w:rsidRPr="00365544">
        <w:rPr>
          <w:rFonts w:asciiTheme="minorHAnsi" w:hAnsiTheme="minorHAnsi" w:cstheme="minorHAnsi"/>
          <w:color w:val="auto"/>
          <w:highlight w:val="yellow"/>
        </w:rPr>
        <w:t xml:space="preserve">µL </w:t>
      </w:r>
      <w:r w:rsidR="00C65B18" w:rsidRPr="00365544">
        <w:rPr>
          <w:rFonts w:asciiTheme="minorHAnsi" w:hAnsiTheme="minorHAnsi" w:cstheme="minorHAnsi"/>
          <w:color w:val="auto"/>
          <w:highlight w:val="yellow"/>
        </w:rPr>
        <w:t xml:space="preserve">of </w:t>
      </w:r>
      <w:r w:rsidR="00C65B18" w:rsidRPr="00365544">
        <w:rPr>
          <w:color w:val="auto"/>
          <w:highlight w:val="yellow"/>
        </w:rPr>
        <w:t>retinal cell suspension</w:t>
      </w:r>
      <w:r w:rsidR="0033109E" w:rsidRPr="00365544">
        <w:rPr>
          <w:color w:val="auto"/>
          <w:highlight w:val="yellow"/>
        </w:rPr>
        <w:t>,</w:t>
      </w:r>
      <w:r w:rsidR="00C65B18" w:rsidRPr="00365544">
        <w:rPr>
          <w:rFonts w:asciiTheme="minorHAnsi" w:hAnsiTheme="minorHAnsi" w:cstheme="minorHAnsi"/>
          <w:color w:val="auto"/>
          <w:highlight w:val="yellow"/>
        </w:rPr>
        <w:t xml:space="preserve"> </w:t>
      </w:r>
      <w:r w:rsidRPr="00365544">
        <w:rPr>
          <w:rFonts w:asciiTheme="minorHAnsi" w:hAnsiTheme="minorHAnsi" w:cstheme="minorHAnsi"/>
          <w:color w:val="auto"/>
          <w:highlight w:val="yellow"/>
        </w:rPr>
        <w:t>per well</w:t>
      </w:r>
      <w:r w:rsidR="00C65B18" w:rsidRPr="00365544">
        <w:rPr>
          <w:rFonts w:asciiTheme="minorHAnsi" w:hAnsiTheme="minorHAnsi" w:cstheme="minorHAnsi"/>
          <w:color w:val="auto"/>
          <w:highlight w:val="yellow"/>
        </w:rPr>
        <w:t xml:space="preserve"> of the m24 plate</w:t>
      </w:r>
      <w:r w:rsidR="00A31F59" w:rsidRPr="00365544">
        <w:rPr>
          <w:rFonts w:asciiTheme="minorHAnsi" w:hAnsiTheme="minorHAnsi" w:cstheme="minorHAnsi"/>
          <w:color w:val="auto"/>
          <w:highlight w:val="yellow"/>
        </w:rPr>
        <w:t>, onto PLL-treated or OEG monolayers-coverslips</w:t>
      </w:r>
      <w:r w:rsidRPr="00365544">
        <w:rPr>
          <w:color w:val="auto"/>
          <w:highlight w:val="yellow"/>
        </w:rPr>
        <w:t>.</w:t>
      </w:r>
    </w:p>
    <w:bookmarkEnd w:id="6"/>
    <w:p w14:paraId="6EA5FC7B" w14:textId="77777777" w:rsidR="00365544" w:rsidRPr="00365544" w:rsidRDefault="00365544" w:rsidP="00365544">
      <w:pPr>
        <w:pStyle w:val="ListParagraph"/>
        <w:ind w:left="0"/>
        <w:rPr>
          <w:rFonts w:asciiTheme="minorHAnsi" w:hAnsiTheme="minorHAnsi" w:cstheme="minorHAnsi"/>
          <w:color w:val="auto"/>
        </w:rPr>
      </w:pPr>
    </w:p>
    <w:p w14:paraId="75086A74" w14:textId="5A789FE2" w:rsidR="00CB536B" w:rsidRPr="00365544" w:rsidRDefault="00CB536B" w:rsidP="00365544">
      <w:pPr>
        <w:pStyle w:val="ListParagraph"/>
        <w:numPr>
          <w:ilvl w:val="1"/>
          <w:numId w:val="40"/>
        </w:numPr>
        <w:ind w:left="0" w:firstLine="0"/>
        <w:rPr>
          <w:rFonts w:asciiTheme="minorHAnsi" w:hAnsiTheme="minorHAnsi" w:cstheme="minorHAnsi"/>
          <w:color w:val="auto"/>
        </w:rPr>
      </w:pPr>
      <w:r w:rsidRPr="00365544">
        <w:rPr>
          <w:color w:val="auto"/>
          <w:highlight w:val="yellow"/>
        </w:rPr>
        <w:t>Maintain cultures at 37</w:t>
      </w:r>
      <w:r w:rsidR="00327906" w:rsidRPr="00365544">
        <w:rPr>
          <w:color w:val="auto"/>
          <w:highlight w:val="yellow"/>
        </w:rPr>
        <w:t xml:space="preserve"> </w:t>
      </w:r>
      <w:r w:rsidR="008B0443" w:rsidRPr="0010022E">
        <w:rPr>
          <w:highlight w:val="yellow"/>
        </w:rPr>
        <w:t>°C</w:t>
      </w:r>
      <w:r w:rsidRPr="00365544">
        <w:rPr>
          <w:color w:val="auto"/>
          <w:highlight w:val="yellow"/>
        </w:rPr>
        <w:t xml:space="preserve"> with 5% CO</w:t>
      </w:r>
      <w:r w:rsidRPr="0010022E">
        <w:rPr>
          <w:color w:val="auto"/>
          <w:highlight w:val="yellow"/>
          <w:vertAlign w:val="subscript"/>
        </w:rPr>
        <w:t xml:space="preserve">2 </w:t>
      </w:r>
      <w:r w:rsidRPr="00365544">
        <w:rPr>
          <w:color w:val="auto"/>
          <w:highlight w:val="yellow"/>
        </w:rPr>
        <w:t xml:space="preserve">for 96 h in </w:t>
      </w:r>
      <w:r w:rsidRPr="00365544">
        <w:rPr>
          <w:rFonts w:asciiTheme="minorHAnsi" w:hAnsiTheme="minorHAnsi" w:cstheme="minorHAnsi"/>
          <w:color w:val="auto"/>
          <w:highlight w:val="yellow"/>
        </w:rPr>
        <w:t>NB-B27 medium</w:t>
      </w:r>
      <w:r w:rsidRPr="00365544">
        <w:rPr>
          <w:rFonts w:asciiTheme="minorHAnsi" w:hAnsiTheme="minorHAnsi" w:cstheme="minorHAnsi"/>
          <w:color w:val="auto"/>
        </w:rPr>
        <w:t>.</w:t>
      </w:r>
    </w:p>
    <w:p w14:paraId="5EE8D25C" w14:textId="77777777" w:rsidR="00CB536B" w:rsidRPr="00365544" w:rsidRDefault="00CB536B" w:rsidP="00365544">
      <w:pPr>
        <w:rPr>
          <w:b/>
          <w:bCs/>
          <w:color w:val="auto"/>
        </w:rPr>
      </w:pPr>
    </w:p>
    <w:p w14:paraId="24DAF4C1" w14:textId="77777777" w:rsidR="00CB536B" w:rsidRPr="00365544" w:rsidRDefault="00CB536B" w:rsidP="00365544">
      <w:pPr>
        <w:pStyle w:val="ListParagraph"/>
        <w:numPr>
          <w:ilvl w:val="0"/>
          <w:numId w:val="29"/>
        </w:numPr>
        <w:ind w:left="0" w:firstLine="0"/>
        <w:rPr>
          <w:b/>
          <w:bCs/>
          <w:color w:val="auto"/>
          <w:highlight w:val="yellow"/>
        </w:rPr>
      </w:pPr>
      <w:r w:rsidRPr="00365544">
        <w:rPr>
          <w:b/>
          <w:bCs/>
          <w:color w:val="auto"/>
          <w:highlight w:val="yellow"/>
        </w:rPr>
        <w:t>Immunostaining</w:t>
      </w:r>
    </w:p>
    <w:p w14:paraId="4B50D80B" w14:textId="77777777" w:rsidR="00365544" w:rsidRDefault="00365544" w:rsidP="00365544">
      <w:pPr>
        <w:pStyle w:val="ListParagraph"/>
        <w:ind w:left="0"/>
        <w:rPr>
          <w:color w:val="auto"/>
          <w:highlight w:val="yellow"/>
        </w:rPr>
      </w:pPr>
    </w:p>
    <w:p w14:paraId="5F38914E" w14:textId="22039A5F" w:rsidR="001F2FE4" w:rsidRPr="00365544" w:rsidRDefault="001F2FE4" w:rsidP="00365544">
      <w:pPr>
        <w:pStyle w:val="ListParagraph"/>
        <w:numPr>
          <w:ilvl w:val="1"/>
          <w:numId w:val="41"/>
        </w:numPr>
        <w:ind w:left="0" w:firstLine="0"/>
        <w:rPr>
          <w:b/>
          <w:bCs/>
          <w:color w:val="auto"/>
          <w:highlight w:val="yellow"/>
        </w:rPr>
      </w:pPr>
      <w:r w:rsidRPr="00365544">
        <w:rPr>
          <w:color w:val="auto"/>
          <w:highlight w:val="yellow"/>
        </w:rPr>
        <w:t xml:space="preserve">After 96 h, fix </w:t>
      </w:r>
      <w:r w:rsidR="008B0443">
        <w:rPr>
          <w:color w:val="auto"/>
          <w:highlight w:val="yellow"/>
        </w:rPr>
        <w:t xml:space="preserve">the </w:t>
      </w:r>
      <w:r w:rsidRPr="00365544">
        <w:rPr>
          <w:color w:val="auto"/>
          <w:highlight w:val="yellow"/>
        </w:rPr>
        <w:t xml:space="preserve">cells for 10 min by adding the same volume of 4% paraformaldehyde (PFA) in </w:t>
      </w:r>
      <w:r w:rsidR="0010022E">
        <w:rPr>
          <w:color w:val="auto"/>
          <w:highlight w:val="yellow"/>
        </w:rPr>
        <w:t>1x</w:t>
      </w:r>
      <w:r w:rsidR="0010022E" w:rsidRPr="00365544">
        <w:rPr>
          <w:color w:val="auto"/>
          <w:highlight w:val="yellow"/>
        </w:rPr>
        <w:t xml:space="preserve"> </w:t>
      </w:r>
      <w:r w:rsidRPr="00365544">
        <w:rPr>
          <w:color w:val="auto"/>
          <w:highlight w:val="yellow"/>
        </w:rPr>
        <w:t>PBS</w:t>
      </w:r>
      <w:r w:rsidR="0010022E">
        <w:rPr>
          <w:color w:val="auto"/>
          <w:highlight w:val="yellow"/>
        </w:rPr>
        <w:t xml:space="preserve"> </w:t>
      </w:r>
      <w:r w:rsidRPr="00365544">
        <w:rPr>
          <w:color w:val="auto"/>
          <w:highlight w:val="yellow"/>
        </w:rPr>
        <w:t xml:space="preserve">to the culture medium (600 </w:t>
      </w:r>
      <w:r w:rsidRPr="00365544">
        <w:rPr>
          <w:rFonts w:asciiTheme="minorHAnsi" w:hAnsiTheme="minorHAnsi" w:cstheme="minorHAnsi"/>
          <w:color w:val="auto"/>
          <w:highlight w:val="yellow"/>
        </w:rPr>
        <w:t>µ</w:t>
      </w:r>
      <w:r w:rsidR="00B211D8" w:rsidRPr="00365544">
        <w:rPr>
          <w:rFonts w:asciiTheme="minorHAnsi" w:hAnsiTheme="minorHAnsi" w:cstheme="minorHAnsi"/>
          <w:color w:val="auto"/>
          <w:highlight w:val="yellow"/>
        </w:rPr>
        <w:t>L</w:t>
      </w:r>
      <w:r w:rsidRPr="00365544">
        <w:rPr>
          <w:rFonts w:asciiTheme="minorHAnsi" w:hAnsiTheme="minorHAnsi" w:cstheme="minorHAnsi"/>
          <w:color w:val="auto"/>
          <w:highlight w:val="yellow"/>
        </w:rPr>
        <w:t>) (PFA final concentration 2%).</w:t>
      </w:r>
    </w:p>
    <w:p w14:paraId="706A2764" w14:textId="77777777" w:rsidR="00365544" w:rsidRPr="00365544" w:rsidRDefault="00365544" w:rsidP="00365544">
      <w:pPr>
        <w:pStyle w:val="ListParagraph"/>
        <w:ind w:left="0"/>
        <w:rPr>
          <w:b/>
          <w:bCs/>
          <w:color w:val="auto"/>
          <w:highlight w:val="yellow"/>
        </w:rPr>
      </w:pPr>
    </w:p>
    <w:p w14:paraId="4E61AA8C" w14:textId="7CA57C07" w:rsidR="00CB536B" w:rsidRPr="00365544" w:rsidRDefault="00CB536B" w:rsidP="00365544">
      <w:pPr>
        <w:pStyle w:val="ListParagraph"/>
        <w:numPr>
          <w:ilvl w:val="1"/>
          <w:numId w:val="41"/>
        </w:numPr>
        <w:ind w:left="0" w:firstLine="0"/>
        <w:rPr>
          <w:b/>
          <w:bCs/>
          <w:color w:val="auto"/>
          <w:highlight w:val="yellow"/>
        </w:rPr>
      </w:pPr>
      <w:r w:rsidRPr="00365544">
        <w:rPr>
          <w:color w:val="auto"/>
          <w:highlight w:val="yellow"/>
        </w:rPr>
        <w:t xml:space="preserve">Remove </w:t>
      </w:r>
      <w:r w:rsidR="008B0443">
        <w:rPr>
          <w:color w:val="auto"/>
          <w:highlight w:val="yellow"/>
        </w:rPr>
        <w:t xml:space="preserve">the </w:t>
      </w:r>
      <w:r w:rsidRPr="00365544">
        <w:rPr>
          <w:color w:val="auto"/>
          <w:highlight w:val="yellow"/>
        </w:rPr>
        <w:t xml:space="preserve">media and PFA from </w:t>
      </w:r>
      <w:r w:rsidR="008B0443">
        <w:rPr>
          <w:color w:val="auto"/>
          <w:highlight w:val="yellow"/>
        </w:rPr>
        <w:t xml:space="preserve">the </w:t>
      </w:r>
      <w:r w:rsidRPr="00365544">
        <w:rPr>
          <w:color w:val="auto"/>
          <w:highlight w:val="yellow"/>
        </w:rPr>
        <w:t>24</w:t>
      </w:r>
      <w:r w:rsidR="008B0443">
        <w:rPr>
          <w:color w:val="auto"/>
          <w:highlight w:val="yellow"/>
        </w:rPr>
        <w:t>-</w:t>
      </w:r>
      <w:r w:rsidRPr="00365544">
        <w:rPr>
          <w:color w:val="auto"/>
          <w:highlight w:val="yellow"/>
        </w:rPr>
        <w:t xml:space="preserve">multiwell plate and </w:t>
      </w:r>
      <w:r w:rsidR="008B0443">
        <w:rPr>
          <w:color w:val="auto"/>
          <w:highlight w:val="yellow"/>
        </w:rPr>
        <w:t xml:space="preserve">once again </w:t>
      </w:r>
      <w:r w:rsidRPr="00365544">
        <w:rPr>
          <w:color w:val="auto"/>
          <w:highlight w:val="yellow"/>
        </w:rPr>
        <w:t>add 500 µ</w:t>
      </w:r>
      <w:r w:rsidR="00B211D8" w:rsidRPr="00365544">
        <w:rPr>
          <w:color w:val="auto"/>
          <w:highlight w:val="yellow"/>
        </w:rPr>
        <w:t>L</w:t>
      </w:r>
      <w:r w:rsidRPr="00365544">
        <w:rPr>
          <w:color w:val="auto"/>
          <w:highlight w:val="yellow"/>
        </w:rPr>
        <w:t xml:space="preserve"> of 4% paraformaldehyde (PFA) in </w:t>
      </w:r>
      <w:r w:rsidR="0010022E">
        <w:rPr>
          <w:color w:val="auto"/>
          <w:highlight w:val="yellow"/>
        </w:rPr>
        <w:t>1x PBS</w:t>
      </w:r>
      <w:r w:rsidRPr="00365544">
        <w:rPr>
          <w:color w:val="auto"/>
          <w:highlight w:val="yellow"/>
        </w:rPr>
        <w:t>. Incubate for 10 min.</w:t>
      </w:r>
    </w:p>
    <w:p w14:paraId="3863EDDB" w14:textId="77777777" w:rsidR="00365544" w:rsidRPr="00365544" w:rsidRDefault="00365544" w:rsidP="00365544">
      <w:pPr>
        <w:pStyle w:val="ListParagraph"/>
        <w:ind w:left="0"/>
        <w:rPr>
          <w:b/>
          <w:bCs/>
          <w:color w:val="auto"/>
          <w:highlight w:val="yellow"/>
        </w:rPr>
      </w:pPr>
    </w:p>
    <w:p w14:paraId="13D88A43" w14:textId="73940BDB" w:rsidR="00CB536B" w:rsidRPr="00365544" w:rsidRDefault="00CB536B" w:rsidP="00365544">
      <w:pPr>
        <w:pStyle w:val="ListParagraph"/>
        <w:numPr>
          <w:ilvl w:val="1"/>
          <w:numId w:val="41"/>
        </w:numPr>
        <w:ind w:left="0" w:firstLine="0"/>
        <w:rPr>
          <w:b/>
          <w:bCs/>
          <w:color w:val="auto"/>
          <w:highlight w:val="yellow"/>
        </w:rPr>
      </w:pPr>
      <w:r w:rsidRPr="00365544">
        <w:rPr>
          <w:color w:val="auto"/>
          <w:highlight w:val="yellow"/>
        </w:rPr>
        <w:t xml:space="preserve">Discard </w:t>
      </w:r>
      <w:r w:rsidR="008B0443">
        <w:rPr>
          <w:color w:val="auto"/>
          <w:highlight w:val="yellow"/>
        </w:rPr>
        <w:t xml:space="preserve">the </w:t>
      </w:r>
      <w:r w:rsidRPr="00365544">
        <w:rPr>
          <w:color w:val="auto"/>
          <w:highlight w:val="yellow"/>
        </w:rPr>
        <w:t xml:space="preserve">fixer and wash 3 times with </w:t>
      </w:r>
      <w:r w:rsidR="0010022E">
        <w:rPr>
          <w:color w:val="auto"/>
          <w:highlight w:val="yellow"/>
        </w:rPr>
        <w:t>1x PBS</w:t>
      </w:r>
      <w:r w:rsidRPr="00365544">
        <w:rPr>
          <w:color w:val="auto"/>
          <w:highlight w:val="yellow"/>
        </w:rPr>
        <w:t xml:space="preserve"> for 5 min.</w:t>
      </w:r>
    </w:p>
    <w:p w14:paraId="463C22FC" w14:textId="77777777" w:rsidR="00365544" w:rsidRPr="00365544" w:rsidRDefault="00365544" w:rsidP="00365544">
      <w:pPr>
        <w:pStyle w:val="ListParagraph"/>
        <w:ind w:left="0"/>
        <w:rPr>
          <w:b/>
          <w:bCs/>
          <w:color w:val="auto"/>
          <w:highlight w:val="yellow"/>
        </w:rPr>
      </w:pPr>
    </w:p>
    <w:p w14:paraId="753CF82A" w14:textId="0595B898" w:rsidR="00CB536B" w:rsidRPr="00365544" w:rsidRDefault="00CB536B" w:rsidP="00365544">
      <w:pPr>
        <w:pStyle w:val="ListParagraph"/>
        <w:numPr>
          <w:ilvl w:val="1"/>
          <w:numId w:val="41"/>
        </w:numPr>
        <w:ind w:left="0" w:firstLine="0"/>
        <w:rPr>
          <w:b/>
          <w:bCs/>
          <w:color w:val="auto"/>
          <w:highlight w:val="yellow"/>
        </w:rPr>
      </w:pPr>
      <w:r w:rsidRPr="00365544">
        <w:rPr>
          <w:color w:val="auto"/>
          <w:highlight w:val="yellow"/>
        </w:rPr>
        <w:t>Block with 0</w:t>
      </w:r>
      <w:r w:rsidR="00664AA3">
        <w:rPr>
          <w:color w:val="auto"/>
          <w:highlight w:val="yellow"/>
        </w:rPr>
        <w:t>.</w:t>
      </w:r>
      <w:r w:rsidRPr="00365544">
        <w:rPr>
          <w:color w:val="auto"/>
          <w:highlight w:val="yellow"/>
        </w:rPr>
        <w:t>1% Triton X-100/1% FBS in PBS (PBS-TS) for 30</w:t>
      </w:r>
      <w:r w:rsidR="008B0443">
        <w:rPr>
          <w:color w:val="auto"/>
          <w:highlight w:val="yellow"/>
        </w:rPr>
        <w:t>–</w:t>
      </w:r>
      <w:r w:rsidRPr="00365544">
        <w:rPr>
          <w:color w:val="auto"/>
          <w:highlight w:val="yellow"/>
        </w:rPr>
        <w:t>40 min.</w:t>
      </w:r>
    </w:p>
    <w:p w14:paraId="4C3F5A6C" w14:textId="77777777" w:rsidR="00365544" w:rsidRPr="00365544" w:rsidRDefault="00365544" w:rsidP="00365544">
      <w:pPr>
        <w:pStyle w:val="ListParagraph"/>
        <w:ind w:left="0"/>
        <w:rPr>
          <w:b/>
          <w:bCs/>
          <w:color w:val="auto"/>
          <w:highlight w:val="yellow"/>
        </w:rPr>
      </w:pPr>
    </w:p>
    <w:p w14:paraId="24609474" w14:textId="75B5A29B" w:rsidR="00CB536B" w:rsidRPr="00A85D83" w:rsidRDefault="00CB536B" w:rsidP="0010022E">
      <w:pPr>
        <w:pStyle w:val="ListParagraph"/>
        <w:numPr>
          <w:ilvl w:val="1"/>
          <w:numId w:val="41"/>
        </w:numPr>
        <w:ind w:left="0" w:firstLine="0"/>
        <w:rPr>
          <w:b/>
          <w:bCs/>
          <w:color w:val="auto"/>
          <w:highlight w:val="yellow"/>
        </w:rPr>
      </w:pPr>
      <w:r w:rsidRPr="00F00632">
        <w:rPr>
          <w:color w:val="auto"/>
          <w:highlight w:val="yellow"/>
        </w:rPr>
        <w:t xml:space="preserve">Prepare </w:t>
      </w:r>
      <w:r w:rsidR="00A55FDA" w:rsidRPr="00F00632">
        <w:rPr>
          <w:color w:val="auto"/>
          <w:highlight w:val="yellow"/>
        </w:rPr>
        <w:t xml:space="preserve">the </w:t>
      </w:r>
      <w:r w:rsidRPr="00F00632">
        <w:rPr>
          <w:color w:val="auto"/>
          <w:highlight w:val="yellow"/>
        </w:rPr>
        <w:t>primary antibodies in PBS-TS buffer as follows:</w:t>
      </w:r>
      <w:r w:rsidR="00F00632" w:rsidRPr="00F00632">
        <w:rPr>
          <w:color w:val="auto"/>
          <w:highlight w:val="yellow"/>
        </w:rPr>
        <w:t xml:space="preserve"> </w:t>
      </w:r>
      <w:r w:rsidRPr="00A85D83">
        <w:rPr>
          <w:color w:val="auto"/>
          <w:highlight w:val="yellow"/>
        </w:rPr>
        <w:t>SMI31</w:t>
      </w:r>
      <w:r w:rsidR="00731E60" w:rsidRPr="00A85D83">
        <w:rPr>
          <w:color w:val="auto"/>
          <w:highlight w:val="yellow"/>
        </w:rPr>
        <w:t xml:space="preserve"> (against MAP1B and NF-H proteins)</w:t>
      </w:r>
      <w:r w:rsidRPr="00A85D83">
        <w:rPr>
          <w:color w:val="auto"/>
          <w:highlight w:val="yellow"/>
        </w:rPr>
        <w:t xml:space="preserve"> monoclonal antibody (1:500).</w:t>
      </w:r>
      <w:r w:rsidR="00F00632" w:rsidRPr="00A85D83">
        <w:rPr>
          <w:color w:val="auto"/>
          <w:highlight w:val="yellow"/>
        </w:rPr>
        <w:t xml:space="preserve"> </w:t>
      </w:r>
      <w:r w:rsidRPr="00A85D83">
        <w:rPr>
          <w:color w:val="auto"/>
          <w:highlight w:val="yellow"/>
        </w:rPr>
        <w:t xml:space="preserve">514 </w:t>
      </w:r>
      <w:r w:rsidR="00731E60" w:rsidRPr="00A85D83">
        <w:rPr>
          <w:color w:val="auto"/>
          <w:highlight w:val="yellow"/>
        </w:rPr>
        <w:t>(recognizes MAP2A and B proteins)</w:t>
      </w:r>
      <w:r w:rsidR="00C60A55" w:rsidRPr="00A85D83">
        <w:rPr>
          <w:color w:val="auto"/>
          <w:highlight w:val="yellow"/>
        </w:rPr>
        <w:t xml:space="preserve"> </w:t>
      </w:r>
      <w:r w:rsidRPr="00A85D83">
        <w:rPr>
          <w:color w:val="auto"/>
          <w:highlight w:val="yellow"/>
        </w:rPr>
        <w:t>rabbit polyclonal antiserum</w:t>
      </w:r>
      <w:r w:rsidR="0049628E" w:rsidRPr="00A85D83">
        <w:rPr>
          <w:color w:val="auto"/>
          <w:highlight w:val="yellow"/>
          <w:vertAlign w:val="superscript"/>
        </w:rPr>
        <w:t xml:space="preserve"> </w:t>
      </w:r>
      <w:r w:rsidRPr="00A85D83">
        <w:rPr>
          <w:color w:val="auto"/>
          <w:highlight w:val="yellow"/>
        </w:rPr>
        <w:t>(1:400).</w:t>
      </w:r>
    </w:p>
    <w:p w14:paraId="12132E9A" w14:textId="77777777" w:rsidR="00365544" w:rsidRDefault="00365544" w:rsidP="00365544">
      <w:pPr>
        <w:pStyle w:val="ListParagraph"/>
        <w:ind w:left="0"/>
        <w:rPr>
          <w:b/>
          <w:bCs/>
          <w:color w:val="auto"/>
          <w:highlight w:val="yellow"/>
        </w:rPr>
      </w:pPr>
    </w:p>
    <w:p w14:paraId="282BF425" w14:textId="3630848C" w:rsidR="00CB536B" w:rsidRPr="00365544" w:rsidRDefault="00CB536B" w:rsidP="00365544">
      <w:pPr>
        <w:pStyle w:val="ListParagraph"/>
        <w:numPr>
          <w:ilvl w:val="1"/>
          <w:numId w:val="41"/>
        </w:numPr>
        <w:ind w:left="0" w:firstLine="0"/>
        <w:rPr>
          <w:b/>
          <w:bCs/>
          <w:color w:val="auto"/>
          <w:highlight w:val="yellow"/>
        </w:rPr>
      </w:pPr>
      <w:r w:rsidRPr="00365544">
        <w:rPr>
          <w:rFonts w:asciiTheme="minorHAnsi" w:eastAsiaTheme="minorHAnsi" w:hAnsiTheme="minorHAnsi" w:cstheme="minorHAnsi"/>
          <w:color w:val="auto"/>
          <w:highlight w:val="yellow"/>
        </w:rPr>
        <w:t>Add primary antibodies to cocultures and incubate overnight at 4</w:t>
      </w:r>
      <w:r w:rsidR="00135482" w:rsidRPr="00365544">
        <w:rPr>
          <w:rFonts w:asciiTheme="minorHAnsi" w:eastAsiaTheme="minorHAnsi" w:hAnsiTheme="minorHAnsi" w:cstheme="minorHAnsi"/>
          <w:color w:val="auto"/>
          <w:highlight w:val="yellow"/>
        </w:rPr>
        <w:t xml:space="preserve"> </w:t>
      </w:r>
      <w:r w:rsidR="00A55FDA" w:rsidRPr="0010022E">
        <w:rPr>
          <w:highlight w:val="yellow"/>
        </w:rPr>
        <w:t>°C</w:t>
      </w:r>
      <w:r w:rsidRPr="00365544">
        <w:rPr>
          <w:rFonts w:asciiTheme="minorHAnsi" w:eastAsiaTheme="minorHAnsi" w:hAnsiTheme="minorHAnsi" w:cstheme="minorHAnsi"/>
          <w:color w:val="auto"/>
          <w:highlight w:val="yellow"/>
        </w:rPr>
        <w:t>.</w:t>
      </w:r>
    </w:p>
    <w:p w14:paraId="6FC272A9" w14:textId="77777777" w:rsidR="00365544" w:rsidRPr="00365544" w:rsidRDefault="00365544" w:rsidP="00365544">
      <w:pPr>
        <w:pStyle w:val="ListParagraph"/>
        <w:ind w:left="0"/>
        <w:rPr>
          <w:b/>
          <w:bCs/>
          <w:color w:val="auto"/>
          <w:highlight w:val="yellow"/>
        </w:rPr>
      </w:pPr>
    </w:p>
    <w:p w14:paraId="3941E64A" w14:textId="7E59C2A0" w:rsidR="00CB536B" w:rsidRPr="00365544" w:rsidRDefault="00CB536B" w:rsidP="00365544">
      <w:pPr>
        <w:pStyle w:val="ListParagraph"/>
        <w:numPr>
          <w:ilvl w:val="1"/>
          <w:numId w:val="41"/>
        </w:numPr>
        <w:ind w:left="0" w:firstLine="0"/>
        <w:rPr>
          <w:b/>
          <w:bCs/>
          <w:color w:val="auto"/>
          <w:highlight w:val="yellow"/>
        </w:rPr>
      </w:pPr>
      <w:r w:rsidRPr="00365544">
        <w:rPr>
          <w:color w:val="auto"/>
          <w:highlight w:val="yellow"/>
        </w:rPr>
        <w:t xml:space="preserve">Next day, discard </w:t>
      </w:r>
      <w:r w:rsidR="00A55FDA">
        <w:rPr>
          <w:color w:val="auto"/>
          <w:highlight w:val="yellow"/>
        </w:rPr>
        <w:t xml:space="preserve">the </w:t>
      </w:r>
      <w:r w:rsidRPr="00365544">
        <w:rPr>
          <w:color w:val="auto"/>
          <w:highlight w:val="yellow"/>
        </w:rPr>
        <w:t xml:space="preserve">antibodies and wash </w:t>
      </w:r>
      <w:r w:rsidR="00A55FDA">
        <w:rPr>
          <w:color w:val="auto"/>
          <w:highlight w:val="yellow"/>
        </w:rPr>
        <w:t xml:space="preserve">the </w:t>
      </w:r>
      <w:r w:rsidRPr="00365544">
        <w:rPr>
          <w:color w:val="auto"/>
          <w:highlight w:val="yellow"/>
        </w:rPr>
        <w:t xml:space="preserve">coverslips with </w:t>
      </w:r>
      <w:r w:rsidR="00664AA3">
        <w:rPr>
          <w:color w:val="auto"/>
          <w:highlight w:val="yellow"/>
        </w:rPr>
        <w:t xml:space="preserve">1x </w:t>
      </w:r>
      <w:r w:rsidRPr="00365544">
        <w:rPr>
          <w:color w:val="auto"/>
          <w:highlight w:val="yellow"/>
        </w:rPr>
        <w:t>PBS, 3 times, for 5 min.</w:t>
      </w:r>
    </w:p>
    <w:p w14:paraId="54958808" w14:textId="77777777" w:rsidR="00365544" w:rsidRPr="00365544" w:rsidRDefault="00365544" w:rsidP="00365544">
      <w:pPr>
        <w:pStyle w:val="ListParagraph"/>
        <w:ind w:left="0"/>
        <w:rPr>
          <w:b/>
          <w:bCs/>
          <w:color w:val="auto"/>
          <w:highlight w:val="yellow"/>
        </w:rPr>
      </w:pPr>
    </w:p>
    <w:p w14:paraId="0DD95B51" w14:textId="2BC4C759" w:rsidR="00CB536B" w:rsidRPr="00F00632" w:rsidRDefault="00CB536B" w:rsidP="0010022E">
      <w:pPr>
        <w:pStyle w:val="ListParagraph"/>
        <w:numPr>
          <w:ilvl w:val="1"/>
          <w:numId w:val="41"/>
        </w:numPr>
        <w:ind w:left="0" w:firstLine="0"/>
        <w:rPr>
          <w:b/>
          <w:bCs/>
          <w:color w:val="auto"/>
          <w:highlight w:val="yellow"/>
        </w:rPr>
      </w:pPr>
      <w:r w:rsidRPr="00F00632">
        <w:rPr>
          <w:rFonts w:asciiTheme="minorHAnsi" w:eastAsiaTheme="minorHAnsi" w:hAnsiTheme="minorHAnsi" w:cstheme="minorHAnsi"/>
          <w:color w:val="auto"/>
          <w:highlight w:val="yellow"/>
        </w:rPr>
        <w:t xml:space="preserve">Prepare </w:t>
      </w:r>
      <w:r w:rsidR="00A55FDA" w:rsidRPr="00F00632">
        <w:rPr>
          <w:rFonts w:asciiTheme="minorHAnsi" w:eastAsiaTheme="minorHAnsi" w:hAnsiTheme="minorHAnsi" w:cstheme="minorHAnsi"/>
          <w:color w:val="auto"/>
          <w:highlight w:val="yellow"/>
        </w:rPr>
        <w:t xml:space="preserve">the </w:t>
      </w:r>
      <w:r w:rsidRPr="00F00632">
        <w:rPr>
          <w:rFonts w:asciiTheme="minorHAnsi" w:eastAsiaTheme="minorHAnsi" w:hAnsiTheme="minorHAnsi" w:cstheme="minorHAnsi"/>
          <w:color w:val="auto"/>
          <w:highlight w:val="yellow"/>
        </w:rPr>
        <w:t>secondary antibodies in PBS-TS buffer as follows:</w:t>
      </w:r>
      <w:r w:rsidR="00F00632" w:rsidRPr="00F00632">
        <w:rPr>
          <w:rFonts w:asciiTheme="minorHAnsi" w:eastAsiaTheme="minorHAnsi" w:hAnsiTheme="minorHAnsi" w:cstheme="minorHAnsi"/>
          <w:color w:val="auto"/>
          <w:highlight w:val="yellow"/>
        </w:rPr>
        <w:t xml:space="preserve"> </w:t>
      </w:r>
      <w:r w:rsidRPr="00F00632">
        <w:rPr>
          <w:rFonts w:asciiTheme="minorHAnsi" w:eastAsiaTheme="minorHAnsi" w:hAnsiTheme="minorHAnsi" w:cstheme="minorHAnsi"/>
          <w:color w:val="auto"/>
          <w:highlight w:val="yellow"/>
        </w:rPr>
        <w:t>For SMI-31, anti-mouse Alexa Fluor 488 (1:500).</w:t>
      </w:r>
      <w:r w:rsidR="00F00632" w:rsidRPr="00F00632">
        <w:rPr>
          <w:rFonts w:asciiTheme="minorHAnsi" w:eastAsiaTheme="minorHAnsi" w:hAnsiTheme="minorHAnsi" w:cstheme="minorHAnsi"/>
          <w:color w:val="auto"/>
          <w:highlight w:val="yellow"/>
        </w:rPr>
        <w:t xml:space="preserve"> </w:t>
      </w:r>
      <w:r w:rsidRPr="00F00632">
        <w:rPr>
          <w:rFonts w:asciiTheme="minorHAnsi" w:eastAsiaTheme="minorHAnsi" w:hAnsiTheme="minorHAnsi" w:cstheme="minorHAnsi"/>
          <w:color w:val="auto"/>
          <w:highlight w:val="yellow"/>
        </w:rPr>
        <w:t>For 514, anti-rabbit Alexa-594 (1:500).</w:t>
      </w:r>
    </w:p>
    <w:p w14:paraId="548CA0ED" w14:textId="77777777" w:rsidR="00365544" w:rsidRPr="00365544" w:rsidRDefault="00365544" w:rsidP="00365544">
      <w:pPr>
        <w:pStyle w:val="ListParagraph"/>
        <w:ind w:left="0"/>
        <w:rPr>
          <w:b/>
          <w:bCs/>
          <w:color w:val="auto"/>
          <w:highlight w:val="yellow"/>
        </w:rPr>
      </w:pPr>
    </w:p>
    <w:p w14:paraId="6690F928" w14:textId="57D944C4" w:rsidR="00CB536B" w:rsidRPr="00365544" w:rsidRDefault="00CB536B" w:rsidP="00365544">
      <w:pPr>
        <w:pStyle w:val="ListParagraph"/>
        <w:numPr>
          <w:ilvl w:val="1"/>
          <w:numId w:val="41"/>
        </w:numPr>
        <w:ind w:left="0" w:firstLine="0"/>
        <w:rPr>
          <w:b/>
          <w:bCs/>
          <w:color w:val="auto"/>
          <w:highlight w:val="yellow"/>
        </w:rPr>
      </w:pPr>
      <w:r w:rsidRPr="00365544">
        <w:rPr>
          <w:rFonts w:asciiTheme="minorHAnsi" w:eastAsiaTheme="minorHAnsi" w:hAnsiTheme="minorHAnsi" w:cstheme="minorHAnsi"/>
          <w:color w:val="auto"/>
          <w:highlight w:val="yellow"/>
        </w:rPr>
        <w:t>Incubate cells with the corresponding fluorescent secondary antibodies for 1</w:t>
      </w:r>
      <w:r w:rsidR="00A55FDA">
        <w:rPr>
          <w:rFonts w:asciiTheme="minorHAnsi" w:eastAsiaTheme="minorHAnsi" w:hAnsiTheme="minorHAnsi" w:cstheme="minorHAnsi"/>
          <w:color w:val="auto"/>
          <w:highlight w:val="yellow"/>
        </w:rPr>
        <w:t xml:space="preserve"> </w:t>
      </w:r>
      <w:r w:rsidRPr="00365544">
        <w:rPr>
          <w:rFonts w:asciiTheme="minorHAnsi" w:eastAsiaTheme="minorHAnsi" w:hAnsiTheme="minorHAnsi" w:cstheme="minorHAnsi"/>
          <w:color w:val="auto"/>
          <w:highlight w:val="yellow"/>
        </w:rPr>
        <w:t>h, at RT, in the dark.</w:t>
      </w:r>
    </w:p>
    <w:p w14:paraId="4D549D26" w14:textId="77777777" w:rsidR="00365544" w:rsidRPr="00365544" w:rsidRDefault="00365544" w:rsidP="00365544">
      <w:pPr>
        <w:pStyle w:val="ListParagraph"/>
        <w:ind w:left="0"/>
        <w:rPr>
          <w:b/>
          <w:bCs/>
          <w:color w:val="auto"/>
          <w:highlight w:val="yellow"/>
        </w:rPr>
      </w:pPr>
    </w:p>
    <w:p w14:paraId="62B35F5A" w14:textId="37207E8B" w:rsidR="00CB536B" w:rsidRPr="00365544" w:rsidRDefault="00CB536B" w:rsidP="00365544">
      <w:pPr>
        <w:pStyle w:val="ListParagraph"/>
        <w:numPr>
          <w:ilvl w:val="1"/>
          <w:numId w:val="41"/>
        </w:numPr>
        <w:ind w:left="0" w:firstLine="0"/>
        <w:rPr>
          <w:b/>
          <w:bCs/>
          <w:color w:val="auto"/>
          <w:highlight w:val="yellow"/>
        </w:rPr>
      </w:pPr>
      <w:r w:rsidRPr="00365544">
        <w:rPr>
          <w:color w:val="auto"/>
          <w:highlight w:val="yellow"/>
        </w:rPr>
        <w:lastRenderedPageBreak/>
        <w:t xml:space="preserve">Wash </w:t>
      </w:r>
      <w:r w:rsidR="00A55FDA">
        <w:rPr>
          <w:color w:val="auto"/>
          <w:highlight w:val="yellow"/>
        </w:rPr>
        <w:t xml:space="preserve">the </w:t>
      </w:r>
      <w:r w:rsidRPr="00365544">
        <w:rPr>
          <w:color w:val="auto"/>
          <w:highlight w:val="yellow"/>
        </w:rPr>
        <w:t xml:space="preserve">coverslips with </w:t>
      </w:r>
      <w:r w:rsidR="00664AA3">
        <w:rPr>
          <w:color w:val="auto"/>
          <w:highlight w:val="yellow"/>
        </w:rPr>
        <w:t xml:space="preserve">1x </w:t>
      </w:r>
      <w:r w:rsidRPr="00365544">
        <w:rPr>
          <w:color w:val="auto"/>
          <w:highlight w:val="yellow"/>
        </w:rPr>
        <w:t>PBS, 3 times, for 5 min, in the dark.</w:t>
      </w:r>
    </w:p>
    <w:p w14:paraId="1241FF55" w14:textId="77777777" w:rsidR="00365544" w:rsidRDefault="00365544" w:rsidP="00365544">
      <w:pPr>
        <w:pStyle w:val="ListParagraph"/>
        <w:ind w:left="0"/>
        <w:rPr>
          <w:rFonts w:asciiTheme="minorHAnsi" w:eastAsiaTheme="minorHAnsi" w:hAnsiTheme="minorHAnsi" w:cstheme="minorHAnsi"/>
          <w:color w:val="auto"/>
          <w:highlight w:val="yellow"/>
        </w:rPr>
      </w:pPr>
    </w:p>
    <w:p w14:paraId="165DE826" w14:textId="73B81CBB" w:rsidR="00CB536B" w:rsidRPr="00365544" w:rsidRDefault="00CB536B" w:rsidP="00365544">
      <w:pPr>
        <w:pStyle w:val="ListParagraph"/>
        <w:numPr>
          <w:ilvl w:val="1"/>
          <w:numId w:val="41"/>
        </w:numPr>
        <w:ind w:left="0" w:firstLine="0"/>
        <w:rPr>
          <w:rFonts w:asciiTheme="minorHAnsi" w:eastAsiaTheme="minorHAnsi" w:hAnsiTheme="minorHAnsi" w:cstheme="minorHAnsi"/>
          <w:color w:val="auto"/>
          <w:highlight w:val="yellow"/>
        </w:rPr>
      </w:pPr>
      <w:r w:rsidRPr="00365544">
        <w:rPr>
          <w:rFonts w:asciiTheme="minorHAnsi" w:eastAsiaTheme="minorHAnsi" w:hAnsiTheme="minorHAnsi" w:cstheme="minorHAnsi"/>
          <w:color w:val="auto"/>
          <w:highlight w:val="yellow"/>
        </w:rPr>
        <w:t xml:space="preserve">Finally, mount coverslips with </w:t>
      </w:r>
      <w:r w:rsidR="009B3649" w:rsidRPr="00365544">
        <w:rPr>
          <w:rFonts w:asciiTheme="minorHAnsi" w:eastAsiaTheme="minorHAnsi" w:hAnsiTheme="minorHAnsi" w:cstheme="minorHAnsi"/>
          <w:color w:val="auto"/>
          <w:highlight w:val="yellow"/>
        </w:rPr>
        <w:t>mounting medium (</w:t>
      </w:r>
      <w:r w:rsidR="009B3649" w:rsidRPr="0010022E">
        <w:rPr>
          <w:rFonts w:asciiTheme="minorHAnsi" w:eastAsiaTheme="minorHAnsi" w:hAnsiTheme="minorHAnsi" w:cstheme="minorHAnsi"/>
          <w:b/>
          <w:bCs/>
          <w:color w:val="auto"/>
          <w:highlight w:val="yellow"/>
        </w:rPr>
        <w:t>Table of Materials</w:t>
      </w:r>
      <w:r w:rsidR="009B3649" w:rsidRPr="00365544">
        <w:rPr>
          <w:rFonts w:asciiTheme="minorHAnsi" w:eastAsiaTheme="minorHAnsi" w:hAnsiTheme="minorHAnsi" w:cstheme="minorHAnsi"/>
          <w:color w:val="auto"/>
          <w:highlight w:val="yellow"/>
        </w:rPr>
        <w:t>)</w:t>
      </w:r>
      <w:r w:rsidRPr="00365544">
        <w:rPr>
          <w:rFonts w:asciiTheme="minorHAnsi" w:eastAsiaTheme="minorHAnsi" w:hAnsiTheme="minorHAnsi" w:cstheme="minorHAnsi"/>
          <w:color w:val="auto"/>
          <w:highlight w:val="yellow"/>
        </w:rPr>
        <w:t xml:space="preserve"> and keep at 4</w:t>
      </w:r>
      <w:r w:rsidR="00A55FDA">
        <w:rPr>
          <w:rFonts w:asciiTheme="minorHAnsi" w:eastAsiaTheme="minorHAnsi" w:hAnsiTheme="minorHAnsi" w:cstheme="minorHAnsi"/>
          <w:color w:val="auto"/>
          <w:highlight w:val="yellow"/>
        </w:rPr>
        <w:t xml:space="preserve"> </w:t>
      </w:r>
      <w:r w:rsidR="00A55FDA" w:rsidRPr="0010022E">
        <w:rPr>
          <w:highlight w:val="yellow"/>
        </w:rPr>
        <w:t>°C</w:t>
      </w:r>
      <w:r w:rsidRPr="00365544">
        <w:rPr>
          <w:rFonts w:asciiTheme="minorHAnsi" w:eastAsiaTheme="minorHAnsi" w:hAnsiTheme="minorHAnsi" w:cstheme="minorHAnsi"/>
          <w:color w:val="auto"/>
          <w:highlight w:val="yellow"/>
        </w:rPr>
        <w:t>.</w:t>
      </w:r>
    </w:p>
    <w:p w14:paraId="009064C3" w14:textId="77777777" w:rsidR="00A55FDA" w:rsidRDefault="00A55FDA" w:rsidP="00365544">
      <w:pPr>
        <w:rPr>
          <w:rFonts w:asciiTheme="minorHAnsi" w:eastAsiaTheme="minorHAnsi" w:hAnsiTheme="minorHAnsi" w:cstheme="minorHAnsi"/>
          <w:color w:val="auto"/>
        </w:rPr>
      </w:pPr>
    </w:p>
    <w:p w14:paraId="28F8271F" w14:textId="3B50E376" w:rsidR="00CB536B" w:rsidRPr="00365544" w:rsidRDefault="00CB536B" w:rsidP="00365544">
      <w:pPr>
        <w:rPr>
          <w:rFonts w:asciiTheme="minorHAnsi" w:eastAsiaTheme="minorHAnsi" w:hAnsiTheme="minorHAnsi" w:cstheme="minorHAnsi"/>
          <w:color w:val="auto"/>
        </w:rPr>
      </w:pPr>
      <w:r w:rsidRPr="00365544">
        <w:rPr>
          <w:rFonts w:asciiTheme="minorHAnsi" w:eastAsiaTheme="minorHAnsi" w:hAnsiTheme="minorHAnsi" w:cstheme="minorHAnsi"/>
          <w:color w:val="auto"/>
        </w:rPr>
        <w:t xml:space="preserve">NOTE: Whenever necessary, fluorescent nuclei staining with DAPI (4,6-diamidino-2-phenylindole) may be performed. Before mounting, incubate </w:t>
      </w:r>
      <w:r w:rsidR="00A55FDA">
        <w:rPr>
          <w:rFonts w:asciiTheme="minorHAnsi" w:eastAsiaTheme="minorHAnsi" w:hAnsiTheme="minorHAnsi" w:cstheme="minorHAnsi"/>
          <w:color w:val="auto"/>
        </w:rPr>
        <w:t xml:space="preserve">the </w:t>
      </w:r>
      <w:r w:rsidRPr="00365544">
        <w:rPr>
          <w:rFonts w:asciiTheme="minorHAnsi" w:eastAsiaTheme="minorHAnsi" w:hAnsiTheme="minorHAnsi" w:cstheme="minorHAnsi"/>
          <w:color w:val="auto"/>
        </w:rPr>
        <w:t>cells for 10 min in the dark with DAPI (10</w:t>
      </w:r>
      <w:r w:rsidRPr="00365544">
        <w:rPr>
          <w:color w:val="auto"/>
        </w:rPr>
        <w:t xml:space="preserve"> µg/mL</w:t>
      </w:r>
      <w:r w:rsidRPr="00365544">
        <w:rPr>
          <w:rFonts w:asciiTheme="minorHAnsi" w:eastAsiaTheme="minorHAnsi" w:hAnsiTheme="minorHAnsi" w:cstheme="minorHAnsi"/>
          <w:color w:val="auto"/>
        </w:rPr>
        <w:t xml:space="preserve"> in </w:t>
      </w:r>
      <w:r w:rsidR="0010022E">
        <w:rPr>
          <w:rFonts w:asciiTheme="minorHAnsi" w:eastAsiaTheme="minorHAnsi" w:hAnsiTheme="minorHAnsi" w:cstheme="minorHAnsi"/>
          <w:color w:val="auto"/>
        </w:rPr>
        <w:t>1x PBS</w:t>
      </w:r>
      <w:r w:rsidRPr="00365544">
        <w:rPr>
          <w:rFonts w:asciiTheme="minorHAnsi" w:eastAsiaTheme="minorHAnsi" w:hAnsiTheme="minorHAnsi" w:cstheme="minorHAnsi"/>
          <w:color w:val="auto"/>
        </w:rPr>
        <w:t xml:space="preserve">). </w:t>
      </w:r>
      <w:r w:rsidRPr="00365544">
        <w:rPr>
          <w:color w:val="auto"/>
        </w:rPr>
        <w:t xml:space="preserve">Wash </w:t>
      </w:r>
      <w:r w:rsidR="00A55FDA">
        <w:rPr>
          <w:color w:val="auto"/>
        </w:rPr>
        <w:t xml:space="preserve">the </w:t>
      </w:r>
      <w:r w:rsidRPr="00365544">
        <w:rPr>
          <w:color w:val="auto"/>
        </w:rPr>
        <w:t xml:space="preserve">coverslips 3 times with </w:t>
      </w:r>
      <w:r w:rsidR="0010022E">
        <w:rPr>
          <w:color w:val="auto"/>
        </w:rPr>
        <w:t>1x PBS</w:t>
      </w:r>
      <w:r w:rsidRPr="00365544">
        <w:rPr>
          <w:color w:val="auto"/>
        </w:rPr>
        <w:t xml:space="preserve"> and </w:t>
      </w:r>
      <w:r w:rsidRPr="00365544">
        <w:rPr>
          <w:rFonts w:asciiTheme="minorHAnsi" w:eastAsiaTheme="minorHAnsi" w:hAnsiTheme="minorHAnsi" w:cstheme="minorHAnsi"/>
          <w:color w:val="auto"/>
        </w:rPr>
        <w:t xml:space="preserve">finally, mount </w:t>
      </w:r>
      <w:r w:rsidR="00A55FDA">
        <w:rPr>
          <w:rFonts w:asciiTheme="minorHAnsi" w:eastAsiaTheme="minorHAnsi" w:hAnsiTheme="minorHAnsi" w:cstheme="minorHAnsi"/>
          <w:color w:val="auto"/>
        </w:rPr>
        <w:t xml:space="preserve">the </w:t>
      </w:r>
      <w:r w:rsidRPr="00365544">
        <w:rPr>
          <w:rFonts w:asciiTheme="minorHAnsi" w:eastAsiaTheme="minorHAnsi" w:hAnsiTheme="minorHAnsi" w:cstheme="minorHAnsi"/>
          <w:color w:val="auto"/>
        </w:rPr>
        <w:t xml:space="preserve">coverslips with </w:t>
      </w:r>
      <w:r w:rsidR="00A55FDA">
        <w:rPr>
          <w:rFonts w:asciiTheme="minorHAnsi" w:eastAsiaTheme="minorHAnsi" w:hAnsiTheme="minorHAnsi" w:cstheme="minorHAnsi"/>
          <w:color w:val="auto"/>
        </w:rPr>
        <w:t xml:space="preserve">the </w:t>
      </w:r>
      <w:r w:rsidR="009B3649" w:rsidRPr="00365544">
        <w:rPr>
          <w:rFonts w:asciiTheme="minorHAnsi" w:eastAsiaTheme="minorHAnsi" w:hAnsiTheme="minorHAnsi" w:cstheme="minorHAnsi"/>
          <w:color w:val="auto"/>
        </w:rPr>
        <w:t>mounting medium</w:t>
      </w:r>
      <w:r w:rsidRPr="00365544">
        <w:rPr>
          <w:rFonts w:asciiTheme="minorHAnsi" w:eastAsiaTheme="minorHAnsi" w:hAnsiTheme="minorHAnsi" w:cstheme="minorHAnsi"/>
          <w:color w:val="auto"/>
        </w:rPr>
        <w:t>.</w:t>
      </w:r>
    </w:p>
    <w:p w14:paraId="4801EB98" w14:textId="77777777" w:rsidR="00CB536B" w:rsidRPr="00365544" w:rsidRDefault="00CB536B" w:rsidP="00365544">
      <w:pPr>
        <w:rPr>
          <w:rFonts w:asciiTheme="minorHAnsi" w:eastAsiaTheme="minorHAnsi" w:hAnsiTheme="minorHAnsi" w:cstheme="minorHAnsi"/>
          <w:color w:val="auto"/>
          <w:highlight w:val="yellow"/>
        </w:rPr>
      </w:pPr>
    </w:p>
    <w:p w14:paraId="057BE973" w14:textId="143BE224" w:rsidR="00903EC3" w:rsidRPr="00365544" w:rsidRDefault="00CB536B" w:rsidP="00365544">
      <w:pPr>
        <w:pStyle w:val="ListParagraph"/>
        <w:numPr>
          <w:ilvl w:val="0"/>
          <w:numId w:val="29"/>
        </w:numPr>
        <w:ind w:left="0" w:firstLine="0"/>
        <w:rPr>
          <w:b/>
          <w:bCs/>
          <w:color w:val="auto"/>
          <w:highlight w:val="yellow"/>
        </w:rPr>
      </w:pPr>
      <w:r w:rsidRPr="00365544">
        <w:rPr>
          <w:b/>
          <w:bCs/>
          <w:color w:val="auto"/>
          <w:highlight w:val="yellow"/>
        </w:rPr>
        <w:t>Axonal regeneration quantification</w:t>
      </w:r>
    </w:p>
    <w:p w14:paraId="6343895F" w14:textId="77777777" w:rsidR="00365544" w:rsidRDefault="00365544" w:rsidP="00365544">
      <w:pPr>
        <w:rPr>
          <w:color w:val="auto"/>
        </w:rPr>
      </w:pPr>
    </w:p>
    <w:p w14:paraId="3B0D4CB4" w14:textId="0037444A" w:rsidR="00903EC3" w:rsidRPr="00365544" w:rsidRDefault="00CB536B" w:rsidP="00365544">
      <w:pPr>
        <w:rPr>
          <w:color w:val="auto"/>
        </w:rPr>
      </w:pPr>
      <w:r w:rsidRPr="00365544">
        <w:rPr>
          <w:color w:val="auto"/>
        </w:rPr>
        <w:t>NOTE: Samples are quantified under the 40x objective of a</w:t>
      </w:r>
      <w:r w:rsidR="00903EC3" w:rsidRPr="00365544">
        <w:rPr>
          <w:color w:val="auto"/>
        </w:rPr>
        <w:t xml:space="preserve">n epifluorescence </w:t>
      </w:r>
      <w:r w:rsidRPr="00365544">
        <w:rPr>
          <w:color w:val="auto"/>
        </w:rPr>
        <w:t xml:space="preserve">microscope. A minimum of 30 </w:t>
      </w:r>
      <w:r w:rsidR="009A4990" w:rsidRPr="00365544">
        <w:rPr>
          <w:color w:val="auto"/>
        </w:rPr>
        <w:t xml:space="preserve">pictures should be taken on random fields, </w:t>
      </w:r>
      <w:r w:rsidRPr="00365544">
        <w:rPr>
          <w:color w:val="auto"/>
        </w:rPr>
        <w:t xml:space="preserve">with at least 200 neurons, </w:t>
      </w:r>
      <w:r w:rsidR="009A4990" w:rsidRPr="00365544">
        <w:rPr>
          <w:color w:val="auto"/>
        </w:rPr>
        <w:t>to</w:t>
      </w:r>
      <w:r w:rsidRPr="00365544">
        <w:rPr>
          <w:color w:val="auto"/>
        </w:rPr>
        <w:t xml:space="preserve"> be quantified for each treatment. Each experiment should be repeated a minimum of three times.</w:t>
      </w:r>
    </w:p>
    <w:p w14:paraId="7C02707D" w14:textId="77777777" w:rsidR="00365544" w:rsidRDefault="00365544" w:rsidP="00365544">
      <w:pPr>
        <w:pStyle w:val="ListParagraph"/>
        <w:ind w:left="0"/>
        <w:rPr>
          <w:color w:val="auto"/>
          <w:highlight w:val="yellow"/>
        </w:rPr>
      </w:pPr>
    </w:p>
    <w:p w14:paraId="6346A00D" w14:textId="2932F6B7" w:rsidR="00CB536B" w:rsidRPr="00365544" w:rsidRDefault="00903EC3" w:rsidP="00365544">
      <w:pPr>
        <w:pStyle w:val="ListParagraph"/>
        <w:numPr>
          <w:ilvl w:val="1"/>
          <w:numId w:val="42"/>
        </w:numPr>
        <w:ind w:left="0" w:firstLine="0"/>
        <w:rPr>
          <w:color w:val="auto"/>
          <w:highlight w:val="yellow"/>
        </w:rPr>
      </w:pPr>
      <w:r w:rsidRPr="00365544">
        <w:rPr>
          <w:color w:val="auto"/>
          <w:highlight w:val="yellow"/>
        </w:rPr>
        <w:t>Quantify</w:t>
      </w:r>
      <w:r w:rsidRPr="00365544">
        <w:rPr>
          <w:rFonts w:cs="Segoe UI"/>
          <w:color w:val="auto"/>
          <w:highlight w:val="yellow"/>
          <w:bdr w:val="none" w:sz="0" w:space="0" w:color="auto" w:frame="1"/>
          <w:lang w:eastAsia="es-ES"/>
        </w:rPr>
        <w:t xml:space="preserve"> the p</w:t>
      </w:r>
      <w:r w:rsidR="00CB536B" w:rsidRPr="00365544">
        <w:rPr>
          <w:rFonts w:cs="Segoe UI"/>
          <w:color w:val="auto"/>
          <w:highlight w:val="yellow"/>
          <w:bdr w:val="none" w:sz="0" w:space="0" w:color="auto" w:frame="1"/>
          <w:lang w:eastAsia="es-ES"/>
        </w:rPr>
        <w:t xml:space="preserve">ercentage of neurons with axon (SMI31 positive neurite) relative to </w:t>
      </w:r>
      <w:r w:rsidR="00416764">
        <w:rPr>
          <w:rFonts w:cs="Segoe UI"/>
          <w:color w:val="auto"/>
          <w:highlight w:val="yellow"/>
          <w:bdr w:val="none" w:sz="0" w:space="0" w:color="auto" w:frame="1"/>
          <w:lang w:eastAsia="es-ES"/>
        </w:rPr>
        <w:t xml:space="preserve">the </w:t>
      </w:r>
      <w:r w:rsidR="00CB536B" w:rsidRPr="00365544">
        <w:rPr>
          <w:rFonts w:cs="Segoe UI"/>
          <w:color w:val="auto"/>
          <w:highlight w:val="yellow"/>
          <w:bdr w:val="none" w:sz="0" w:space="0" w:color="auto" w:frame="1"/>
          <w:lang w:eastAsia="es-ES"/>
        </w:rPr>
        <w:t xml:space="preserve">total population of RGNs (identified with MAP2A/B 514 positive immunostaining of </w:t>
      </w:r>
      <w:bookmarkStart w:id="7" w:name="_Hlk49937227"/>
      <w:r w:rsidR="00CB536B" w:rsidRPr="00365544">
        <w:rPr>
          <w:rFonts w:cs="Segoe UI"/>
          <w:color w:val="auto"/>
          <w:highlight w:val="yellow"/>
          <w:bdr w:val="none" w:sz="0" w:space="0" w:color="auto" w:frame="1"/>
          <w:lang w:eastAsia="es-ES"/>
        </w:rPr>
        <w:t>neuronal body and dendrites</w:t>
      </w:r>
      <w:bookmarkEnd w:id="7"/>
      <w:r w:rsidR="00CB536B" w:rsidRPr="00365544">
        <w:rPr>
          <w:rFonts w:cs="Segoe UI"/>
          <w:color w:val="auto"/>
          <w:highlight w:val="yellow"/>
          <w:bdr w:val="none" w:sz="0" w:space="0" w:color="auto" w:frame="1"/>
          <w:lang w:eastAsia="es-ES"/>
        </w:rPr>
        <w:t>).</w:t>
      </w:r>
    </w:p>
    <w:p w14:paraId="1C7FC4C8" w14:textId="77777777" w:rsidR="00365544" w:rsidRPr="0010022E" w:rsidRDefault="00365544" w:rsidP="00365544">
      <w:pPr>
        <w:pStyle w:val="ListParagraph"/>
        <w:ind w:left="0"/>
        <w:rPr>
          <w:rFonts w:asciiTheme="minorHAnsi" w:hAnsiTheme="minorHAnsi" w:cstheme="minorHAnsi"/>
          <w:color w:val="auto"/>
          <w:highlight w:val="yellow"/>
        </w:rPr>
      </w:pPr>
    </w:p>
    <w:p w14:paraId="2776F57B" w14:textId="2AE13374" w:rsidR="00CB536B" w:rsidRPr="00365544" w:rsidRDefault="00903EC3" w:rsidP="00365544">
      <w:pPr>
        <w:pStyle w:val="ListParagraph"/>
        <w:numPr>
          <w:ilvl w:val="1"/>
          <w:numId w:val="42"/>
        </w:numPr>
        <w:ind w:left="0" w:firstLine="0"/>
        <w:rPr>
          <w:rFonts w:asciiTheme="minorHAnsi" w:hAnsiTheme="minorHAnsi" w:cstheme="minorHAnsi"/>
          <w:i/>
          <w:iCs/>
          <w:color w:val="auto"/>
          <w:highlight w:val="yellow"/>
        </w:rPr>
      </w:pPr>
      <w:r w:rsidRPr="00416764">
        <w:rPr>
          <w:rFonts w:cs="Segoe UI"/>
          <w:color w:val="auto"/>
          <w:highlight w:val="yellow"/>
          <w:bdr w:val="none" w:sz="0" w:space="0" w:color="auto" w:frame="1"/>
          <w:lang w:eastAsia="es-ES"/>
        </w:rPr>
        <w:t>Q</w:t>
      </w:r>
      <w:r w:rsidRPr="00365544">
        <w:rPr>
          <w:rFonts w:cs="Segoe UI"/>
          <w:color w:val="auto"/>
          <w:highlight w:val="yellow"/>
          <w:bdr w:val="none" w:sz="0" w:space="0" w:color="auto" w:frame="1"/>
          <w:lang w:eastAsia="es-ES"/>
        </w:rPr>
        <w:t>uantify the a</w:t>
      </w:r>
      <w:r w:rsidR="00CB536B" w:rsidRPr="00365544">
        <w:rPr>
          <w:rFonts w:cs="Segoe UI"/>
          <w:color w:val="auto"/>
          <w:highlight w:val="yellow"/>
          <w:bdr w:val="none" w:sz="0" w:space="0" w:color="auto" w:frame="1"/>
          <w:lang w:eastAsia="es-ES"/>
        </w:rPr>
        <w:t>xonal regeneration index or mean axonal length (</w:t>
      </w:r>
      <w:r w:rsidR="00CB536B" w:rsidRPr="00365544">
        <w:rPr>
          <w:color w:val="auto"/>
          <w:highlight w:val="yellow"/>
          <w:bdr w:val="none" w:sz="0" w:space="0" w:color="auto" w:frame="1"/>
          <w:lang w:eastAsia="es-ES"/>
        </w:rPr>
        <w:t>µ</w:t>
      </w:r>
      <w:r w:rsidR="00CB536B" w:rsidRPr="00365544">
        <w:rPr>
          <w:rFonts w:cs="Segoe UI"/>
          <w:color w:val="auto"/>
          <w:highlight w:val="yellow"/>
          <w:bdr w:val="none" w:sz="0" w:space="0" w:color="auto" w:frame="1"/>
          <w:lang w:eastAsia="es-ES"/>
        </w:rPr>
        <w:t>m/neuron)</w:t>
      </w:r>
      <w:r w:rsidRPr="00365544">
        <w:rPr>
          <w:rFonts w:cs="Segoe UI"/>
          <w:color w:val="auto"/>
          <w:highlight w:val="yellow"/>
          <w:bdr w:val="none" w:sz="0" w:space="0" w:color="auto" w:frame="1"/>
          <w:lang w:eastAsia="es-ES"/>
        </w:rPr>
        <w:t>. This parameter</w:t>
      </w:r>
      <w:r w:rsidR="00CB536B" w:rsidRPr="00365544">
        <w:rPr>
          <w:rFonts w:ascii="Segoe UI" w:hAnsi="Segoe UI" w:cs="Segoe UI"/>
          <w:color w:val="auto"/>
          <w:highlight w:val="yellow"/>
          <w:lang w:eastAsia="es-ES"/>
        </w:rPr>
        <w:t xml:space="preserve"> </w:t>
      </w:r>
      <w:r w:rsidR="00CB536B" w:rsidRPr="00365544">
        <w:rPr>
          <w:rFonts w:cs="Segoe UI"/>
          <w:color w:val="auto"/>
          <w:highlight w:val="yellow"/>
          <w:bdr w:val="none" w:sz="0" w:space="0" w:color="auto" w:frame="1"/>
          <w:lang w:eastAsia="es-ES"/>
        </w:rPr>
        <w:t>is</w:t>
      </w:r>
      <w:r w:rsidR="00CB536B" w:rsidRPr="00365544">
        <w:rPr>
          <w:color w:val="auto"/>
          <w:highlight w:val="yellow"/>
        </w:rPr>
        <w:t xml:space="preserve"> defined as the sum of</w:t>
      </w:r>
      <w:r w:rsidR="00CB536B" w:rsidRPr="00365544">
        <w:rPr>
          <w:rFonts w:ascii="Segoe UI" w:hAnsi="Segoe UI" w:cs="Segoe UI"/>
          <w:color w:val="auto"/>
          <w:highlight w:val="yellow"/>
          <w:lang w:eastAsia="es-ES"/>
        </w:rPr>
        <w:t xml:space="preserve"> </w:t>
      </w:r>
      <w:r w:rsidR="005C4FB2" w:rsidRPr="00365544">
        <w:rPr>
          <w:rFonts w:asciiTheme="minorHAnsi" w:hAnsiTheme="minorHAnsi" w:cstheme="minorHAnsi"/>
          <w:color w:val="auto"/>
          <w:highlight w:val="yellow"/>
          <w:lang w:eastAsia="es-ES"/>
        </w:rPr>
        <w:t>the</w:t>
      </w:r>
      <w:r w:rsidR="005C4FB2" w:rsidRPr="00365544">
        <w:rPr>
          <w:rFonts w:ascii="Segoe UI" w:hAnsi="Segoe UI" w:cs="Segoe UI"/>
          <w:color w:val="auto"/>
          <w:highlight w:val="yellow"/>
          <w:lang w:eastAsia="es-ES"/>
        </w:rPr>
        <w:t xml:space="preserve"> </w:t>
      </w:r>
      <w:r w:rsidR="00CB536B" w:rsidRPr="00365544">
        <w:rPr>
          <w:color w:val="auto"/>
          <w:highlight w:val="yellow"/>
        </w:rPr>
        <w:t xml:space="preserve">lengths (in </w:t>
      </w:r>
      <w:r w:rsidR="00CB536B" w:rsidRPr="00365544">
        <w:rPr>
          <w:color w:val="auto"/>
          <w:highlight w:val="yellow"/>
          <w:bdr w:val="none" w:sz="0" w:space="0" w:color="auto" w:frame="1"/>
          <w:lang w:eastAsia="es-ES"/>
        </w:rPr>
        <w:t>µ</w:t>
      </w:r>
      <w:r w:rsidRPr="00365544">
        <w:rPr>
          <w:rFonts w:cs="Segoe UI"/>
          <w:color w:val="auto"/>
          <w:highlight w:val="yellow"/>
          <w:bdr w:val="none" w:sz="0" w:space="0" w:color="auto" w:frame="1"/>
          <w:lang w:eastAsia="es-ES"/>
        </w:rPr>
        <w:t>m</w:t>
      </w:r>
      <w:r w:rsidR="00CB536B" w:rsidRPr="00365544">
        <w:rPr>
          <w:color w:val="auto"/>
          <w:highlight w:val="yellow"/>
        </w:rPr>
        <w:t>) of all identified axons, divided</w:t>
      </w:r>
      <w:r w:rsidR="00CB536B" w:rsidRPr="00365544">
        <w:rPr>
          <w:rFonts w:ascii="Segoe UI" w:hAnsi="Segoe UI" w:cs="Segoe UI"/>
          <w:color w:val="auto"/>
          <w:highlight w:val="yellow"/>
          <w:lang w:eastAsia="es-ES"/>
        </w:rPr>
        <w:t xml:space="preserve"> </w:t>
      </w:r>
      <w:r w:rsidR="00CB536B" w:rsidRPr="00365544">
        <w:rPr>
          <w:color w:val="auto"/>
          <w:highlight w:val="yellow"/>
        </w:rPr>
        <w:t xml:space="preserve">by the total number of </w:t>
      </w:r>
      <w:r w:rsidRPr="00365544">
        <w:rPr>
          <w:color w:val="auto"/>
          <w:highlight w:val="yellow"/>
        </w:rPr>
        <w:t xml:space="preserve">counted </w:t>
      </w:r>
      <w:r w:rsidR="00CB536B" w:rsidRPr="00365544">
        <w:rPr>
          <w:color w:val="auto"/>
          <w:highlight w:val="yellow"/>
        </w:rPr>
        <w:t>neurons, whether they presented an axon</w:t>
      </w:r>
      <w:r w:rsidR="005C4FB2" w:rsidRPr="00365544">
        <w:rPr>
          <w:color w:val="auto"/>
          <w:highlight w:val="yellow"/>
        </w:rPr>
        <w:t xml:space="preserve"> </w:t>
      </w:r>
      <w:r w:rsidR="00CB536B" w:rsidRPr="00365544">
        <w:rPr>
          <w:color w:val="auto"/>
          <w:highlight w:val="yellow"/>
        </w:rPr>
        <w:t>or not.</w:t>
      </w:r>
      <w:r w:rsidR="00CB536B" w:rsidRPr="00365544">
        <w:rPr>
          <w:rFonts w:cs="Segoe UI"/>
          <w:color w:val="auto"/>
          <w:highlight w:val="yellow"/>
          <w:bdr w:val="none" w:sz="0" w:space="0" w:color="auto" w:frame="1"/>
          <w:lang w:eastAsia="es-ES"/>
        </w:rPr>
        <w:t xml:space="preserve"> Axonal length is determined using the plugin NeuronJ of the image software ImageJ (NIH-USA)</w:t>
      </w:r>
      <w:r w:rsidR="00CB536B" w:rsidRPr="00365544">
        <w:rPr>
          <w:color w:val="auto"/>
          <w:highlight w:val="yellow"/>
        </w:rPr>
        <w:t>.</w:t>
      </w:r>
    </w:p>
    <w:p w14:paraId="021665AF" w14:textId="77777777" w:rsidR="00365544" w:rsidRDefault="00365544" w:rsidP="00365544">
      <w:pPr>
        <w:pStyle w:val="ListParagraph"/>
        <w:ind w:left="0"/>
        <w:rPr>
          <w:rFonts w:asciiTheme="minorHAnsi" w:hAnsiTheme="minorHAnsi" w:cstheme="minorHAnsi"/>
          <w:color w:val="auto"/>
        </w:rPr>
      </w:pPr>
    </w:p>
    <w:p w14:paraId="4118DE1C" w14:textId="1A9A6732" w:rsidR="00806F60" w:rsidRPr="00365544" w:rsidRDefault="00CB536B" w:rsidP="00365544">
      <w:pPr>
        <w:pStyle w:val="ListParagraph"/>
        <w:numPr>
          <w:ilvl w:val="1"/>
          <w:numId w:val="42"/>
        </w:numPr>
        <w:ind w:left="0" w:firstLine="0"/>
        <w:rPr>
          <w:rFonts w:asciiTheme="minorHAnsi" w:hAnsiTheme="minorHAnsi" w:cstheme="minorHAnsi"/>
          <w:color w:val="auto"/>
        </w:rPr>
      </w:pPr>
      <w:r w:rsidRPr="00365544">
        <w:rPr>
          <w:rFonts w:asciiTheme="minorHAnsi" w:hAnsiTheme="minorHAnsi" w:cstheme="minorHAnsi"/>
          <w:color w:val="auto"/>
        </w:rPr>
        <w:t xml:space="preserve">Calculate </w:t>
      </w:r>
      <w:r w:rsidR="00416764">
        <w:rPr>
          <w:rFonts w:asciiTheme="minorHAnsi" w:hAnsiTheme="minorHAnsi" w:cstheme="minorHAnsi"/>
          <w:color w:val="auto"/>
        </w:rPr>
        <w:t xml:space="preserve">the </w:t>
      </w:r>
      <w:r w:rsidRPr="00365544">
        <w:rPr>
          <w:rFonts w:asciiTheme="minorHAnsi" w:hAnsiTheme="minorHAnsi" w:cstheme="minorHAnsi"/>
          <w:color w:val="auto"/>
        </w:rPr>
        <w:t xml:space="preserve">mean, standard deviation, and statistical significance using </w:t>
      </w:r>
      <w:r w:rsidR="00416764">
        <w:rPr>
          <w:rFonts w:asciiTheme="minorHAnsi" w:hAnsiTheme="minorHAnsi" w:cstheme="minorHAnsi"/>
          <w:color w:val="auto"/>
        </w:rPr>
        <w:t xml:space="preserve">the </w:t>
      </w:r>
      <w:r w:rsidRPr="00365544">
        <w:rPr>
          <w:rFonts w:asciiTheme="minorHAnsi" w:hAnsiTheme="minorHAnsi" w:cstheme="minorHAnsi"/>
          <w:color w:val="auto"/>
        </w:rPr>
        <w:t>appropriate software.</w:t>
      </w:r>
      <w:bookmarkEnd w:id="4"/>
    </w:p>
    <w:p w14:paraId="44DFFB6F" w14:textId="77777777" w:rsidR="00AC55C1" w:rsidRPr="00365544" w:rsidRDefault="00AC55C1" w:rsidP="00365544">
      <w:pPr>
        <w:rPr>
          <w:rFonts w:asciiTheme="minorHAnsi" w:hAnsiTheme="minorHAnsi" w:cstheme="minorHAnsi"/>
          <w:b/>
          <w:color w:val="auto"/>
        </w:rPr>
      </w:pPr>
      <w:bookmarkStart w:id="8" w:name="Representative_Results"/>
      <w:bookmarkEnd w:id="3"/>
    </w:p>
    <w:p w14:paraId="6C5BFD87" w14:textId="2D2D7B4D" w:rsidR="00624A42" w:rsidRPr="00365544" w:rsidRDefault="00624A42" w:rsidP="00365544">
      <w:pPr>
        <w:rPr>
          <w:rFonts w:asciiTheme="minorHAnsi" w:hAnsiTheme="minorHAnsi" w:cstheme="minorHAnsi"/>
          <w:b/>
          <w:color w:val="auto"/>
        </w:rPr>
      </w:pPr>
      <w:r w:rsidRPr="00365544">
        <w:rPr>
          <w:rFonts w:asciiTheme="minorHAnsi" w:hAnsiTheme="minorHAnsi" w:cstheme="minorHAnsi"/>
          <w:b/>
          <w:color w:val="auto"/>
        </w:rPr>
        <w:t>REPRESENTATIVE RESULTS</w:t>
      </w:r>
      <w:bookmarkEnd w:id="8"/>
      <w:r w:rsidRPr="00365544">
        <w:rPr>
          <w:rFonts w:asciiTheme="minorHAnsi" w:hAnsiTheme="minorHAnsi" w:cstheme="minorHAnsi"/>
          <w:b/>
          <w:color w:val="auto"/>
        </w:rPr>
        <w:t>:</w:t>
      </w:r>
    </w:p>
    <w:p w14:paraId="21D55EE8" w14:textId="04DFFE8A" w:rsidR="00494F8A" w:rsidRPr="0010022E" w:rsidRDefault="00494F8A" w:rsidP="00365544">
      <w:pPr>
        <w:rPr>
          <w:rFonts w:asciiTheme="minorHAnsi" w:hAnsiTheme="minorHAnsi" w:cstheme="minorHAnsi"/>
          <w:color w:val="auto"/>
        </w:rPr>
      </w:pPr>
      <w:r w:rsidRPr="00365544">
        <w:rPr>
          <w:rFonts w:cstheme="minorHAnsi"/>
          <w:color w:val="auto"/>
        </w:rPr>
        <w:t>In this protocol</w:t>
      </w:r>
      <w:r w:rsidR="009A4EC0">
        <w:rPr>
          <w:rFonts w:cstheme="minorHAnsi"/>
          <w:color w:val="auto"/>
        </w:rPr>
        <w:t>,</w:t>
      </w:r>
      <w:r w:rsidRPr="00365544">
        <w:rPr>
          <w:rFonts w:cstheme="minorHAnsi"/>
          <w:color w:val="auto"/>
        </w:rPr>
        <w:t xml:space="preserve"> we present </w:t>
      </w:r>
      <w:r w:rsidRPr="00365544">
        <w:rPr>
          <w:color w:val="auto"/>
        </w:rPr>
        <w:t xml:space="preserve">an in vitro model </w:t>
      </w:r>
      <w:r w:rsidRPr="00365544">
        <w:rPr>
          <w:rFonts w:asciiTheme="minorHAnsi" w:hAnsiTheme="minorHAnsi" w:cstheme="minorHAnsi"/>
          <w:color w:val="auto"/>
        </w:rPr>
        <w:t>to assay OEG neuro</w:t>
      </w:r>
      <w:r w:rsidR="009807F6" w:rsidRPr="00365544">
        <w:rPr>
          <w:rFonts w:asciiTheme="minorHAnsi" w:hAnsiTheme="minorHAnsi" w:cstheme="minorHAnsi"/>
          <w:color w:val="auto"/>
        </w:rPr>
        <w:t>re</w:t>
      </w:r>
      <w:r w:rsidRPr="00365544">
        <w:rPr>
          <w:rFonts w:asciiTheme="minorHAnsi" w:hAnsiTheme="minorHAnsi" w:cstheme="minorHAnsi"/>
          <w:color w:val="auto"/>
        </w:rPr>
        <w:t>generative capacity after neur</w:t>
      </w:r>
      <w:r w:rsidR="00D91FDB" w:rsidRPr="00365544">
        <w:rPr>
          <w:rFonts w:asciiTheme="minorHAnsi" w:hAnsiTheme="minorHAnsi" w:cstheme="minorHAnsi"/>
          <w:color w:val="auto"/>
        </w:rPr>
        <w:t>on</w:t>
      </w:r>
      <w:r w:rsidRPr="00365544">
        <w:rPr>
          <w:rFonts w:asciiTheme="minorHAnsi" w:hAnsiTheme="minorHAnsi" w:cstheme="minorHAnsi"/>
          <w:color w:val="auto"/>
        </w:rPr>
        <w:t xml:space="preserve">al injury. </w:t>
      </w:r>
      <w:r w:rsidRPr="00365544">
        <w:rPr>
          <w:color w:val="auto"/>
        </w:rPr>
        <w:t xml:space="preserve">As shown in </w:t>
      </w:r>
      <w:r w:rsidRPr="0010022E">
        <w:rPr>
          <w:b/>
          <w:bCs/>
          <w:color w:val="auto"/>
        </w:rPr>
        <w:t>Figure 1</w:t>
      </w:r>
      <w:r w:rsidRPr="00365544">
        <w:rPr>
          <w:color w:val="auto"/>
        </w:rPr>
        <w:t>, the OEG source is a reversible immortalized human OEG clonal cell line</w:t>
      </w:r>
      <w:r w:rsidR="00AE78BA" w:rsidRPr="00365544">
        <w:rPr>
          <w:color w:val="auto"/>
        </w:rPr>
        <w:t xml:space="preserve"> -</w:t>
      </w:r>
      <w:r w:rsidRPr="00365544">
        <w:rPr>
          <w:color w:val="auto"/>
        </w:rPr>
        <w:t>Ts14 and Ts12</w:t>
      </w:r>
      <w:r w:rsidR="00AE78BA" w:rsidRPr="00365544">
        <w:rPr>
          <w:color w:val="auto"/>
        </w:rPr>
        <w:t xml:space="preserve">-, </w:t>
      </w:r>
      <w:r w:rsidRPr="00365544">
        <w:rPr>
          <w:color w:val="auto"/>
        </w:rPr>
        <w:t>which derives from primary cultures, prepared from olfactory bulbs obtained in autopsies</w:t>
      </w:r>
      <w:r w:rsidR="00AE78BA" w:rsidRPr="00365544">
        <w:rPr>
          <w:color w:val="auto"/>
          <w:vertAlign w:val="superscript"/>
        </w:rPr>
        <w:t>15,17,18</w:t>
      </w:r>
      <w:r w:rsidRPr="00365544">
        <w:rPr>
          <w:color w:val="auto"/>
        </w:rPr>
        <w:t>. Retinal tissue is extracted from adult rats, digested</w:t>
      </w:r>
      <w:r w:rsidR="00885093">
        <w:rPr>
          <w:color w:val="auto"/>
        </w:rPr>
        <w:t>,</w:t>
      </w:r>
      <w:r w:rsidRPr="00365544">
        <w:rPr>
          <w:color w:val="auto"/>
        </w:rPr>
        <w:t xml:space="preserve"> and retinal ganglion neurons (RGN) suspension is plated on either </w:t>
      </w:r>
      <w:r w:rsidR="00AE78BA" w:rsidRPr="00365544">
        <w:rPr>
          <w:color w:val="auto"/>
        </w:rPr>
        <w:t>PLL</w:t>
      </w:r>
      <w:r w:rsidRPr="00365544">
        <w:rPr>
          <w:color w:val="auto"/>
        </w:rPr>
        <w:t xml:space="preserve">-treated coverslips or </w:t>
      </w:r>
      <w:r w:rsidR="00AE78BA" w:rsidRPr="00365544">
        <w:rPr>
          <w:color w:val="auto"/>
        </w:rPr>
        <w:t xml:space="preserve">onto ihOEG monolayers, </w:t>
      </w:r>
      <w:r w:rsidRPr="00365544">
        <w:rPr>
          <w:color w:val="auto"/>
        </w:rPr>
        <w:t>Ts14</w:t>
      </w:r>
      <w:r w:rsidR="00AE78BA" w:rsidRPr="00365544">
        <w:rPr>
          <w:color w:val="auto"/>
        </w:rPr>
        <w:t xml:space="preserve"> or</w:t>
      </w:r>
      <w:r w:rsidRPr="00365544">
        <w:rPr>
          <w:color w:val="auto"/>
        </w:rPr>
        <w:t xml:space="preserve"> Ts1</w:t>
      </w:r>
      <w:r w:rsidR="00AE78BA" w:rsidRPr="00365544">
        <w:rPr>
          <w:color w:val="auto"/>
        </w:rPr>
        <w:t>2</w:t>
      </w:r>
      <w:r w:rsidRPr="00365544">
        <w:rPr>
          <w:color w:val="auto"/>
        </w:rPr>
        <w:t>. Cultures are maintained for 96 h before they are fixed. Axonal and somatodendritic markers are analyzed by immunofluorescence and axonal regeneration is quantified.</w:t>
      </w:r>
    </w:p>
    <w:p w14:paraId="34B8667C" w14:textId="77777777" w:rsidR="000C6595" w:rsidRPr="00365544" w:rsidRDefault="000C6595" w:rsidP="00365544">
      <w:pPr>
        <w:rPr>
          <w:rFonts w:cstheme="minorHAnsi"/>
          <w:color w:val="auto"/>
        </w:rPr>
      </w:pPr>
    </w:p>
    <w:p w14:paraId="55CA763D" w14:textId="2034B33A" w:rsidR="00494F8A" w:rsidRPr="00365544" w:rsidRDefault="00494F8A" w:rsidP="00365544">
      <w:pPr>
        <w:rPr>
          <w:color w:val="auto"/>
        </w:rPr>
      </w:pPr>
      <w:r w:rsidRPr="00365544">
        <w:rPr>
          <w:color w:val="auto"/>
        </w:rPr>
        <w:t>Ts14 OEG identity is assessed by immunostaining with markers described to be expressed in ensheathing glia</w:t>
      </w:r>
      <w:r w:rsidRPr="00365544">
        <w:rPr>
          <w:b/>
          <w:bCs/>
          <w:color w:val="auto"/>
        </w:rPr>
        <w:t xml:space="preserve"> </w:t>
      </w:r>
      <w:r w:rsidRPr="00365544">
        <w:rPr>
          <w:color w:val="auto"/>
        </w:rPr>
        <w:t>(</w:t>
      </w:r>
      <w:r w:rsidRPr="0010022E">
        <w:rPr>
          <w:b/>
          <w:bCs/>
          <w:color w:val="auto"/>
        </w:rPr>
        <w:t>Figure 2</w:t>
      </w:r>
      <w:r w:rsidRPr="00365544">
        <w:rPr>
          <w:color w:val="auto"/>
        </w:rPr>
        <w:t>), such as S100</w:t>
      </w:r>
      <w:r w:rsidRPr="00365544">
        <w:rPr>
          <w:rFonts w:cstheme="minorHAnsi"/>
          <w:color w:val="auto"/>
        </w:rPr>
        <w:t xml:space="preserve"> β</w:t>
      </w:r>
      <w:r w:rsidRPr="00365544">
        <w:rPr>
          <w:color w:val="auto"/>
        </w:rPr>
        <w:t xml:space="preserve"> (2A)</w:t>
      </w:r>
      <w:r w:rsidRPr="00365544">
        <w:rPr>
          <w:b/>
          <w:bCs/>
          <w:color w:val="auto"/>
        </w:rPr>
        <w:t xml:space="preserve"> </w:t>
      </w:r>
      <w:r w:rsidRPr="00365544">
        <w:rPr>
          <w:color w:val="auto"/>
        </w:rPr>
        <w:t>and vimentin (2B); GFAP expression was also analyzed to discard astrocyte contamination (2C). As shown, Ts14 expressed S100</w:t>
      </w:r>
      <w:r w:rsidRPr="00365544">
        <w:rPr>
          <w:rFonts w:cstheme="minorHAnsi"/>
          <w:color w:val="auto"/>
        </w:rPr>
        <w:t xml:space="preserve"> β</w:t>
      </w:r>
      <w:r w:rsidRPr="00365544">
        <w:rPr>
          <w:color w:val="auto"/>
        </w:rPr>
        <w:t xml:space="preserve"> and vimentin but not GFAP.</w:t>
      </w:r>
    </w:p>
    <w:p w14:paraId="795CB59E" w14:textId="77777777" w:rsidR="0056787B" w:rsidRPr="00365544" w:rsidRDefault="0056787B" w:rsidP="00365544">
      <w:pPr>
        <w:pStyle w:val="NormalWeb"/>
        <w:spacing w:before="0" w:beforeAutospacing="0" w:after="0" w:afterAutospacing="0"/>
        <w:rPr>
          <w:rFonts w:asciiTheme="minorHAnsi" w:hAnsiTheme="minorHAnsi" w:cstheme="minorHAnsi"/>
          <w:color w:val="auto"/>
        </w:rPr>
      </w:pPr>
    </w:p>
    <w:p w14:paraId="6FDD051D" w14:textId="0EEEF114" w:rsidR="00494F8A" w:rsidRPr="00365544" w:rsidRDefault="00494F8A" w:rsidP="00365544">
      <w:pPr>
        <w:rPr>
          <w:color w:val="auto"/>
        </w:rPr>
      </w:pPr>
      <w:r w:rsidRPr="00365544">
        <w:rPr>
          <w:color w:val="auto"/>
        </w:rPr>
        <w:t>In the axonal regeneration assay, Ts14 regenerative capacity is compared to Ts12 in RGN-OEG cocultures, using PLL</w:t>
      </w:r>
      <w:r w:rsidR="00AE78BA" w:rsidRPr="00365544">
        <w:rPr>
          <w:color w:val="auto"/>
        </w:rPr>
        <w:t xml:space="preserve"> </w:t>
      </w:r>
      <w:r w:rsidRPr="00365544">
        <w:rPr>
          <w:color w:val="auto"/>
        </w:rPr>
        <w:t>substrate as a negative control (</w:t>
      </w:r>
      <w:r w:rsidRPr="0010022E">
        <w:rPr>
          <w:b/>
          <w:bCs/>
          <w:color w:val="auto"/>
        </w:rPr>
        <w:t>Figure 3</w:t>
      </w:r>
      <w:r w:rsidRPr="00365544">
        <w:rPr>
          <w:color w:val="auto"/>
        </w:rPr>
        <w:t xml:space="preserve">). Both the percentage of cells with </w:t>
      </w:r>
      <w:r w:rsidRPr="00365544">
        <w:rPr>
          <w:color w:val="auto"/>
        </w:rPr>
        <w:lastRenderedPageBreak/>
        <w:t>axons as well as the average length of the regenerated axons were significantly higher in neurons cocultured on Ts14 monolayers, compared to neurons plated on either Ts12 cells or PLL</w:t>
      </w:r>
      <w:r w:rsidRPr="0010022E">
        <w:rPr>
          <w:color w:val="auto"/>
        </w:rPr>
        <w:t xml:space="preserve"> </w:t>
      </w:r>
      <w:r w:rsidRPr="00365544">
        <w:rPr>
          <w:color w:val="auto"/>
        </w:rPr>
        <w:t>(</w:t>
      </w:r>
      <w:r w:rsidR="00885093" w:rsidRPr="0010022E">
        <w:rPr>
          <w:b/>
          <w:bCs/>
          <w:color w:val="auto"/>
        </w:rPr>
        <w:t xml:space="preserve">Figures </w:t>
      </w:r>
      <w:r w:rsidRPr="0010022E">
        <w:rPr>
          <w:b/>
          <w:bCs/>
          <w:color w:val="auto"/>
        </w:rPr>
        <w:t>3D,E</w:t>
      </w:r>
      <w:r w:rsidRPr="00365544">
        <w:rPr>
          <w:color w:val="auto"/>
        </w:rPr>
        <w:t>). Representative images show a lack of capacity of RGN to regenerate their axons over PLL or Ts12 cells (</w:t>
      </w:r>
      <w:r w:rsidR="00885093" w:rsidRPr="0010022E">
        <w:rPr>
          <w:b/>
          <w:bCs/>
          <w:color w:val="auto"/>
        </w:rPr>
        <w:t xml:space="preserve">Figures </w:t>
      </w:r>
      <w:r w:rsidRPr="0010022E">
        <w:rPr>
          <w:b/>
          <w:bCs/>
          <w:color w:val="auto"/>
        </w:rPr>
        <w:t>3A,B</w:t>
      </w:r>
      <w:r w:rsidRPr="00365544">
        <w:rPr>
          <w:color w:val="auto"/>
        </w:rPr>
        <w:t>),</w:t>
      </w:r>
      <w:r w:rsidRPr="00365544">
        <w:rPr>
          <w:b/>
          <w:bCs/>
          <w:color w:val="auto"/>
        </w:rPr>
        <w:t xml:space="preserve"> </w:t>
      </w:r>
      <w:r w:rsidRPr="00365544">
        <w:rPr>
          <w:color w:val="auto"/>
        </w:rPr>
        <w:t>while Ts14 stimulates the outgrowth of axons in RGN (3C).</w:t>
      </w:r>
    </w:p>
    <w:p w14:paraId="4273B885" w14:textId="6E8A3696" w:rsidR="00365544" w:rsidRDefault="00365544" w:rsidP="00365544">
      <w:pPr>
        <w:rPr>
          <w:rFonts w:asciiTheme="minorHAnsi" w:hAnsiTheme="minorHAnsi" w:cstheme="minorHAnsi"/>
          <w:b/>
          <w:color w:val="auto"/>
        </w:rPr>
      </w:pPr>
    </w:p>
    <w:p w14:paraId="475D0045" w14:textId="57D2F1DA" w:rsidR="00885093" w:rsidRDefault="00885093" w:rsidP="00365544">
      <w:pPr>
        <w:rPr>
          <w:rFonts w:asciiTheme="minorHAnsi" w:hAnsiTheme="minorHAnsi" w:cstheme="minorHAnsi"/>
          <w:b/>
          <w:color w:val="auto"/>
        </w:rPr>
      </w:pPr>
      <w:r>
        <w:rPr>
          <w:rFonts w:asciiTheme="minorHAnsi" w:hAnsiTheme="minorHAnsi" w:cstheme="minorHAnsi"/>
          <w:b/>
          <w:color w:val="auto"/>
        </w:rPr>
        <w:t>FIGURE AND TABLE LEGENDS:</w:t>
      </w:r>
    </w:p>
    <w:p w14:paraId="14BD720F" w14:textId="77777777" w:rsidR="00885093" w:rsidRPr="00365544" w:rsidRDefault="00885093" w:rsidP="00365544">
      <w:pPr>
        <w:rPr>
          <w:rFonts w:asciiTheme="minorHAnsi" w:hAnsiTheme="minorHAnsi" w:cstheme="minorHAnsi"/>
          <w:b/>
          <w:color w:val="auto"/>
        </w:rPr>
      </w:pPr>
    </w:p>
    <w:p w14:paraId="6C7A9DD5" w14:textId="096E00BF" w:rsidR="00365544" w:rsidRPr="00365544" w:rsidRDefault="00365544" w:rsidP="00365544">
      <w:pPr>
        <w:rPr>
          <w:rFonts w:cstheme="minorHAnsi"/>
          <w:color w:val="auto"/>
        </w:rPr>
      </w:pPr>
      <w:r w:rsidRPr="00365544">
        <w:rPr>
          <w:b/>
          <w:bCs/>
          <w:color w:val="auto"/>
        </w:rPr>
        <w:t>Figure 1</w:t>
      </w:r>
      <w:r w:rsidR="00885093">
        <w:rPr>
          <w:b/>
          <w:bCs/>
          <w:color w:val="auto"/>
        </w:rPr>
        <w:t>:</w:t>
      </w:r>
      <w:r w:rsidRPr="00365544">
        <w:rPr>
          <w:color w:val="auto"/>
        </w:rPr>
        <w:t xml:space="preserve"> </w:t>
      </w:r>
      <w:r w:rsidRPr="00365544">
        <w:rPr>
          <w:b/>
          <w:bCs/>
          <w:color w:val="auto"/>
        </w:rPr>
        <w:t xml:space="preserve">Diagram </w:t>
      </w:r>
      <w:bookmarkStart w:id="9" w:name="_Hlk45389798"/>
      <w:r w:rsidRPr="00365544">
        <w:rPr>
          <w:rFonts w:cstheme="minorHAnsi"/>
          <w:b/>
          <w:bCs/>
          <w:color w:val="auto"/>
        </w:rPr>
        <w:t xml:space="preserve">of rat retinal ganglion neurons with olfactory ensheathing glia cells coculture, as a model of adult axonal regeneration. </w:t>
      </w:r>
      <w:r w:rsidRPr="00365544">
        <w:rPr>
          <w:color w:val="auto"/>
        </w:rPr>
        <w:t>Immortalized human OEG (ihOEG) clonal cell lines -Ts12 and Ts14- derive</w:t>
      </w:r>
      <w:r w:rsidR="00885093">
        <w:rPr>
          <w:color w:val="auto"/>
        </w:rPr>
        <w:t>d</w:t>
      </w:r>
      <w:r w:rsidRPr="00365544">
        <w:rPr>
          <w:color w:val="auto"/>
        </w:rPr>
        <w:t xml:space="preserve"> from primary cultures from olfactory bulbs. Retinal ganglion neurons from adult rats are plated on either PLL-treated coverslips (negative control) or onto Ts14 or Ts12 monolayers. Cultures are maintained for 96 h before they are fixed and axonal and somatodendritic markers are analyzed by immunofluorescence. Percentage of neurons with axon and mean axonal length/neuron are quantified to assay RGN axonal regeneration.</w:t>
      </w:r>
      <w:bookmarkEnd w:id="9"/>
    </w:p>
    <w:p w14:paraId="3705D437" w14:textId="77777777" w:rsidR="00365544" w:rsidRPr="00365544" w:rsidRDefault="00365544" w:rsidP="00365544">
      <w:pPr>
        <w:rPr>
          <w:rFonts w:cstheme="minorHAnsi"/>
          <w:color w:val="auto"/>
        </w:rPr>
      </w:pPr>
    </w:p>
    <w:p w14:paraId="75AB01BE" w14:textId="2D89535D" w:rsidR="00365544" w:rsidRPr="00365544" w:rsidRDefault="00365544" w:rsidP="00365544">
      <w:pPr>
        <w:rPr>
          <w:color w:val="auto"/>
        </w:rPr>
      </w:pPr>
      <w:r w:rsidRPr="00365544">
        <w:rPr>
          <w:b/>
          <w:bCs/>
          <w:color w:val="auto"/>
        </w:rPr>
        <w:t>Figure 2</w:t>
      </w:r>
      <w:r w:rsidR="00885093">
        <w:rPr>
          <w:b/>
          <w:bCs/>
          <w:color w:val="auto"/>
        </w:rPr>
        <w:t>:</w:t>
      </w:r>
      <w:r w:rsidRPr="00365544">
        <w:rPr>
          <w:b/>
          <w:bCs/>
          <w:color w:val="auto"/>
        </w:rPr>
        <w:t xml:space="preserve"> Identity of ihOEG cell line Ts14.</w:t>
      </w:r>
      <w:r w:rsidRPr="00365544">
        <w:rPr>
          <w:color w:val="auto"/>
        </w:rPr>
        <w:t xml:space="preserve"> Immunofluorescence images of Ts14 in culture, labeled with anti-S100</w:t>
      </w:r>
      <w:r w:rsidRPr="00365544">
        <w:rPr>
          <w:rFonts w:cstheme="minorHAnsi"/>
          <w:color w:val="auto"/>
        </w:rPr>
        <w:t xml:space="preserve"> β (panel A, green) and vimentin (panel B, red)</w:t>
      </w:r>
      <w:r w:rsidRPr="00365544">
        <w:rPr>
          <w:color w:val="auto"/>
        </w:rPr>
        <w:t>. GFAP expression (panel C, red) was also analyzed to discard astrocyte contamination. Nuclei are stained with DAPI (blue).</w:t>
      </w:r>
    </w:p>
    <w:p w14:paraId="17B60361" w14:textId="1DB6FAFB" w:rsidR="002F63FD" w:rsidRPr="00365544" w:rsidRDefault="002F63FD" w:rsidP="00365544">
      <w:pPr>
        <w:pStyle w:val="NormalWeb"/>
        <w:spacing w:before="0" w:beforeAutospacing="0" w:after="0" w:afterAutospacing="0"/>
        <w:rPr>
          <w:rFonts w:asciiTheme="minorHAnsi" w:hAnsiTheme="minorHAnsi" w:cstheme="minorHAnsi"/>
          <w:color w:val="auto"/>
        </w:rPr>
      </w:pPr>
    </w:p>
    <w:p w14:paraId="7419F9B8" w14:textId="1F7A03FF" w:rsidR="00494F8A" w:rsidRPr="0010022E" w:rsidRDefault="0056787B" w:rsidP="00365544">
      <w:pPr>
        <w:rPr>
          <w:color w:val="auto"/>
        </w:rPr>
      </w:pPr>
      <w:r w:rsidRPr="00365544">
        <w:rPr>
          <w:b/>
          <w:bCs/>
          <w:color w:val="auto"/>
        </w:rPr>
        <w:t>Figure 3</w:t>
      </w:r>
      <w:r w:rsidR="00885093">
        <w:rPr>
          <w:b/>
          <w:bCs/>
          <w:color w:val="auto"/>
        </w:rPr>
        <w:t>:</w:t>
      </w:r>
      <w:r w:rsidRPr="00365544">
        <w:rPr>
          <w:b/>
          <w:bCs/>
          <w:color w:val="auto"/>
        </w:rPr>
        <w:t xml:space="preserve"> Assay for axonal regeneration in cocultures of OEG lines with adult retinal ganglion neurons (RGNs). </w:t>
      </w:r>
      <w:r w:rsidRPr="0010022E">
        <w:rPr>
          <w:color w:val="auto"/>
        </w:rPr>
        <w:t>(</w:t>
      </w:r>
      <w:r w:rsidRPr="00365544">
        <w:rPr>
          <w:b/>
          <w:bCs/>
          <w:color w:val="auto"/>
        </w:rPr>
        <w:t>A</w:t>
      </w:r>
      <w:r w:rsidR="000B026B">
        <w:rPr>
          <w:b/>
          <w:bCs/>
          <w:color w:val="auto"/>
        </w:rPr>
        <w:t>–</w:t>
      </w:r>
      <w:r w:rsidRPr="00365544">
        <w:rPr>
          <w:b/>
          <w:bCs/>
          <w:color w:val="auto"/>
        </w:rPr>
        <w:t>C</w:t>
      </w:r>
      <w:r w:rsidRPr="0010022E">
        <w:rPr>
          <w:color w:val="auto"/>
        </w:rPr>
        <w:t>)</w:t>
      </w:r>
      <w:r w:rsidRPr="00365544">
        <w:rPr>
          <w:color w:val="auto"/>
        </w:rPr>
        <w:t xml:space="preserve"> Immunofluorescence images showing somatodendritic labelling with </w:t>
      </w:r>
      <w:r w:rsidR="005819B8" w:rsidRPr="00365544">
        <w:rPr>
          <w:color w:val="auto"/>
        </w:rPr>
        <w:t xml:space="preserve">514 </w:t>
      </w:r>
      <w:r w:rsidR="000B026B" w:rsidRPr="00365544">
        <w:rPr>
          <w:color w:val="auto"/>
        </w:rPr>
        <w:t>antibodies</w:t>
      </w:r>
      <w:r w:rsidR="005819B8" w:rsidRPr="00365544">
        <w:rPr>
          <w:color w:val="auto"/>
        </w:rPr>
        <w:t xml:space="preserve">, which recognizes </w:t>
      </w:r>
      <w:r w:rsidRPr="00365544">
        <w:rPr>
          <w:color w:val="auto"/>
        </w:rPr>
        <w:t>microtubule-associated protein MAP</w:t>
      </w:r>
      <w:r w:rsidR="005819B8" w:rsidRPr="00365544">
        <w:rPr>
          <w:color w:val="auto"/>
        </w:rPr>
        <w:t>2A and B,</w:t>
      </w:r>
      <w:r w:rsidRPr="00365544">
        <w:rPr>
          <w:color w:val="auto"/>
        </w:rPr>
        <w:t xml:space="preserve"> in red</w:t>
      </w:r>
      <w:r w:rsidR="005819B8" w:rsidRPr="00365544">
        <w:rPr>
          <w:color w:val="auto"/>
        </w:rPr>
        <w:t xml:space="preserve">, </w:t>
      </w:r>
      <w:r w:rsidRPr="00365544">
        <w:rPr>
          <w:color w:val="auto"/>
        </w:rPr>
        <w:t>and with axon-specific SMI31 antibody in green</w:t>
      </w:r>
      <w:r w:rsidR="005819B8" w:rsidRPr="00365544">
        <w:rPr>
          <w:color w:val="auto"/>
        </w:rPr>
        <w:t>, against MAP1B and NF-H proteins</w:t>
      </w:r>
      <w:r w:rsidRPr="00365544">
        <w:rPr>
          <w:color w:val="auto"/>
        </w:rPr>
        <w:t>. Green arrows indicate RGN axons (SMI31-positive: green) and yellow arrows indicate neuronal bodies and dendrites (51</w:t>
      </w:r>
      <w:r w:rsidR="00B009B3" w:rsidRPr="00365544">
        <w:rPr>
          <w:color w:val="auto"/>
        </w:rPr>
        <w:t xml:space="preserve">4 </w:t>
      </w:r>
      <w:r w:rsidRPr="00365544">
        <w:rPr>
          <w:color w:val="auto"/>
        </w:rPr>
        <w:t xml:space="preserve">positive: red and yellow). </w:t>
      </w:r>
      <w:r w:rsidRPr="0010022E">
        <w:rPr>
          <w:color w:val="auto"/>
        </w:rPr>
        <w:t>(</w:t>
      </w:r>
      <w:r w:rsidRPr="00365544">
        <w:rPr>
          <w:b/>
          <w:bCs/>
          <w:color w:val="auto"/>
        </w:rPr>
        <w:t>D,E</w:t>
      </w:r>
      <w:r w:rsidRPr="0010022E">
        <w:rPr>
          <w:color w:val="auto"/>
        </w:rPr>
        <w:t>)</w:t>
      </w:r>
      <w:r w:rsidRPr="00365544">
        <w:rPr>
          <w:color w:val="auto"/>
        </w:rPr>
        <w:t xml:space="preserve"> Graphs show mean and standard deviation of the percentage of neurons exhibiting axons and the axonal regeneration index, a parameter reflecting the </w:t>
      </w:r>
      <w:r w:rsidR="00DC0575" w:rsidRPr="00365544">
        <w:rPr>
          <w:color w:val="auto"/>
        </w:rPr>
        <w:t>mean axonal length</w:t>
      </w:r>
      <w:r w:rsidRPr="00365544">
        <w:rPr>
          <w:color w:val="auto"/>
        </w:rPr>
        <w:t xml:space="preserve"> (</w:t>
      </w:r>
      <w:r w:rsidRPr="00365544">
        <w:rPr>
          <w:rFonts w:cstheme="minorHAnsi"/>
          <w:color w:val="auto"/>
        </w:rPr>
        <w:t>µ</w:t>
      </w:r>
      <w:r w:rsidR="00AD4EAF" w:rsidRPr="00365544">
        <w:rPr>
          <w:color w:val="auto"/>
        </w:rPr>
        <w:t>M</w:t>
      </w:r>
      <w:r w:rsidRPr="00365544">
        <w:rPr>
          <w:color w:val="auto"/>
        </w:rPr>
        <w:t>) of axons per</w:t>
      </w:r>
      <w:r w:rsidR="00DC0575" w:rsidRPr="00365544">
        <w:rPr>
          <w:color w:val="auto"/>
        </w:rPr>
        <w:t xml:space="preserve"> </w:t>
      </w:r>
      <w:r w:rsidR="00AD4EAF" w:rsidRPr="00365544">
        <w:rPr>
          <w:color w:val="auto"/>
        </w:rPr>
        <w:t>neuron</w:t>
      </w:r>
      <w:r w:rsidRPr="00365544">
        <w:rPr>
          <w:color w:val="auto"/>
        </w:rPr>
        <w:t xml:space="preserve">. </w:t>
      </w:r>
      <w:r w:rsidR="009A4990" w:rsidRPr="00365544">
        <w:rPr>
          <w:color w:val="auto"/>
        </w:rPr>
        <w:t xml:space="preserve">A minimum of 30 pictures (40x) were taken on random fields </w:t>
      </w:r>
      <w:r w:rsidRPr="00365544">
        <w:rPr>
          <w:color w:val="auto"/>
        </w:rPr>
        <w:t xml:space="preserve">and quantified for each cell sample. </w:t>
      </w:r>
      <w:r w:rsidR="00AF5B7A" w:rsidRPr="00365544">
        <w:rPr>
          <w:color w:val="auto"/>
          <w:lang w:val="en-GB"/>
        </w:rPr>
        <w:t>Experiments were performed in triplicate, from three different rats (N</w:t>
      </w:r>
      <w:r w:rsidR="000B026B">
        <w:rPr>
          <w:color w:val="auto"/>
          <w:lang w:val="en-GB"/>
        </w:rPr>
        <w:t xml:space="preserve"> </w:t>
      </w:r>
      <w:r w:rsidR="00AF5B7A" w:rsidRPr="00365544">
        <w:rPr>
          <w:color w:val="auto"/>
          <w:lang w:val="en-GB"/>
        </w:rPr>
        <w:t>=</w:t>
      </w:r>
      <w:r w:rsidR="000B026B">
        <w:rPr>
          <w:color w:val="auto"/>
          <w:lang w:val="en-GB"/>
        </w:rPr>
        <w:t xml:space="preserve"> </w:t>
      </w:r>
      <w:r w:rsidR="00AF5B7A" w:rsidRPr="00365544">
        <w:rPr>
          <w:color w:val="auto"/>
          <w:lang w:val="en-GB"/>
        </w:rPr>
        <w:t xml:space="preserve">3), retinal tissue pooled from both eyes, with duplicates for each experimental condition (each glia population tested). </w:t>
      </w:r>
      <w:r w:rsidR="00F41DE5" w:rsidRPr="00365544">
        <w:rPr>
          <w:color w:val="auto"/>
        </w:rPr>
        <w:t>A</w:t>
      </w:r>
      <w:r w:rsidRPr="00365544">
        <w:rPr>
          <w:color w:val="auto"/>
        </w:rPr>
        <w:t>sterisks indicate the statistical significance: *p &lt; 0.05</w:t>
      </w:r>
      <w:r w:rsidR="00C76BF8" w:rsidRPr="00365544">
        <w:rPr>
          <w:color w:val="auto"/>
        </w:rPr>
        <w:t xml:space="preserve">, </w:t>
      </w:r>
      <w:r w:rsidRPr="00365544">
        <w:rPr>
          <w:color w:val="auto"/>
        </w:rPr>
        <w:t>**p &lt; 0.01, ***p &lt; 0.001, NS: non significance (ANOVA and post hoc Tukey test comparisons between parameters quantified for Ts14 vs Ts12</w:t>
      </w:r>
      <w:r w:rsidR="00AD4EAF" w:rsidRPr="00365544">
        <w:rPr>
          <w:color w:val="auto"/>
        </w:rPr>
        <w:t xml:space="preserve">, </w:t>
      </w:r>
      <w:r w:rsidRPr="00365544">
        <w:rPr>
          <w:color w:val="auto"/>
        </w:rPr>
        <w:t>Ts14 vs PLL</w:t>
      </w:r>
      <w:r w:rsidR="000B026B">
        <w:rPr>
          <w:color w:val="auto"/>
        </w:rPr>
        <w:t>,</w:t>
      </w:r>
      <w:r w:rsidR="00AD4EAF" w:rsidRPr="00365544">
        <w:rPr>
          <w:color w:val="auto"/>
        </w:rPr>
        <w:t xml:space="preserve"> and Ts12 vs PLL</w:t>
      </w:r>
      <w:r w:rsidRPr="00365544">
        <w:rPr>
          <w:color w:val="auto"/>
        </w:rPr>
        <w:t>).</w:t>
      </w:r>
    </w:p>
    <w:p w14:paraId="4DDDB77C" w14:textId="6690C4A4" w:rsidR="004D7910" w:rsidRPr="00365544" w:rsidRDefault="004D7910" w:rsidP="00365544">
      <w:pPr>
        <w:rPr>
          <w:rFonts w:asciiTheme="minorHAnsi" w:hAnsiTheme="minorHAnsi" w:cstheme="minorHAnsi"/>
          <w:b/>
          <w:color w:val="auto"/>
        </w:rPr>
      </w:pPr>
    </w:p>
    <w:p w14:paraId="0B6526BE" w14:textId="26F810ED" w:rsidR="00086FF5" w:rsidRPr="00365544" w:rsidRDefault="009726EE" w:rsidP="00365544">
      <w:pPr>
        <w:rPr>
          <w:rFonts w:asciiTheme="minorHAnsi" w:hAnsiTheme="minorHAnsi" w:cstheme="minorHAnsi"/>
          <w:color w:val="auto"/>
        </w:rPr>
      </w:pPr>
      <w:bookmarkStart w:id="10" w:name="Discussion"/>
      <w:bookmarkStart w:id="11" w:name="_Hlk45964281"/>
      <w:r w:rsidRPr="00365544">
        <w:rPr>
          <w:rFonts w:asciiTheme="minorHAnsi" w:hAnsiTheme="minorHAnsi" w:cstheme="minorHAnsi"/>
          <w:b/>
          <w:color w:val="auto"/>
        </w:rPr>
        <w:t>DISCUSSION</w:t>
      </w:r>
      <w:bookmarkEnd w:id="10"/>
      <w:r w:rsidRPr="00365544">
        <w:rPr>
          <w:rFonts w:asciiTheme="minorHAnsi" w:hAnsiTheme="minorHAnsi" w:cstheme="minorHAnsi"/>
          <w:b/>
          <w:bCs/>
          <w:color w:val="auto"/>
        </w:rPr>
        <w:t>:</w:t>
      </w:r>
    </w:p>
    <w:bookmarkEnd w:id="11"/>
    <w:p w14:paraId="3949BDF2" w14:textId="0C219114" w:rsidR="00010224" w:rsidRDefault="00010224" w:rsidP="00365544">
      <w:pPr>
        <w:rPr>
          <w:rFonts w:cstheme="minorHAnsi"/>
          <w:color w:val="auto"/>
        </w:rPr>
      </w:pPr>
      <w:r w:rsidRPr="00365544">
        <w:rPr>
          <w:rFonts w:cstheme="minorHAnsi"/>
          <w:color w:val="auto"/>
        </w:rPr>
        <w:t>OEG transplantation at CNS injury sites is considered a promising therapy for CNS injury due to its constitutive pro-neuroregenerative properties</w:t>
      </w:r>
      <w:r w:rsidRPr="00365544">
        <w:rPr>
          <w:rFonts w:cstheme="minorHAnsi"/>
          <w:color w:val="auto"/>
          <w:vertAlign w:val="superscript"/>
        </w:rPr>
        <w:t>7</w:t>
      </w:r>
      <w:r w:rsidR="00063338">
        <w:rPr>
          <w:rFonts w:cstheme="minorHAnsi"/>
          <w:color w:val="auto"/>
          <w:vertAlign w:val="superscript"/>
        </w:rPr>
        <w:t>–</w:t>
      </w:r>
      <w:r w:rsidRPr="00365544">
        <w:rPr>
          <w:rFonts w:cstheme="minorHAnsi"/>
          <w:color w:val="auto"/>
          <w:vertAlign w:val="superscript"/>
        </w:rPr>
        <w:t>9</w:t>
      </w:r>
      <w:r w:rsidRPr="00365544">
        <w:rPr>
          <w:rFonts w:cstheme="minorHAnsi"/>
          <w:color w:val="auto"/>
        </w:rPr>
        <w:t>. However, depending on the tissue source</w:t>
      </w:r>
      <w:r w:rsidR="00063338">
        <w:rPr>
          <w:rFonts w:cstheme="minorHAnsi"/>
          <w:color w:val="auto"/>
        </w:rPr>
        <w:t>—</w:t>
      </w:r>
      <w:r w:rsidRPr="00365544">
        <w:rPr>
          <w:rFonts w:cstheme="minorHAnsi"/>
          <w:color w:val="auto"/>
        </w:rPr>
        <w:t>olfactory mucosa (OM-OEG) versus olfactory bulb (OB-OEG)</w:t>
      </w:r>
      <w:r w:rsidR="00063338">
        <w:rPr>
          <w:rFonts w:cstheme="minorHAnsi"/>
          <w:color w:val="auto"/>
        </w:rPr>
        <w:t>—</w:t>
      </w:r>
      <w:r w:rsidRPr="00365544">
        <w:rPr>
          <w:rFonts w:cstheme="minorHAnsi"/>
          <w:color w:val="auto"/>
        </w:rPr>
        <w:t xml:space="preserve">or </w:t>
      </w:r>
      <w:r w:rsidR="00063338">
        <w:rPr>
          <w:rFonts w:cstheme="minorHAnsi"/>
          <w:color w:val="auto"/>
        </w:rPr>
        <w:t xml:space="preserve">the </w:t>
      </w:r>
      <w:r w:rsidRPr="00365544">
        <w:rPr>
          <w:rFonts w:cstheme="minorHAnsi"/>
          <w:color w:val="auto"/>
        </w:rPr>
        <w:t xml:space="preserve">age of </w:t>
      </w:r>
      <w:r w:rsidR="00063338">
        <w:rPr>
          <w:rFonts w:cstheme="minorHAnsi"/>
          <w:color w:val="auto"/>
        </w:rPr>
        <w:t xml:space="preserve">the </w:t>
      </w:r>
      <w:r w:rsidRPr="00365544">
        <w:rPr>
          <w:rFonts w:cstheme="minorHAnsi"/>
          <w:color w:val="auto"/>
        </w:rPr>
        <w:t>donor, considerable variation exists in such capacity</w:t>
      </w:r>
      <w:r w:rsidRPr="00365544">
        <w:rPr>
          <w:rFonts w:cstheme="minorHAnsi"/>
          <w:color w:val="auto"/>
          <w:vertAlign w:val="superscript"/>
        </w:rPr>
        <w:t>26,31,33,3</w:t>
      </w:r>
      <w:r w:rsidR="00C60A55" w:rsidRPr="00365544">
        <w:rPr>
          <w:rFonts w:cstheme="minorHAnsi"/>
          <w:color w:val="auto"/>
          <w:vertAlign w:val="superscript"/>
        </w:rPr>
        <w:t>6</w:t>
      </w:r>
      <w:r w:rsidRPr="00365544">
        <w:rPr>
          <w:rFonts w:cstheme="minorHAnsi"/>
          <w:color w:val="auto"/>
        </w:rPr>
        <w:t>. Therefore, it is of importance to have an easy and reproducible in vitro model to assay the neuro</w:t>
      </w:r>
      <w:r w:rsidR="009807F6" w:rsidRPr="00365544">
        <w:rPr>
          <w:rFonts w:cstheme="minorHAnsi"/>
          <w:color w:val="auto"/>
        </w:rPr>
        <w:t>re</w:t>
      </w:r>
      <w:r w:rsidRPr="00365544">
        <w:rPr>
          <w:rFonts w:cstheme="minorHAnsi"/>
          <w:color w:val="auto"/>
        </w:rPr>
        <w:t xml:space="preserve">generative capacity of a given OEG sample, before initiating in vivo studies. In </w:t>
      </w:r>
      <w:r w:rsidR="00063338" w:rsidRPr="00365544">
        <w:rPr>
          <w:rFonts w:cstheme="minorHAnsi"/>
          <w:color w:val="auto"/>
        </w:rPr>
        <w:t>th</w:t>
      </w:r>
      <w:r w:rsidR="00063338">
        <w:rPr>
          <w:rFonts w:cstheme="minorHAnsi"/>
          <w:color w:val="auto"/>
        </w:rPr>
        <w:t>is</w:t>
      </w:r>
      <w:r w:rsidR="00063338" w:rsidRPr="00365544">
        <w:rPr>
          <w:rFonts w:cstheme="minorHAnsi"/>
          <w:color w:val="auto"/>
        </w:rPr>
        <w:t xml:space="preserve"> </w:t>
      </w:r>
      <w:r w:rsidRPr="00365544">
        <w:rPr>
          <w:rFonts w:cstheme="minorHAnsi"/>
          <w:color w:val="auto"/>
        </w:rPr>
        <w:t xml:space="preserve">protocol, </w:t>
      </w:r>
      <w:r w:rsidR="003420EB" w:rsidRPr="00365544">
        <w:rPr>
          <w:rFonts w:cstheme="minorHAnsi"/>
          <w:color w:val="auto"/>
        </w:rPr>
        <w:t>adult rat</w:t>
      </w:r>
      <w:r w:rsidR="00063338">
        <w:rPr>
          <w:rFonts w:cstheme="minorHAnsi"/>
          <w:color w:val="auto"/>
        </w:rPr>
        <w:t>s’</w:t>
      </w:r>
      <w:r w:rsidR="003420EB" w:rsidRPr="00365544">
        <w:rPr>
          <w:rFonts w:cstheme="minorHAnsi"/>
          <w:color w:val="auto"/>
        </w:rPr>
        <w:t xml:space="preserve"> axotomized RGN are cocultured onto </w:t>
      </w:r>
      <w:r w:rsidRPr="00365544">
        <w:rPr>
          <w:rFonts w:cstheme="minorHAnsi"/>
          <w:color w:val="auto"/>
        </w:rPr>
        <w:t xml:space="preserve">a monolayer of </w:t>
      </w:r>
      <w:r w:rsidR="003420EB" w:rsidRPr="00365544">
        <w:rPr>
          <w:rFonts w:cstheme="minorHAnsi"/>
          <w:color w:val="auto"/>
        </w:rPr>
        <w:t xml:space="preserve">the </w:t>
      </w:r>
      <w:r w:rsidRPr="00365544">
        <w:rPr>
          <w:rFonts w:cstheme="minorHAnsi"/>
          <w:color w:val="auto"/>
        </w:rPr>
        <w:t>OEG to assay. Subsequent analysis of RGN axonal and somatodendritic markers by immunofluorescence is performed to assess RGN axonal regeneration.</w:t>
      </w:r>
    </w:p>
    <w:p w14:paraId="11547A9A" w14:textId="77777777" w:rsidR="00365544" w:rsidRPr="00365544" w:rsidRDefault="00365544" w:rsidP="00365544">
      <w:pPr>
        <w:rPr>
          <w:rFonts w:cstheme="minorHAnsi"/>
          <w:color w:val="auto"/>
        </w:rPr>
      </w:pPr>
    </w:p>
    <w:p w14:paraId="310356B9" w14:textId="5E6E4ACB" w:rsidR="00010224" w:rsidRDefault="00010224" w:rsidP="00365544">
      <w:pPr>
        <w:rPr>
          <w:rFonts w:cstheme="minorHAnsi"/>
          <w:color w:val="auto"/>
        </w:rPr>
      </w:pPr>
      <w:r w:rsidRPr="00365544">
        <w:rPr>
          <w:rFonts w:cstheme="minorHAnsi"/>
          <w:color w:val="auto"/>
        </w:rPr>
        <w:lastRenderedPageBreak/>
        <w:t>An initial difficulty of the assay is the source of OEG. In this work</w:t>
      </w:r>
      <w:r w:rsidR="0019600F">
        <w:rPr>
          <w:rFonts w:cstheme="minorHAnsi"/>
          <w:color w:val="auto"/>
        </w:rPr>
        <w:t>,</w:t>
      </w:r>
      <w:r w:rsidRPr="00365544">
        <w:rPr>
          <w:rFonts w:cstheme="minorHAnsi"/>
          <w:color w:val="auto"/>
        </w:rPr>
        <w:t xml:space="preserve"> we use </w:t>
      </w:r>
      <w:r w:rsidRPr="00365544">
        <w:rPr>
          <w:color w:val="auto"/>
        </w:rPr>
        <w:t>reversible immortalized human OEG (ihOEG) clonal lines, previously established and characterized by our group</w:t>
      </w:r>
      <w:r w:rsidRPr="00365544">
        <w:rPr>
          <w:color w:val="auto"/>
          <w:vertAlign w:val="superscript"/>
        </w:rPr>
        <w:t>15</w:t>
      </w:r>
      <w:r w:rsidR="00D27CE9">
        <w:rPr>
          <w:color w:val="auto"/>
          <w:vertAlign w:val="superscript"/>
        </w:rPr>
        <w:t>–</w:t>
      </w:r>
      <w:r w:rsidRPr="00365544">
        <w:rPr>
          <w:color w:val="auto"/>
          <w:vertAlign w:val="superscript"/>
        </w:rPr>
        <w:t>18</w:t>
      </w:r>
      <w:r w:rsidRPr="00365544">
        <w:rPr>
          <w:color w:val="auto"/>
        </w:rPr>
        <w:t>, which provide an unlimited supply of homogeneous OEG. Two of these ihOEG cell lines are Ts14, which maintains the regenerative capacity of the original cultures and Ts12, a low regenerative line that is used as a low regeneration control in these experiments</w:t>
      </w:r>
      <w:r w:rsidRPr="00365544">
        <w:rPr>
          <w:color w:val="auto"/>
          <w:vertAlign w:val="superscript"/>
        </w:rPr>
        <w:t>18</w:t>
      </w:r>
      <w:r w:rsidRPr="00365544">
        <w:rPr>
          <w:rFonts w:cstheme="minorHAnsi"/>
          <w:color w:val="auto"/>
        </w:rPr>
        <w:t xml:space="preserve"> Nevertheless, although technical limitations exist to expand human primary OEG cells, they can also be obtained from </w:t>
      </w:r>
      <w:r w:rsidRPr="00365544">
        <w:rPr>
          <w:color w:val="auto"/>
        </w:rPr>
        <w:t>nasal endoscopic biopsies</w:t>
      </w:r>
      <w:r w:rsidR="00D27CE9">
        <w:rPr>
          <w:rFonts w:cstheme="minorHAnsi"/>
          <w:color w:val="auto"/>
        </w:rPr>
        <w:t>—</w:t>
      </w:r>
      <w:r w:rsidRPr="00365544">
        <w:rPr>
          <w:rFonts w:cstheme="minorHAnsi"/>
          <w:color w:val="auto"/>
        </w:rPr>
        <w:t>OM</w:t>
      </w:r>
      <w:r w:rsidR="00D27CE9">
        <w:rPr>
          <w:rFonts w:cstheme="minorHAnsi"/>
          <w:color w:val="auto"/>
        </w:rPr>
        <w:t>—</w:t>
      </w:r>
      <w:r w:rsidRPr="00365544">
        <w:rPr>
          <w:rFonts w:cstheme="minorHAnsi"/>
          <w:color w:val="auto"/>
        </w:rPr>
        <w:t>or, in case of OB-OEG, from cadaver donors.</w:t>
      </w:r>
    </w:p>
    <w:p w14:paraId="50B854CB" w14:textId="77777777" w:rsidR="00365544" w:rsidRPr="00365544" w:rsidRDefault="00365544" w:rsidP="00365544">
      <w:pPr>
        <w:rPr>
          <w:rFonts w:cstheme="minorHAnsi"/>
          <w:color w:val="auto"/>
        </w:rPr>
      </w:pPr>
    </w:p>
    <w:p w14:paraId="6822C3B5" w14:textId="311C2B95" w:rsidR="00010224" w:rsidRDefault="00010224" w:rsidP="00365544">
      <w:pPr>
        <w:rPr>
          <w:rFonts w:cstheme="minorHAnsi"/>
          <w:color w:val="auto"/>
        </w:rPr>
      </w:pPr>
      <w:r w:rsidRPr="00365544">
        <w:rPr>
          <w:rFonts w:cstheme="minorHAnsi"/>
          <w:color w:val="auto"/>
        </w:rPr>
        <w:t xml:space="preserve">Preparation of monolayer OEG cultures is a crucial procedure, as too many cells could cause the coculture to detach from the plate. </w:t>
      </w:r>
      <w:bookmarkStart w:id="12" w:name="_Hlk46229685"/>
      <w:r w:rsidRPr="00365544">
        <w:rPr>
          <w:rFonts w:cstheme="minorHAnsi"/>
          <w:color w:val="auto"/>
        </w:rPr>
        <w:t xml:space="preserve">Therefore, </w:t>
      </w:r>
      <w:r w:rsidR="00D27CE9" w:rsidRPr="00365544">
        <w:rPr>
          <w:rFonts w:cstheme="minorHAnsi"/>
          <w:color w:val="auto"/>
        </w:rPr>
        <w:t>pr</w:t>
      </w:r>
      <w:r w:rsidR="00D27CE9">
        <w:rPr>
          <w:rFonts w:cstheme="minorHAnsi"/>
          <w:color w:val="auto"/>
        </w:rPr>
        <w:t>ior</w:t>
      </w:r>
      <w:r w:rsidR="00D27CE9" w:rsidRPr="00365544">
        <w:rPr>
          <w:rFonts w:cstheme="minorHAnsi"/>
          <w:color w:val="auto"/>
        </w:rPr>
        <w:t xml:space="preserve"> </w:t>
      </w:r>
      <w:r w:rsidRPr="00365544">
        <w:rPr>
          <w:rFonts w:cstheme="minorHAnsi"/>
          <w:color w:val="auto"/>
        </w:rPr>
        <w:t xml:space="preserve">to OEG preparation for the assay, it is recommended that the user </w:t>
      </w:r>
      <w:r w:rsidR="007875BA" w:rsidRPr="00365544">
        <w:rPr>
          <w:rFonts w:cstheme="minorHAnsi"/>
          <w:color w:val="auto"/>
        </w:rPr>
        <w:t xml:space="preserve">determines the </w:t>
      </w:r>
      <w:r w:rsidR="00991C2B" w:rsidRPr="00365544">
        <w:rPr>
          <w:rFonts w:cstheme="minorHAnsi"/>
          <w:color w:val="auto"/>
        </w:rPr>
        <w:t xml:space="preserve">optimal </w:t>
      </w:r>
      <w:r w:rsidR="007875BA" w:rsidRPr="00365544">
        <w:rPr>
          <w:rFonts w:cstheme="minorHAnsi"/>
          <w:color w:val="auto"/>
        </w:rPr>
        <w:t>number of cells to be plated, depending on their size and division rate.</w:t>
      </w:r>
    </w:p>
    <w:p w14:paraId="26DEA00D" w14:textId="77777777" w:rsidR="00365544" w:rsidRPr="00365544" w:rsidRDefault="00365544" w:rsidP="00365544">
      <w:pPr>
        <w:rPr>
          <w:rFonts w:cstheme="minorHAnsi"/>
          <w:color w:val="auto"/>
        </w:rPr>
      </w:pPr>
    </w:p>
    <w:bookmarkEnd w:id="12"/>
    <w:p w14:paraId="74FDC7BF" w14:textId="3B6559CC" w:rsidR="00342DB2" w:rsidRDefault="00010224" w:rsidP="00365544">
      <w:pPr>
        <w:rPr>
          <w:rFonts w:cstheme="minorHAnsi"/>
          <w:color w:val="auto"/>
        </w:rPr>
      </w:pPr>
      <w:r w:rsidRPr="00365544">
        <w:rPr>
          <w:rFonts w:cstheme="minorHAnsi"/>
          <w:color w:val="auto"/>
        </w:rPr>
        <w:t xml:space="preserve">Another critical issue is </w:t>
      </w:r>
      <w:r w:rsidR="00D27CE9">
        <w:rPr>
          <w:rFonts w:cstheme="minorHAnsi"/>
          <w:color w:val="auto"/>
        </w:rPr>
        <w:t xml:space="preserve">the </w:t>
      </w:r>
      <w:r w:rsidRPr="00365544">
        <w:rPr>
          <w:rFonts w:cstheme="minorHAnsi"/>
          <w:color w:val="auto"/>
        </w:rPr>
        <w:t xml:space="preserve">retinal tissue dissociation, after retina dissection. It </w:t>
      </w:r>
      <w:r w:rsidR="00925A70" w:rsidRPr="00365544">
        <w:rPr>
          <w:rFonts w:cstheme="minorHAnsi"/>
          <w:color w:val="auto"/>
        </w:rPr>
        <w:t>is necessary</w:t>
      </w:r>
      <w:r w:rsidRPr="00365544">
        <w:rPr>
          <w:rFonts w:cstheme="minorHAnsi"/>
          <w:color w:val="auto"/>
        </w:rPr>
        <w:t xml:space="preserve"> to break up the tissue fragments</w:t>
      </w:r>
      <w:r w:rsidR="00991C2B" w:rsidRPr="00365544">
        <w:rPr>
          <w:rFonts w:cstheme="minorHAnsi"/>
          <w:color w:val="auto"/>
        </w:rPr>
        <w:t>,</w:t>
      </w:r>
      <w:r w:rsidRPr="00365544">
        <w:rPr>
          <w:rFonts w:cstheme="minorHAnsi"/>
          <w:color w:val="auto"/>
        </w:rPr>
        <w:t xml:space="preserve"> following incubation in the dissociation mix. If done too vigorously</w:t>
      </w:r>
      <w:r w:rsidR="00D27CE9">
        <w:rPr>
          <w:rFonts w:cstheme="minorHAnsi"/>
          <w:color w:val="auto"/>
        </w:rPr>
        <w:t>,</w:t>
      </w:r>
      <w:r w:rsidRPr="00365544">
        <w:rPr>
          <w:rFonts w:cstheme="minorHAnsi"/>
          <w:color w:val="auto"/>
        </w:rPr>
        <w:t xml:space="preserve"> </w:t>
      </w:r>
      <w:r w:rsidR="00D27CE9">
        <w:rPr>
          <w:rFonts w:cstheme="minorHAnsi"/>
          <w:color w:val="auto"/>
        </w:rPr>
        <w:t xml:space="preserve">the </w:t>
      </w:r>
      <w:r w:rsidRPr="00365544">
        <w:rPr>
          <w:rFonts w:cstheme="minorHAnsi"/>
          <w:color w:val="auto"/>
        </w:rPr>
        <w:t>cells will be destroyed</w:t>
      </w:r>
      <w:r w:rsidR="00991C2B" w:rsidRPr="00365544">
        <w:rPr>
          <w:rFonts w:cstheme="minorHAnsi"/>
          <w:color w:val="auto"/>
        </w:rPr>
        <w:t>,</w:t>
      </w:r>
      <w:r w:rsidRPr="00365544">
        <w:rPr>
          <w:rFonts w:cstheme="minorHAnsi"/>
          <w:color w:val="auto"/>
        </w:rPr>
        <w:t xml:space="preserve"> but tissue fragments will be left intact if done too weakly. </w:t>
      </w:r>
      <w:r w:rsidR="00991C2B" w:rsidRPr="00365544">
        <w:rPr>
          <w:rFonts w:cstheme="minorHAnsi"/>
          <w:color w:val="auto"/>
        </w:rPr>
        <w:t xml:space="preserve">In order to obtain </w:t>
      </w:r>
      <w:r w:rsidR="00397998" w:rsidRPr="00365544">
        <w:rPr>
          <w:rFonts w:cstheme="minorHAnsi"/>
          <w:color w:val="auto"/>
        </w:rPr>
        <w:t>a homogeneous cell suspension, w</w:t>
      </w:r>
      <w:r w:rsidRPr="00365544">
        <w:rPr>
          <w:rFonts w:cstheme="minorHAnsi"/>
          <w:color w:val="auto"/>
        </w:rPr>
        <w:t>e suggest filling and emptying a Pasteur pipette 10</w:t>
      </w:r>
      <w:r w:rsidR="00D27CE9">
        <w:rPr>
          <w:rFonts w:cstheme="minorHAnsi"/>
          <w:color w:val="auto"/>
        </w:rPr>
        <w:t>–</w:t>
      </w:r>
      <w:r w:rsidRPr="00365544">
        <w:rPr>
          <w:rFonts w:cstheme="minorHAnsi"/>
          <w:color w:val="auto"/>
        </w:rPr>
        <w:t>15 times</w:t>
      </w:r>
      <w:r w:rsidR="00991C2B" w:rsidRPr="00365544">
        <w:rPr>
          <w:rFonts w:cstheme="minorHAnsi"/>
          <w:color w:val="auto"/>
        </w:rPr>
        <w:t>, with a tip of intermediate diameter,</w:t>
      </w:r>
      <w:r w:rsidRPr="00365544">
        <w:rPr>
          <w:rFonts w:cstheme="minorHAnsi"/>
          <w:color w:val="auto"/>
        </w:rPr>
        <w:t xml:space="preserve"> while avoid</w:t>
      </w:r>
      <w:r w:rsidR="00D27CE9">
        <w:rPr>
          <w:rFonts w:cstheme="minorHAnsi"/>
          <w:color w:val="auto"/>
        </w:rPr>
        <w:t>ing</w:t>
      </w:r>
      <w:r w:rsidRPr="00365544">
        <w:rPr>
          <w:rFonts w:cstheme="minorHAnsi"/>
          <w:color w:val="auto"/>
        </w:rPr>
        <w:t xml:space="preserve"> bubbling</w:t>
      </w:r>
      <w:r w:rsidR="00397998" w:rsidRPr="00365544">
        <w:rPr>
          <w:rFonts w:cstheme="minorHAnsi"/>
          <w:color w:val="auto"/>
        </w:rPr>
        <w:t xml:space="preserve">. </w:t>
      </w:r>
      <w:r w:rsidR="00991C2B" w:rsidRPr="00365544">
        <w:rPr>
          <w:rFonts w:cstheme="minorHAnsi"/>
          <w:color w:val="auto"/>
        </w:rPr>
        <w:t>Pasteur pipettes with wide tips can be narrow</w:t>
      </w:r>
      <w:r w:rsidR="00397998" w:rsidRPr="00365544">
        <w:rPr>
          <w:rFonts w:cstheme="minorHAnsi"/>
          <w:color w:val="auto"/>
        </w:rPr>
        <w:t>ed</w:t>
      </w:r>
      <w:r w:rsidR="00991C2B" w:rsidRPr="00365544">
        <w:rPr>
          <w:rFonts w:cstheme="minorHAnsi"/>
          <w:color w:val="auto"/>
        </w:rPr>
        <w:t xml:space="preserve"> using a Bunsen burner.</w:t>
      </w:r>
    </w:p>
    <w:p w14:paraId="1E42E962" w14:textId="77777777" w:rsidR="00365544" w:rsidRPr="00365544" w:rsidRDefault="00365544" w:rsidP="00365544">
      <w:pPr>
        <w:rPr>
          <w:rFonts w:cstheme="minorHAnsi"/>
          <w:color w:val="auto"/>
        </w:rPr>
      </w:pPr>
    </w:p>
    <w:p w14:paraId="4F14FE3C" w14:textId="32D74F67" w:rsidR="009F1DB1" w:rsidRDefault="00342DB2" w:rsidP="00365544">
      <w:pPr>
        <w:rPr>
          <w:color w:val="auto"/>
        </w:rPr>
      </w:pPr>
      <w:bookmarkStart w:id="13" w:name="_Hlk50382659"/>
      <w:r w:rsidRPr="00365544">
        <w:rPr>
          <w:color w:val="auto"/>
        </w:rPr>
        <w:t>To assess the capacity of different glial populations to foster adult neurons</w:t>
      </w:r>
      <w:r w:rsidR="00D27CE9">
        <w:rPr>
          <w:color w:val="auto"/>
        </w:rPr>
        <w:t>’</w:t>
      </w:r>
      <w:r w:rsidRPr="00365544">
        <w:rPr>
          <w:color w:val="auto"/>
        </w:rPr>
        <w:t xml:space="preserve"> axonal regeneration, we have determined that 96</w:t>
      </w:r>
      <w:r w:rsidR="00D27CE9">
        <w:rPr>
          <w:color w:val="auto"/>
        </w:rPr>
        <w:t xml:space="preserve"> </w:t>
      </w:r>
      <w:r w:rsidRPr="00365544">
        <w:rPr>
          <w:color w:val="auto"/>
        </w:rPr>
        <w:t xml:space="preserve">h is the time interval that best suits </w:t>
      </w:r>
      <w:r w:rsidR="0010022E">
        <w:rPr>
          <w:color w:val="auto"/>
        </w:rPr>
        <w:t>the</w:t>
      </w:r>
      <w:r w:rsidR="0010022E" w:rsidRPr="00365544">
        <w:rPr>
          <w:color w:val="auto"/>
        </w:rPr>
        <w:t xml:space="preserve"> </w:t>
      </w:r>
      <w:r w:rsidRPr="00365544">
        <w:rPr>
          <w:color w:val="auto"/>
        </w:rPr>
        <w:t xml:space="preserve">aim because: 1) it is the longest time to maintain the culture alive </w:t>
      </w:r>
      <w:r w:rsidR="00E02C64" w:rsidRPr="00365544">
        <w:rPr>
          <w:color w:val="auto"/>
        </w:rPr>
        <w:t>without disturbing the OEG monolayer</w:t>
      </w:r>
      <w:r w:rsidRPr="00365544">
        <w:rPr>
          <w:color w:val="auto"/>
        </w:rPr>
        <w:t>;</w:t>
      </w:r>
      <w:r w:rsidR="0010022E">
        <w:rPr>
          <w:color w:val="auto"/>
        </w:rPr>
        <w:t xml:space="preserve"> and</w:t>
      </w:r>
      <w:r w:rsidRPr="00365544">
        <w:rPr>
          <w:color w:val="auto"/>
        </w:rPr>
        <w:t xml:space="preserve"> 2) it is the time needed for neurons to grow axons long enough to reveal differences between the regenerative capacities of different OEG populations or other non-regenerative cells</w:t>
      </w:r>
      <w:r w:rsidR="0010022E">
        <w:rPr>
          <w:color w:val="auto"/>
        </w:rPr>
        <w:t xml:space="preserve"> (</w:t>
      </w:r>
      <w:r w:rsidRPr="00365544">
        <w:rPr>
          <w:color w:val="auto"/>
        </w:rPr>
        <w:t>i.e.</w:t>
      </w:r>
      <w:r w:rsidR="00D27CE9">
        <w:rPr>
          <w:color w:val="auto"/>
        </w:rPr>
        <w:t>,</w:t>
      </w:r>
      <w:r w:rsidRPr="00365544">
        <w:rPr>
          <w:color w:val="auto"/>
        </w:rPr>
        <w:t xml:space="preserve"> fibroblasts</w:t>
      </w:r>
      <w:r w:rsidRPr="00365544">
        <w:rPr>
          <w:color w:val="auto"/>
          <w:vertAlign w:val="superscript"/>
        </w:rPr>
        <w:t>12</w:t>
      </w:r>
      <w:r w:rsidR="00D27CE9">
        <w:rPr>
          <w:color w:val="auto"/>
          <w:vertAlign w:val="superscript"/>
        </w:rPr>
        <w:t>–</w:t>
      </w:r>
      <w:r w:rsidRPr="00365544">
        <w:rPr>
          <w:color w:val="auto"/>
          <w:vertAlign w:val="superscript"/>
        </w:rPr>
        <w:t>18,32,33</w:t>
      </w:r>
      <w:r w:rsidR="0010022E">
        <w:rPr>
          <w:color w:val="auto"/>
        </w:rPr>
        <w:t>)</w:t>
      </w:r>
      <w:r w:rsidRPr="00365544">
        <w:rPr>
          <w:color w:val="auto"/>
        </w:rPr>
        <w:t>. It would certainly be interesting to determine the time course of the regeneration process, as it could provide information about the differential regenerative properties of different glial populations, at shorter times of the co-culture. In our hands, for regenerative glia, the time course between 72</w:t>
      </w:r>
      <w:r w:rsidR="00D27CE9">
        <w:rPr>
          <w:color w:val="auto"/>
        </w:rPr>
        <w:t>–</w:t>
      </w:r>
      <w:r w:rsidRPr="00365544">
        <w:rPr>
          <w:color w:val="auto"/>
        </w:rPr>
        <w:t>96 h is quite similar for all the cell lines, although axons are shorter at 72 h (unpublished data). Also, 96 h of co-culture, permits to study OEG-dependent mechanisms of adult axonal regeneration</w:t>
      </w:r>
      <w:r w:rsidR="009F1DB1" w:rsidRPr="00365544">
        <w:rPr>
          <w:color w:val="auto"/>
          <w:vertAlign w:val="superscript"/>
        </w:rPr>
        <w:t>12,14</w:t>
      </w:r>
      <w:r w:rsidRPr="00365544">
        <w:rPr>
          <w:color w:val="auto"/>
        </w:rPr>
        <w:t>.</w:t>
      </w:r>
      <w:bookmarkEnd w:id="13"/>
    </w:p>
    <w:p w14:paraId="0B1D614B" w14:textId="77777777" w:rsidR="00365544" w:rsidRPr="00365544" w:rsidRDefault="00365544" w:rsidP="00365544">
      <w:pPr>
        <w:rPr>
          <w:color w:val="auto"/>
        </w:rPr>
      </w:pPr>
    </w:p>
    <w:p w14:paraId="273FF104" w14:textId="5EE6479F" w:rsidR="00656999" w:rsidRDefault="00656999" w:rsidP="00365544">
      <w:pPr>
        <w:rPr>
          <w:bCs/>
          <w:color w:val="auto"/>
        </w:rPr>
      </w:pPr>
      <w:r w:rsidRPr="00365544">
        <w:rPr>
          <w:bCs/>
          <w:color w:val="auto"/>
        </w:rPr>
        <w:t xml:space="preserve">During axonal regeneration quantification, it is important to take </w:t>
      </w:r>
      <w:r w:rsidR="00DB1307" w:rsidRPr="00365544">
        <w:rPr>
          <w:bCs/>
          <w:color w:val="auto"/>
        </w:rPr>
        <w:t xml:space="preserve">a minimum of </w:t>
      </w:r>
      <w:r w:rsidR="00D27CE9">
        <w:rPr>
          <w:bCs/>
          <w:color w:val="auto"/>
        </w:rPr>
        <w:t>30</w:t>
      </w:r>
      <w:r w:rsidR="00D27CE9" w:rsidRPr="00365544">
        <w:rPr>
          <w:bCs/>
          <w:color w:val="auto"/>
        </w:rPr>
        <w:t xml:space="preserve"> </w:t>
      </w:r>
      <w:r w:rsidRPr="00365544">
        <w:rPr>
          <w:bCs/>
          <w:color w:val="auto"/>
        </w:rPr>
        <w:t>pictures at 400 augments (40x objective)</w:t>
      </w:r>
      <w:r w:rsidR="00AF5B7A" w:rsidRPr="00365544">
        <w:rPr>
          <w:bCs/>
          <w:color w:val="auto"/>
        </w:rPr>
        <w:t>,</w:t>
      </w:r>
      <w:r w:rsidRPr="00365544">
        <w:rPr>
          <w:bCs/>
          <w:color w:val="auto"/>
        </w:rPr>
        <w:t xml:space="preserve"> at different random areas of the coverslip</w:t>
      </w:r>
      <w:r w:rsidR="00AF5B7A" w:rsidRPr="00365544">
        <w:rPr>
          <w:bCs/>
          <w:color w:val="auto"/>
        </w:rPr>
        <w:t>,</w:t>
      </w:r>
      <w:r w:rsidR="00AB5DB6" w:rsidRPr="00365544">
        <w:rPr>
          <w:bCs/>
          <w:color w:val="auto"/>
        </w:rPr>
        <w:t xml:space="preserve"> </w:t>
      </w:r>
      <w:r w:rsidRPr="00365544">
        <w:rPr>
          <w:bCs/>
          <w:color w:val="auto"/>
        </w:rPr>
        <w:t>but following the complete axons of the photographed neurons. Therefore, the experimenter must take serial pictures in the chosen areas to measure the real axonal lengths.</w:t>
      </w:r>
    </w:p>
    <w:p w14:paraId="3D4BF6AF" w14:textId="77777777" w:rsidR="00365544" w:rsidRPr="00365544" w:rsidRDefault="00365544" w:rsidP="00365544">
      <w:pPr>
        <w:rPr>
          <w:rFonts w:cstheme="minorHAnsi"/>
          <w:color w:val="auto"/>
        </w:rPr>
      </w:pPr>
    </w:p>
    <w:p w14:paraId="06411489" w14:textId="3FD773BC" w:rsidR="00F21EDD" w:rsidRDefault="00010224" w:rsidP="00365544">
      <w:pPr>
        <w:rPr>
          <w:color w:val="auto"/>
        </w:rPr>
      </w:pPr>
      <w:r w:rsidRPr="00365544">
        <w:rPr>
          <w:color w:val="auto"/>
        </w:rPr>
        <w:t>Other in vitro approaches have also been developed to evaluate OEG regenerative functions. In these models, OEG is applied to cultures of different neuronal origin and, in response to glial coculture, neurite formation and elongation are assayed</w:t>
      </w:r>
      <w:r w:rsidRPr="00365544">
        <w:rPr>
          <w:color w:val="auto"/>
          <w:vertAlign w:val="superscript"/>
        </w:rPr>
        <w:t>19</w:t>
      </w:r>
      <w:r w:rsidR="00D27CE9">
        <w:rPr>
          <w:color w:val="auto"/>
          <w:vertAlign w:val="superscript"/>
        </w:rPr>
        <w:t>–</w:t>
      </w:r>
      <w:r w:rsidRPr="00365544">
        <w:rPr>
          <w:color w:val="auto"/>
          <w:vertAlign w:val="superscript"/>
        </w:rPr>
        <w:t>27</w:t>
      </w:r>
      <w:r w:rsidRPr="00365544">
        <w:rPr>
          <w:color w:val="auto"/>
        </w:rPr>
        <w:t xml:space="preserve">. However, the regeneration assay relies on embryonic or postnatal neurons, which have an intrinsic plasticity absent from injured adult neurons. </w:t>
      </w:r>
      <w:bookmarkStart w:id="14" w:name="_Hlk46230813"/>
      <w:r w:rsidR="00144349">
        <w:rPr>
          <w:color w:val="auto"/>
        </w:rPr>
        <w:t>This</w:t>
      </w:r>
      <w:r w:rsidR="00144349" w:rsidRPr="00365544">
        <w:rPr>
          <w:color w:val="auto"/>
        </w:rPr>
        <w:t xml:space="preserve"> </w:t>
      </w:r>
      <w:r w:rsidRPr="00365544">
        <w:rPr>
          <w:color w:val="auto"/>
        </w:rPr>
        <w:t xml:space="preserve">model </w:t>
      </w:r>
      <w:r w:rsidR="00144349">
        <w:rPr>
          <w:color w:val="auto"/>
        </w:rPr>
        <w:t xml:space="preserve">consisting </w:t>
      </w:r>
      <w:r w:rsidRPr="00365544">
        <w:rPr>
          <w:color w:val="auto"/>
        </w:rPr>
        <w:t>of adult axonal regeneration in cocultures of OEG lines with adult retinal ganglion neurons (RGNs)</w:t>
      </w:r>
      <w:r w:rsidR="00226810" w:rsidRPr="00365544">
        <w:rPr>
          <w:color w:val="auto"/>
        </w:rPr>
        <w:t xml:space="preserve"> </w:t>
      </w:r>
      <w:r w:rsidRPr="00365544">
        <w:rPr>
          <w:color w:val="auto"/>
        </w:rPr>
        <w:t>overcomes this drawback</w:t>
      </w:r>
      <w:r w:rsidR="00A32B59" w:rsidRPr="00365544">
        <w:rPr>
          <w:color w:val="auto"/>
        </w:rPr>
        <w:t xml:space="preserve">. </w:t>
      </w:r>
      <w:bookmarkEnd w:id="14"/>
      <w:r w:rsidR="008674D8" w:rsidRPr="00365544">
        <w:rPr>
          <w:color w:val="auto"/>
        </w:rPr>
        <w:t>In addition, we are dissecting adult retinas, and</w:t>
      </w:r>
      <w:r w:rsidR="00144349">
        <w:rPr>
          <w:color w:val="auto"/>
        </w:rPr>
        <w:t xml:space="preserve"> </w:t>
      </w:r>
      <w:r w:rsidR="008674D8" w:rsidRPr="00365544">
        <w:rPr>
          <w:color w:val="auto"/>
        </w:rPr>
        <w:t xml:space="preserve">because we cut optic nerve and axons retract in the process of dissection, we </w:t>
      </w:r>
      <w:r w:rsidR="008674D8" w:rsidRPr="00365544">
        <w:rPr>
          <w:color w:val="auto"/>
        </w:rPr>
        <w:lastRenderedPageBreak/>
        <w:t>obtain neuronal bodies clean of myelin, to perform the coculture. This is the difference with other parts of the adult CNS, where myelin can hinder very much</w:t>
      </w:r>
      <w:r w:rsidR="00144349">
        <w:rPr>
          <w:color w:val="auto"/>
        </w:rPr>
        <w:t xml:space="preserve"> with</w:t>
      </w:r>
      <w:r w:rsidR="008674D8" w:rsidRPr="00365544">
        <w:rPr>
          <w:color w:val="auto"/>
        </w:rPr>
        <w:t xml:space="preserve"> the dissection to obtain clean neurons for the coculture.</w:t>
      </w:r>
    </w:p>
    <w:p w14:paraId="61D90C8E" w14:textId="77777777" w:rsidR="00365544" w:rsidRPr="00365544" w:rsidRDefault="00365544" w:rsidP="00365544">
      <w:pPr>
        <w:rPr>
          <w:color w:val="auto"/>
        </w:rPr>
      </w:pPr>
    </w:p>
    <w:p w14:paraId="1D3C91A9" w14:textId="0E99D61F" w:rsidR="008674D8" w:rsidRDefault="008674D8" w:rsidP="00365544">
      <w:pPr>
        <w:rPr>
          <w:color w:val="auto"/>
        </w:rPr>
      </w:pPr>
      <w:r w:rsidRPr="00365544">
        <w:rPr>
          <w:color w:val="auto"/>
        </w:rPr>
        <w:t>Based on the one originally developed by Wigley et al</w:t>
      </w:r>
      <w:r w:rsidR="00144349">
        <w:rPr>
          <w:color w:val="auto"/>
        </w:rPr>
        <w:t>.</w:t>
      </w:r>
      <w:r w:rsidRPr="00365544">
        <w:rPr>
          <w:color w:val="auto"/>
          <w:vertAlign w:val="superscript"/>
        </w:rPr>
        <w:t>28</w:t>
      </w:r>
      <w:r w:rsidR="00144349">
        <w:rPr>
          <w:color w:val="auto"/>
          <w:vertAlign w:val="superscript"/>
        </w:rPr>
        <w:t>–</w:t>
      </w:r>
      <w:r w:rsidRPr="00365544">
        <w:rPr>
          <w:color w:val="auto"/>
          <w:vertAlign w:val="superscript"/>
        </w:rPr>
        <w:t>31</w:t>
      </w:r>
      <w:r w:rsidRPr="00365544">
        <w:rPr>
          <w:color w:val="auto"/>
        </w:rPr>
        <w:t>, we highlight</w:t>
      </w:r>
      <w:r w:rsidR="00D873FC" w:rsidRPr="00365544">
        <w:rPr>
          <w:color w:val="auto"/>
        </w:rPr>
        <w:t xml:space="preserve"> the following</w:t>
      </w:r>
      <w:r w:rsidRPr="00365544">
        <w:rPr>
          <w:color w:val="auto"/>
        </w:rPr>
        <w:t xml:space="preserve"> improvements in </w:t>
      </w:r>
      <w:r w:rsidR="0010022E">
        <w:rPr>
          <w:color w:val="auto"/>
        </w:rPr>
        <w:t>the</w:t>
      </w:r>
      <w:r w:rsidR="0010022E" w:rsidRPr="00365544">
        <w:rPr>
          <w:color w:val="auto"/>
        </w:rPr>
        <w:t xml:space="preserve"> </w:t>
      </w:r>
      <w:r w:rsidRPr="00365544">
        <w:rPr>
          <w:color w:val="auto"/>
        </w:rPr>
        <w:t xml:space="preserve">protocol. First, the use of neurobasal medium supplemented with B27 as OEG-RGN coculture medium, which </w:t>
      </w:r>
      <w:r w:rsidRPr="00365544">
        <w:rPr>
          <w:rFonts w:cstheme="minorHAnsi"/>
          <w:color w:val="auto"/>
        </w:rPr>
        <w:t>allows growth of neuronal cells</w:t>
      </w:r>
      <w:r w:rsidRPr="00365544">
        <w:rPr>
          <w:color w:val="auto"/>
        </w:rPr>
        <w:t xml:space="preserve"> and positively affects the reproducibility of the experiment. Second, </w:t>
      </w:r>
      <w:r w:rsidR="00D873FC" w:rsidRPr="00365544">
        <w:rPr>
          <w:color w:val="auto"/>
        </w:rPr>
        <w:t xml:space="preserve">we </w:t>
      </w:r>
      <w:r w:rsidRPr="00365544">
        <w:rPr>
          <w:color w:val="auto"/>
        </w:rPr>
        <w:t>characteriz</w:t>
      </w:r>
      <w:r w:rsidR="00D873FC" w:rsidRPr="00365544">
        <w:rPr>
          <w:color w:val="auto"/>
        </w:rPr>
        <w:t>e</w:t>
      </w:r>
      <w:r w:rsidRPr="00365544">
        <w:rPr>
          <w:color w:val="auto"/>
        </w:rPr>
        <w:t xml:space="preserve"> and quantif</w:t>
      </w:r>
      <w:r w:rsidR="00D873FC" w:rsidRPr="00365544">
        <w:rPr>
          <w:color w:val="auto"/>
        </w:rPr>
        <w:t>y</w:t>
      </w:r>
      <w:r w:rsidRPr="00365544">
        <w:rPr>
          <w:color w:val="auto"/>
        </w:rPr>
        <w:t xml:space="preserve"> axonal regeneration by using a specific marker of the axonal compartment; and third, </w:t>
      </w:r>
      <w:r w:rsidR="00D873FC" w:rsidRPr="00365544">
        <w:rPr>
          <w:color w:val="auto"/>
        </w:rPr>
        <w:t>we use</w:t>
      </w:r>
      <w:r w:rsidRPr="00365544">
        <w:rPr>
          <w:color w:val="auto"/>
        </w:rPr>
        <w:t xml:space="preserve"> an additional direct parameter</w:t>
      </w:r>
      <w:r w:rsidR="00D873FC" w:rsidRPr="00365544">
        <w:rPr>
          <w:color w:val="auto"/>
        </w:rPr>
        <w:t>,</w:t>
      </w:r>
      <w:r w:rsidRPr="00365544">
        <w:rPr>
          <w:color w:val="auto"/>
        </w:rPr>
        <w:t xml:space="preserve"> the mean axonal length/neuron</w:t>
      </w:r>
      <w:r w:rsidR="00D873FC" w:rsidRPr="00365544">
        <w:rPr>
          <w:color w:val="auto"/>
        </w:rPr>
        <w:t>, t</w:t>
      </w:r>
      <w:r w:rsidRPr="00365544">
        <w:rPr>
          <w:color w:val="auto"/>
        </w:rPr>
        <w:t>hat assesses the axonal growth regenerative potential of OEG.</w:t>
      </w:r>
    </w:p>
    <w:p w14:paraId="175AD26C" w14:textId="77777777" w:rsidR="00365544" w:rsidRPr="00365544" w:rsidRDefault="00365544" w:rsidP="00365544">
      <w:pPr>
        <w:rPr>
          <w:color w:val="auto"/>
        </w:rPr>
      </w:pPr>
    </w:p>
    <w:p w14:paraId="2E77C350" w14:textId="3733437F" w:rsidR="008674D8" w:rsidRPr="00365544" w:rsidRDefault="00F21EDD" w:rsidP="00365544">
      <w:pPr>
        <w:rPr>
          <w:color w:val="auto"/>
        </w:rPr>
      </w:pPr>
      <w:r w:rsidRPr="00365544">
        <w:rPr>
          <w:color w:val="auto"/>
        </w:rPr>
        <w:t xml:space="preserve">In summary, we consider </w:t>
      </w:r>
      <w:r w:rsidR="00144349">
        <w:rPr>
          <w:color w:val="auto"/>
        </w:rPr>
        <w:t xml:space="preserve">that </w:t>
      </w:r>
      <w:r w:rsidRPr="00365544">
        <w:rPr>
          <w:color w:val="auto"/>
        </w:rPr>
        <w:t>this is a simple, reproducible, time saving</w:t>
      </w:r>
      <w:r w:rsidR="00144349">
        <w:rPr>
          <w:color w:val="auto"/>
        </w:rPr>
        <w:t>,</w:t>
      </w:r>
      <w:r w:rsidRPr="00365544">
        <w:rPr>
          <w:color w:val="auto"/>
        </w:rPr>
        <w:t xml:space="preserve"> and medium-cost assay, not only useful for assessing the neuroregenerative potential of ihOEG, but also because it can be extended to different sources of OEG or other glial cells. Moreover, it could be used as a valuable proof of concept of the neuroregenerative potential of an OEG or glial sample, before translation to in vivo or clinical studies.</w:t>
      </w:r>
    </w:p>
    <w:p w14:paraId="20FC60D5" w14:textId="77777777" w:rsidR="00877445" w:rsidRPr="00365544" w:rsidRDefault="00877445" w:rsidP="00365544">
      <w:pPr>
        <w:rPr>
          <w:rFonts w:asciiTheme="minorHAnsi" w:hAnsiTheme="minorHAnsi" w:cstheme="minorHAnsi"/>
          <w:b/>
          <w:bCs/>
          <w:color w:val="auto"/>
        </w:rPr>
      </w:pPr>
      <w:bookmarkStart w:id="15" w:name="Acknowledgments"/>
    </w:p>
    <w:p w14:paraId="511C8F47" w14:textId="44B13741" w:rsidR="009726EE" w:rsidRPr="00365544" w:rsidRDefault="009726EE" w:rsidP="00365544">
      <w:pPr>
        <w:rPr>
          <w:rFonts w:asciiTheme="minorHAnsi" w:hAnsiTheme="minorHAnsi" w:cstheme="minorHAnsi"/>
          <w:color w:val="auto"/>
        </w:rPr>
      </w:pPr>
      <w:r w:rsidRPr="00365544">
        <w:rPr>
          <w:rFonts w:asciiTheme="minorHAnsi" w:hAnsiTheme="minorHAnsi" w:cstheme="minorHAnsi"/>
          <w:b/>
          <w:bCs/>
          <w:color w:val="auto"/>
        </w:rPr>
        <w:t>ACKNOWLEDGMENTS</w:t>
      </w:r>
      <w:bookmarkEnd w:id="15"/>
      <w:r w:rsidRPr="00365544">
        <w:rPr>
          <w:rFonts w:asciiTheme="minorHAnsi" w:hAnsiTheme="minorHAnsi" w:cstheme="minorHAnsi"/>
          <w:b/>
          <w:bCs/>
          <w:color w:val="auto"/>
        </w:rPr>
        <w:t>:</w:t>
      </w:r>
    </w:p>
    <w:p w14:paraId="46EFA63C" w14:textId="19D40FD4" w:rsidR="001B70BC" w:rsidRPr="00365544" w:rsidRDefault="001B70BC" w:rsidP="00365544">
      <w:pPr>
        <w:widowControl/>
        <w:jc w:val="left"/>
        <w:rPr>
          <w:rFonts w:asciiTheme="minorHAnsi" w:hAnsiTheme="minorHAnsi" w:cstheme="minorHAnsi"/>
          <w:color w:val="auto"/>
        </w:rPr>
      </w:pPr>
      <w:r w:rsidRPr="00365544">
        <w:rPr>
          <w:rFonts w:asciiTheme="minorHAnsi" w:hAnsiTheme="minorHAnsi" w:cstheme="minorHAnsi"/>
          <w:color w:val="auto"/>
        </w:rPr>
        <w:t>This work was financially supported by project SAF2017-82736-C2-1-R from Ministerio de Ciencia e Innovación to MTM-F and by Fundación Universidad Francisco de Vitoria to JS.</w:t>
      </w:r>
    </w:p>
    <w:p w14:paraId="05312733" w14:textId="77777777" w:rsidR="00877445" w:rsidRPr="00365544" w:rsidRDefault="00877445" w:rsidP="00365544">
      <w:pPr>
        <w:widowControl/>
        <w:jc w:val="left"/>
        <w:rPr>
          <w:rFonts w:asciiTheme="minorHAnsi" w:hAnsiTheme="minorHAnsi" w:cstheme="minorHAnsi"/>
          <w:b/>
          <w:color w:val="auto"/>
        </w:rPr>
      </w:pPr>
      <w:bookmarkStart w:id="16" w:name="Disclosures"/>
    </w:p>
    <w:p w14:paraId="089A3BB5" w14:textId="5DA18377" w:rsidR="009726EE" w:rsidRPr="00365544" w:rsidRDefault="009726EE" w:rsidP="00365544">
      <w:pPr>
        <w:widowControl/>
        <w:jc w:val="left"/>
        <w:rPr>
          <w:rFonts w:asciiTheme="minorHAnsi" w:hAnsiTheme="minorHAnsi" w:cstheme="minorHAnsi"/>
          <w:color w:val="auto"/>
        </w:rPr>
      </w:pPr>
      <w:r w:rsidRPr="00365544">
        <w:rPr>
          <w:rFonts w:asciiTheme="minorHAnsi" w:hAnsiTheme="minorHAnsi" w:cstheme="minorHAnsi"/>
          <w:b/>
          <w:color w:val="auto"/>
        </w:rPr>
        <w:t>DISCLOSURES</w:t>
      </w:r>
      <w:bookmarkEnd w:id="16"/>
      <w:r w:rsidRPr="00365544">
        <w:rPr>
          <w:rFonts w:asciiTheme="minorHAnsi" w:hAnsiTheme="minorHAnsi" w:cstheme="minorHAnsi"/>
          <w:b/>
          <w:color w:val="auto"/>
        </w:rPr>
        <w:t>:</w:t>
      </w:r>
    </w:p>
    <w:p w14:paraId="40B5EF60" w14:textId="4506BC93" w:rsidR="003169DB" w:rsidRPr="00365544" w:rsidRDefault="003169DB" w:rsidP="00365544">
      <w:pPr>
        <w:pStyle w:val="NormalWeb"/>
        <w:spacing w:before="0" w:beforeAutospacing="0" w:after="0" w:afterAutospacing="0"/>
        <w:rPr>
          <w:rFonts w:asciiTheme="minorHAnsi" w:hAnsiTheme="minorHAnsi" w:cstheme="minorHAnsi"/>
          <w:color w:val="auto"/>
        </w:rPr>
      </w:pPr>
      <w:bookmarkStart w:id="17" w:name="References"/>
      <w:r w:rsidRPr="00365544">
        <w:rPr>
          <w:rFonts w:asciiTheme="minorHAnsi" w:hAnsiTheme="minorHAnsi" w:cstheme="minorHAnsi"/>
          <w:color w:val="auto"/>
        </w:rPr>
        <w:t>The authors have nothing to disclose.</w:t>
      </w:r>
    </w:p>
    <w:p w14:paraId="744D5034" w14:textId="77777777" w:rsidR="00B540B2" w:rsidRPr="00365544" w:rsidRDefault="00B540B2" w:rsidP="00365544">
      <w:pPr>
        <w:pStyle w:val="NormalWeb"/>
        <w:spacing w:before="0" w:beforeAutospacing="0" w:after="0" w:afterAutospacing="0"/>
        <w:rPr>
          <w:rFonts w:asciiTheme="minorHAnsi" w:hAnsiTheme="minorHAnsi" w:cstheme="minorHAnsi"/>
          <w:b/>
          <w:bCs/>
          <w:color w:val="auto"/>
        </w:rPr>
      </w:pPr>
    </w:p>
    <w:p w14:paraId="33D2CDED" w14:textId="24C4D640" w:rsidR="00B540B2" w:rsidRPr="00365544" w:rsidRDefault="009726EE" w:rsidP="00365544">
      <w:pPr>
        <w:pStyle w:val="NormalWeb"/>
        <w:spacing w:before="0" w:beforeAutospacing="0" w:after="0" w:afterAutospacing="0"/>
        <w:rPr>
          <w:rFonts w:asciiTheme="minorHAnsi" w:hAnsiTheme="minorHAnsi" w:cstheme="minorHAnsi"/>
          <w:color w:val="auto"/>
        </w:rPr>
      </w:pPr>
      <w:r w:rsidRPr="00365544">
        <w:rPr>
          <w:rFonts w:asciiTheme="minorHAnsi" w:hAnsiTheme="minorHAnsi" w:cstheme="minorHAnsi"/>
          <w:b/>
          <w:bCs/>
          <w:color w:val="auto"/>
        </w:rPr>
        <w:t>REFERENCES</w:t>
      </w:r>
      <w:bookmarkEnd w:id="17"/>
      <w:r w:rsidR="00877445" w:rsidRPr="00365544">
        <w:rPr>
          <w:rFonts w:asciiTheme="minorHAnsi" w:hAnsiTheme="minorHAnsi" w:cstheme="minorHAnsi"/>
          <w:b/>
          <w:bCs/>
          <w:color w:val="auto"/>
        </w:rPr>
        <w:t>:</w:t>
      </w:r>
    </w:p>
    <w:p w14:paraId="3932DA76" w14:textId="08C57FAF"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 xml:space="preserve">Kanno, H., Pearse, D. D., Ozawa, H., Itoi, E., Bunge, M. B. Schwann cell transplantation for spinal cord injury repair: Its significant therapeutic potential and prospectus. </w:t>
      </w:r>
      <w:r w:rsidRPr="00365544">
        <w:rPr>
          <w:rFonts w:cstheme="minorHAnsi"/>
          <w:i/>
          <w:iCs/>
          <w:sz w:val="24"/>
          <w:szCs w:val="24"/>
          <w:lang w:val="en-US"/>
        </w:rPr>
        <w:t>Reviews in the Neurosciences</w:t>
      </w:r>
      <w:r w:rsidRPr="00365544">
        <w:rPr>
          <w:rFonts w:cstheme="minorHAnsi"/>
          <w:sz w:val="24"/>
          <w:szCs w:val="24"/>
          <w:lang w:val="en-US"/>
        </w:rPr>
        <w:t xml:space="preserve">. </w:t>
      </w:r>
      <w:r w:rsidRPr="00365544">
        <w:rPr>
          <w:rFonts w:cstheme="minorHAnsi"/>
          <w:b/>
          <w:bCs/>
          <w:sz w:val="24"/>
          <w:szCs w:val="24"/>
          <w:lang w:val="en-US"/>
        </w:rPr>
        <w:t>26</w:t>
      </w:r>
      <w:r w:rsidR="00082487" w:rsidRPr="0010022E">
        <w:rPr>
          <w:rFonts w:cstheme="minorHAnsi"/>
          <w:sz w:val="24"/>
          <w:szCs w:val="24"/>
          <w:lang w:val="en-US"/>
        </w:rPr>
        <w:t xml:space="preserve"> </w:t>
      </w:r>
      <w:r w:rsidRPr="00365544">
        <w:rPr>
          <w:rFonts w:cstheme="minorHAnsi"/>
          <w:sz w:val="24"/>
          <w:szCs w:val="24"/>
          <w:lang w:val="en-US"/>
        </w:rPr>
        <w:t>(2), 121–128 (2015).</w:t>
      </w:r>
    </w:p>
    <w:p w14:paraId="136BF02D" w14:textId="640573AB"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 xml:space="preserve">Assinck, P., Duncan, G. J., Hilton, B. J., Plemel, J. R., Tetzlaff, W. Cell transplantation therapy for spinal cord injury. </w:t>
      </w:r>
      <w:r w:rsidRPr="00365544">
        <w:rPr>
          <w:rFonts w:cstheme="minorHAnsi"/>
          <w:i/>
          <w:iCs/>
          <w:sz w:val="24"/>
          <w:szCs w:val="24"/>
          <w:lang w:val="en-US"/>
        </w:rPr>
        <w:t>Nature Neuroscience</w:t>
      </w:r>
      <w:r w:rsidRPr="00365544">
        <w:rPr>
          <w:rFonts w:cstheme="minorHAnsi"/>
          <w:sz w:val="24"/>
          <w:szCs w:val="24"/>
          <w:lang w:val="en-US"/>
        </w:rPr>
        <w:t xml:space="preserve">. </w:t>
      </w:r>
      <w:r w:rsidRPr="00365544">
        <w:rPr>
          <w:rFonts w:cstheme="minorHAnsi"/>
          <w:b/>
          <w:bCs/>
          <w:sz w:val="24"/>
          <w:szCs w:val="24"/>
          <w:lang w:val="en-US"/>
        </w:rPr>
        <w:t>20</w:t>
      </w:r>
      <w:r w:rsidR="00082487" w:rsidRPr="0010022E">
        <w:rPr>
          <w:rFonts w:cstheme="minorHAnsi"/>
          <w:sz w:val="24"/>
          <w:szCs w:val="24"/>
          <w:lang w:val="en-US"/>
        </w:rPr>
        <w:t xml:space="preserve"> </w:t>
      </w:r>
      <w:r w:rsidRPr="00365544">
        <w:rPr>
          <w:rFonts w:cstheme="minorHAnsi"/>
          <w:sz w:val="24"/>
          <w:szCs w:val="24"/>
          <w:lang w:val="en-US"/>
        </w:rPr>
        <w:t>(5), 637–647 (2017).</w:t>
      </w:r>
    </w:p>
    <w:p w14:paraId="54D7E2FA" w14:textId="045973D3"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Lindsay, S. L., Toft, A., Griffin, J., Emraja, A.</w:t>
      </w:r>
      <w:r w:rsidR="00082487">
        <w:rPr>
          <w:rFonts w:cstheme="minorHAnsi"/>
          <w:sz w:val="24"/>
          <w:szCs w:val="24"/>
          <w:lang w:val="en-US"/>
        </w:rPr>
        <w:t xml:space="preserve"> M. M.</w:t>
      </w:r>
      <w:r w:rsidRPr="00365544">
        <w:rPr>
          <w:rFonts w:cstheme="minorHAnsi"/>
          <w:sz w:val="24"/>
          <w:szCs w:val="24"/>
          <w:lang w:val="en-US"/>
        </w:rPr>
        <w:t xml:space="preserve">, Barnett, S. C., Riddell, J. S. Human olfactory mesenchymal stromal cell transplants promote remyelination and earlier improvement in gait coordination after spinal cord injury.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65</w:t>
      </w:r>
      <w:r w:rsidR="00677753" w:rsidRPr="0010022E">
        <w:rPr>
          <w:rFonts w:cstheme="minorHAnsi"/>
          <w:sz w:val="24"/>
          <w:szCs w:val="24"/>
          <w:lang w:val="en-US"/>
        </w:rPr>
        <w:t xml:space="preserve"> </w:t>
      </w:r>
      <w:r w:rsidRPr="00365544">
        <w:rPr>
          <w:rFonts w:cstheme="minorHAnsi"/>
          <w:sz w:val="24"/>
          <w:szCs w:val="24"/>
          <w:lang w:val="en-US"/>
        </w:rPr>
        <w:t>(4), 639–656 (2017).</w:t>
      </w:r>
    </w:p>
    <w:p w14:paraId="13EC4CF2" w14:textId="2271752F"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shd w:val="clear" w:color="auto" w:fill="FFFFFF"/>
        </w:rPr>
        <w:t>Moreno-Flores</w:t>
      </w:r>
      <w:r w:rsidR="00677753">
        <w:rPr>
          <w:rFonts w:cstheme="minorHAnsi"/>
          <w:sz w:val="24"/>
          <w:szCs w:val="24"/>
          <w:shd w:val="clear" w:color="auto" w:fill="FFFFFF"/>
        </w:rPr>
        <w:t>,</w:t>
      </w:r>
      <w:r w:rsidRPr="00365544">
        <w:rPr>
          <w:rFonts w:cstheme="minorHAnsi"/>
          <w:sz w:val="24"/>
          <w:szCs w:val="24"/>
          <w:shd w:val="clear" w:color="auto" w:fill="FFFFFF"/>
        </w:rPr>
        <w:t xml:space="preserve"> M</w:t>
      </w:r>
      <w:r w:rsidR="00677753">
        <w:rPr>
          <w:rFonts w:cstheme="minorHAnsi"/>
          <w:sz w:val="24"/>
          <w:szCs w:val="24"/>
          <w:shd w:val="clear" w:color="auto" w:fill="FFFFFF"/>
        </w:rPr>
        <w:t xml:space="preserve">. </w:t>
      </w:r>
      <w:r w:rsidRPr="00365544">
        <w:rPr>
          <w:rFonts w:cstheme="minorHAnsi"/>
          <w:sz w:val="24"/>
          <w:szCs w:val="24"/>
          <w:shd w:val="clear" w:color="auto" w:fill="FFFFFF"/>
        </w:rPr>
        <w:t xml:space="preserve">T. et al. </w:t>
      </w:r>
      <w:r w:rsidRPr="00365544">
        <w:rPr>
          <w:rFonts w:cstheme="minorHAnsi"/>
          <w:sz w:val="24"/>
          <w:szCs w:val="24"/>
          <w:shd w:val="clear" w:color="auto" w:fill="FFFFFF"/>
          <w:lang w:val="en-US"/>
        </w:rPr>
        <w:t>A clonal cell line from immortalized olfactory ensheathing glia promotes functional recovery in the injured spinal cord.</w:t>
      </w:r>
      <w:r w:rsidR="00677753">
        <w:rPr>
          <w:rFonts w:cstheme="minorHAnsi"/>
          <w:sz w:val="24"/>
          <w:szCs w:val="24"/>
          <w:shd w:val="clear" w:color="auto" w:fill="FFFFFF"/>
          <w:lang w:val="en-US"/>
        </w:rPr>
        <w:t xml:space="preserve"> </w:t>
      </w:r>
      <w:r w:rsidRPr="00365544">
        <w:rPr>
          <w:rFonts w:cstheme="minorHAnsi"/>
          <w:i/>
          <w:iCs/>
          <w:sz w:val="24"/>
          <w:szCs w:val="24"/>
          <w:shd w:val="clear" w:color="auto" w:fill="FFFFFF"/>
          <w:lang w:val="en-US"/>
        </w:rPr>
        <w:t>Molecular Therapy</w:t>
      </w:r>
      <w:r w:rsidRPr="0010022E">
        <w:rPr>
          <w:rFonts w:cstheme="minorHAnsi"/>
          <w:sz w:val="24"/>
          <w:szCs w:val="24"/>
          <w:shd w:val="clear" w:color="auto" w:fill="FFFFFF"/>
          <w:lang w:val="en-US"/>
        </w:rPr>
        <w:t>.</w:t>
      </w:r>
      <w:r w:rsidRPr="00365544">
        <w:rPr>
          <w:rFonts w:cstheme="minorHAnsi"/>
          <w:i/>
          <w:iCs/>
          <w:sz w:val="24"/>
          <w:szCs w:val="24"/>
          <w:shd w:val="clear" w:color="auto" w:fill="FFFFFF"/>
          <w:lang w:val="en-US"/>
        </w:rPr>
        <w:t xml:space="preserve"> </w:t>
      </w:r>
      <w:r w:rsidRPr="00365544">
        <w:rPr>
          <w:rFonts w:cstheme="minorHAnsi"/>
          <w:b/>
          <w:bCs/>
          <w:sz w:val="24"/>
          <w:szCs w:val="24"/>
          <w:shd w:val="clear" w:color="auto" w:fill="FFFFFF"/>
          <w:lang w:val="en-US"/>
        </w:rPr>
        <w:t>13</w:t>
      </w:r>
      <w:r w:rsidR="00677753" w:rsidRPr="0010022E">
        <w:rPr>
          <w:rFonts w:cstheme="minorHAnsi"/>
          <w:sz w:val="24"/>
          <w:szCs w:val="24"/>
          <w:shd w:val="clear" w:color="auto" w:fill="FFFFFF"/>
          <w:lang w:val="en-US"/>
        </w:rPr>
        <w:t xml:space="preserve"> </w:t>
      </w:r>
      <w:r w:rsidRPr="00365544">
        <w:rPr>
          <w:rFonts w:cstheme="minorHAnsi"/>
          <w:sz w:val="24"/>
          <w:szCs w:val="24"/>
          <w:shd w:val="clear" w:color="auto" w:fill="FFFFFF"/>
          <w:lang w:val="en-US"/>
        </w:rPr>
        <w:t>(3), 598</w:t>
      </w:r>
      <w:r w:rsidR="00677753">
        <w:rPr>
          <w:rFonts w:cstheme="minorHAnsi"/>
          <w:sz w:val="24"/>
          <w:szCs w:val="24"/>
          <w:shd w:val="clear" w:color="auto" w:fill="FFFFFF"/>
          <w:lang w:val="en-US"/>
        </w:rPr>
        <w:t>–</w:t>
      </w:r>
      <w:r w:rsidRPr="00365544">
        <w:rPr>
          <w:rFonts w:cstheme="minorHAnsi"/>
          <w:sz w:val="24"/>
          <w:szCs w:val="24"/>
          <w:shd w:val="clear" w:color="auto" w:fill="FFFFFF"/>
          <w:lang w:val="en-US"/>
        </w:rPr>
        <w:t>608 (2006).</w:t>
      </w:r>
    </w:p>
    <w:p w14:paraId="0EDCA1DD" w14:textId="61024B18"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Gilmour</w:t>
      </w:r>
      <w:r w:rsidR="00677753">
        <w:rPr>
          <w:rFonts w:cstheme="minorHAnsi"/>
          <w:sz w:val="24"/>
          <w:szCs w:val="24"/>
          <w:lang w:val="en-US"/>
        </w:rPr>
        <w:t>,</w:t>
      </w:r>
      <w:r w:rsidRPr="00365544">
        <w:rPr>
          <w:rFonts w:cstheme="minorHAnsi"/>
          <w:sz w:val="24"/>
          <w:szCs w:val="24"/>
          <w:lang w:val="en-US"/>
        </w:rPr>
        <w:t xml:space="preserve"> A.</w:t>
      </w:r>
      <w:r w:rsidR="00677753">
        <w:rPr>
          <w:rFonts w:cstheme="minorHAnsi"/>
          <w:sz w:val="24"/>
          <w:szCs w:val="24"/>
          <w:lang w:val="en-US"/>
        </w:rPr>
        <w:t xml:space="preserve"> </w:t>
      </w:r>
      <w:r w:rsidRPr="00365544">
        <w:rPr>
          <w:rFonts w:cstheme="minorHAnsi"/>
          <w:sz w:val="24"/>
          <w:szCs w:val="24"/>
          <w:lang w:val="en-US"/>
        </w:rPr>
        <w:t>D., Reshamwala</w:t>
      </w:r>
      <w:r w:rsidR="00677753">
        <w:rPr>
          <w:rFonts w:cstheme="minorHAnsi"/>
          <w:sz w:val="24"/>
          <w:szCs w:val="24"/>
          <w:lang w:val="en-US"/>
        </w:rPr>
        <w:t>,</w:t>
      </w:r>
      <w:r w:rsidRPr="00365544">
        <w:rPr>
          <w:rFonts w:cstheme="minorHAnsi"/>
          <w:sz w:val="24"/>
          <w:szCs w:val="24"/>
          <w:lang w:val="en-US"/>
        </w:rPr>
        <w:t xml:space="preserve"> R</w:t>
      </w:r>
      <w:r w:rsidR="00677753">
        <w:rPr>
          <w:rFonts w:cstheme="minorHAnsi"/>
          <w:sz w:val="24"/>
          <w:szCs w:val="24"/>
          <w:lang w:val="en-US"/>
        </w:rPr>
        <w:t>.</w:t>
      </w:r>
      <w:r w:rsidRPr="00365544">
        <w:rPr>
          <w:rFonts w:cstheme="minorHAnsi"/>
          <w:sz w:val="24"/>
          <w:szCs w:val="24"/>
          <w:lang w:val="en-US"/>
        </w:rPr>
        <w:t>, Wright</w:t>
      </w:r>
      <w:r w:rsidR="00677753">
        <w:rPr>
          <w:rFonts w:cstheme="minorHAnsi"/>
          <w:sz w:val="24"/>
          <w:szCs w:val="24"/>
          <w:lang w:val="en-US"/>
        </w:rPr>
        <w:t>,</w:t>
      </w:r>
      <w:r w:rsidRPr="00365544">
        <w:rPr>
          <w:rFonts w:cstheme="minorHAnsi"/>
          <w:sz w:val="24"/>
          <w:szCs w:val="24"/>
          <w:lang w:val="en-US"/>
        </w:rPr>
        <w:t xml:space="preserve"> A.</w:t>
      </w:r>
      <w:r w:rsidR="00677753">
        <w:rPr>
          <w:rFonts w:cstheme="minorHAnsi"/>
          <w:sz w:val="24"/>
          <w:szCs w:val="24"/>
          <w:lang w:val="en-US"/>
        </w:rPr>
        <w:t xml:space="preserve"> </w:t>
      </w:r>
      <w:r w:rsidRPr="00365544">
        <w:rPr>
          <w:rFonts w:cstheme="minorHAnsi"/>
          <w:sz w:val="24"/>
          <w:szCs w:val="24"/>
          <w:lang w:val="en-US"/>
        </w:rPr>
        <w:t>A, Ekberg</w:t>
      </w:r>
      <w:r w:rsidR="00677753">
        <w:rPr>
          <w:rFonts w:cstheme="minorHAnsi"/>
          <w:sz w:val="24"/>
          <w:szCs w:val="24"/>
          <w:lang w:val="en-US"/>
        </w:rPr>
        <w:t>,</w:t>
      </w:r>
      <w:r w:rsidRPr="00365544">
        <w:rPr>
          <w:rFonts w:cstheme="minorHAnsi"/>
          <w:sz w:val="24"/>
          <w:szCs w:val="24"/>
          <w:lang w:val="en-US"/>
        </w:rPr>
        <w:t xml:space="preserve"> J.</w:t>
      </w:r>
      <w:r w:rsidR="00677753">
        <w:rPr>
          <w:rFonts w:cstheme="minorHAnsi"/>
          <w:sz w:val="24"/>
          <w:szCs w:val="24"/>
          <w:lang w:val="en-US"/>
        </w:rPr>
        <w:t xml:space="preserve"> </w:t>
      </w:r>
      <w:r w:rsidRPr="00365544">
        <w:rPr>
          <w:rFonts w:cstheme="minorHAnsi"/>
          <w:sz w:val="24"/>
          <w:szCs w:val="24"/>
          <w:lang w:val="en-US"/>
        </w:rPr>
        <w:t>A.</w:t>
      </w:r>
      <w:r w:rsidR="00677753">
        <w:rPr>
          <w:rFonts w:cstheme="minorHAnsi"/>
          <w:sz w:val="24"/>
          <w:szCs w:val="24"/>
          <w:lang w:val="en-US"/>
        </w:rPr>
        <w:t xml:space="preserve"> </w:t>
      </w:r>
      <w:r w:rsidRPr="00365544">
        <w:rPr>
          <w:rFonts w:cstheme="minorHAnsi"/>
          <w:sz w:val="24"/>
          <w:szCs w:val="24"/>
          <w:lang w:val="en-US"/>
        </w:rPr>
        <w:t>K, St</w:t>
      </w:r>
      <w:r w:rsidR="00677753">
        <w:rPr>
          <w:rFonts w:cstheme="minorHAnsi"/>
          <w:sz w:val="24"/>
          <w:szCs w:val="24"/>
          <w:lang w:val="en-US"/>
        </w:rPr>
        <w:t>.</w:t>
      </w:r>
      <w:r w:rsidRPr="00365544">
        <w:rPr>
          <w:rFonts w:cstheme="minorHAnsi"/>
          <w:sz w:val="24"/>
          <w:szCs w:val="24"/>
          <w:lang w:val="en-US"/>
        </w:rPr>
        <w:t xml:space="preserve"> John</w:t>
      </w:r>
      <w:r w:rsidR="00677753">
        <w:rPr>
          <w:rFonts w:cstheme="minorHAnsi"/>
          <w:sz w:val="24"/>
          <w:szCs w:val="24"/>
          <w:lang w:val="en-US"/>
        </w:rPr>
        <w:t>,</w:t>
      </w:r>
      <w:r w:rsidRPr="00365544">
        <w:rPr>
          <w:rFonts w:cstheme="minorHAnsi"/>
          <w:sz w:val="24"/>
          <w:szCs w:val="24"/>
          <w:lang w:val="en-US"/>
        </w:rPr>
        <w:t xml:space="preserve"> J.</w:t>
      </w:r>
      <w:r w:rsidR="00677753">
        <w:rPr>
          <w:rFonts w:cstheme="minorHAnsi"/>
          <w:sz w:val="24"/>
          <w:szCs w:val="24"/>
          <w:lang w:val="en-US"/>
        </w:rPr>
        <w:t xml:space="preserve"> </w:t>
      </w:r>
      <w:r w:rsidRPr="00365544">
        <w:rPr>
          <w:rFonts w:cstheme="minorHAnsi"/>
          <w:sz w:val="24"/>
          <w:szCs w:val="24"/>
          <w:lang w:val="en-US"/>
        </w:rPr>
        <w:t xml:space="preserve">A. Optimizing </w:t>
      </w:r>
      <w:r w:rsidR="00677753">
        <w:rPr>
          <w:rFonts w:cstheme="minorHAnsi"/>
          <w:sz w:val="24"/>
          <w:szCs w:val="24"/>
          <w:lang w:val="en-US"/>
        </w:rPr>
        <w:t>o</w:t>
      </w:r>
      <w:r w:rsidRPr="00365544">
        <w:rPr>
          <w:rFonts w:cstheme="minorHAnsi"/>
          <w:sz w:val="24"/>
          <w:szCs w:val="24"/>
          <w:lang w:val="en-US"/>
        </w:rPr>
        <w:t xml:space="preserve">lfactory </w:t>
      </w:r>
      <w:r w:rsidR="00677753">
        <w:rPr>
          <w:rFonts w:cstheme="minorHAnsi"/>
          <w:sz w:val="24"/>
          <w:szCs w:val="24"/>
          <w:lang w:val="en-US"/>
        </w:rPr>
        <w:t>e</w:t>
      </w:r>
      <w:r w:rsidRPr="00365544">
        <w:rPr>
          <w:rFonts w:cstheme="minorHAnsi"/>
          <w:sz w:val="24"/>
          <w:szCs w:val="24"/>
          <w:lang w:val="en-US"/>
        </w:rPr>
        <w:t xml:space="preserve">nsheathing </w:t>
      </w:r>
      <w:r w:rsidR="00677753">
        <w:rPr>
          <w:rFonts w:cstheme="minorHAnsi"/>
          <w:sz w:val="24"/>
          <w:szCs w:val="24"/>
          <w:lang w:val="en-US"/>
        </w:rPr>
        <w:t>c</w:t>
      </w:r>
      <w:r w:rsidRPr="00365544">
        <w:rPr>
          <w:rFonts w:cstheme="minorHAnsi"/>
          <w:sz w:val="24"/>
          <w:szCs w:val="24"/>
          <w:lang w:val="en-US"/>
        </w:rPr>
        <w:t xml:space="preserve">ell </w:t>
      </w:r>
      <w:r w:rsidR="00677753">
        <w:rPr>
          <w:rFonts w:cstheme="minorHAnsi"/>
          <w:sz w:val="24"/>
          <w:szCs w:val="24"/>
          <w:lang w:val="en-US"/>
        </w:rPr>
        <w:t>t</w:t>
      </w:r>
      <w:r w:rsidRPr="00365544">
        <w:rPr>
          <w:rFonts w:cstheme="minorHAnsi"/>
          <w:sz w:val="24"/>
          <w:szCs w:val="24"/>
          <w:lang w:val="en-US"/>
        </w:rPr>
        <w:t xml:space="preserve">ransplantation for </w:t>
      </w:r>
      <w:r w:rsidR="00677753">
        <w:rPr>
          <w:rFonts w:cstheme="minorHAnsi"/>
          <w:sz w:val="24"/>
          <w:szCs w:val="24"/>
          <w:lang w:val="en-US"/>
        </w:rPr>
        <w:t>s</w:t>
      </w:r>
      <w:r w:rsidRPr="00365544">
        <w:rPr>
          <w:rFonts w:cstheme="minorHAnsi"/>
          <w:sz w:val="24"/>
          <w:szCs w:val="24"/>
          <w:lang w:val="en-US"/>
        </w:rPr>
        <w:t xml:space="preserve">pinal </w:t>
      </w:r>
      <w:r w:rsidR="00677753">
        <w:rPr>
          <w:rFonts w:cstheme="minorHAnsi"/>
          <w:sz w:val="24"/>
          <w:szCs w:val="24"/>
          <w:lang w:val="en-US"/>
        </w:rPr>
        <w:t>c</w:t>
      </w:r>
      <w:r w:rsidRPr="00365544">
        <w:rPr>
          <w:rFonts w:cstheme="minorHAnsi"/>
          <w:sz w:val="24"/>
          <w:szCs w:val="24"/>
          <w:lang w:val="en-US"/>
        </w:rPr>
        <w:t xml:space="preserve">ord </w:t>
      </w:r>
      <w:r w:rsidR="00677753">
        <w:rPr>
          <w:rFonts w:cstheme="minorHAnsi"/>
          <w:sz w:val="24"/>
          <w:szCs w:val="24"/>
          <w:lang w:val="en-US"/>
        </w:rPr>
        <w:t>i</w:t>
      </w:r>
      <w:r w:rsidRPr="00365544">
        <w:rPr>
          <w:rFonts w:cstheme="minorHAnsi"/>
          <w:sz w:val="24"/>
          <w:szCs w:val="24"/>
          <w:lang w:val="en-US"/>
        </w:rPr>
        <w:t xml:space="preserve">njury </w:t>
      </w:r>
      <w:r w:rsidR="00677753">
        <w:rPr>
          <w:rFonts w:cstheme="minorHAnsi"/>
          <w:sz w:val="24"/>
          <w:szCs w:val="24"/>
          <w:lang w:val="en-US"/>
        </w:rPr>
        <w:t>r</w:t>
      </w:r>
      <w:r w:rsidRPr="00365544">
        <w:rPr>
          <w:rFonts w:cstheme="minorHAnsi"/>
          <w:sz w:val="24"/>
          <w:szCs w:val="24"/>
          <w:lang w:val="en-US"/>
        </w:rPr>
        <w:t xml:space="preserve">epair. </w:t>
      </w:r>
      <w:r w:rsidRPr="00365544">
        <w:rPr>
          <w:rFonts w:cstheme="minorHAnsi"/>
          <w:i/>
          <w:iCs/>
          <w:sz w:val="24"/>
          <w:szCs w:val="24"/>
          <w:lang w:val="en-US"/>
        </w:rPr>
        <w:t>J</w:t>
      </w:r>
      <w:r w:rsidR="00677753">
        <w:rPr>
          <w:rFonts w:cstheme="minorHAnsi"/>
          <w:i/>
          <w:iCs/>
          <w:sz w:val="24"/>
          <w:szCs w:val="24"/>
          <w:lang w:val="en-US"/>
        </w:rPr>
        <w:t>ournal of</w:t>
      </w:r>
      <w:r w:rsidRPr="00365544">
        <w:rPr>
          <w:rFonts w:cstheme="minorHAnsi"/>
          <w:i/>
          <w:iCs/>
          <w:sz w:val="24"/>
          <w:szCs w:val="24"/>
          <w:lang w:val="en-US"/>
        </w:rPr>
        <w:t xml:space="preserve"> Neurotrauma</w:t>
      </w:r>
      <w:r w:rsidRPr="00365544">
        <w:rPr>
          <w:rFonts w:cstheme="minorHAnsi"/>
          <w:sz w:val="24"/>
          <w:szCs w:val="24"/>
          <w:lang w:val="en-US"/>
        </w:rPr>
        <w:t xml:space="preserve">. </w:t>
      </w:r>
      <w:r w:rsidRPr="00365544">
        <w:rPr>
          <w:rFonts w:cstheme="minorHAnsi"/>
          <w:b/>
          <w:bCs/>
          <w:sz w:val="24"/>
          <w:szCs w:val="24"/>
          <w:lang w:val="en-US"/>
        </w:rPr>
        <w:t>37</w:t>
      </w:r>
      <w:r w:rsidR="00677753" w:rsidRPr="0010022E">
        <w:rPr>
          <w:rFonts w:cstheme="minorHAnsi"/>
          <w:sz w:val="24"/>
          <w:szCs w:val="24"/>
          <w:lang w:val="en-US"/>
        </w:rPr>
        <w:t xml:space="preserve"> </w:t>
      </w:r>
      <w:r w:rsidRPr="00365544">
        <w:rPr>
          <w:rFonts w:cstheme="minorHAnsi"/>
          <w:sz w:val="24"/>
          <w:szCs w:val="24"/>
          <w:lang w:val="en-US"/>
        </w:rPr>
        <w:t>(5), 817</w:t>
      </w:r>
      <w:r w:rsidR="00677753">
        <w:rPr>
          <w:rFonts w:cstheme="minorHAnsi"/>
          <w:sz w:val="24"/>
          <w:szCs w:val="24"/>
          <w:lang w:val="en-US"/>
        </w:rPr>
        <w:t>–</w:t>
      </w:r>
      <w:r w:rsidRPr="00365544">
        <w:rPr>
          <w:rFonts w:cstheme="minorHAnsi"/>
          <w:sz w:val="24"/>
          <w:szCs w:val="24"/>
          <w:lang w:val="en-US"/>
        </w:rPr>
        <w:t>829 (2020).</w:t>
      </w:r>
    </w:p>
    <w:p w14:paraId="75765A4D" w14:textId="4DC2E8FC"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 xml:space="preserve">Barraud P. et al. Neural crest origin of olfactory ensheathing glia. </w:t>
      </w:r>
      <w:r w:rsidRPr="00365544">
        <w:rPr>
          <w:rFonts w:cstheme="minorHAnsi"/>
          <w:i/>
          <w:iCs/>
          <w:sz w:val="24"/>
          <w:szCs w:val="24"/>
          <w:lang w:val="en-US"/>
        </w:rPr>
        <w:t>Proc</w:t>
      </w:r>
      <w:r w:rsidR="00677753">
        <w:rPr>
          <w:rFonts w:cstheme="minorHAnsi"/>
          <w:i/>
          <w:iCs/>
          <w:sz w:val="24"/>
          <w:szCs w:val="24"/>
          <w:lang w:val="en-US"/>
        </w:rPr>
        <w:t>eedings of the</w:t>
      </w:r>
      <w:r w:rsidRPr="00365544">
        <w:rPr>
          <w:rFonts w:cstheme="minorHAnsi"/>
          <w:i/>
          <w:iCs/>
          <w:sz w:val="24"/>
          <w:szCs w:val="24"/>
          <w:lang w:val="en-US"/>
        </w:rPr>
        <w:t xml:space="preserve"> Nat</w:t>
      </w:r>
      <w:r w:rsidR="00677753">
        <w:rPr>
          <w:rFonts w:cstheme="minorHAnsi"/>
          <w:i/>
          <w:iCs/>
          <w:sz w:val="24"/>
          <w:szCs w:val="24"/>
          <w:lang w:val="en-US"/>
        </w:rPr>
        <w:t>iona</w:t>
      </w:r>
      <w:r w:rsidRPr="00365544">
        <w:rPr>
          <w:rFonts w:cstheme="minorHAnsi"/>
          <w:i/>
          <w:iCs/>
          <w:sz w:val="24"/>
          <w:szCs w:val="24"/>
          <w:lang w:val="en-US"/>
        </w:rPr>
        <w:t>l Acad</w:t>
      </w:r>
      <w:r w:rsidR="00677753">
        <w:rPr>
          <w:rFonts w:cstheme="minorHAnsi"/>
          <w:i/>
          <w:iCs/>
          <w:sz w:val="24"/>
          <w:szCs w:val="24"/>
          <w:lang w:val="en-US"/>
        </w:rPr>
        <w:t>emy of</w:t>
      </w:r>
      <w:r w:rsidRPr="00365544">
        <w:rPr>
          <w:rFonts w:cstheme="minorHAnsi"/>
          <w:i/>
          <w:iCs/>
          <w:sz w:val="24"/>
          <w:szCs w:val="24"/>
          <w:lang w:val="en-US"/>
        </w:rPr>
        <w:t xml:space="preserve"> Sci</w:t>
      </w:r>
      <w:r w:rsidR="00677753">
        <w:rPr>
          <w:rFonts w:cstheme="minorHAnsi"/>
          <w:i/>
          <w:iCs/>
          <w:sz w:val="24"/>
          <w:szCs w:val="24"/>
          <w:lang w:val="en-US"/>
        </w:rPr>
        <w:t>ences of the</w:t>
      </w:r>
      <w:r w:rsidRPr="00365544">
        <w:rPr>
          <w:rFonts w:cstheme="minorHAnsi"/>
          <w:i/>
          <w:iCs/>
          <w:sz w:val="24"/>
          <w:szCs w:val="24"/>
          <w:lang w:val="en-US"/>
        </w:rPr>
        <w:t xml:space="preserve"> U</w:t>
      </w:r>
      <w:r w:rsidR="00677753">
        <w:rPr>
          <w:rFonts w:cstheme="minorHAnsi"/>
          <w:i/>
          <w:iCs/>
          <w:sz w:val="24"/>
          <w:szCs w:val="24"/>
          <w:lang w:val="en-US"/>
        </w:rPr>
        <w:t>nited</w:t>
      </w:r>
      <w:r w:rsidRPr="00365544">
        <w:rPr>
          <w:rFonts w:cstheme="minorHAnsi"/>
          <w:i/>
          <w:iCs/>
          <w:sz w:val="24"/>
          <w:szCs w:val="24"/>
          <w:lang w:val="en-US"/>
        </w:rPr>
        <w:t xml:space="preserve"> S</w:t>
      </w:r>
      <w:r w:rsidR="00677753">
        <w:rPr>
          <w:rFonts w:cstheme="minorHAnsi"/>
          <w:i/>
          <w:iCs/>
          <w:sz w:val="24"/>
          <w:szCs w:val="24"/>
          <w:lang w:val="en-US"/>
        </w:rPr>
        <w:t>tates of</w:t>
      </w:r>
      <w:r w:rsidRPr="00365544">
        <w:rPr>
          <w:rFonts w:cstheme="minorHAnsi"/>
          <w:i/>
          <w:iCs/>
          <w:sz w:val="24"/>
          <w:szCs w:val="24"/>
          <w:lang w:val="en-US"/>
        </w:rPr>
        <w:t xml:space="preserve"> A</w:t>
      </w:r>
      <w:r w:rsidR="00677753">
        <w:rPr>
          <w:rFonts w:cstheme="minorHAnsi"/>
          <w:i/>
          <w:iCs/>
          <w:sz w:val="24"/>
          <w:szCs w:val="24"/>
          <w:lang w:val="en-US"/>
        </w:rPr>
        <w:t>merica</w:t>
      </w:r>
      <w:r w:rsidRPr="0010022E">
        <w:rPr>
          <w:rFonts w:cstheme="minorHAnsi"/>
          <w:sz w:val="24"/>
          <w:szCs w:val="24"/>
          <w:lang w:val="en-US"/>
        </w:rPr>
        <w:t>.</w:t>
      </w:r>
      <w:r w:rsidRPr="00365544">
        <w:rPr>
          <w:rFonts w:cstheme="minorHAnsi"/>
          <w:sz w:val="24"/>
          <w:szCs w:val="24"/>
          <w:lang w:val="en-US"/>
        </w:rPr>
        <w:t xml:space="preserve"> </w:t>
      </w:r>
      <w:r w:rsidRPr="00365544">
        <w:rPr>
          <w:rFonts w:cstheme="minorHAnsi"/>
          <w:b/>
          <w:bCs/>
          <w:sz w:val="24"/>
          <w:szCs w:val="24"/>
          <w:lang w:val="en-US"/>
        </w:rPr>
        <w:t>107</w:t>
      </w:r>
      <w:r w:rsidRPr="00365544">
        <w:rPr>
          <w:rFonts w:cstheme="minorHAnsi"/>
          <w:sz w:val="24"/>
          <w:szCs w:val="24"/>
          <w:lang w:val="en-US"/>
        </w:rPr>
        <w:t>, 21040</w:t>
      </w:r>
      <w:r w:rsidR="00677753">
        <w:rPr>
          <w:rFonts w:cstheme="minorHAnsi"/>
          <w:sz w:val="24"/>
          <w:szCs w:val="24"/>
          <w:lang w:val="en-US"/>
        </w:rPr>
        <w:t>–</w:t>
      </w:r>
      <w:r w:rsidRPr="00365544">
        <w:rPr>
          <w:rFonts w:cstheme="minorHAnsi"/>
          <w:sz w:val="24"/>
          <w:szCs w:val="24"/>
          <w:lang w:val="en-US"/>
        </w:rPr>
        <w:t>21045 (2010).</w:t>
      </w:r>
    </w:p>
    <w:p w14:paraId="56E12737" w14:textId="4970E72F"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Su</w:t>
      </w:r>
      <w:r w:rsidR="00677753">
        <w:rPr>
          <w:rFonts w:cstheme="minorHAnsi"/>
          <w:sz w:val="24"/>
          <w:szCs w:val="24"/>
          <w:lang w:val="en-US"/>
        </w:rPr>
        <w:t>,</w:t>
      </w:r>
      <w:r w:rsidRPr="00365544">
        <w:rPr>
          <w:rFonts w:cstheme="minorHAnsi"/>
          <w:sz w:val="24"/>
          <w:szCs w:val="24"/>
          <w:lang w:val="en-US"/>
        </w:rPr>
        <w:t xml:space="preserve"> Z., He</w:t>
      </w:r>
      <w:r w:rsidR="00677753">
        <w:rPr>
          <w:rFonts w:cstheme="minorHAnsi"/>
          <w:sz w:val="24"/>
          <w:szCs w:val="24"/>
          <w:lang w:val="en-US"/>
        </w:rPr>
        <w:t>,</w:t>
      </w:r>
      <w:r w:rsidRPr="00365544">
        <w:rPr>
          <w:rFonts w:cstheme="minorHAnsi"/>
          <w:sz w:val="24"/>
          <w:szCs w:val="24"/>
          <w:lang w:val="en-US"/>
        </w:rPr>
        <w:t xml:space="preserve"> C. Olfactory ensheathing cells: biology in neural development and regeneration. </w:t>
      </w:r>
      <w:r w:rsidRPr="00365544">
        <w:rPr>
          <w:rFonts w:cstheme="minorHAnsi"/>
          <w:i/>
          <w:iCs/>
          <w:sz w:val="24"/>
          <w:szCs w:val="24"/>
          <w:lang w:val="en-US"/>
        </w:rPr>
        <w:t>Prog</w:t>
      </w:r>
      <w:r w:rsidR="00677753">
        <w:rPr>
          <w:rFonts w:cstheme="minorHAnsi"/>
          <w:i/>
          <w:iCs/>
          <w:sz w:val="24"/>
          <w:szCs w:val="24"/>
          <w:lang w:val="en-US"/>
        </w:rPr>
        <w:t>ress in</w:t>
      </w:r>
      <w:r w:rsidRPr="00365544">
        <w:rPr>
          <w:rFonts w:cstheme="minorHAnsi"/>
          <w:i/>
          <w:iCs/>
          <w:sz w:val="24"/>
          <w:szCs w:val="24"/>
          <w:lang w:val="en-US"/>
        </w:rPr>
        <w:t xml:space="preserve"> Neurobiol</w:t>
      </w:r>
      <w:r w:rsidR="00677753">
        <w:rPr>
          <w:rFonts w:cstheme="minorHAnsi"/>
          <w:i/>
          <w:iCs/>
          <w:sz w:val="24"/>
          <w:szCs w:val="24"/>
          <w:lang w:val="en-US"/>
        </w:rPr>
        <w:t>ogy</w:t>
      </w:r>
      <w:r w:rsidRPr="0010022E">
        <w:rPr>
          <w:rFonts w:cstheme="minorHAnsi"/>
          <w:sz w:val="24"/>
          <w:szCs w:val="24"/>
          <w:lang w:val="en-US"/>
        </w:rPr>
        <w:t>.</w:t>
      </w:r>
      <w:r w:rsidRPr="00365544">
        <w:rPr>
          <w:rFonts w:cstheme="minorHAnsi"/>
          <w:sz w:val="24"/>
          <w:szCs w:val="24"/>
          <w:lang w:val="en-US"/>
        </w:rPr>
        <w:t xml:space="preserve"> </w:t>
      </w:r>
      <w:r w:rsidRPr="00365544">
        <w:rPr>
          <w:rFonts w:cstheme="minorHAnsi"/>
          <w:b/>
          <w:bCs/>
          <w:sz w:val="24"/>
          <w:szCs w:val="24"/>
          <w:lang w:val="en-US"/>
        </w:rPr>
        <w:t>92</w:t>
      </w:r>
      <w:r w:rsidR="00677753" w:rsidRPr="0010022E">
        <w:rPr>
          <w:rFonts w:cstheme="minorHAnsi"/>
          <w:sz w:val="24"/>
          <w:szCs w:val="24"/>
          <w:lang w:val="en-US"/>
        </w:rPr>
        <w:t xml:space="preserve"> </w:t>
      </w:r>
      <w:r w:rsidRPr="00365544">
        <w:rPr>
          <w:rFonts w:cstheme="minorHAnsi"/>
          <w:sz w:val="24"/>
          <w:szCs w:val="24"/>
          <w:lang w:val="en-US"/>
        </w:rPr>
        <w:t>(4), 517</w:t>
      </w:r>
      <w:r w:rsidR="00677753">
        <w:rPr>
          <w:rFonts w:cstheme="minorHAnsi"/>
          <w:sz w:val="24"/>
          <w:szCs w:val="24"/>
          <w:lang w:val="en-US"/>
        </w:rPr>
        <w:t>–</w:t>
      </w:r>
      <w:r w:rsidRPr="00365544">
        <w:rPr>
          <w:rFonts w:cstheme="minorHAnsi"/>
          <w:sz w:val="24"/>
          <w:szCs w:val="24"/>
          <w:lang w:val="en-US"/>
        </w:rPr>
        <w:t>532 (2010).</w:t>
      </w:r>
    </w:p>
    <w:p w14:paraId="1F2B08EF" w14:textId="12ACF480"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lastRenderedPageBreak/>
        <w:t>Yao</w:t>
      </w:r>
      <w:r w:rsidR="00677753">
        <w:rPr>
          <w:rFonts w:cstheme="minorHAnsi"/>
          <w:sz w:val="24"/>
          <w:szCs w:val="24"/>
          <w:lang w:val="en-US"/>
        </w:rPr>
        <w:t>,</w:t>
      </w:r>
      <w:r w:rsidRPr="00365544">
        <w:rPr>
          <w:rFonts w:cstheme="minorHAnsi"/>
          <w:sz w:val="24"/>
          <w:szCs w:val="24"/>
          <w:lang w:val="en-US"/>
        </w:rPr>
        <w:t xml:space="preserve"> R. et al. Olfactory </w:t>
      </w:r>
      <w:r w:rsidR="00677753">
        <w:rPr>
          <w:rFonts w:cstheme="minorHAnsi"/>
          <w:sz w:val="24"/>
          <w:szCs w:val="24"/>
          <w:lang w:val="en-US"/>
        </w:rPr>
        <w:t>e</w:t>
      </w:r>
      <w:r w:rsidRPr="00365544">
        <w:rPr>
          <w:rFonts w:cstheme="minorHAnsi"/>
          <w:sz w:val="24"/>
          <w:szCs w:val="24"/>
          <w:lang w:val="en-US"/>
        </w:rPr>
        <w:t xml:space="preserve">nsheathing </w:t>
      </w:r>
      <w:r w:rsidR="00677753">
        <w:rPr>
          <w:rFonts w:cstheme="minorHAnsi"/>
          <w:sz w:val="24"/>
          <w:szCs w:val="24"/>
          <w:lang w:val="en-US"/>
        </w:rPr>
        <w:t>c</w:t>
      </w:r>
      <w:r w:rsidRPr="00365544">
        <w:rPr>
          <w:rFonts w:cstheme="minorHAnsi"/>
          <w:sz w:val="24"/>
          <w:szCs w:val="24"/>
          <w:lang w:val="en-US"/>
        </w:rPr>
        <w:t xml:space="preserve">ells for </w:t>
      </w:r>
      <w:r w:rsidR="00677753">
        <w:rPr>
          <w:rFonts w:cstheme="minorHAnsi"/>
          <w:sz w:val="24"/>
          <w:szCs w:val="24"/>
          <w:lang w:val="en-US"/>
        </w:rPr>
        <w:t>s</w:t>
      </w:r>
      <w:r w:rsidRPr="00365544">
        <w:rPr>
          <w:rFonts w:cstheme="minorHAnsi"/>
          <w:sz w:val="24"/>
          <w:szCs w:val="24"/>
          <w:lang w:val="en-US"/>
        </w:rPr>
        <w:t xml:space="preserve">pinal </w:t>
      </w:r>
      <w:r w:rsidR="00677753">
        <w:rPr>
          <w:rFonts w:cstheme="minorHAnsi"/>
          <w:sz w:val="24"/>
          <w:szCs w:val="24"/>
          <w:lang w:val="en-US"/>
        </w:rPr>
        <w:t>c</w:t>
      </w:r>
      <w:r w:rsidRPr="00365544">
        <w:rPr>
          <w:rFonts w:cstheme="minorHAnsi"/>
          <w:sz w:val="24"/>
          <w:szCs w:val="24"/>
          <w:lang w:val="en-US"/>
        </w:rPr>
        <w:t xml:space="preserve">ord </w:t>
      </w:r>
      <w:r w:rsidR="00677753">
        <w:rPr>
          <w:rFonts w:cstheme="minorHAnsi"/>
          <w:sz w:val="24"/>
          <w:szCs w:val="24"/>
          <w:lang w:val="en-US"/>
        </w:rPr>
        <w:t>i</w:t>
      </w:r>
      <w:r w:rsidRPr="00365544">
        <w:rPr>
          <w:rFonts w:cstheme="minorHAnsi"/>
          <w:sz w:val="24"/>
          <w:szCs w:val="24"/>
          <w:lang w:val="en-US"/>
        </w:rPr>
        <w:t xml:space="preserve">njury: </w:t>
      </w:r>
      <w:r w:rsidR="00677753">
        <w:rPr>
          <w:rFonts w:cstheme="minorHAnsi"/>
          <w:sz w:val="24"/>
          <w:szCs w:val="24"/>
          <w:lang w:val="en-US"/>
        </w:rPr>
        <w:t>s</w:t>
      </w:r>
      <w:r w:rsidRPr="00365544">
        <w:rPr>
          <w:rFonts w:cstheme="minorHAnsi"/>
          <w:sz w:val="24"/>
          <w:szCs w:val="24"/>
          <w:lang w:val="en-US"/>
        </w:rPr>
        <w:t xml:space="preserve">niffing </w:t>
      </w:r>
      <w:r w:rsidR="00677753">
        <w:rPr>
          <w:rFonts w:cstheme="minorHAnsi"/>
          <w:sz w:val="24"/>
          <w:szCs w:val="24"/>
          <w:lang w:val="en-US"/>
        </w:rPr>
        <w:t>o</w:t>
      </w:r>
      <w:r w:rsidRPr="00365544">
        <w:rPr>
          <w:rFonts w:cstheme="minorHAnsi"/>
          <w:sz w:val="24"/>
          <w:szCs w:val="24"/>
          <w:lang w:val="en-US"/>
        </w:rPr>
        <w:t xml:space="preserve">ut the </w:t>
      </w:r>
      <w:r w:rsidR="00677753">
        <w:rPr>
          <w:rFonts w:cstheme="minorHAnsi"/>
          <w:sz w:val="24"/>
          <w:szCs w:val="24"/>
          <w:lang w:val="en-US"/>
        </w:rPr>
        <w:t>i</w:t>
      </w:r>
      <w:r w:rsidRPr="00365544">
        <w:rPr>
          <w:rFonts w:cstheme="minorHAnsi"/>
          <w:sz w:val="24"/>
          <w:szCs w:val="24"/>
          <w:lang w:val="en-US"/>
        </w:rPr>
        <w:t xml:space="preserve">ssues. </w:t>
      </w:r>
      <w:r w:rsidRPr="00365544">
        <w:rPr>
          <w:rFonts w:cstheme="minorHAnsi"/>
          <w:i/>
          <w:iCs/>
          <w:sz w:val="24"/>
          <w:szCs w:val="24"/>
          <w:lang w:val="en-US"/>
        </w:rPr>
        <w:t>Cell Transplant</w:t>
      </w:r>
      <w:r w:rsidRPr="00365544">
        <w:rPr>
          <w:rFonts w:cstheme="minorHAnsi"/>
          <w:sz w:val="24"/>
          <w:szCs w:val="24"/>
          <w:lang w:val="en-US"/>
        </w:rPr>
        <w:t xml:space="preserve">. </w:t>
      </w:r>
      <w:r w:rsidRPr="00365544">
        <w:rPr>
          <w:rFonts w:cstheme="minorHAnsi"/>
          <w:b/>
          <w:bCs/>
          <w:sz w:val="24"/>
          <w:szCs w:val="24"/>
          <w:lang w:val="en-US"/>
        </w:rPr>
        <w:t>27</w:t>
      </w:r>
      <w:r w:rsidR="00677753" w:rsidRPr="0010022E">
        <w:rPr>
          <w:rFonts w:cstheme="minorHAnsi"/>
          <w:sz w:val="24"/>
          <w:szCs w:val="24"/>
          <w:lang w:val="en-US"/>
        </w:rPr>
        <w:t xml:space="preserve"> </w:t>
      </w:r>
      <w:r w:rsidRPr="00365544">
        <w:rPr>
          <w:rFonts w:cstheme="minorHAnsi"/>
          <w:sz w:val="24"/>
          <w:szCs w:val="24"/>
          <w:lang w:val="en-US"/>
        </w:rPr>
        <w:t>(6), 879</w:t>
      </w:r>
      <w:r w:rsidR="00677753">
        <w:rPr>
          <w:rFonts w:cstheme="minorHAnsi"/>
          <w:sz w:val="24"/>
          <w:szCs w:val="24"/>
          <w:lang w:val="en-US"/>
        </w:rPr>
        <w:t>–</w:t>
      </w:r>
      <w:r w:rsidRPr="00365544">
        <w:rPr>
          <w:rFonts w:cstheme="minorHAnsi"/>
          <w:sz w:val="24"/>
          <w:szCs w:val="24"/>
          <w:lang w:val="en-US"/>
        </w:rPr>
        <w:t>889 (2018).</w:t>
      </w:r>
    </w:p>
    <w:p w14:paraId="68181414" w14:textId="19DF3FE2"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Gómez</w:t>
      </w:r>
      <w:r w:rsidR="00677753">
        <w:rPr>
          <w:rFonts w:cstheme="minorHAnsi"/>
          <w:sz w:val="24"/>
          <w:szCs w:val="24"/>
          <w:lang w:val="en-US"/>
        </w:rPr>
        <w:t>,</w:t>
      </w:r>
      <w:r w:rsidRPr="00365544">
        <w:rPr>
          <w:rFonts w:cstheme="minorHAnsi"/>
          <w:sz w:val="24"/>
          <w:szCs w:val="24"/>
          <w:lang w:val="en-US"/>
        </w:rPr>
        <w:t xml:space="preserve"> R</w:t>
      </w:r>
      <w:r w:rsidR="00677753">
        <w:rPr>
          <w:rFonts w:cstheme="minorHAnsi"/>
          <w:sz w:val="24"/>
          <w:szCs w:val="24"/>
          <w:lang w:val="en-US"/>
        </w:rPr>
        <w:t xml:space="preserve">. </w:t>
      </w:r>
      <w:r w:rsidRPr="00365544">
        <w:rPr>
          <w:rFonts w:cstheme="minorHAnsi"/>
          <w:sz w:val="24"/>
          <w:szCs w:val="24"/>
          <w:lang w:val="en-US"/>
        </w:rPr>
        <w:t xml:space="preserve">M. et al. Cell therapy for spinal cord injury with olfactory ensheathing glia cells (OECs).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66</w:t>
      </w:r>
      <w:r w:rsidR="00677753" w:rsidRPr="0010022E">
        <w:rPr>
          <w:rFonts w:cstheme="minorHAnsi"/>
          <w:sz w:val="24"/>
          <w:szCs w:val="24"/>
          <w:lang w:val="en-US"/>
        </w:rPr>
        <w:t xml:space="preserve"> </w:t>
      </w:r>
      <w:r w:rsidRPr="00365544">
        <w:rPr>
          <w:rFonts w:cstheme="minorHAnsi"/>
          <w:sz w:val="24"/>
          <w:szCs w:val="24"/>
          <w:lang w:val="en-US"/>
        </w:rPr>
        <w:t>(7), 1267</w:t>
      </w:r>
      <w:r w:rsidR="00677753">
        <w:rPr>
          <w:rFonts w:cstheme="minorHAnsi"/>
          <w:sz w:val="24"/>
          <w:szCs w:val="24"/>
          <w:lang w:val="en-US"/>
        </w:rPr>
        <w:t>–</w:t>
      </w:r>
      <w:r w:rsidRPr="00365544">
        <w:rPr>
          <w:rFonts w:cstheme="minorHAnsi"/>
          <w:sz w:val="24"/>
          <w:szCs w:val="24"/>
          <w:lang w:val="en-US"/>
        </w:rPr>
        <w:t>1301 (2018).</w:t>
      </w:r>
    </w:p>
    <w:p w14:paraId="3A46A8DE" w14:textId="0978AB42"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Plant</w:t>
      </w:r>
      <w:r w:rsidR="00677753">
        <w:rPr>
          <w:rFonts w:cstheme="minorHAnsi"/>
          <w:sz w:val="24"/>
          <w:szCs w:val="24"/>
          <w:lang w:val="en-US"/>
        </w:rPr>
        <w:t>,</w:t>
      </w:r>
      <w:r w:rsidRPr="00365544">
        <w:rPr>
          <w:rFonts w:cstheme="minorHAnsi"/>
          <w:sz w:val="24"/>
          <w:szCs w:val="24"/>
          <w:lang w:val="en-US"/>
        </w:rPr>
        <w:t xml:space="preserve"> G.</w:t>
      </w:r>
      <w:r w:rsidR="00677753">
        <w:rPr>
          <w:rFonts w:cstheme="minorHAnsi"/>
          <w:sz w:val="24"/>
          <w:szCs w:val="24"/>
          <w:lang w:val="en-US"/>
        </w:rPr>
        <w:t xml:space="preserve"> </w:t>
      </w:r>
      <w:r w:rsidRPr="00365544">
        <w:rPr>
          <w:rFonts w:cstheme="minorHAnsi"/>
          <w:sz w:val="24"/>
          <w:szCs w:val="24"/>
          <w:lang w:val="en-US"/>
        </w:rPr>
        <w:t>W., Harvey</w:t>
      </w:r>
      <w:r w:rsidR="00677753">
        <w:rPr>
          <w:rFonts w:cstheme="minorHAnsi"/>
          <w:sz w:val="24"/>
          <w:szCs w:val="24"/>
          <w:lang w:val="en-US"/>
        </w:rPr>
        <w:t>,</w:t>
      </w:r>
      <w:r w:rsidRPr="00365544">
        <w:rPr>
          <w:rFonts w:cstheme="minorHAnsi"/>
          <w:sz w:val="24"/>
          <w:szCs w:val="24"/>
          <w:lang w:val="en-US"/>
        </w:rPr>
        <w:t xml:space="preserve"> A.</w:t>
      </w:r>
      <w:r w:rsidR="00677753">
        <w:rPr>
          <w:rFonts w:cstheme="minorHAnsi"/>
          <w:sz w:val="24"/>
          <w:szCs w:val="24"/>
          <w:lang w:val="en-US"/>
        </w:rPr>
        <w:t xml:space="preserve"> </w:t>
      </w:r>
      <w:r w:rsidRPr="00365544">
        <w:rPr>
          <w:rFonts w:cstheme="minorHAnsi"/>
          <w:sz w:val="24"/>
          <w:szCs w:val="24"/>
          <w:lang w:val="en-US"/>
        </w:rPr>
        <w:t>R., Leaver</w:t>
      </w:r>
      <w:r w:rsidR="00677753">
        <w:rPr>
          <w:rFonts w:cstheme="minorHAnsi"/>
          <w:sz w:val="24"/>
          <w:szCs w:val="24"/>
          <w:lang w:val="en-US"/>
        </w:rPr>
        <w:t>,</w:t>
      </w:r>
      <w:r w:rsidRPr="00365544">
        <w:rPr>
          <w:rFonts w:cstheme="minorHAnsi"/>
          <w:sz w:val="24"/>
          <w:szCs w:val="24"/>
          <w:lang w:val="en-US"/>
        </w:rPr>
        <w:t xml:space="preserve"> S.</w:t>
      </w:r>
      <w:r w:rsidR="00677753">
        <w:rPr>
          <w:rFonts w:cstheme="minorHAnsi"/>
          <w:sz w:val="24"/>
          <w:szCs w:val="24"/>
          <w:lang w:val="en-US"/>
        </w:rPr>
        <w:t xml:space="preserve"> </w:t>
      </w:r>
      <w:r w:rsidRPr="00365544">
        <w:rPr>
          <w:rFonts w:cstheme="minorHAnsi"/>
          <w:sz w:val="24"/>
          <w:szCs w:val="24"/>
          <w:lang w:val="en-US"/>
        </w:rPr>
        <w:t>G., Lee</w:t>
      </w:r>
      <w:r w:rsidR="00677753">
        <w:rPr>
          <w:rFonts w:cstheme="minorHAnsi"/>
          <w:sz w:val="24"/>
          <w:szCs w:val="24"/>
          <w:lang w:val="en-US"/>
        </w:rPr>
        <w:t>,</w:t>
      </w:r>
      <w:r w:rsidRPr="00365544">
        <w:rPr>
          <w:rFonts w:cstheme="minorHAnsi"/>
          <w:sz w:val="24"/>
          <w:szCs w:val="24"/>
          <w:lang w:val="en-US"/>
        </w:rPr>
        <w:t xml:space="preserve"> S.</w:t>
      </w:r>
      <w:r w:rsidR="00677753">
        <w:rPr>
          <w:rFonts w:cstheme="minorHAnsi"/>
          <w:sz w:val="24"/>
          <w:szCs w:val="24"/>
          <w:lang w:val="en-US"/>
        </w:rPr>
        <w:t xml:space="preserve"> </w:t>
      </w:r>
      <w:r w:rsidRPr="00365544">
        <w:rPr>
          <w:rFonts w:cstheme="minorHAnsi"/>
          <w:sz w:val="24"/>
          <w:szCs w:val="24"/>
          <w:lang w:val="en-US"/>
        </w:rPr>
        <w:t xml:space="preserve">V. Olfactory ensheathing glia: repairing injury to the mammalian visual system. </w:t>
      </w:r>
      <w:r w:rsidRPr="00365544">
        <w:rPr>
          <w:rFonts w:cstheme="minorHAnsi"/>
          <w:i/>
          <w:iCs/>
          <w:sz w:val="24"/>
          <w:szCs w:val="24"/>
          <w:lang w:val="en-US"/>
        </w:rPr>
        <w:t>Exp</w:t>
      </w:r>
      <w:r w:rsidR="00677753">
        <w:rPr>
          <w:rFonts w:cstheme="minorHAnsi"/>
          <w:i/>
          <w:iCs/>
          <w:sz w:val="24"/>
          <w:szCs w:val="24"/>
          <w:lang w:val="en-US"/>
        </w:rPr>
        <w:t>erimental</w:t>
      </w:r>
      <w:r w:rsidRPr="00365544">
        <w:rPr>
          <w:rFonts w:cstheme="minorHAnsi"/>
          <w:i/>
          <w:iCs/>
          <w:sz w:val="24"/>
          <w:szCs w:val="24"/>
          <w:lang w:val="en-US"/>
        </w:rPr>
        <w:t xml:space="preserve"> Neurol</w:t>
      </w:r>
      <w:r w:rsidR="00677753">
        <w:rPr>
          <w:rFonts w:cstheme="minorHAnsi"/>
          <w:i/>
          <w:iCs/>
          <w:sz w:val="24"/>
          <w:szCs w:val="24"/>
          <w:lang w:val="en-US"/>
        </w:rPr>
        <w:t>ogy</w:t>
      </w:r>
      <w:r w:rsidRPr="00365544">
        <w:rPr>
          <w:rFonts w:cstheme="minorHAnsi"/>
          <w:sz w:val="24"/>
          <w:szCs w:val="24"/>
          <w:lang w:val="en-US"/>
        </w:rPr>
        <w:t xml:space="preserve">. </w:t>
      </w:r>
      <w:r w:rsidRPr="00365544">
        <w:rPr>
          <w:rFonts w:cstheme="minorHAnsi"/>
          <w:b/>
          <w:bCs/>
          <w:sz w:val="24"/>
          <w:szCs w:val="24"/>
          <w:lang w:val="en-US"/>
        </w:rPr>
        <w:t>229</w:t>
      </w:r>
      <w:r w:rsidR="00677753" w:rsidRPr="0010022E">
        <w:rPr>
          <w:rFonts w:cstheme="minorHAnsi"/>
          <w:sz w:val="24"/>
          <w:szCs w:val="24"/>
          <w:lang w:val="en-US"/>
        </w:rPr>
        <w:t xml:space="preserve"> </w:t>
      </w:r>
      <w:r w:rsidRPr="00365544">
        <w:rPr>
          <w:rFonts w:cstheme="minorHAnsi"/>
          <w:sz w:val="24"/>
          <w:szCs w:val="24"/>
          <w:lang w:val="en-US"/>
        </w:rPr>
        <w:t>(1), 99</w:t>
      </w:r>
      <w:r w:rsidR="00677753">
        <w:rPr>
          <w:rFonts w:cstheme="minorHAnsi"/>
          <w:sz w:val="24"/>
          <w:szCs w:val="24"/>
          <w:lang w:val="en-US"/>
        </w:rPr>
        <w:t>–</w:t>
      </w:r>
      <w:r w:rsidRPr="00365544">
        <w:rPr>
          <w:rFonts w:cstheme="minorHAnsi"/>
          <w:sz w:val="24"/>
          <w:szCs w:val="24"/>
          <w:lang w:val="en-US"/>
        </w:rPr>
        <w:t>108 (2011).</w:t>
      </w:r>
    </w:p>
    <w:p w14:paraId="1355836F" w14:textId="6727B868"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Xue</w:t>
      </w:r>
      <w:r w:rsidR="00677753">
        <w:rPr>
          <w:rFonts w:cstheme="minorHAnsi"/>
          <w:sz w:val="24"/>
          <w:szCs w:val="24"/>
          <w:lang w:val="en-US"/>
        </w:rPr>
        <w:t>,</w:t>
      </w:r>
      <w:r w:rsidRPr="00365544">
        <w:rPr>
          <w:rFonts w:cstheme="minorHAnsi"/>
          <w:sz w:val="24"/>
          <w:szCs w:val="24"/>
          <w:lang w:val="en-US"/>
        </w:rPr>
        <w:t xml:space="preserve"> L. et al. Transplanted olfactory ensheathing cells restore retinal function in a rat model of light-induced retinal damage by inhibiting oxidative stress. </w:t>
      </w:r>
      <w:r w:rsidRPr="00365544">
        <w:rPr>
          <w:rFonts w:cstheme="minorHAnsi"/>
          <w:i/>
          <w:iCs/>
          <w:sz w:val="24"/>
          <w:szCs w:val="24"/>
          <w:lang w:val="en-US"/>
        </w:rPr>
        <w:t>Oncotarget</w:t>
      </w:r>
      <w:r w:rsidRPr="00365544">
        <w:rPr>
          <w:rFonts w:cstheme="minorHAnsi"/>
          <w:sz w:val="24"/>
          <w:szCs w:val="24"/>
          <w:lang w:val="en-US"/>
        </w:rPr>
        <w:t xml:space="preserve">. </w:t>
      </w:r>
      <w:r w:rsidRPr="00365544">
        <w:rPr>
          <w:rFonts w:cstheme="minorHAnsi"/>
          <w:b/>
          <w:bCs/>
          <w:sz w:val="24"/>
          <w:szCs w:val="24"/>
          <w:lang w:val="en-US"/>
        </w:rPr>
        <w:t>8</w:t>
      </w:r>
      <w:r w:rsidR="00677753" w:rsidRPr="0010022E">
        <w:rPr>
          <w:rFonts w:cstheme="minorHAnsi"/>
          <w:sz w:val="24"/>
          <w:szCs w:val="24"/>
          <w:lang w:val="en-US"/>
        </w:rPr>
        <w:t xml:space="preserve"> </w:t>
      </w:r>
      <w:r w:rsidRPr="00365544">
        <w:rPr>
          <w:rFonts w:cstheme="minorHAnsi"/>
          <w:sz w:val="24"/>
          <w:szCs w:val="24"/>
          <w:lang w:val="en-US"/>
        </w:rPr>
        <w:t>(54), 93087</w:t>
      </w:r>
      <w:r w:rsidR="00677753">
        <w:rPr>
          <w:rFonts w:cstheme="minorHAnsi"/>
          <w:sz w:val="24"/>
          <w:szCs w:val="24"/>
          <w:lang w:val="en-US"/>
        </w:rPr>
        <w:t>–</w:t>
      </w:r>
      <w:r w:rsidRPr="00365544">
        <w:rPr>
          <w:rFonts w:cstheme="minorHAnsi"/>
          <w:sz w:val="24"/>
          <w:szCs w:val="24"/>
          <w:lang w:val="en-US"/>
        </w:rPr>
        <w:t>93102 (2017).</w:t>
      </w:r>
    </w:p>
    <w:p w14:paraId="5F31E4C7" w14:textId="15BB71A0"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Pastrana</w:t>
      </w:r>
      <w:r w:rsidR="000128D6">
        <w:rPr>
          <w:rFonts w:cstheme="minorHAnsi"/>
          <w:sz w:val="24"/>
          <w:szCs w:val="24"/>
          <w:lang w:val="en-US"/>
        </w:rPr>
        <w:t>,</w:t>
      </w:r>
      <w:r w:rsidRPr="00365544">
        <w:rPr>
          <w:rFonts w:cstheme="minorHAnsi"/>
          <w:sz w:val="24"/>
          <w:szCs w:val="24"/>
          <w:lang w:val="en-US"/>
        </w:rPr>
        <w:t xml:space="preserve"> E.</w:t>
      </w:r>
      <w:r w:rsidR="000128D6">
        <w:rPr>
          <w:rFonts w:cstheme="minorHAnsi"/>
          <w:sz w:val="24"/>
          <w:szCs w:val="24"/>
          <w:lang w:val="en-US"/>
        </w:rPr>
        <w:t xml:space="preserve"> et al</w:t>
      </w:r>
      <w:r w:rsidRPr="00365544">
        <w:rPr>
          <w:rFonts w:cstheme="minorHAnsi"/>
          <w:sz w:val="24"/>
          <w:szCs w:val="24"/>
          <w:lang w:val="en-US"/>
        </w:rPr>
        <w:t xml:space="preserve">. Genes associated with adult axon regeneration promoted by olfactory ensheathing cells: a new role for matrix metalloproteinase 2, </w:t>
      </w:r>
      <w:r w:rsidR="00677753" w:rsidRPr="0010022E">
        <w:rPr>
          <w:rFonts w:cstheme="minorHAnsi"/>
          <w:i/>
          <w:iCs/>
          <w:sz w:val="24"/>
          <w:szCs w:val="24"/>
          <w:lang w:val="en-US"/>
        </w:rPr>
        <w:t xml:space="preserve">The </w:t>
      </w:r>
      <w:r w:rsidRPr="00365544">
        <w:rPr>
          <w:rFonts w:cstheme="minorHAnsi"/>
          <w:i/>
          <w:iCs/>
          <w:sz w:val="24"/>
          <w:szCs w:val="24"/>
          <w:lang w:val="en-US"/>
        </w:rPr>
        <w:t>J</w:t>
      </w:r>
      <w:r w:rsidR="00677753">
        <w:rPr>
          <w:rFonts w:cstheme="minorHAnsi"/>
          <w:i/>
          <w:iCs/>
          <w:sz w:val="24"/>
          <w:szCs w:val="24"/>
          <w:lang w:val="en-US"/>
        </w:rPr>
        <w:t xml:space="preserve">ournal of </w:t>
      </w:r>
      <w:r w:rsidRPr="00365544">
        <w:rPr>
          <w:rFonts w:cstheme="minorHAnsi"/>
          <w:i/>
          <w:iCs/>
          <w:sz w:val="24"/>
          <w:szCs w:val="24"/>
          <w:lang w:val="en-US"/>
        </w:rPr>
        <w:t>Neurosci</w:t>
      </w:r>
      <w:r w:rsidR="00677753">
        <w:rPr>
          <w:rFonts w:cstheme="minorHAnsi"/>
          <w:i/>
          <w:iCs/>
          <w:sz w:val="24"/>
          <w:szCs w:val="24"/>
          <w:lang w:val="en-US"/>
        </w:rPr>
        <w:t>ence</w:t>
      </w:r>
      <w:r w:rsidRPr="0010022E">
        <w:rPr>
          <w:rFonts w:cstheme="minorHAnsi"/>
          <w:sz w:val="24"/>
          <w:szCs w:val="24"/>
          <w:lang w:val="en-US"/>
        </w:rPr>
        <w:t>.</w:t>
      </w:r>
      <w:r w:rsidRPr="00365544">
        <w:rPr>
          <w:rFonts w:cstheme="minorHAnsi"/>
          <w:sz w:val="24"/>
          <w:szCs w:val="24"/>
          <w:lang w:val="en-US"/>
        </w:rPr>
        <w:t xml:space="preserve"> </w:t>
      </w:r>
      <w:r w:rsidRPr="00365544">
        <w:rPr>
          <w:rFonts w:cstheme="minorHAnsi"/>
          <w:b/>
          <w:bCs/>
          <w:sz w:val="24"/>
          <w:szCs w:val="24"/>
          <w:lang w:val="en-US"/>
        </w:rPr>
        <w:t>26</w:t>
      </w:r>
      <w:r w:rsidR="000128D6" w:rsidRPr="0010022E">
        <w:rPr>
          <w:rFonts w:cstheme="minorHAnsi"/>
          <w:sz w:val="24"/>
          <w:szCs w:val="24"/>
          <w:lang w:val="en-US"/>
        </w:rPr>
        <w:t>,</w:t>
      </w:r>
      <w:r w:rsidRPr="00365544">
        <w:rPr>
          <w:rFonts w:cstheme="minorHAnsi"/>
          <w:sz w:val="24"/>
          <w:szCs w:val="24"/>
          <w:lang w:val="en-US"/>
        </w:rPr>
        <w:t xml:space="preserve"> 5347–5359 (2006).</w:t>
      </w:r>
    </w:p>
    <w:p w14:paraId="002CD7EC" w14:textId="46A60A95"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 xml:space="preserve"> Pastrana</w:t>
      </w:r>
      <w:r w:rsidR="000128D6">
        <w:rPr>
          <w:rFonts w:cstheme="minorHAnsi"/>
          <w:sz w:val="24"/>
          <w:szCs w:val="24"/>
          <w:lang w:val="en-US"/>
        </w:rPr>
        <w:t>,</w:t>
      </w:r>
      <w:r w:rsidRPr="00365544">
        <w:rPr>
          <w:rFonts w:cstheme="minorHAnsi"/>
          <w:sz w:val="24"/>
          <w:szCs w:val="24"/>
          <w:lang w:val="en-US"/>
        </w:rPr>
        <w:t xml:space="preserve"> E.</w:t>
      </w:r>
      <w:r w:rsidR="000128D6">
        <w:rPr>
          <w:rFonts w:cstheme="minorHAnsi"/>
          <w:sz w:val="24"/>
          <w:szCs w:val="24"/>
          <w:lang w:val="en-US"/>
        </w:rPr>
        <w:t xml:space="preserve"> et al</w:t>
      </w:r>
      <w:r w:rsidRPr="00365544">
        <w:rPr>
          <w:rFonts w:cstheme="minorHAnsi"/>
          <w:sz w:val="24"/>
          <w:szCs w:val="24"/>
          <w:lang w:val="en-US"/>
        </w:rPr>
        <w:t xml:space="preserve">. BDNF production by olfactory ensheathing cells contributes to axonal regeneration of cultured adult CNS neurons. </w:t>
      </w:r>
      <w:r w:rsidRPr="00365544">
        <w:rPr>
          <w:rFonts w:cstheme="minorHAnsi"/>
          <w:i/>
          <w:iCs/>
          <w:sz w:val="24"/>
          <w:szCs w:val="24"/>
          <w:lang w:val="en-US"/>
        </w:rPr>
        <w:t>Neurochem</w:t>
      </w:r>
      <w:r w:rsidR="000128D6">
        <w:rPr>
          <w:rFonts w:cstheme="minorHAnsi"/>
          <w:i/>
          <w:iCs/>
          <w:sz w:val="24"/>
          <w:szCs w:val="24"/>
          <w:lang w:val="en-US"/>
        </w:rPr>
        <w:t>istry</w:t>
      </w:r>
      <w:r w:rsidRPr="00365544">
        <w:rPr>
          <w:rFonts w:cstheme="minorHAnsi"/>
          <w:i/>
          <w:iCs/>
          <w:sz w:val="24"/>
          <w:szCs w:val="24"/>
          <w:lang w:val="en-US"/>
        </w:rPr>
        <w:t xml:space="preserve"> Int</w:t>
      </w:r>
      <w:r w:rsidR="000128D6">
        <w:rPr>
          <w:rFonts w:cstheme="minorHAnsi"/>
          <w:i/>
          <w:iCs/>
          <w:sz w:val="24"/>
          <w:szCs w:val="24"/>
          <w:lang w:val="en-US"/>
        </w:rPr>
        <w:t>ernational</w:t>
      </w:r>
      <w:r w:rsidRPr="00365544">
        <w:rPr>
          <w:rFonts w:cstheme="minorHAnsi"/>
          <w:sz w:val="24"/>
          <w:szCs w:val="24"/>
          <w:lang w:val="en-US"/>
        </w:rPr>
        <w:t xml:space="preserve">. </w:t>
      </w:r>
      <w:r w:rsidRPr="00365544">
        <w:rPr>
          <w:rFonts w:cstheme="minorHAnsi"/>
          <w:b/>
          <w:bCs/>
          <w:sz w:val="24"/>
          <w:szCs w:val="24"/>
          <w:lang w:val="en-US"/>
        </w:rPr>
        <w:t>50</w:t>
      </w:r>
      <w:r w:rsidRPr="00365544">
        <w:rPr>
          <w:rFonts w:cstheme="minorHAnsi"/>
          <w:sz w:val="24"/>
          <w:szCs w:val="24"/>
          <w:lang w:val="en-US"/>
        </w:rPr>
        <w:t>, 491–498 (2007).</w:t>
      </w:r>
    </w:p>
    <w:p w14:paraId="44B628A7" w14:textId="6AF0C1E1"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 xml:space="preserve">Simón D. et al. Expression of plasminogen activator inhibitor-1 by olfactory ensheathing glia promotes axonal regeneration.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59</w:t>
      </w:r>
      <w:r w:rsidRPr="00365544">
        <w:rPr>
          <w:rFonts w:cstheme="minorHAnsi"/>
          <w:sz w:val="24"/>
          <w:szCs w:val="24"/>
          <w:lang w:val="en-US"/>
        </w:rPr>
        <w:t>, 1458–1471 (2011).</w:t>
      </w:r>
    </w:p>
    <w:p w14:paraId="5E960A8D" w14:textId="314AC715"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Lim</w:t>
      </w:r>
      <w:r w:rsidR="000128D6">
        <w:rPr>
          <w:rFonts w:cstheme="minorHAnsi"/>
          <w:sz w:val="24"/>
          <w:szCs w:val="24"/>
          <w:lang w:val="en-US"/>
        </w:rPr>
        <w:t>,</w:t>
      </w:r>
      <w:r w:rsidRPr="00365544">
        <w:rPr>
          <w:rFonts w:cstheme="minorHAnsi"/>
          <w:sz w:val="24"/>
          <w:szCs w:val="24"/>
          <w:lang w:val="en-US"/>
        </w:rPr>
        <w:t xml:space="preserve"> F. et al. Reversibly immortalized human olfactory ensheathing glia from an elderly donor maintain neuroregenerative capacity.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58</w:t>
      </w:r>
      <w:r w:rsidRPr="00365544">
        <w:rPr>
          <w:rFonts w:cstheme="minorHAnsi"/>
          <w:sz w:val="24"/>
          <w:szCs w:val="24"/>
          <w:lang w:val="en-US"/>
        </w:rPr>
        <w:t>, 546–558 (2010).</w:t>
      </w:r>
    </w:p>
    <w:p w14:paraId="031DE65D" w14:textId="2CBDE511"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rPr>
        <w:t>García-Escudero</w:t>
      </w:r>
      <w:r w:rsidR="000128D6">
        <w:rPr>
          <w:rFonts w:cstheme="minorHAnsi"/>
          <w:sz w:val="24"/>
          <w:szCs w:val="24"/>
        </w:rPr>
        <w:t>,</w:t>
      </w:r>
      <w:r w:rsidRPr="00365544">
        <w:rPr>
          <w:rFonts w:cstheme="minorHAnsi"/>
          <w:sz w:val="24"/>
          <w:szCs w:val="24"/>
        </w:rPr>
        <w:t xml:space="preserve"> V. et al. </w:t>
      </w:r>
      <w:r w:rsidRPr="00365544">
        <w:rPr>
          <w:rFonts w:cstheme="minorHAnsi"/>
          <w:sz w:val="24"/>
          <w:szCs w:val="24"/>
          <w:lang w:val="en-US"/>
        </w:rPr>
        <w:t xml:space="preserve">Prevention of senescence progression in reversibly immortalized human ensheathing glia permits their survival after deimmortalization. </w:t>
      </w:r>
      <w:r w:rsidRPr="00365544">
        <w:rPr>
          <w:rFonts w:cstheme="minorHAnsi"/>
          <w:i/>
          <w:iCs/>
          <w:sz w:val="24"/>
          <w:szCs w:val="24"/>
          <w:lang w:val="en-US"/>
        </w:rPr>
        <w:t>Mol</w:t>
      </w:r>
      <w:r w:rsidR="000128D6">
        <w:rPr>
          <w:rFonts w:cstheme="minorHAnsi"/>
          <w:i/>
          <w:iCs/>
          <w:sz w:val="24"/>
          <w:szCs w:val="24"/>
          <w:lang w:val="en-US"/>
        </w:rPr>
        <w:t>ecular</w:t>
      </w:r>
      <w:r w:rsidRPr="00365544">
        <w:rPr>
          <w:rFonts w:cstheme="minorHAnsi"/>
          <w:i/>
          <w:iCs/>
          <w:sz w:val="24"/>
          <w:szCs w:val="24"/>
          <w:lang w:val="en-US"/>
        </w:rPr>
        <w:t xml:space="preserve"> Ther</w:t>
      </w:r>
      <w:r w:rsidR="000128D6">
        <w:rPr>
          <w:rFonts w:cstheme="minorHAnsi"/>
          <w:i/>
          <w:iCs/>
          <w:sz w:val="24"/>
          <w:szCs w:val="24"/>
          <w:lang w:val="en-US"/>
        </w:rPr>
        <w:t>apy</w:t>
      </w:r>
      <w:r w:rsidRPr="0010022E">
        <w:rPr>
          <w:rFonts w:cstheme="minorHAnsi"/>
          <w:sz w:val="24"/>
          <w:szCs w:val="24"/>
          <w:lang w:val="en-US"/>
        </w:rPr>
        <w:t>.</w:t>
      </w:r>
      <w:r w:rsidRPr="00365544">
        <w:rPr>
          <w:rFonts w:cstheme="minorHAnsi"/>
          <w:sz w:val="24"/>
          <w:szCs w:val="24"/>
          <w:lang w:val="en-US"/>
        </w:rPr>
        <w:t xml:space="preserve"> </w:t>
      </w:r>
      <w:r w:rsidRPr="00365544">
        <w:rPr>
          <w:rFonts w:cstheme="minorHAnsi"/>
          <w:b/>
          <w:bCs/>
          <w:sz w:val="24"/>
          <w:szCs w:val="24"/>
          <w:lang w:val="en-US"/>
        </w:rPr>
        <w:t>18</w:t>
      </w:r>
      <w:r w:rsidRPr="00365544">
        <w:rPr>
          <w:rFonts w:cstheme="minorHAnsi"/>
          <w:sz w:val="24"/>
          <w:szCs w:val="24"/>
          <w:lang w:val="en-US"/>
        </w:rPr>
        <w:t>, 394–403 (2010).</w:t>
      </w:r>
    </w:p>
    <w:p w14:paraId="08E715E1" w14:textId="65161B97"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García-Escudero</w:t>
      </w:r>
      <w:r w:rsidR="000128D6">
        <w:rPr>
          <w:rFonts w:cstheme="minorHAnsi"/>
          <w:sz w:val="24"/>
          <w:szCs w:val="24"/>
          <w:lang w:val="en-US"/>
        </w:rPr>
        <w:t>,</w:t>
      </w:r>
      <w:r w:rsidRPr="00365544">
        <w:rPr>
          <w:rFonts w:cstheme="minorHAnsi"/>
          <w:sz w:val="24"/>
          <w:szCs w:val="24"/>
          <w:lang w:val="en-US"/>
        </w:rPr>
        <w:t xml:space="preserve"> V. et al. A neuroregenerative human ensheathing glia cell line with conditional rapid growth. </w:t>
      </w:r>
      <w:r w:rsidRPr="00365544">
        <w:rPr>
          <w:rFonts w:cstheme="minorHAnsi"/>
          <w:i/>
          <w:iCs/>
          <w:sz w:val="24"/>
          <w:szCs w:val="24"/>
          <w:lang w:val="en-US"/>
        </w:rPr>
        <w:t>Cell Transplant</w:t>
      </w:r>
      <w:r w:rsidRPr="00365544">
        <w:rPr>
          <w:rFonts w:cstheme="minorHAnsi"/>
          <w:sz w:val="24"/>
          <w:szCs w:val="24"/>
          <w:lang w:val="en-US"/>
        </w:rPr>
        <w:t xml:space="preserve">. </w:t>
      </w:r>
      <w:r w:rsidRPr="00365544">
        <w:rPr>
          <w:rFonts w:cstheme="minorHAnsi"/>
          <w:b/>
          <w:bCs/>
          <w:sz w:val="24"/>
          <w:szCs w:val="24"/>
          <w:lang w:val="en-US"/>
        </w:rPr>
        <w:t>20</w:t>
      </w:r>
      <w:r w:rsidRPr="00365544">
        <w:rPr>
          <w:rFonts w:cstheme="minorHAnsi"/>
          <w:sz w:val="24"/>
          <w:szCs w:val="24"/>
          <w:lang w:val="en-US"/>
        </w:rPr>
        <w:t>, 153–166 (2011).</w:t>
      </w:r>
    </w:p>
    <w:p w14:paraId="1FFB6038" w14:textId="1C2D692B"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rPr>
        <w:t>Plaza</w:t>
      </w:r>
      <w:r w:rsidR="000128D6">
        <w:rPr>
          <w:rFonts w:cstheme="minorHAnsi"/>
          <w:sz w:val="24"/>
          <w:szCs w:val="24"/>
        </w:rPr>
        <w:t>,</w:t>
      </w:r>
      <w:r w:rsidRPr="00365544">
        <w:rPr>
          <w:rFonts w:cstheme="minorHAnsi"/>
          <w:sz w:val="24"/>
          <w:szCs w:val="24"/>
        </w:rPr>
        <w:t xml:space="preserve"> N., Simón</w:t>
      </w:r>
      <w:r w:rsidR="000128D6">
        <w:rPr>
          <w:rFonts w:cstheme="minorHAnsi"/>
          <w:sz w:val="24"/>
          <w:szCs w:val="24"/>
        </w:rPr>
        <w:t>,</w:t>
      </w:r>
      <w:r w:rsidRPr="00365544">
        <w:rPr>
          <w:rFonts w:cstheme="minorHAnsi"/>
          <w:sz w:val="24"/>
          <w:szCs w:val="24"/>
        </w:rPr>
        <w:t xml:space="preserve"> D., Sierra</w:t>
      </w:r>
      <w:r w:rsidR="000128D6">
        <w:rPr>
          <w:rFonts w:cstheme="minorHAnsi"/>
          <w:sz w:val="24"/>
          <w:szCs w:val="24"/>
        </w:rPr>
        <w:t>,</w:t>
      </w:r>
      <w:r w:rsidRPr="00365544">
        <w:rPr>
          <w:rFonts w:cstheme="minorHAnsi"/>
          <w:sz w:val="24"/>
          <w:szCs w:val="24"/>
        </w:rPr>
        <w:t xml:space="preserve"> J., Moreno-Flores</w:t>
      </w:r>
      <w:r w:rsidR="000128D6">
        <w:rPr>
          <w:rFonts w:cstheme="minorHAnsi"/>
          <w:sz w:val="24"/>
          <w:szCs w:val="24"/>
        </w:rPr>
        <w:t>,</w:t>
      </w:r>
      <w:r w:rsidRPr="00365544">
        <w:rPr>
          <w:rFonts w:cstheme="minorHAnsi"/>
          <w:sz w:val="24"/>
          <w:szCs w:val="24"/>
        </w:rPr>
        <w:t xml:space="preserve"> M</w:t>
      </w:r>
      <w:r w:rsidR="000128D6">
        <w:rPr>
          <w:rFonts w:cstheme="minorHAnsi"/>
          <w:sz w:val="24"/>
          <w:szCs w:val="24"/>
        </w:rPr>
        <w:t xml:space="preserve">. </w:t>
      </w:r>
      <w:r w:rsidRPr="00365544">
        <w:rPr>
          <w:rFonts w:cstheme="minorHAnsi"/>
          <w:sz w:val="24"/>
          <w:szCs w:val="24"/>
        </w:rPr>
        <w:t xml:space="preserve">T. </w:t>
      </w:r>
      <w:r w:rsidRPr="00365544">
        <w:rPr>
          <w:rFonts w:cstheme="minorHAnsi"/>
          <w:sz w:val="24"/>
          <w:szCs w:val="24"/>
          <w:lang w:val="en-US"/>
        </w:rPr>
        <w:t xml:space="preserve">Transduction of an immortalized olfactory ensheathing glia cell line with the green fluorescent protein (GFP) gene: Evaluation of its neuroregenerative capacity as a proof of concept. </w:t>
      </w:r>
      <w:r w:rsidRPr="00365544">
        <w:rPr>
          <w:rFonts w:cstheme="minorHAnsi"/>
          <w:i/>
          <w:iCs/>
          <w:sz w:val="24"/>
          <w:szCs w:val="24"/>
          <w:lang w:val="en-US"/>
        </w:rPr>
        <w:t>Neurosci</w:t>
      </w:r>
      <w:r w:rsidR="000128D6">
        <w:rPr>
          <w:rFonts w:cstheme="minorHAnsi"/>
          <w:i/>
          <w:iCs/>
          <w:sz w:val="24"/>
          <w:szCs w:val="24"/>
          <w:lang w:val="en-US"/>
        </w:rPr>
        <w:t>ence</w:t>
      </w:r>
      <w:r w:rsidRPr="00365544">
        <w:rPr>
          <w:rFonts w:cstheme="minorHAnsi"/>
          <w:i/>
          <w:iCs/>
          <w:sz w:val="24"/>
          <w:szCs w:val="24"/>
          <w:lang w:val="en-US"/>
        </w:rPr>
        <w:t xml:space="preserve"> Lett</w:t>
      </w:r>
      <w:r w:rsidR="000128D6">
        <w:rPr>
          <w:rFonts w:cstheme="minorHAnsi"/>
          <w:i/>
          <w:iCs/>
          <w:sz w:val="24"/>
          <w:szCs w:val="24"/>
          <w:lang w:val="en-US"/>
        </w:rPr>
        <w:t>ers</w:t>
      </w:r>
      <w:r w:rsidRPr="00365544">
        <w:rPr>
          <w:rFonts w:cstheme="minorHAnsi"/>
          <w:sz w:val="24"/>
          <w:szCs w:val="24"/>
          <w:lang w:val="en-US"/>
        </w:rPr>
        <w:t xml:space="preserve">. </w:t>
      </w:r>
      <w:r w:rsidRPr="00365544">
        <w:rPr>
          <w:rFonts w:cstheme="minorHAnsi"/>
          <w:b/>
          <w:bCs/>
          <w:sz w:val="24"/>
          <w:szCs w:val="24"/>
          <w:lang w:val="en-US"/>
        </w:rPr>
        <w:t>612</w:t>
      </w:r>
      <w:r w:rsidRPr="00365544">
        <w:rPr>
          <w:rFonts w:cstheme="minorHAnsi"/>
          <w:sz w:val="24"/>
          <w:szCs w:val="24"/>
          <w:lang w:val="en-US"/>
        </w:rPr>
        <w:t>, 25</w:t>
      </w:r>
      <w:r w:rsidR="000128D6">
        <w:rPr>
          <w:rFonts w:cstheme="minorHAnsi"/>
          <w:sz w:val="24"/>
          <w:szCs w:val="24"/>
          <w:lang w:val="en-US"/>
        </w:rPr>
        <w:t>–</w:t>
      </w:r>
      <w:r w:rsidRPr="00365544">
        <w:rPr>
          <w:rFonts w:cstheme="minorHAnsi"/>
          <w:sz w:val="24"/>
          <w:szCs w:val="24"/>
          <w:lang w:val="en-US"/>
        </w:rPr>
        <w:t>31 (2016).</w:t>
      </w:r>
    </w:p>
    <w:p w14:paraId="2A97910F" w14:textId="461F8DB6"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Deumens</w:t>
      </w:r>
      <w:r w:rsidR="000128D6">
        <w:rPr>
          <w:rFonts w:cstheme="minorHAnsi"/>
          <w:sz w:val="24"/>
          <w:szCs w:val="24"/>
          <w:lang w:val="en-US"/>
        </w:rPr>
        <w:t>,</w:t>
      </w:r>
      <w:r w:rsidRPr="00365544">
        <w:rPr>
          <w:rFonts w:cstheme="minorHAnsi"/>
          <w:sz w:val="24"/>
          <w:szCs w:val="24"/>
          <w:lang w:val="en-US"/>
        </w:rPr>
        <w:t xml:space="preserve"> R. et al. Alignment of glial cells stimulates directional neurite growth of CNS neurons in vitro. </w:t>
      </w:r>
      <w:r w:rsidRPr="00365544">
        <w:rPr>
          <w:rFonts w:cstheme="minorHAnsi"/>
          <w:i/>
          <w:iCs/>
          <w:sz w:val="24"/>
          <w:szCs w:val="24"/>
          <w:lang w:val="en-US"/>
        </w:rPr>
        <w:t>Neuroscience</w:t>
      </w:r>
      <w:r w:rsidRPr="00365544">
        <w:rPr>
          <w:rFonts w:cstheme="minorHAnsi"/>
          <w:sz w:val="24"/>
          <w:szCs w:val="24"/>
          <w:lang w:val="en-US"/>
        </w:rPr>
        <w:t xml:space="preserve">. </w:t>
      </w:r>
      <w:r w:rsidRPr="00365544">
        <w:rPr>
          <w:rFonts w:cstheme="minorHAnsi"/>
          <w:b/>
          <w:bCs/>
          <w:sz w:val="24"/>
          <w:szCs w:val="24"/>
          <w:lang w:val="en-US"/>
        </w:rPr>
        <w:t>125</w:t>
      </w:r>
      <w:r w:rsidR="000128D6" w:rsidRPr="0010022E">
        <w:rPr>
          <w:rFonts w:cstheme="minorHAnsi"/>
          <w:sz w:val="24"/>
          <w:szCs w:val="24"/>
          <w:lang w:val="en-US"/>
        </w:rPr>
        <w:t xml:space="preserve"> </w:t>
      </w:r>
      <w:r w:rsidRPr="00365544">
        <w:rPr>
          <w:rFonts w:cstheme="minorHAnsi"/>
          <w:sz w:val="24"/>
          <w:szCs w:val="24"/>
          <w:lang w:val="en-US"/>
        </w:rPr>
        <w:t>(3), 591</w:t>
      </w:r>
      <w:r w:rsidR="000128D6">
        <w:rPr>
          <w:rFonts w:cstheme="minorHAnsi"/>
          <w:sz w:val="24"/>
          <w:szCs w:val="24"/>
          <w:lang w:val="en-US"/>
        </w:rPr>
        <w:t>–</w:t>
      </w:r>
      <w:r w:rsidRPr="00365544">
        <w:rPr>
          <w:rFonts w:cstheme="minorHAnsi"/>
          <w:sz w:val="24"/>
          <w:szCs w:val="24"/>
          <w:lang w:val="en-US"/>
        </w:rPr>
        <w:t>604 (2004).</w:t>
      </w:r>
    </w:p>
    <w:p w14:paraId="13A4C026" w14:textId="79156DFE"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Chung</w:t>
      </w:r>
      <w:r w:rsidR="000128D6">
        <w:rPr>
          <w:rFonts w:cstheme="minorHAnsi"/>
          <w:sz w:val="24"/>
          <w:szCs w:val="24"/>
          <w:lang w:val="en-US"/>
        </w:rPr>
        <w:t>,</w:t>
      </w:r>
      <w:r w:rsidRPr="00365544">
        <w:rPr>
          <w:rFonts w:cstheme="minorHAnsi"/>
          <w:sz w:val="24"/>
          <w:szCs w:val="24"/>
          <w:lang w:val="en-US"/>
        </w:rPr>
        <w:t xml:space="preserve"> R.</w:t>
      </w:r>
      <w:r w:rsidR="000128D6">
        <w:rPr>
          <w:rFonts w:cstheme="minorHAnsi"/>
          <w:sz w:val="24"/>
          <w:szCs w:val="24"/>
          <w:lang w:val="en-US"/>
        </w:rPr>
        <w:t xml:space="preserve"> </w:t>
      </w:r>
      <w:r w:rsidRPr="00365544">
        <w:rPr>
          <w:rFonts w:cstheme="minorHAnsi"/>
          <w:sz w:val="24"/>
          <w:szCs w:val="24"/>
          <w:lang w:val="en-US"/>
        </w:rPr>
        <w:t xml:space="preserve">S. et al. Olfactory ensheathing cells promote neurite sprouting of injured axons in vitro by direct cellular contact and secretion of soluble factors. </w:t>
      </w:r>
      <w:r w:rsidRPr="00365544">
        <w:rPr>
          <w:rFonts w:cstheme="minorHAnsi"/>
          <w:i/>
          <w:iCs/>
          <w:sz w:val="24"/>
          <w:szCs w:val="24"/>
          <w:lang w:val="en-US"/>
        </w:rPr>
        <w:t xml:space="preserve">Cell </w:t>
      </w:r>
      <w:r w:rsidR="000128D6">
        <w:rPr>
          <w:rFonts w:cstheme="minorHAnsi"/>
          <w:i/>
          <w:iCs/>
          <w:sz w:val="24"/>
          <w:szCs w:val="24"/>
          <w:lang w:val="en-US"/>
        </w:rPr>
        <w:t xml:space="preserve">and </w:t>
      </w:r>
      <w:r w:rsidRPr="00365544">
        <w:rPr>
          <w:rFonts w:cstheme="minorHAnsi"/>
          <w:i/>
          <w:iCs/>
          <w:sz w:val="24"/>
          <w:szCs w:val="24"/>
          <w:lang w:val="en-US"/>
        </w:rPr>
        <w:t>Mol</w:t>
      </w:r>
      <w:r w:rsidR="000128D6">
        <w:rPr>
          <w:rFonts w:cstheme="minorHAnsi"/>
          <w:i/>
          <w:iCs/>
          <w:sz w:val="24"/>
          <w:szCs w:val="24"/>
          <w:lang w:val="en-US"/>
        </w:rPr>
        <w:t>ecular</w:t>
      </w:r>
      <w:r w:rsidRPr="00365544">
        <w:rPr>
          <w:rFonts w:cstheme="minorHAnsi"/>
          <w:i/>
          <w:iCs/>
          <w:sz w:val="24"/>
          <w:szCs w:val="24"/>
          <w:lang w:val="en-US"/>
        </w:rPr>
        <w:t xml:space="preserve"> Life Sci</w:t>
      </w:r>
      <w:r w:rsidR="000128D6">
        <w:rPr>
          <w:rFonts w:cstheme="minorHAnsi"/>
          <w:i/>
          <w:iCs/>
          <w:sz w:val="24"/>
          <w:szCs w:val="24"/>
          <w:lang w:val="en-US"/>
        </w:rPr>
        <w:t>ences</w:t>
      </w:r>
      <w:r w:rsidRPr="00365544">
        <w:rPr>
          <w:rFonts w:cstheme="minorHAnsi"/>
          <w:sz w:val="24"/>
          <w:szCs w:val="24"/>
          <w:lang w:val="en-US"/>
        </w:rPr>
        <w:t xml:space="preserve">. </w:t>
      </w:r>
      <w:r w:rsidRPr="00365544">
        <w:rPr>
          <w:rFonts w:cstheme="minorHAnsi"/>
          <w:b/>
          <w:bCs/>
          <w:sz w:val="24"/>
          <w:szCs w:val="24"/>
          <w:lang w:val="en-US"/>
        </w:rPr>
        <w:t>61</w:t>
      </w:r>
      <w:r w:rsidR="000128D6" w:rsidRPr="0010022E">
        <w:rPr>
          <w:rFonts w:cstheme="minorHAnsi"/>
          <w:sz w:val="24"/>
          <w:szCs w:val="24"/>
          <w:lang w:val="en-US"/>
        </w:rPr>
        <w:t xml:space="preserve"> </w:t>
      </w:r>
      <w:r w:rsidRPr="00365544">
        <w:rPr>
          <w:rFonts w:cstheme="minorHAnsi"/>
          <w:sz w:val="24"/>
          <w:szCs w:val="24"/>
          <w:lang w:val="en-US"/>
        </w:rPr>
        <w:t>(10), 1238</w:t>
      </w:r>
      <w:r w:rsidR="000128D6">
        <w:rPr>
          <w:rFonts w:cstheme="minorHAnsi"/>
          <w:sz w:val="24"/>
          <w:szCs w:val="24"/>
          <w:lang w:val="en-US"/>
        </w:rPr>
        <w:t>–</w:t>
      </w:r>
      <w:r w:rsidRPr="00365544">
        <w:rPr>
          <w:rFonts w:cstheme="minorHAnsi"/>
          <w:sz w:val="24"/>
          <w:szCs w:val="24"/>
          <w:lang w:val="en-US"/>
        </w:rPr>
        <w:t>1245 (2004).</w:t>
      </w:r>
    </w:p>
    <w:p w14:paraId="7940F3F0" w14:textId="4629AB80"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Leaver</w:t>
      </w:r>
      <w:r w:rsidR="000128D6">
        <w:rPr>
          <w:rFonts w:cstheme="minorHAnsi"/>
          <w:sz w:val="24"/>
          <w:szCs w:val="24"/>
          <w:lang w:val="en-US"/>
        </w:rPr>
        <w:t>,</w:t>
      </w:r>
      <w:r w:rsidRPr="00365544">
        <w:rPr>
          <w:rFonts w:cstheme="minorHAnsi"/>
          <w:sz w:val="24"/>
          <w:szCs w:val="24"/>
          <w:lang w:val="en-US"/>
        </w:rPr>
        <w:t xml:space="preserve"> S.</w:t>
      </w:r>
      <w:r w:rsidR="000128D6">
        <w:rPr>
          <w:rFonts w:cstheme="minorHAnsi"/>
          <w:sz w:val="24"/>
          <w:szCs w:val="24"/>
          <w:lang w:val="en-US"/>
        </w:rPr>
        <w:t xml:space="preserve"> </w:t>
      </w:r>
      <w:r w:rsidRPr="00365544">
        <w:rPr>
          <w:rFonts w:cstheme="minorHAnsi"/>
          <w:sz w:val="24"/>
          <w:szCs w:val="24"/>
          <w:lang w:val="en-US"/>
        </w:rPr>
        <w:t>G., Harvey</w:t>
      </w:r>
      <w:r w:rsidR="000128D6">
        <w:rPr>
          <w:rFonts w:cstheme="minorHAnsi"/>
          <w:sz w:val="24"/>
          <w:szCs w:val="24"/>
          <w:lang w:val="en-US"/>
        </w:rPr>
        <w:t>,</w:t>
      </w:r>
      <w:r w:rsidRPr="00365544">
        <w:rPr>
          <w:rFonts w:cstheme="minorHAnsi"/>
          <w:sz w:val="24"/>
          <w:szCs w:val="24"/>
          <w:lang w:val="en-US"/>
        </w:rPr>
        <w:t xml:space="preserve"> A.</w:t>
      </w:r>
      <w:r w:rsidR="000128D6">
        <w:rPr>
          <w:rFonts w:cstheme="minorHAnsi"/>
          <w:sz w:val="24"/>
          <w:szCs w:val="24"/>
          <w:lang w:val="en-US"/>
        </w:rPr>
        <w:t xml:space="preserve"> </w:t>
      </w:r>
      <w:r w:rsidRPr="00365544">
        <w:rPr>
          <w:rFonts w:cstheme="minorHAnsi"/>
          <w:sz w:val="24"/>
          <w:szCs w:val="24"/>
          <w:lang w:val="en-US"/>
        </w:rPr>
        <w:t>R., Plant</w:t>
      </w:r>
      <w:r w:rsidR="000128D6">
        <w:rPr>
          <w:rFonts w:cstheme="minorHAnsi"/>
          <w:sz w:val="24"/>
          <w:szCs w:val="24"/>
          <w:lang w:val="en-US"/>
        </w:rPr>
        <w:t>,</w:t>
      </w:r>
      <w:r w:rsidRPr="00365544">
        <w:rPr>
          <w:rFonts w:cstheme="minorHAnsi"/>
          <w:sz w:val="24"/>
          <w:szCs w:val="24"/>
          <w:lang w:val="en-US"/>
        </w:rPr>
        <w:t xml:space="preserve"> G.</w:t>
      </w:r>
      <w:r w:rsidR="000128D6">
        <w:rPr>
          <w:rFonts w:cstheme="minorHAnsi"/>
          <w:sz w:val="24"/>
          <w:szCs w:val="24"/>
          <w:lang w:val="en-US"/>
        </w:rPr>
        <w:t xml:space="preserve"> </w:t>
      </w:r>
      <w:r w:rsidRPr="00365544">
        <w:rPr>
          <w:rFonts w:cstheme="minorHAnsi"/>
          <w:sz w:val="24"/>
          <w:szCs w:val="24"/>
          <w:lang w:val="en-US"/>
        </w:rPr>
        <w:t xml:space="preserve">W. Adult olfactory ensheathing glia promote the long-distance growth of adult retinal ganglion cell neurites in vitro.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53</w:t>
      </w:r>
      <w:r w:rsidR="000128D6" w:rsidRPr="0010022E">
        <w:rPr>
          <w:rFonts w:cstheme="minorHAnsi"/>
          <w:sz w:val="24"/>
          <w:szCs w:val="24"/>
          <w:lang w:val="en-US"/>
        </w:rPr>
        <w:t xml:space="preserve"> </w:t>
      </w:r>
      <w:r w:rsidRPr="00365544">
        <w:rPr>
          <w:rFonts w:cstheme="minorHAnsi"/>
          <w:sz w:val="24"/>
          <w:szCs w:val="24"/>
          <w:lang w:val="en-US"/>
        </w:rPr>
        <w:t>(5), 467</w:t>
      </w:r>
      <w:r w:rsidR="000128D6">
        <w:rPr>
          <w:rFonts w:cstheme="minorHAnsi"/>
          <w:sz w:val="24"/>
          <w:szCs w:val="24"/>
          <w:lang w:val="en-US"/>
        </w:rPr>
        <w:t>–</w:t>
      </w:r>
      <w:r w:rsidRPr="00365544">
        <w:rPr>
          <w:rFonts w:cstheme="minorHAnsi"/>
          <w:sz w:val="24"/>
          <w:szCs w:val="24"/>
          <w:lang w:val="en-US"/>
        </w:rPr>
        <w:t>476 (2006).</w:t>
      </w:r>
    </w:p>
    <w:p w14:paraId="345CFB01" w14:textId="47A51BA6"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Pellitteri</w:t>
      </w:r>
      <w:r w:rsidR="000128D6">
        <w:rPr>
          <w:rFonts w:cstheme="minorHAnsi"/>
          <w:sz w:val="24"/>
          <w:szCs w:val="24"/>
          <w:lang w:val="en-US"/>
        </w:rPr>
        <w:t>,</w:t>
      </w:r>
      <w:r w:rsidRPr="00365544">
        <w:rPr>
          <w:rFonts w:cstheme="minorHAnsi"/>
          <w:sz w:val="24"/>
          <w:szCs w:val="24"/>
          <w:lang w:val="en-US"/>
        </w:rPr>
        <w:t xml:space="preserve"> R., Spatuzza</w:t>
      </w:r>
      <w:r w:rsidR="000128D6">
        <w:rPr>
          <w:rFonts w:cstheme="minorHAnsi"/>
          <w:sz w:val="24"/>
          <w:szCs w:val="24"/>
          <w:lang w:val="en-US"/>
        </w:rPr>
        <w:t>,</w:t>
      </w:r>
      <w:r w:rsidRPr="00365544">
        <w:rPr>
          <w:rFonts w:cstheme="minorHAnsi"/>
          <w:sz w:val="24"/>
          <w:szCs w:val="24"/>
          <w:lang w:val="en-US"/>
        </w:rPr>
        <w:t xml:space="preserve"> M., Russo</w:t>
      </w:r>
      <w:r w:rsidR="000128D6">
        <w:rPr>
          <w:rFonts w:cstheme="minorHAnsi"/>
          <w:sz w:val="24"/>
          <w:szCs w:val="24"/>
          <w:lang w:val="en-US"/>
        </w:rPr>
        <w:t>,</w:t>
      </w:r>
      <w:r w:rsidRPr="00365544">
        <w:rPr>
          <w:rFonts w:cstheme="minorHAnsi"/>
          <w:sz w:val="24"/>
          <w:szCs w:val="24"/>
          <w:lang w:val="en-US"/>
        </w:rPr>
        <w:t xml:space="preserve"> A., Stanzani</w:t>
      </w:r>
      <w:r w:rsidR="000128D6">
        <w:rPr>
          <w:rFonts w:cstheme="minorHAnsi"/>
          <w:sz w:val="24"/>
          <w:szCs w:val="24"/>
          <w:lang w:val="en-US"/>
        </w:rPr>
        <w:t>,</w:t>
      </w:r>
      <w:r w:rsidRPr="00365544">
        <w:rPr>
          <w:rFonts w:cstheme="minorHAnsi"/>
          <w:sz w:val="24"/>
          <w:szCs w:val="24"/>
          <w:lang w:val="en-US"/>
        </w:rPr>
        <w:t xml:space="preserve"> S. Olfactory ensheathing cells exert a trophic effect on the hypothalamic neurons in vitro. </w:t>
      </w:r>
      <w:r w:rsidRPr="00365544">
        <w:rPr>
          <w:rFonts w:cstheme="minorHAnsi"/>
          <w:i/>
          <w:iCs/>
          <w:sz w:val="24"/>
          <w:szCs w:val="24"/>
          <w:lang w:val="en-US"/>
        </w:rPr>
        <w:t>Neurosci</w:t>
      </w:r>
      <w:r w:rsidR="000128D6">
        <w:rPr>
          <w:rFonts w:cstheme="minorHAnsi"/>
          <w:i/>
          <w:iCs/>
          <w:sz w:val="24"/>
          <w:szCs w:val="24"/>
          <w:lang w:val="en-US"/>
        </w:rPr>
        <w:t>ence</w:t>
      </w:r>
      <w:r w:rsidRPr="00365544">
        <w:rPr>
          <w:rFonts w:cstheme="minorHAnsi"/>
          <w:i/>
          <w:iCs/>
          <w:sz w:val="24"/>
          <w:szCs w:val="24"/>
          <w:lang w:val="en-US"/>
        </w:rPr>
        <w:t xml:space="preserve"> Lett</w:t>
      </w:r>
      <w:r w:rsidR="000128D6">
        <w:rPr>
          <w:rFonts w:cstheme="minorHAnsi"/>
          <w:i/>
          <w:iCs/>
          <w:sz w:val="24"/>
          <w:szCs w:val="24"/>
          <w:lang w:val="en-US"/>
        </w:rPr>
        <w:t>ers</w:t>
      </w:r>
      <w:r w:rsidRPr="00365544">
        <w:rPr>
          <w:rFonts w:cstheme="minorHAnsi"/>
          <w:sz w:val="24"/>
          <w:szCs w:val="24"/>
          <w:lang w:val="en-US"/>
        </w:rPr>
        <w:t xml:space="preserve">. </w:t>
      </w:r>
      <w:r w:rsidRPr="00365544">
        <w:rPr>
          <w:rFonts w:cstheme="minorHAnsi"/>
          <w:b/>
          <w:bCs/>
          <w:sz w:val="24"/>
          <w:szCs w:val="24"/>
          <w:lang w:val="en-US"/>
        </w:rPr>
        <w:t>417</w:t>
      </w:r>
      <w:r w:rsidR="000128D6" w:rsidRPr="0010022E">
        <w:rPr>
          <w:rFonts w:cstheme="minorHAnsi"/>
          <w:sz w:val="24"/>
          <w:szCs w:val="24"/>
          <w:lang w:val="en-US"/>
        </w:rPr>
        <w:t xml:space="preserve"> </w:t>
      </w:r>
      <w:r w:rsidRPr="00365544">
        <w:rPr>
          <w:rFonts w:cstheme="minorHAnsi"/>
          <w:sz w:val="24"/>
          <w:szCs w:val="24"/>
          <w:lang w:val="en-US"/>
        </w:rPr>
        <w:t>(1), 24</w:t>
      </w:r>
      <w:r w:rsidR="000128D6">
        <w:rPr>
          <w:rFonts w:cstheme="minorHAnsi"/>
          <w:sz w:val="24"/>
          <w:szCs w:val="24"/>
          <w:lang w:val="en-US"/>
        </w:rPr>
        <w:t>–</w:t>
      </w:r>
      <w:r w:rsidRPr="00365544">
        <w:rPr>
          <w:rFonts w:cstheme="minorHAnsi"/>
          <w:sz w:val="24"/>
          <w:szCs w:val="24"/>
          <w:lang w:val="en-US"/>
        </w:rPr>
        <w:t>29 (2007).</w:t>
      </w:r>
    </w:p>
    <w:p w14:paraId="645FCC96" w14:textId="24229A74" w:rsidR="00B540B2" w:rsidRPr="00365544" w:rsidRDefault="00B540B2" w:rsidP="00365544">
      <w:pPr>
        <w:pStyle w:val="NoSpacing"/>
        <w:numPr>
          <w:ilvl w:val="0"/>
          <w:numId w:val="37"/>
        </w:numPr>
        <w:ind w:left="0" w:firstLine="0"/>
        <w:jc w:val="both"/>
        <w:rPr>
          <w:rFonts w:cstheme="minorHAnsi"/>
          <w:sz w:val="24"/>
          <w:szCs w:val="24"/>
        </w:rPr>
      </w:pPr>
      <w:r w:rsidRPr="00365544">
        <w:rPr>
          <w:rFonts w:cstheme="minorHAnsi"/>
          <w:sz w:val="24"/>
          <w:szCs w:val="24"/>
          <w:lang w:val="en-US"/>
        </w:rPr>
        <w:t>Pellitteri</w:t>
      </w:r>
      <w:r w:rsidR="000230E2">
        <w:rPr>
          <w:rFonts w:cstheme="minorHAnsi"/>
          <w:sz w:val="24"/>
          <w:szCs w:val="24"/>
          <w:lang w:val="en-US"/>
        </w:rPr>
        <w:t>,</w:t>
      </w:r>
      <w:r w:rsidRPr="00365544">
        <w:rPr>
          <w:rFonts w:cstheme="minorHAnsi"/>
          <w:sz w:val="24"/>
          <w:szCs w:val="24"/>
          <w:lang w:val="en-US"/>
        </w:rPr>
        <w:t xml:space="preserve"> R</w:t>
      </w:r>
      <w:r w:rsidR="000230E2">
        <w:rPr>
          <w:rFonts w:cstheme="minorHAnsi"/>
          <w:sz w:val="24"/>
          <w:szCs w:val="24"/>
          <w:lang w:val="en-US"/>
        </w:rPr>
        <w:t>.</w:t>
      </w:r>
      <w:r w:rsidRPr="00365544">
        <w:rPr>
          <w:rFonts w:cstheme="minorHAnsi"/>
          <w:sz w:val="24"/>
          <w:szCs w:val="24"/>
          <w:lang w:val="en-US"/>
        </w:rPr>
        <w:t>, Spatuzza</w:t>
      </w:r>
      <w:r w:rsidR="000230E2">
        <w:rPr>
          <w:rFonts w:cstheme="minorHAnsi"/>
          <w:sz w:val="24"/>
          <w:szCs w:val="24"/>
          <w:lang w:val="en-US"/>
        </w:rPr>
        <w:t>,</w:t>
      </w:r>
      <w:r w:rsidRPr="00365544">
        <w:rPr>
          <w:rFonts w:cstheme="minorHAnsi"/>
          <w:sz w:val="24"/>
          <w:szCs w:val="24"/>
          <w:lang w:val="en-US"/>
        </w:rPr>
        <w:t xml:space="preserve"> M</w:t>
      </w:r>
      <w:r w:rsidR="000230E2">
        <w:rPr>
          <w:rFonts w:cstheme="minorHAnsi"/>
          <w:sz w:val="24"/>
          <w:szCs w:val="24"/>
          <w:lang w:val="en-US"/>
        </w:rPr>
        <w:t>.</w:t>
      </w:r>
      <w:r w:rsidRPr="00365544">
        <w:rPr>
          <w:rFonts w:cstheme="minorHAnsi"/>
          <w:sz w:val="24"/>
          <w:szCs w:val="24"/>
          <w:lang w:val="en-US"/>
        </w:rPr>
        <w:t>, Russo</w:t>
      </w:r>
      <w:r w:rsidR="000230E2">
        <w:rPr>
          <w:rFonts w:cstheme="minorHAnsi"/>
          <w:sz w:val="24"/>
          <w:szCs w:val="24"/>
          <w:lang w:val="en-US"/>
        </w:rPr>
        <w:t>,</w:t>
      </w:r>
      <w:r w:rsidRPr="00365544">
        <w:rPr>
          <w:rFonts w:cstheme="minorHAnsi"/>
          <w:sz w:val="24"/>
          <w:szCs w:val="24"/>
          <w:lang w:val="en-US"/>
        </w:rPr>
        <w:t xml:space="preserve"> A</w:t>
      </w:r>
      <w:r w:rsidR="000230E2">
        <w:rPr>
          <w:rFonts w:cstheme="minorHAnsi"/>
          <w:sz w:val="24"/>
          <w:szCs w:val="24"/>
          <w:lang w:val="en-US"/>
        </w:rPr>
        <w:t>.</w:t>
      </w:r>
      <w:r w:rsidRPr="00365544">
        <w:rPr>
          <w:rFonts w:cstheme="minorHAnsi"/>
          <w:sz w:val="24"/>
          <w:szCs w:val="24"/>
          <w:lang w:val="en-US"/>
        </w:rPr>
        <w:t>, Zaccheo</w:t>
      </w:r>
      <w:r w:rsidR="000230E2">
        <w:rPr>
          <w:rFonts w:cstheme="minorHAnsi"/>
          <w:sz w:val="24"/>
          <w:szCs w:val="24"/>
          <w:lang w:val="en-US"/>
        </w:rPr>
        <w:t>,</w:t>
      </w:r>
      <w:r w:rsidRPr="00365544">
        <w:rPr>
          <w:rFonts w:cstheme="minorHAnsi"/>
          <w:sz w:val="24"/>
          <w:szCs w:val="24"/>
          <w:lang w:val="en-US"/>
        </w:rPr>
        <w:t xml:space="preserve"> D</w:t>
      </w:r>
      <w:r w:rsidR="000230E2">
        <w:rPr>
          <w:rFonts w:cstheme="minorHAnsi"/>
          <w:sz w:val="24"/>
          <w:szCs w:val="24"/>
          <w:lang w:val="en-US"/>
        </w:rPr>
        <w:t>.</w:t>
      </w:r>
      <w:r w:rsidRPr="00365544">
        <w:rPr>
          <w:rFonts w:cstheme="minorHAnsi"/>
          <w:sz w:val="24"/>
          <w:szCs w:val="24"/>
          <w:lang w:val="en-US"/>
        </w:rPr>
        <w:t>, Stanzani</w:t>
      </w:r>
      <w:r w:rsidR="000230E2">
        <w:rPr>
          <w:rFonts w:cstheme="minorHAnsi"/>
          <w:sz w:val="24"/>
          <w:szCs w:val="24"/>
          <w:lang w:val="en-US"/>
        </w:rPr>
        <w:t>,</w:t>
      </w:r>
      <w:r w:rsidRPr="00365544">
        <w:rPr>
          <w:rFonts w:cstheme="minorHAnsi"/>
          <w:sz w:val="24"/>
          <w:szCs w:val="24"/>
          <w:lang w:val="en-US"/>
        </w:rPr>
        <w:t xml:space="preserve"> S</w:t>
      </w:r>
      <w:r w:rsidR="000230E2">
        <w:rPr>
          <w:rFonts w:cstheme="minorHAnsi"/>
          <w:sz w:val="24"/>
          <w:szCs w:val="24"/>
          <w:lang w:val="en-US"/>
        </w:rPr>
        <w:t>.</w:t>
      </w:r>
      <w:r w:rsidRPr="00365544">
        <w:rPr>
          <w:rFonts w:cstheme="minorHAnsi"/>
          <w:sz w:val="24"/>
          <w:szCs w:val="24"/>
          <w:lang w:val="en-US"/>
        </w:rPr>
        <w:t xml:space="preserve">. Olfactory ensheathing cells represent an optimal substrate for hippocampal neurons: an in vitro study. </w:t>
      </w:r>
      <w:r w:rsidRPr="00365544">
        <w:rPr>
          <w:rFonts w:cstheme="minorHAnsi"/>
          <w:i/>
          <w:iCs/>
          <w:sz w:val="24"/>
          <w:szCs w:val="24"/>
          <w:lang w:val="en-US"/>
        </w:rPr>
        <w:t>Int</w:t>
      </w:r>
      <w:r w:rsidR="000230E2">
        <w:rPr>
          <w:rFonts w:cstheme="minorHAnsi"/>
          <w:i/>
          <w:iCs/>
          <w:sz w:val="24"/>
          <w:szCs w:val="24"/>
          <w:lang w:val="en-US"/>
        </w:rPr>
        <w:t>ernational</w:t>
      </w:r>
      <w:r w:rsidRPr="00365544">
        <w:rPr>
          <w:rFonts w:cstheme="minorHAnsi"/>
          <w:i/>
          <w:iCs/>
          <w:sz w:val="24"/>
          <w:szCs w:val="24"/>
          <w:lang w:val="en-US"/>
        </w:rPr>
        <w:t xml:space="preserve"> J</w:t>
      </w:r>
      <w:r w:rsidR="000230E2">
        <w:rPr>
          <w:rFonts w:cstheme="minorHAnsi"/>
          <w:i/>
          <w:iCs/>
          <w:sz w:val="24"/>
          <w:szCs w:val="24"/>
          <w:lang w:val="en-US"/>
        </w:rPr>
        <w:t>ournal of</w:t>
      </w:r>
      <w:r w:rsidRPr="00365544">
        <w:rPr>
          <w:rFonts w:cstheme="minorHAnsi"/>
          <w:i/>
          <w:iCs/>
          <w:sz w:val="24"/>
          <w:szCs w:val="24"/>
          <w:lang w:val="en-US"/>
        </w:rPr>
        <w:t xml:space="preserve"> Dev</w:t>
      </w:r>
      <w:r w:rsidR="000230E2">
        <w:rPr>
          <w:rFonts w:cstheme="minorHAnsi"/>
          <w:i/>
          <w:iCs/>
          <w:sz w:val="24"/>
          <w:szCs w:val="24"/>
          <w:lang w:val="en-US"/>
        </w:rPr>
        <w:t>elopmental</w:t>
      </w:r>
      <w:r w:rsidRPr="00365544">
        <w:rPr>
          <w:rFonts w:cstheme="minorHAnsi"/>
          <w:i/>
          <w:iCs/>
          <w:sz w:val="24"/>
          <w:szCs w:val="24"/>
          <w:lang w:val="en-US"/>
        </w:rPr>
        <w:t xml:space="preserve"> Neurosci</w:t>
      </w:r>
      <w:r w:rsidR="000128D6">
        <w:rPr>
          <w:rFonts w:cstheme="minorHAnsi"/>
          <w:i/>
          <w:iCs/>
          <w:sz w:val="24"/>
          <w:szCs w:val="24"/>
          <w:lang w:val="en-US"/>
        </w:rPr>
        <w:t>ence</w:t>
      </w:r>
      <w:r w:rsidRPr="0010022E">
        <w:rPr>
          <w:rFonts w:cstheme="minorHAnsi"/>
          <w:sz w:val="24"/>
          <w:szCs w:val="24"/>
          <w:lang w:val="en-US"/>
        </w:rPr>
        <w:t>.</w:t>
      </w:r>
      <w:r w:rsidRPr="00365544">
        <w:rPr>
          <w:rFonts w:cstheme="minorHAnsi"/>
          <w:sz w:val="24"/>
          <w:szCs w:val="24"/>
          <w:lang w:val="en-US"/>
        </w:rPr>
        <w:t xml:space="preserve"> </w:t>
      </w:r>
      <w:r w:rsidRPr="00365544">
        <w:rPr>
          <w:rFonts w:cstheme="minorHAnsi"/>
          <w:b/>
          <w:bCs/>
          <w:sz w:val="24"/>
          <w:szCs w:val="24"/>
          <w:lang w:val="en-US"/>
        </w:rPr>
        <w:t>27</w:t>
      </w:r>
      <w:r w:rsidR="000230E2" w:rsidRPr="0010022E">
        <w:rPr>
          <w:rFonts w:cstheme="minorHAnsi"/>
          <w:sz w:val="24"/>
          <w:szCs w:val="24"/>
          <w:lang w:val="en-US"/>
        </w:rPr>
        <w:t xml:space="preserve"> </w:t>
      </w:r>
      <w:r w:rsidRPr="00365544">
        <w:rPr>
          <w:rFonts w:cstheme="minorHAnsi"/>
          <w:sz w:val="24"/>
          <w:szCs w:val="24"/>
          <w:lang w:val="en-US"/>
        </w:rPr>
        <w:t>(5), 453</w:t>
      </w:r>
      <w:r w:rsidR="000230E2">
        <w:rPr>
          <w:rFonts w:cstheme="minorHAnsi"/>
          <w:sz w:val="24"/>
          <w:szCs w:val="24"/>
          <w:lang w:val="en-US"/>
        </w:rPr>
        <w:t>–</w:t>
      </w:r>
      <w:r w:rsidRPr="00365544">
        <w:rPr>
          <w:rFonts w:cstheme="minorHAnsi"/>
          <w:sz w:val="24"/>
          <w:szCs w:val="24"/>
          <w:lang w:val="en-US"/>
        </w:rPr>
        <w:t>458 (2009).</w:t>
      </w:r>
    </w:p>
    <w:p w14:paraId="7536DC26" w14:textId="5E8C243D"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Runyan</w:t>
      </w:r>
      <w:r w:rsidR="000230E2">
        <w:rPr>
          <w:rFonts w:cstheme="minorHAnsi"/>
          <w:sz w:val="24"/>
          <w:szCs w:val="24"/>
          <w:lang w:val="en-US"/>
        </w:rPr>
        <w:t>,</w:t>
      </w:r>
      <w:r w:rsidRPr="00365544">
        <w:rPr>
          <w:rFonts w:cstheme="minorHAnsi"/>
          <w:sz w:val="24"/>
          <w:szCs w:val="24"/>
          <w:lang w:val="en-US"/>
        </w:rPr>
        <w:t xml:space="preserve"> S.</w:t>
      </w:r>
      <w:r w:rsidR="000230E2">
        <w:rPr>
          <w:rFonts w:cstheme="minorHAnsi"/>
          <w:sz w:val="24"/>
          <w:szCs w:val="24"/>
          <w:lang w:val="en-US"/>
        </w:rPr>
        <w:t xml:space="preserve"> </w:t>
      </w:r>
      <w:r w:rsidRPr="00365544">
        <w:rPr>
          <w:rFonts w:cstheme="minorHAnsi"/>
          <w:sz w:val="24"/>
          <w:szCs w:val="24"/>
          <w:lang w:val="en-US"/>
        </w:rPr>
        <w:t>A., Phelps</w:t>
      </w:r>
      <w:r w:rsidR="000230E2">
        <w:rPr>
          <w:rFonts w:cstheme="minorHAnsi"/>
          <w:sz w:val="24"/>
          <w:szCs w:val="24"/>
          <w:lang w:val="en-US"/>
        </w:rPr>
        <w:t>,</w:t>
      </w:r>
      <w:r w:rsidRPr="00365544">
        <w:rPr>
          <w:rFonts w:cstheme="minorHAnsi"/>
          <w:sz w:val="24"/>
          <w:szCs w:val="24"/>
          <w:lang w:val="en-US"/>
        </w:rPr>
        <w:t xml:space="preserve"> P.</w:t>
      </w:r>
      <w:r w:rsidR="000230E2">
        <w:rPr>
          <w:rFonts w:cstheme="minorHAnsi"/>
          <w:sz w:val="24"/>
          <w:szCs w:val="24"/>
          <w:lang w:val="en-US"/>
        </w:rPr>
        <w:t xml:space="preserve"> </w:t>
      </w:r>
      <w:r w:rsidRPr="00365544">
        <w:rPr>
          <w:rFonts w:cstheme="minorHAnsi"/>
          <w:sz w:val="24"/>
          <w:szCs w:val="24"/>
          <w:lang w:val="en-US"/>
        </w:rPr>
        <w:t xml:space="preserve">E. Mouse olfactory ensheathing glia enhance axon outgrowth on a myelin substrate in vitro. </w:t>
      </w:r>
      <w:r w:rsidRPr="00365544">
        <w:rPr>
          <w:rFonts w:cstheme="minorHAnsi"/>
          <w:i/>
          <w:iCs/>
          <w:sz w:val="24"/>
          <w:szCs w:val="24"/>
          <w:lang w:val="en-US"/>
        </w:rPr>
        <w:t>Exp</w:t>
      </w:r>
      <w:r w:rsidR="000230E2">
        <w:rPr>
          <w:rFonts w:cstheme="minorHAnsi"/>
          <w:i/>
          <w:iCs/>
          <w:sz w:val="24"/>
          <w:szCs w:val="24"/>
          <w:lang w:val="en-US"/>
        </w:rPr>
        <w:t>erimental</w:t>
      </w:r>
      <w:r w:rsidRPr="00365544">
        <w:rPr>
          <w:rFonts w:cstheme="minorHAnsi"/>
          <w:i/>
          <w:iCs/>
          <w:sz w:val="24"/>
          <w:szCs w:val="24"/>
          <w:lang w:val="en-US"/>
        </w:rPr>
        <w:t xml:space="preserve"> Neurol</w:t>
      </w:r>
      <w:r w:rsidR="000230E2">
        <w:rPr>
          <w:rFonts w:cstheme="minorHAnsi"/>
          <w:i/>
          <w:iCs/>
          <w:sz w:val="24"/>
          <w:szCs w:val="24"/>
          <w:lang w:val="en-US"/>
        </w:rPr>
        <w:t>ogy</w:t>
      </w:r>
      <w:r w:rsidRPr="0010022E">
        <w:rPr>
          <w:rFonts w:cstheme="minorHAnsi"/>
          <w:sz w:val="24"/>
          <w:szCs w:val="24"/>
          <w:lang w:val="en-US"/>
        </w:rPr>
        <w:t>.</w:t>
      </w:r>
      <w:r w:rsidRPr="00365544">
        <w:rPr>
          <w:rFonts w:cstheme="minorHAnsi"/>
          <w:sz w:val="24"/>
          <w:szCs w:val="24"/>
          <w:lang w:val="en-US"/>
        </w:rPr>
        <w:t xml:space="preserve"> </w:t>
      </w:r>
      <w:r w:rsidRPr="00365544">
        <w:rPr>
          <w:rFonts w:cstheme="minorHAnsi"/>
          <w:b/>
          <w:bCs/>
          <w:sz w:val="24"/>
          <w:szCs w:val="24"/>
          <w:lang w:val="en-US"/>
        </w:rPr>
        <w:t>216</w:t>
      </w:r>
      <w:r w:rsidR="000230E2" w:rsidRPr="0010022E">
        <w:rPr>
          <w:rFonts w:cstheme="minorHAnsi"/>
          <w:sz w:val="24"/>
          <w:szCs w:val="24"/>
          <w:lang w:val="en-US"/>
        </w:rPr>
        <w:t xml:space="preserve"> </w:t>
      </w:r>
      <w:r w:rsidRPr="00365544">
        <w:rPr>
          <w:rFonts w:cstheme="minorHAnsi"/>
          <w:sz w:val="24"/>
          <w:szCs w:val="24"/>
          <w:lang w:val="en-US"/>
        </w:rPr>
        <w:t>(1), 95</w:t>
      </w:r>
      <w:r w:rsidR="000230E2">
        <w:rPr>
          <w:rFonts w:cstheme="minorHAnsi"/>
          <w:sz w:val="24"/>
          <w:szCs w:val="24"/>
          <w:lang w:val="en-US"/>
        </w:rPr>
        <w:t>–</w:t>
      </w:r>
      <w:r w:rsidRPr="00365544">
        <w:rPr>
          <w:rFonts w:cstheme="minorHAnsi"/>
          <w:sz w:val="24"/>
          <w:szCs w:val="24"/>
          <w:lang w:val="en-US"/>
        </w:rPr>
        <w:t>104 (2009).</w:t>
      </w:r>
    </w:p>
    <w:p w14:paraId="60642B45" w14:textId="415718AB"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Witheford</w:t>
      </w:r>
      <w:r w:rsidR="000230E2">
        <w:rPr>
          <w:rFonts w:cstheme="minorHAnsi"/>
          <w:sz w:val="24"/>
          <w:szCs w:val="24"/>
          <w:lang w:val="en-US"/>
        </w:rPr>
        <w:t>,</w:t>
      </w:r>
      <w:r w:rsidRPr="00365544">
        <w:rPr>
          <w:rFonts w:cstheme="minorHAnsi"/>
          <w:sz w:val="24"/>
          <w:szCs w:val="24"/>
          <w:lang w:val="en-US"/>
        </w:rPr>
        <w:t xml:space="preserve"> M., Westendorf</w:t>
      </w:r>
      <w:r w:rsidR="000230E2">
        <w:rPr>
          <w:rFonts w:cstheme="minorHAnsi"/>
          <w:sz w:val="24"/>
          <w:szCs w:val="24"/>
          <w:lang w:val="en-US"/>
        </w:rPr>
        <w:t>,</w:t>
      </w:r>
      <w:r w:rsidRPr="00365544">
        <w:rPr>
          <w:rFonts w:cstheme="minorHAnsi"/>
          <w:sz w:val="24"/>
          <w:szCs w:val="24"/>
          <w:lang w:val="en-US"/>
        </w:rPr>
        <w:t xml:space="preserve"> K., Roskams</w:t>
      </w:r>
      <w:r w:rsidR="000230E2">
        <w:rPr>
          <w:rFonts w:cstheme="minorHAnsi"/>
          <w:sz w:val="24"/>
          <w:szCs w:val="24"/>
          <w:lang w:val="en-US"/>
        </w:rPr>
        <w:t>,</w:t>
      </w:r>
      <w:r w:rsidRPr="00365544">
        <w:rPr>
          <w:rFonts w:cstheme="minorHAnsi"/>
          <w:sz w:val="24"/>
          <w:szCs w:val="24"/>
          <w:lang w:val="en-US"/>
        </w:rPr>
        <w:t xml:space="preserve"> A.</w:t>
      </w:r>
      <w:r w:rsidR="000230E2">
        <w:rPr>
          <w:rFonts w:cstheme="minorHAnsi"/>
          <w:sz w:val="24"/>
          <w:szCs w:val="24"/>
          <w:lang w:val="en-US"/>
        </w:rPr>
        <w:t xml:space="preserve"> </w:t>
      </w:r>
      <w:r w:rsidRPr="00365544">
        <w:rPr>
          <w:rFonts w:cstheme="minorHAnsi"/>
          <w:sz w:val="24"/>
          <w:szCs w:val="24"/>
          <w:lang w:val="en-US"/>
        </w:rPr>
        <w:t xml:space="preserve">J. Olfactory ensheathing cells promote corticospinal axonal outgrowth by a L1 CAM-dependent mechanism.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61</w:t>
      </w:r>
      <w:r w:rsidR="000230E2" w:rsidRPr="0010022E">
        <w:rPr>
          <w:rFonts w:cstheme="minorHAnsi"/>
          <w:sz w:val="24"/>
          <w:szCs w:val="24"/>
          <w:lang w:val="en-US"/>
        </w:rPr>
        <w:t xml:space="preserve"> </w:t>
      </w:r>
      <w:r w:rsidRPr="00365544">
        <w:rPr>
          <w:rFonts w:cstheme="minorHAnsi"/>
          <w:sz w:val="24"/>
          <w:szCs w:val="24"/>
          <w:lang w:val="en-US"/>
        </w:rPr>
        <w:t>(11), 1873</w:t>
      </w:r>
      <w:r w:rsidR="000230E2">
        <w:rPr>
          <w:rFonts w:cstheme="minorHAnsi"/>
          <w:sz w:val="24"/>
          <w:szCs w:val="24"/>
          <w:lang w:val="en-US"/>
        </w:rPr>
        <w:t>–</w:t>
      </w:r>
      <w:r w:rsidRPr="00365544">
        <w:rPr>
          <w:rFonts w:cstheme="minorHAnsi"/>
          <w:sz w:val="24"/>
          <w:szCs w:val="24"/>
          <w:lang w:val="en-US"/>
        </w:rPr>
        <w:t>1889 (2013).</w:t>
      </w:r>
    </w:p>
    <w:p w14:paraId="1D684EB4" w14:textId="455A3029"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lastRenderedPageBreak/>
        <w:t>Roloff</w:t>
      </w:r>
      <w:r w:rsidR="000230E2">
        <w:rPr>
          <w:rFonts w:cstheme="minorHAnsi"/>
          <w:sz w:val="24"/>
          <w:szCs w:val="24"/>
          <w:lang w:val="en-US"/>
        </w:rPr>
        <w:t>,</w:t>
      </w:r>
      <w:r w:rsidRPr="00365544">
        <w:rPr>
          <w:rFonts w:cstheme="minorHAnsi"/>
          <w:sz w:val="24"/>
          <w:szCs w:val="24"/>
          <w:lang w:val="en-US"/>
        </w:rPr>
        <w:t xml:space="preserve"> F., Ziege</w:t>
      </w:r>
      <w:r w:rsidR="000230E2">
        <w:rPr>
          <w:rFonts w:cstheme="minorHAnsi"/>
          <w:sz w:val="24"/>
          <w:szCs w:val="24"/>
          <w:lang w:val="en-US"/>
        </w:rPr>
        <w:t>,</w:t>
      </w:r>
      <w:r w:rsidRPr="00365544">
        <w:rPr>
          <w:rFonts w:cstheme="minorHAnsi"/>
          <w:sz w:val="24"/>
          <w:szCs w:val="24"/>
          <w:lang w:val="en-US"/>
        </w:rPr>
        <w:t xml:space="preserve"> S., Baumgärtner</w:t>
      </w:r>
      <w:r w:rsidR="000230E2">
        <w:rPr>
          <w:rFonts w:cstheme="minorHAnsi"/>
          <w:sz w:val="24"/>
          <w:szCs w:val="24"/>
          <w:lang w:val="en-US"/>
        </w:rPr>
        <w:t>,</w:t>
      </w:r>
      <w:r w:rsidRPr="00365544">
        <w:rPr>
          <w:rFonts w:cstheme="minorHAnsi"/>
          <w:sz w:val="24"/>
          <w:szCs w:val="24"/>
          <w:lang w:val="en-US"/>
        </w:rPr>
        <w:t xml:space="preserve"> W., Wewetzer</w:t>
      </w:r>
      <w:r w:rsidR="000230E2">
        <w:rPr>
          <w:rFonts w:cstheme="minorHAnsi"/>
          <w:sz w:val="24"/>
          <w:szCs w:val="24"/>
          <w:lang w:val="en-US"/>
        </w:rPr>
        <w:t>,</w:t>
      </w:r>
      <w:r w:rsidRPr="00365544">
        <w:rPr>
          <w:rFonts w:cstheme="minorHAnsi"/>
          <w:sz w:val="24"/>
          <w:szCs w:val="24"/>
          <w:lang w:val="en-US"/>
        </w:rPr>
        <w:t xml:space="preserve"> K., Bicker</w:t>
      </w:r>
      <w:r w:rsidR="000230E2">
        <w:rPr>
          <w:rFonts w:cstheme="minorHAnsi"/>
          <w:sz w:val="24"/>
          <w:szCs w:val="24"/>
          <w:lang w:val="en-US"/>
        </w:rPr>
        <w:t>,</w:t>
      </w:r>
      <w:r w:rsidRPr="00365544">
        <w:rPr>
          <w:rFonts w:cstheme="minorHAnsi"/>
          <w:sz w:val="24"/>
          <w:szCs w:val="24"/>
          <w:lang w:val="en-US"/>
        </w:rPr>
        <w:t xml:space="preserve"> G. Schwann cell-free adult canine olfactory ensheathing cell preparations from olfactory bulb and mucosa display differential migratory and neurite growth-promoting properties in vitro. </w:t>
      </w:r>
      <w:r w:rsidRPr="00365544">
        <w:rPr>
          <w:rFonts w:cstheme="minorHAnsi"/>
          <w:i/>
          <w:iCs/>
          <w:sz w:val="24"/>
          <w:szCs w:val="24"/>
          <w:lang w:val="en-US"/>
        </w:rPr>
        <w:t>BMC Neurosci</w:t>
      </w:r>
      <w:r w:rsidR="000230E2">
        <w:rPr>
          <w:rFonts w:cstheme="minorHAnsi"/>
          <w:i/>
          <w:iCs/>
          <w:sz w:val="24"/>
          <w:szCs w:val="24"/>
          <w:lang w:val="en-US"/>
        </w:rPr>
        <w:t>ence</w:t>
      </w:r>
      <w:r w:rsidRPr="00365544">
        <w:rPr>
          <w:rFonts w:cstheme="minorHAnsi"/>
          <w:sz w:val="24"/>
          <w:szCs w:val="24"/>
          <w:lang w:val="en-US"/>
        </w:rPr>
        <w:t xml:space="preserve">. </w:t>
      </w:r>
      <w:r w:rsidRPr="00365544">
        <w:rPr>
          <w:rFonts w:cstheme="minorHAnsi"/>
          <w:b/>
          <w:bCs/>
          <w:sz w:val="24"/>
          <w:szCs w:val="24"/>
          <w:lang w:val="en-US"/>
        </w:rPr>
        <w:t>14</w:t>
      </w:r>
      <w:r w:rsidRPr="00365544">
        <w:rPr>
          <w:rFonts w:cstheme="minorHAnsi"/>
          <w:sz w:val="24"/>
          <w:szCs w:val="24"/>
          <w:lang w:val="en-US"/>
        </w:rPr>
        <w:t>, 141 (2013).</w:t>
      </w:r>
    </w:p>
    <w:p w14:paraId="27A9042A" w14:textId="2FF67F25"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Khankan</w:t>
      </w:r>
      <w:r w:rsidR="000230E2">
        <w:rPr>
          <w:rFonts w:cstheme="minorHAnsi"/>
          <w:sz w:val="24"/>
          <w:szCs w:val="24"/>
          <w:lang w:val="en-US"/>
        </w:rPr>
        <w:t>,</w:t>
      </w:r>
      <w:r w:rsidRPr="00365544">
        <w:rPr>
          <w:rFonts w:cstheme="minorHAnsi"/>
          <w:sz w:val="24"/>
          <w:szCs w:val="24"/>
          <w:lang w:val="en-US"/>
        </w:rPr>
        <w:t xml:space="preserve"> R.</w:t>
      </w:r>
      <w:r w:rsidR="000230E2">
        <w:rPr>
          <w:rFonts w:cstheme="minorHAnsi"/>
          <w:sz w:val="24"/>
          <w:szCs w:val="24"/>
          <w:lang w:val="en-US"/>
        </w:rPr>
        <w:t xml:space="preserve"> </w:t>
      </w:r>
      <w:r w:rsidRPr="00365544">
        <w:rPr>
          <w:rFonts w:cstheme="minorHAnsi"/>
          <w:sz w:val="24"/>
          <w:szCs w:val="24"/>
          <w:lang w:val="en-US"/>
        </w:rPr>
        <w:t>R., Wanner</w:t>
      </w:r>
      <w:r w:rsidR="000230E2">
        <w:rPr>
          <w:rFonts w:cstheme="minorHAnsi"/>
          <w:sz w:val="24"/>
          <w:szCs w:val="24"/>
          <w:lang w:val="en-US"/>
        </w:rPr>
        <w:t>,</w:t>
      </w:r>
      <w:r w:rsidRPr="00365544">
        <w:rPr>
          <w:rFonts w:cstheme="minorHAnsi"/>
          <w:sz w:val="24"/>
          <w:szCs w:val="24"/>
          <w:lang w:val="en-US"/>
        </w:rPr>
        <w:t xml:space="preserve"> I.</w:t>
      </w:r>
      <w:r w:rsidR="000230E2">
        <w:rPr>
          <w:rFonts w:cstheme="minorHAnsi"/>
          <w:sz w:val="24"/>
          <w:szCs w:val="24"/>
          <w:lang w:val="en-US"/>
        </w:rPr>
        <w:t xml:space="preserve"> </w:t>
      </w:r>
      <w:r w:rsidRPr="00365544">
        <w:rPr>
          <w:rFonts w:cstheme="minorHAnsi"/>
          <w:sz w:val="24"/>
          <w:szCs w:val="24"/>
          <w:lang w:val="en-US"/>
        </w:rPr>
        <w:t>B., Phelps</w:t>
      </w:r>
      <w:r w:rsidR="000230E2">
        <w:rPr>
          <w:rFonts w:cstheme="minorHAnsi"/>
          <w:sz w:val="24"/>
          <w:szCs w:val="24"/>
          <w:lang w:val="en-US"/>
        </w:rPr>
        <w:t>,</w:t>
      </w:r>
      <w:r w:rsidRPr="00365544">
        <w:rPr>
          <w:rFonts w:cstheme="minorHAnsi"/>
          <w:sz w:val="24"/>
          <w:szCs w:val="24"/>
          <w:lang w:val="en-US"/>
        </w:rPr>
        <w:t xml:space="preserve"> P.</w:t>
      </w:r>
      <w:r w:rsidR="000230E2">
        <w:rPr>
          <w:rFonts w:cstheme="minorHAnsi"/>
          <w:sz w:val="24"/>
          <w:szCs w:val="24"/>
          <w:lang w:val="en-US"/>
        </w:rPr>
        <w:t xml:space="preserve"> </w:t>
      </w:r>
      <w:r w:rsidRPr="00365544">
        <w:rPr>
          <w:rFonts w:cstheme="minorHAnsi"/>
          <w:sz w:val="24"/>
          <w:szCs w:val="24"/>
          <w:lang w:val="en-US"/>
        </w:rPr>
        <w:t xml:space="preserve">E. Olfactory ensheathing cell-neurite alignment enhances neurite outgrowth in scar-like cultures. </w:t>
      </w:r>
      <w:r w:rsidRPr="00365544">
        <w:rPr>
          <w:rFonts w:cstheme="minorHAnsi"/>
          <w:i/>
          <w:iCs/>
          <w:sz w:val="24"/>
          <w:szCs w:val="24"/>
          <w:lang w:val="en-US"/>
        </w:rPr>
        <w:t>Exp</w:t>
      </w:r>
      <w:r w:rsidR="000230E2">
        <w:rPr>
          <w:rFonts w:cstheme="minorHAnsi"/>
          <w:i/>
          <w:iCs/>
          <w:sz w:val="24"/>
          <w:szCs w:val="24"/>
          <w:lang w:val="en-US"/>
        </w:rPr>
        <w:t>erimental</w:t>
      </w:r>
      <w:r w:rsidRPr="00365544">
        <w:rPr>
          <w:rFonts w:cstheme="minorHAnsi"/>
          <w:i/>
          <w:iCs/>
          <w:sz w:val="24"/>
          <w:szCs w:val="24"/>
          <w:lang w:val="en-US"/>
        </w:rPr>
        <w:t xml:space="preserve"> Neurol</w:t>
      </w:r>
      <w:r w:rsidR="000230E2">
        <w:rPr>
          <w:rFonts w:cstheme="minorHAnsi"/>
          <w:i/>
          <w:iCs/>
          <w:sz w:val="24"/>
          <w:szCs w:val="24"/>
          <w:lang w:val="en-US"/>
        </w:rPr>
        <w:t>ogy</w:t>
      </w:r>
      <w:r w:rsidRPr="00365544">
        <w:rPr>
          <w:rFonts w:cstheme="minorHAnsi"/>
          <w:sz w:val="24"/>
          <w:szCs w:val="24"/>
          <w:lang w:val="en-US"/>
        </w:rPr>
        <w:t xml:space="preserve">. </w:t>
      </w:r>
      <w:r w:rsidRPr="00365544">
        <w:rPr>
          <w:rFonts w:cstheme="minorHAnsi"/>
          <w:b/>
          <w:bCs/>
          <w:sz w:val="24"/>
          <w:szCs w:val="24"/>
          <w:lang w:val="en-US"/>
        </w:rPr>
        <w:t>269</w:t>
      </w:r>
      <w:r w:rsidRPr="00365544">
        <w:rPr>
          <w:rFonts w:cstheme="minorHAnsi"/>
          <w:sz w:val="24"/>
          <w:szCs w:val="24"/>
          <w:lang w:val="en-US"/>
        </w:rPr>
        <w:t>, 93</w:t>
      </w:r>
      <w:r w:rsidR="000230E2">
        <w:rPr>
          <w:rFonts w:cstheme="minorHAnsi"/>
          <w:sz w:val="24"/>
          <w:szCs w:val="24"/>
          <w:lang w:val="en-US"/>
        </w:rPr>
        <w:t>–</w:t>
      </w:r>
      <w:r w:rsidRPr="00365544">
        <w:rPr>
          <w:rFonts w:cstheme="minorHAnsi"/>
          <w:sz w:val="24"/>
          <w:szCs w:val="24"/>
          <w:lang w:val="en-US"/>
        </w:rPr>
        <w:t>101 (2015).</w:t>
      </w:r>
    </w:p>
    <w:p w14:paraId="2F8A2CFF" w14:textId="1E7877A6"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Wigley</w:t>
      </w:r>
      <w:r w:rsidR="000230E2">
        <w:rPr>
          <w:rFonts w:cstheme="minorHAnsi"/>
          <w:sz w:val="24"/>
          <w:szCs w:val="24"/>
          <w:lang w:val="en-US"/>
        </w:rPr>
        <w:t>,</w:t>
      </w:r>
      <w:r w:rsidRPr="00365544">
        <w:rPr>
          <w:rFonts w:cstheme="minorHAnsi"/>
          <w:sz w:val="24"/>
          <w:szCs w:val="24"/>
          <w:lang w:val="en-US"/>
        </w:rPr>
        <w:t xml:space="preserve"> C.</w:t>
      </w:r>
      <w:r w:rsidR="000230E2">
        <w:rPr>
          <w:rFonts w:cstheme="minorHAnsi"/>
          <w:sz w:val="24"/>
          <w:szCs w:val="24"/>
          <w:lang w:val="en-US"/>
        </w:rPr>
        <w:t xml:space="preserve"> </w:t>
      </w:r>
      <w:r w:rsidRPr="00365544">
        <w:rPr>
          <w:rFonts w:cstheme="minorHAnsi"/>
          <w:sz w:val="24"/>
          <w:szCs w:val="24"/>
          <w:lang w:val="en-US"/>
        </w:rPr>
        <w:t>B., Berry</w:t>
      </w:r>
      <w:r w:rsidR="000230E2">
        <w:rPr>
          <w:rFonts w:cstheme="minorHAnsi"/>
          <w:sz w:val="24"/>
          <w:szCs w:val="24"/>
          <w:lang w:val="en-US"/>
        </w:rPr>
        <w:t>,</w:t>
      </w:r>
      <w:r w:rsidRPr="00365544">
        <w:rPr>
          <w:rFonts w:cstheme="minorHAnsi"/>
          <w:sz w:val="24"/>
          <w:szCs w:val="24"/>
          <w:lang w:val="en-US"/>
        </w:rPr>
        <w:t xml:space="preserve"> M. Regeneration of adult rat retinal ganglion cell processes in monolayer culture: comparisons between cultures of adult and neonatal neurons. </w:t>
      </w:r>
      <w:r w:rsidRPr="00365544">
        <w:rPr>
          <w:rFonts w:cstheme="minorHAnsi"/>
          <w:i/>
          <w:iCs/>
          <w:sz w:val="24"/>
          <w:szCs w:val="24"/>
          <w:lang w:val="en-US"/>
        </w:rPr>
        <w:t>Brain Res</w:t>
      </w:r>
      <w:r w:rsidR="000230E2">
        <w:rPr>
          <w:rFonts w:cstheme="minorHAnsi"/>
          <w:i/>
          <w:iCs/>
          <w:sz w:val="24"/>
          <w:szCs w:val="24"/>
          <w:lang w:val="en-US"/>
        </w:rPr>
        <w:t>earch</w:t>
      </w:r>
      <w:r w:rsidRPr="0010022E">
        <w:rPr>
          <w:rFonts w:cstheme="minorHAnsi"/>
          <w:sz w:val="24"/>
          <w:szCs w:val="24"/>
          <w:lang w:val="en-US"/>
        </w:rPr>
        <w:t>.</w:t>
      </w:r>
      <w:r w:rsidRPr="00365544">
        <w:rPr>
          <w:rFonts w:cstheme="minorHAnsi"/>
          <w:sz w:val="24"/>
          <w:szCs w:val="24"/>
          <w:lang w:val="en-US"/>
        </w:rPr>
        <w:t xml:space="preserve"> </w:t>
      </w:r>
      <w:r w:rsidRPr="00365544">
        <w:rPr>
          <w:rFonts w:cstheme="minorHAnsi"/>
          <w:b/>
          <w:bCs/>
          <w:sz w:val="24"/>
          <w:szCs w:val="24"/>
          <w:lang w:val="en-US"/>
        </w:rPr>
        <w:t>470</w:t>
      </w:r>
      <w:r w:rsidR="000230E2" w:rsidRPr="0010022E">
        <w:rPr>
          <w:rFonts w:cstheme="minorHAnsi"/>
          <w:sz w:val="24"/>
          <w:szCs w:val="24"/>
          <w:lang w:val="en-US"/>
        </w:rPr>
        <w:t xml:space="preserve"> </w:t>
      </w:r>
      <w:r w:rsidRPr="00365544">
        <w:rPr>
          <w:rFonts w:cstheme="minorHAnsi"/>
          <w:sz w:val="24"/>
          <w:szCs w:val="24"/>
          <w:lang w:val="en-US"/>
        </w:rPr>
        <w:t>(1), 85</w:t>
      </w:r>
      <w:r w:rsidR="000230E2">
        <w:rPr>
          <w:rFonts w:cstheme="minorHAnsi"/>
          <w:sz w:val="24"/>
          <w:szCs w:val="24"/>
          <w:lang w:val="en-US"/>
        </w:rPr>
        <w:t>–</w:t>
      </w:r>
      <w:r w:rsidRPr="00365544">
        <w:rPr>
          <w:rFonts w:cstheme="minorHAnsi"/>
          <w:sz w:val="24"/>
          <w:szCs w:val="24"/>
          <w:lang w:val="en-US"/>
        </w:rPr>
        <w:t>98 (1988).</w:t>
      </w:r>
    </w:p>
    <w:p w14:paraId="11BC3E73" w14:textId="0E92E08B"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Sonigra</w:t>
      </w:r>
      <w:r w:rsidR="000230E2">
        <w:rPr>
          <w:rFonts w:cstheme="minorHAnsi"/>
          <w:sz w:val="24"/>
          <w:szCs w:val="24"/>
          <w:lang w:val="en-US"/>
        </w:rPr>
        <w:t>,</w:t>
      </w:r>
      <w:r w:rsidRPr="00365544">
        <w:rPr>
          <w:rFonts w:cstheme="minorHAnsi"/>
          <w:sz w:val="24"/>
          <w:szCs w:val="24"/>
          <w:lang w:val="en-US"/>
        </w:rPr>
        <w:t xml:space="preserve"> R</w:t>
      </w:r>
      <w:r w:rsidR="000230E2">
        <w:rPr>
          <w:rFonts w:cstheme="minorHAnsi"/>
          <w:sz w:val="24"/>
          <w:szCs w:val="24"/>
          <w:lang w:val="en-US"/>
        </w:rPr>
        <w:t xml:space="preserve">. </w:t>
      </w:r>
      <w:r w:rsidRPr="00365544">
        <w:rPr>
          <w:rFonts w:cstheme="minorHAnsi"/>
          <w:sz w:val="24"/>
          <w:szCs w:val="24"/>
          <w:lang w:val="en-US"/>
        </w:rPr>
        <w:t>J</w:t>
      </w:r>
      <w:r w:rsidR="000230E2">
        <w:rPr>
          <w:rFonts w:cstheme="minorHAnsi"/>
          <w:sz w:val="24"/>
          <w:szCs w:val="24"/>
          <w:lang w:val="en-US"/>
        </w:rPr>
        <w:t>.</w:t>
      </w:r>
      <w:r w:rsidRPr="00365544">
        <w:rPr>
          <w:rFonts w:cstheme="minorHAnsi"/>
          <w:sz w:val="24"/>
          <w:szCs w:val="24"/>
          <w:lang w:val="en-US"/>
        </w:rPr>
        <w:t>, Brighton</w:t>
      </w:r>
      <w:r w:rsidR="000230E2">
        <w:rPr>
          <w:rFonts w:cstheme="minorHAnsi"/>
          <w:sz w:val="24"/>
          <w:szCs w:val="24"/>
          <w:lang w:val="en-US"/>
        </w:rPr>
        <w:t>,</w:t>
      </w:r>
      <w:r w:rsidRPr="00365544">
        <w:rPr>
          <w:rFonts w:cstheme="minorHAnsi"/>
          <w:sz w:val="24"/>
          <w:szCs w:val="24"/>
          <w:lang w:val="en-US"/>
        </w:rPr>
        <w:t xml:space="preserve"> P</w:t>
      </w:r>
      <w:r w:rsidR="000230E2">
        <w:rPr>
          <w:rFonts w:cstheme="minorHAnsi"/>
          <w:sz w:val="24"/>
          <w:szCs w:val="24"/>
          <w:lang w:val="en-US"/>
        </w:rPr>
        <w:t xml:space="preserve">. </w:t>
      </w:r>
      <w:r w:rsidRPr="00365544">
        <w:rPr>
          <w:rFonts w:cstheme="minorHAnsi"/>
          <w:sz w:val="24"/>
          <w:szCs w:val="24"/>
          <w:lang w:val="en-US"/>
        </w:rPr>
        <w:t>C</w:t>
      </w:r>
      <w:r w:rsidR="000230E2">
        <w:rPr>
          <w:rFonts w:cstheme="minorHAnsi"/>
          <w:sz w:val="24"/>
          <w:szCs w:val="24"/>
          <w:lang w:val="en-US"/>
        </w:rPr>
        <w:t>.</w:t>
      </w:r>
      <w:r w:rsidRPr="00365544">
        <w:rPr>
          <w:rFonts w:cstheme="minorHAnsi"/>
          <w:sz w:val="24"/>
          <w:szCs w:val="24"/>
          <w:lang w:val="en-US"/>
        </w:rPr>
        <w:t>, Jacoby</w:t>
      </w:r>
      <w:r w:rsidR="000230E2">
        <w:rPr>
          <w:rFonts w:cstheme="minorHAnsi"/>
          <w:sz w:val="24"/>
          <w:szCs w:val="24"/>
          <w:lang w:val="en-US"/>
        </w:rPr>
        <w:t>,</w:t>
      </w:r>
      <w:r w:rsidRPr="00365544">
        <w:rPr>
          <w:rFonts w:cstheme="minorHAnsi"/>
          <w:sz w:val="24"/>
          <w:szCs w:val="24"/>
          <w:lang w:val="en-US"/>
        </w:rPr>
        <w:t xml:space="preserve"> J</w:t>
      </w:r>
      <w:r w:rsidR="000230E2">
        <w:rPr>
          <w:rFonts w:cstheme="minorHAnsi"/>
          <w:sz w:val="24"/>
          <w:szCs w:val="24"/>
          <w:lang w:val="en-US"/>
        </w:rPr>
        <w:t>.</w:t>
      </w:r>
      <w:r w:rsidRPr="00365544">
        <w:rPr>
          <w:rFonts w:cstheme="minorHAnsi"/>
          <w:sz w:val="24"/>
          <w:szCs w:val="24"/>
          <w:lang w:val="en-US"/>
        </w:rPr>
        <w:t>, Hall</w:t>
      </w:r>
      <w:r w:rsidR="000230E2">
        <w:rPr>
          <w:rFonts w:cstheme="minorHAnsi"/>
          <w:sz w:val="24"/>
          <w:szCs w:val="24"/>
          <w:lang w:val="en-US"/>
        </w:rPr>
        <w:t>,</w:t>
      </w:r>
      <w:r w:rsidRPr="00365544">
        <w:rPr>
          <w:rFonts w:cstheme="minorHAnsi"/>
          <w:sz w:val="24"/>
          <w:szCs w:val="24"/>
          <w:lang w:val="en-US"/>
        </w:rPr>
        <w:t xml:space="preserve"> S</w:t>
      </w:r>
      <w:r w:rsidR="000230E2">
        <w:rPr>
          <w:rFonts w:cstheme="minorHAnsi"/>
          <w:sz w:val="24"/>
          <w:szCs w:val="24"/>
          <w:lang w:val="en-US"/>
        </w:rPr>
        <w:t>.</w:t>
      </w:r>
      <w:r w:rsidRPr="00365544">
        <w:rPr>
          <w:rFonts w:cstheme="minorHAnsi"/>
          <w:sz w:val="24"/>
          <w:szCs w:val="24"/>
          <w:lang w:val="en-US"/>
        </w:rPr>
        <w:t>, Wigley</w:t>
      </w:r>
      <w:r w:rsidR="000230E2">
        <w:rPr>
          <w:rFonts w:cstheme="minorHAnsi"/>
          <w:sz w:val="24"/>
          <w:szCs w:val="24"/>
          <w:lang w:val="en-US"/>
        </w:rPr>
        <w:t>,</w:t>
      </w:r>
      <w:r w:rsidRPr="00365544">
        <w:rPr>
          <w:rFonts w:cstheme="minorHAnsi"/>
          <w:sz w:val="24"/>
          <w:szCs w:val="24"/>
          <w:lang w:val="en-US"/>
        </w:rPr>
        <w:t xml:space="preserve"> C</w:t>
      </w:r>
      <w:r w:rsidR="000230E2">
        <w:rPr>
          <w:rFonts w:cstheme="minorHAnsi"/>
          <w:sz w:val="24"/>
          <w:szCs w:val="24"/>
          <w:lang w:val="en-US"/>
        </w:rPr>
        <w:t xml:space="preserve">. </w:t>
      </w:r>
      <w:r w:rsidRPr="00365544">
        <w:rPr>
          <w:rFonts w:cstheme="minorHAnsi"/>
          <w:sz w:val="24"/>
          <w:szCs w:val="24"/>
          <w:lang w:val="en-US"/>
        </w:rPr>
        <w:t xml:space="preserve">B. Adult rat olfactory nerve ensheathing cells are effective promoters of adult central nervous system neurite outgrowth in coculture.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25</w:t>
      </w:r>
      <w:r w:rsidR="000230E2" w:rsidRPr="0010022E">
        <w:rPr>
          <w:rFonts w:cstheme="minorHAnsi"/>
          <w:sz w:val="24"/>
          <w:szCs w:val="24"/>
          <w:lang w:val="en-US"/>
        </w:rPr>
        <w:t xml:space="preserve"> </w:t>
      </w:r>
      <w:r w:rsidRPr="00365544">
        <w:rPr>
          <w:rFonts w:cstheme="minorHAnsi"/>
          <w:sz w:val="24"/>
          <w:szCs w:val="24"/>
          <w:lang w:val="en-US"/>
        </w:rPr>
        <w:t>(3), 256</w:t>
      </w:r>
      <w:r w:rsidR="000230E2">
        <w:rPr>
          <w:rFonts w:cstheme="minorHAnsi"/>
          <w:sz w:val="24"/>
          <w:szCs w:val="24"/>
          <w:lang w:val="en-US"/>
        </w:rPr>
        <w:t>–</w:t>
      </w:r>
      <w:r w:rsidRPr="00365544">
        <w:rPr>
          <w:rFonts w:cstheme="minorHAnsi"/>
          <w:sz w:val="24"/>
          <w:szCs w:val="24"/>
          <w:lang w:val="en-US"/>
        </w:rPr>
        <w:t>269 (1999).</w:t>
      </w:r>
    </w:p>
    <w:p w14:paraId="7DB46A63" w14:textId="77777777" w:rsidR="00B540B2" w:rsidRPr="00365544" w:rsidRDefault="00B540B2" w:rsidP="00365544">
      <w:pPr>
        <w:pStyle w:val="ListParagraph"/>
        <w:ind w:left="0"/>
        <w:rPr>
          <w:rFonts w:cstheme="minorHAnsi"/>
          <w:color w:val="auto"/>
        </w:rPr>
      </w:pPr>
    </w:p>
    <w:p w14:paraId="0D62430A" w14:textId="33BCE1AE"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Hayat</w:t>
      </w:r>
      <w:r w:rsidR="002728AA">
        <w:rPr>
          <w:rFonts w:cstheme="minorHAnsi"/>
          <w:sz w:val="24"/>
          <w:szCs w:val="24"/>
          <w:lang w:val="en-US"/>
        </w:rPr>
        <w:t>,</w:t>
      </w:r>
      <w:r w:rsidRPr="00365544">
        <w:rPr>
          <w:rFonts w:cstheme="minorHAnsi"/>
          <w:sz w:val="24"/>
          <w:szCs w:val="24"/>
          <w:lang w:val="en-US"/>
        </w:rPr>
        <w:t xml:space="preserve"> S</w:t>
      </w:r>
      <w:r w:rsidR="002728AA">
        <w:rPr>
          <w:rFonts w:cstheme="minorHAnsi"/>
          <w:sz w:val="24"/>
          <w:szCs w:val="24"/>
          <w:lang w:val="en-US"/>
        </w:rPr>
        <w:t>.</w:t>
      </w:r>
      <w:r w:rsidRPr="00365544">
        <w:rPr>
          <w:rFonts w:cstheme="minorHAnsi"/>
          <w:sz w:val="24"/>
          <w:szCs w:val="24"/>
          <w:lang w:val="en-US"/>
        </w:rPr>
        <w:t>, Thomas</w:t>
      </w:r>
      <w:r w:rsidR="002728AA">
        <w:rPr>
          <w:rFonts w:cstheme="minorHAnsi"/>
          <w:sz w:val="24"/>
          <w:szCs w:val="24"/>
          <w:lang w:val="en-US"/>
        </w:rPr>
        <w:t>,</w:t>
      </w:r>
      <w:r w:rsidRPr="00365544">
        <w:rPr>
          <w:rFonts w:cstheme="minorHAnsi"/>
          <w:sz w:val="24"/>
          <w:szCs w:val="24"/>
          <w:lang w:val="en-US"/>
        </w:rPr>
        <w:t xml:space="preserve"> A</w:t>
      </w:r>
      <w:r w:rsidR="002728AA">
        <w:rPr>
          <w:rFonts w:cstheme="minorHAnsi"/>
          <w:sz w:val="24"/>
          <w:szCs w:val="24"/>
          <w:lang w:val="en-US"/>
        </w:rPr>
        <w:t>.</w:t>
      </w:r>
      <w:r w:rsidRPr="00365544">
        <w:rPr>
          <w:rFonts w:cstheme="minorHAnsi"/>
          <w:sz w:val="24"/>
          <w:szCs w:val="24"/>
          <w:lang w:val="en-US"/>
        </w:rPr>
        <w:t>, Afshar</w:t>
      </w:r>
      <w:r w:rsidR="000230E2">
        <w:rPr>
          <w:rFonts w:cstheme="minorHAnsi"/>
          <w:sz w:val="24"/>
          <w:szCs w:val="24"/>
          <w:lang w:val="en-US"/>
        </w:rPr>
        <w:t>,</w:t>
      </w:r>
      <w:r w:rsidRPr="00365544">
        <w:rPr>
          <w:rFonts w:cstheme="minorHAnsi"/>
          <w:sz w:val="24"/>
          <w:szCs w:val="24"/>
          <w:lang w:val="en-US"/>
        </w:rPr>
        <w:t xml:space="preserve"> F</w:t>
      </w:r>
      <w:r w:rsidR="000230E2">
        <w:rPr>
          <w:rFonts w:cstheme="minorHAnsi"/>
          <w:sz w:val="24"/>
          <w:szCs w:val="24"/>
          <w:lang w:val="en-US"/>
        </w:rPr>
        <w:t>.</w:t>
      </w:r>
      <w:r w:rsidRPr="00365544">
        <w:rPr>
          <w:rFonts w:cstheme="minorHAnsi"/>
          <w:sz w:val="24"/>
          <w:szCs w:val="24"/>
          <w:lang w:val="en-US"/>
        </w:rPr>
        <w:t>, Sonigra</w:t>
      </w:r>
      <w:r w:rsidR="000230E2">
        <w:rPr>
          <w:rFonts w:cstheme="minorHAnsi"/>
          <w:sz w:val="24"/>
          <w:szCs w:val="24"/>
          <w:lang w:val="en-US"/>
        </w:rPr>
        <w:t>,</w:t>
      </w:r>
      <w:r w:rsidRPr="00365544">
        <w:rPr>
          <w:rFonts w:cstheme="minorHAnsi"/>
          <w:sz w:val="24"/>
          <w:szCs w:val="24"/>
          <w:lang w:val="en-US"/>
        </w:rPr>
        <w:t xml:space="preserve"> R</w:t>
      </w:r>
      <w:r w:rsidR="000230E2">
        <w:rPr>
          <w:rFonts w:cstheme="minorHAnsi"/>
          <w:sz w:val="24"/>
          <w:szCs w:val="24"/>
          <w:lang w:val="en-US"/>
        </w:rPr>
        <w:t>.</w:t>
      </w:r>
      <w:r w:rsidRPr="00365544">
        <w:rPr>
          <w:rFonts w:cstheme="minorHAnsi"/>
          <w:sz w:val="24"/>
          <w:szCs w:val="24"/>
          <w:lang w:val="en-US"/>
        </w:rPr>
        <w:t>, Wigley</w:t>
      </w:r>
      <w:r w:rsidR="000230E2">
        <w:rPr>
          <w:rFonts w:cstheme="minorHAnsi"/>
          <w:sz w:val="24"/>
          <w:szCs w:val="24"/>
          <w:lang w:val="en-US"/>
        </w:rPr>
        <w:t>,</w:t>
      </w:r>
      <w:r w:rsidRPr="00365544">
        <w:rPr>
          <w:rFonts w:cstheme="minorHAnsi"/>
          <w:sz w:val="24"/>
          <w:szCs w:val="24"/>
          <w:lang w:val="en-US"/>
        </w:rPr>
        <w:t xml:space="preserve"> C</w:t>
      </w:r>
      <w:r w:rsidR="000230E2">
        <w:rPr>
          <w:rFonts w:cstheme="minorHAnsi"/>
          <w:sz w:val="24"/>
          <w:szCs w:val="24"/>
          <w:lang w:val="en-US"/>
        </w:rPr>
        <w:t xml:space="preserve">. </w:t>
      </w:r>
      <w:r w:rsidRPr="00365544">
        <w:rPr>
          <w:rFonts w:cstheme="minorHAnsi"/>
          <w:sz w:val="24"/>
          <w:szCs w:val="24"/>
          <w:lang w:val="en-US"/>
        </w:rPr>
        <w:t xml:space="preserve">B. Manipulation of olfactory ensheathing cell signaling mechanisms: effects on their support for neurite regrowth from adult CNS neurons in coculture.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44</w:t>
      </w:r>
      <w:r w:rsidR="002728AA" w:rsidRPr="0010022E">
        <w:rPr>
          <w:rFonts w:cstheme="minorHAnsi"/>
          <w:sz w:val="24"/>
          <w:szCs w:val="24"/>
          <w:lang w:val="en-US"/>
        </w:rPr>
        <w:t xml:space="preserve"> </w:t>
      </w:r>
      <w:r w:rsidRPr="00365544">
        <w:rPr>
          <w:rFonts w:cstheme="minorHAnsi"/>
          <w:sz w:val="24"/>
          <w:szCs w:val="24"/>
          <w:lang w:val="en-US"/>
        </w:rPr>
        <w:t>(3), 232</w:t>
      </w:r>
      <w:r w:rsidR="002728AA">
        <w:rPr>
          <w:rFonts w:cstheme="minorHAnsi"/>
          <w:sz w:val="24"/>
          <w:szCs w:val="24"/>
          <w:lang w:val="en-US"/>
        </w:rPr>
        <w:t>–</w:t>
      </w:r>
      <w:r w:rsidRPr="00365544">
        <w:rPr>
          <w:rFonts w:cstheme="minorHAnsi"/>
          <w:sz w:val="24"/>
          <w:szCs w:val="24"/>
          <w:lang w:val="en-US"/>
        </w:rPr>
        <w:t>241 (2003).</w:t>
      </w:r>
    </w:p>
    <w:p w14:paraId="69A19D26" w14:textId="702A97FD"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Kumar</w:t>
      </w:r>
      <w:r w:rsidR="002728AA">
        <w:rPr>
          <w:rFonts w:cstheme="minorHAnsi"/>
          <w:sz w:val="24"/>
          <w:szCs w:val="24"/>
          <w:lang w:val="en-US"/>
        </w:rPr>
        <w:t>,</w:t>
      </w:r>
      <w:r w:rsidRPr="00365544">
        <w:rPr>
          <w:rFonts w:cstheme="minorHAnsi"/>
          <w:sz w:val="24"/>
          <w:szCs w:val="24"/>
          <w:lang w:val="en-US"/>
        </w:rPr>
        <w:t xml:space="preserve"> R</w:t>
      </w:r>
      <w:r w:rsidR="002728AA">
        <w:rPr>
          <w:rFonts w:cstheme="minorHAnsi"/>
          <w:sz w:val="24"/>
          <w:szCs w:val="24"/>
          <w:lang w:val="en-US"/>
        </w:rPr>
        <w:t>.</w:t>
      </w:r>
      <w:r w:rsidRPr="00365544">
        <w:rPr>
          <w:rFonts w:cstheme="minorHAnsi"/>
          <w:sz w:val="24"/>
          <w:szCs w:val="24"/>
          <w:lang w:val="en-US"/>
        </w:rPr>
        <w:t>, Hayat</w:t>
      </w:r>
      <w:r w:rsidR="002728AA">
        <w:rPr>
          <w:rFonts w:cstheme="minorHAnsi"/>
          <w:sz w:val="24"/>
          <w:szCs w:val="24"/>
          <w:lang w:val="en-US"/>
        </w:rPr>
        <w:t>,</w:t>
      </w:r>
      <w:r w:rsidRPr="00365544">
        <w:rPr>
          <w:rFonts w:cstheme="minorHAnsi"/>
          <w:sz w:val="24"/>
          <w:szCs w:val="24"/>
          <w:lang w:val="en-US"/>
        </w:rPr>
        <w:t xml:space="preserve"> S</w:t>
      </w:r>
      <w:r w:rsidR="002728AA">
        <w:rPr>
          <w:rFonts w:cstheme="minorHAnsi"/>
          <w:sz w:val="24"/>
          <w:szCs w:val="24"/>
          <w:lang w:val="en-US"/>
        </w:rPr>
        <w:t>.</w:t>
      </w:r>
      <w:r w:rsidRPr="00365544">
        <w:rPr>
          <w:rFonts w:cstheme="minorHAnsi"/>
          <w:sz w:val="24"/>
          <w:szCs w:val="24"/>
          <w:lang w:val="en-US"/>
        </w:rPr>
        <w:t>, Felts</w:t>
      </w:r>
      <w:r w:rsidR="002728AA">
        <w:rPr>
          <w:rFonts w:cstheme="minorHAnsi"/>
          <w:sz w:val="24"/>
          <w:szCs w:val="24"/>
          <w:lang w:val="en-US"/>
        </w:rPr>
        <w:t>,</w:t>
      </w:r>
      <w:r w:rsidRPr="00365544">
        <w:rPr>
          <w:rFonts w:cstheme="minorHAnsi"/>
          <w:sz w:val="24"/>
          <w:szCs w:val="24"/>
          <w:lang w:val="en-US"/>
        </w:rPr>
        <w:t xml:space="preserve"> P</w:t>
      </w:r>
      <w:r w:rsidR="002728AA">
        <w:rPr>
          <w:rFonts w:cstheme="minorHAnsi"/>
          <w:sz w:val="24"/>
          <w:szCs w:val="24"/>
          <w:lang w:val="en-US"/>
        </w:rPr>
        <w:t>.</w:t>
      </w:r>
      <w:r w:rsidRPr="00365544">
        <w:rPr>
          <w:rFonts w:cstheme="minorHAnsi"/>
          <w:sz w:val="24"/>
          <w:szCs w:val="24"/>
          <w:lang w:val="en-US"/>
        </w:rPr>
        <w:t>, Bunting</w:t>
      </w:r>
      <w:r w:rsidR="002728AA">
        <w:rPr>
          <w:rFonts w:cstheme="minorHAnsi"/>
          <w:sz w:val="24"/>
          <w:szCs w:val="24"/>
          <w:lang w:val="en-US"/>
        </w:rPr>
        <w:t>,</w:t>
      </w:r>
      <w:r w:rsidRPr="00365544">
        <w:rPr>
          <w:rFonts w:cstheme="minorHAnsi"/>
          <w:sz w:val="24"/>
          <w:szCs w:val="24"/>
          <w:lang w:val="en-US"/>
        </w:rPr>
        <w:t xml:space="preserve"> S</w:t>
      </w:r>
      <w:r w:rsidR="002728AA">
        <w:rPr>
          <w:rFonts w:cstheme="minorHAnsi"/>
          <w:sz w:val="24"/>
          <w:szCs w:val="24"/>
          <w:lang w:val="en-US"/>
        </w:rPr>
        <w:t>.</w:t>
      </w:r>
      <w:r w:rsidRPr="00365544">
        <w:rPr>
          <w:rFonts w:cstheme="minorHAnsi"/>
          <w:sz w:val="24"/>
          <w:szCs w:val="24"/>
          <w:lang w:val="en-US"/>
        </w:rPr>
        <w:t>, Wigley</w:t>
      </w:r>
      <w:r w:rsidR="002728AA">
        <w:rPr>
          <w:rFonts w:cstheme="minorHAnsi"/>
          <w:sz w:val="24"/>
          <w:szCs w:val="24"/>
          <w:lang w:val="en-US"/>
        </w:rPr>
        <w:t>,</w:t>
      </w:r>
      <w:r w:rsidRPr="00365544">
        <w:rPr>
          <w:rFonts w:cstheme="minorHAnsi"/>
          <w:sz w:val="24"/>
          <w:szCs w:val="24"/>
          <w:lang w:val="en-US"/>
        </w:rPr>
        <w:t xml:space="preserve"> C. Functional differences and interactions between phenotypic subpopulations of olfactory ensheathing cells in promoting CNS axonal regeneration. </w:t>
      </w:r>
      <w:r w:rsidRPr="00365544">
        <w:rPr>
          <w:rFonts w:cstheme="minorHAnsi"/>
          <w:i/>
          <w:iCs/>
          <w:sz w:val="24"/>
          <w:szCs w:val="24"/>
          <w:lang w:val="en-US"/>
        </w:rPr>
        <w:t>Glia</w:t>
      </w:r>
      <w:r w:rsidRPr="00365544">
        <w:rPr>
          <w:rFonts w:cstheme="minorHAnsi"/>
          <w:sz w:val="24"/>
          <w:szCs w:val="24"/>
          <w:lang w:val="en-US"/>
        </w:rPr>
        <w:t xml:space="preserve">. </w:t>
      </w:r>
      <w:r w:rsidRPr="00365544">
        <w:rPr>
          <w:rFonts w:cstheme="minorHAnsi"/>
          <w:b/>
          <w:bCs/>
          <w:sz w:val="24"/>
          <w:szCs w:val="24"/>
          <w:lang w:val="en-US"/>
        </w:rPr>
        <w:t>50</w:t>
      </w:r>
      <w:r w:rsidR="002728AA" w:rsidRPr="0010022E">
        <w:rPr>
          <w:rFonts w:cstheme="minorHAnsi"/>
          <w:sz w:val="24"/>
          <w:szCs w:val="24"/>
          <w:lang w:val="en-US"/>
        </w:rPr>
        <w:t xml:space="preserve"> </w:t>
      </w:r>
      <w:r w:rsidRPr="00365544">
        <w:rPr>
          <w:rFonts w:cstheme="minorHAnsi"/>
          <w:sz w:val="24"/>
          <w:szCs w:val="24"/>
          <w:lang w:val="en-US"/>
        </w:rPr>
        <w:t>(1), 12</w:t>
      </w:r>
      <w:r w:rsidR="002728AA">
        <w:rPr>
          <w:rFonts w:cstheme="minorHAnsi"/>
          <w:sz w:val="24"/>
          <w:szCs w:val="24"/>
          <w:lang w:val="en-US"/>
        </w:rPr>
        <w:t>–</w:t>
      </w:r>
      <w:r w:rsidRPr="00365544">
        <w:rPr>
          <w:rFonts w:cstheme="minorHAnsi"/>
          <w:sz w:val="24"/>
          <w:szCs w:val="24"/>
          <w:lang w:val="en-US"/>
        </w:rPr>
        <w:t>20 (2005).</w:t>
      </w:r>
    </w:p>
    <w:p w14:paraId="7816A8F2" w14:textId="05BF14DD"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shd w:val="clear" w:color="auto" w:fill="FFFFFF"/>
          <w:lang w:val="en-US"/>
        </w:rPr>
        <w:t>Moreno-Flores</w:t>
      </w:r>
      <w:r w:rsidR="002728AA">
        <w:rPr>
          <w:rFonts w:cstheme="minorHAnsi"/>
          <w:sz w:val="24"/>
          <w:szCs w:val="24"/>
          <w:shd w:val="clear" w:color="auto" w:fill="FFFFFF"/>
          <w:lang w:val="en-US"/>
        </w:rPr>
        <w:t>,</w:t>
      </w:r>
      <w:r w:rsidRPr="00365544">
        <w:rPr>
          <w:rFonts w:cstheme="minorHAnsi"/>
          <w:sz w:val="24"/>
          <w:szCs w:val="24"/>
          <w:shd w:val="clear" w:color="auto" w:fill="FFFFFF"/>
          <w:lang w:val="en-US"/>
        </w:rPr>
        <w:t xml:space="preserve"> M</w:t>
      </w:r>
      <w:r w:rsidR="002728AA">
        <w:rPr>
          <w:rFonts w:cstheme="minorHAnsi"/>
          <w:sz w:val="24"/>
          <w:szCs w:val="24"/>
          <w:shd w:val="clear" w:color="auto" w:fill="FFFFFF"/>
          <w:lang w:val="en-US"/>
        </w:rPr>
        <w:t xml:space="preserve">. </w:t>
      </w:r>
      <w:r w:rsidRPr="00365544">
        <w:rPr>
          <w:rFonts w:cstheme="minorHAnsi"/>
          <w:sz w:val="24"/>
          <w:szCs w:val="24"/>
          <w:shd w:val="clear" w:color="auto" w:fill="FFFFFF"/>
          <w:lang w:val="en-US"/>
        </w:rPr>
        <w:t>T., Lim</w:t>
      </w:r>
      <w:r w:rsidR="002728AA">
        <w:rPr>
          <w:rFonts w:cstheme="minorHAnsi"/>
          <w:sz w:val="24"/>
          <w:szCs w:val="24"/>
          <w:shd w:val="clear" w:color="auto" w:fill="FFFFFF"/>
          <w:lang w:val="en-US"/>
        </w:rPr>
        <w:t>,</w:t>
      </w:r>
      <w:r w:rsidRPr="00365544">
        <w:rPr>
          <w:rFonts w:cstheme="minorHAnsi"/>
          <w:sz w:val="24"/>
          <w:szCs w:val="24"/>
          <w:shd w:val="clear" w:color="auto" w:fill="FFFFFF"/>
          <w:lang w:val="en-US"/>
        </w:rPr>
        <w:t xml:space="preserve"> F., Martín-Bermejo</w:t>
      </w:r>
      <w:r w:rsidR="002728AA">
        <w:rPr>
          <w:rFonts w:cstheme="minorHAnsi"/>
          <w:sz w:val="24"/>
          <w:szCs w:val="24"/>
          <w:shd w:val="clear" w:color="auto" w:fill="FFFFFF"/>
          <w:lang w:val="en-US"/>
        </w:rPr>
        <w:t>,</w:t>
      </w:r>
      <w:r w:rsidRPr="00365544">
        <w:rPr>
          <w:rFonts w:cstheme="minorHAnsi"/>
          <w:sz w:val="24"/>
          <w:szCs w:val="24"/>
          <w:shd w:val="clear" w:color="auto" w:fill="FFFFFF"/>
          <w:lang w:val="en-US"/>
        </w:rPr>
        <w:t xml:space="preserve"> M</w:t>
      </w:r>
      <w:r w:rsidR="002728AA">
        <w:rPr>
          <w:rFonts w:cstheme="minorHAnsi"/>
          <w:sz w:val="24"/>
          <w:szCs w:val="24"/>
          <w:shd w:val="clear" w:color="auto" w:fill="FFFFFF"/>
          <w:lang w:val="en-US"/>
        </w:rPr>
        <w:t xml:space="preserve">. </w:t>
      </w:r>
      <w:r w:rsidRPr="00365544">
        <w:rPr>
          <w:rFonts w:cstheme="minorHAnsi"/>
          <w:sz w:val="24"/>
          <w:szCs w:val="24"/>
          <w:shd w:val="clear" w:color="auto" w:fill="FFFFFF"/>
          <w:lang w:val="en-US"/>
        </w:rPr>
        <w:t>J., Díaz-Nido</w:t>
      </w:r>
      <w:r w:rsidR="002728AA">
        <w:rPr>
          <w:rFonts w:cstheme="minorHAnsi"/>
          <w:sz w:val="24"/>
          <w:szCs w:val="24"/>
          <w:shd w:val="clear" w:color="auto" w:fill="FFFFFF"/>
          <w:lang w:val="en-US"/>
        </w:rPr>
        <w:t>,</w:t>
      </w:r>
      <w:r w:rsidRPr="00365544">
        <w:rPr>
          <w:rFonts w:cstheme="minorHAnsi"/>
          <w:sz w:val="24"/>
          <w:szCs w:val="24"/>
          <w:shd w:val="clear" w:color="auto" w:fill="FFFFFF"/>
          <w:lang w:val="en-US"/>
        </w:rPr>
        <w:t xml:space="preserve"> J., Avila</w:t>
      </w:r>
      <w:r w:rsidR="002728AA">
        <w:rPr>
          <w:rFonts w:cstheme="minorHAnsi"/>
          <w:sz w:val="24"/>
          <w:szCs w:val="24"/>
          <w:shd w:val="clear" w:color="auto" w:fill="FFFFFF"/>
          <w:lang w:val="en-US"/>
        </w:rPr>
        <w:t>,</w:t>
      </w:r>
      <w:r w:rsidRPr="00365544">
        <w:rPr>
          <w:rFonts w:cstheme="minorHAnsi"/>
          <w:sz w:val="24"/>
          <w:szCs w:val="24"/>
          <w:shd w:val="clear" w:color="auto" w:fill="FFFFFF"/>
          <w:lang w:val="en-US"/>
        </w:rPr>
        <w:t xml:space="preserve"> J., Wandosell</w:t>
      </w:r>
      <w:r w:rsidR="002728AA">
        <w:rPr>
          <w:rFonts w:cstheme="minorHAnsi"/>
          <w:sz w:val="24"/>
          <w:szCs w:val="24"/>
          <w:shd w:val="clear" w:color="auto" w:fill="FFFFFF"/>
          <w:lang w:val="en-US"/>
        </w:rPr>
        <w:t>,</w:t>
      </w:r>
      <w:r w:rsidRPr="00365544">
        <w:rPr>
          <w:rFonts w:cstheme="minorHAnsi"/>
          <w:sz w:val="24"/>
          <w:szCs w:val="24"/>
          <w:shd w:val="clear" w:color="auto" w:fill="FFFFFF"/>
          <w:lang w:val="en-US"/>
        </w:rPr>
        <w:t xml:space="preserve"> F. Immortalized olfactory ensheathing glia promote axonal regeneration of rat retinal ganglion neurons.</w:t>
      </w:r>
      <w:r w:rsidR="002728AA">
        <w:rPr>
          <w:rFonts w:cstheme="minorHAnsi"/>
          <w:sz w:val="24"/>
          <w:szCs w:val="24"/>
          <w:shd w:val="clear" w:color="auto" w:fill="FFFFFF"/>
          <w:lang w:val="en-US"/>
        </w:rPr>
        <w:t xml:space="preserve"> </w:t>
      </w:r>
      <w:r w:rsidRPr="00365544">
        <w:rPr>
          <w:rFonts w:cstheme="minorHAnsi"/>
          <w:i/>
          <w:iCs/>
          <w:sz w:val="24"/>
          <w:szCs w:val="24"/>
          <w:shd w:val="clear" w:color="auto" w:fill="FFFFFF"/>
          <w:lang w:val="en-US"/>
        </w:rPr>
        <w:t>J</w:t>
      </w:r>
      <w:r w:rsidR="002728AA">
        <w:rPr>
          <w:rFonts w:cstheme="minorHAnsi"/>
          <w:i/>
          <w:iCs/>
          <w:sz w:val="24"/>
          <w:szCs w:val="24"/>
          <w:shd w:val="clear" w:color="auto" w:fill="FFFFFF"/>
          <w:lang w:val="en-US"/>
        </w:rPr>
        <w:t>ournal of</w:t>
      </w:r>
      <w:r w:rsidRPr="00365544">
        <w:rPr>
          <w:rFonts w:cstheme="minorHAnsi"/>
          <w:i/>
          <w:iCs/>
          <w:sz w:val="24"/>
          <w:szCs w:val="24"/>
          <w:shd w:val="clear" w:color="auto" w:fill="FFFFFF"/>
          <w:lang w:val="en-US"/>
        </w:rPr>
        <w:t xml:space="preserve"> Neurochem</w:t>
      </w:r>
      <w:r w:rsidR="002728AA">
        <w:rPr>
          <w:rFonts w:cstheme="minorHAnsi"/>
          <w:i/>
          <w:iCs/>
          <w:sz w:val="24"/>
          <w:szCs w:val="24"/>
          <w:shd w:val="clear" w:color="auto" w:fill="FFFFFF"/>
          <w:lang w:val="en-US"/>
        </w:rPr>
        <w:t>istry</w:t>
      </w:r>
      <w:r w:rsidRPr="00365544">
        <w:rPr>
          <w:rFonts w:cstheme="minorHAnsi"/>
          <w:sz w:val="24"/>
          <w:szCs w:val="24"/>
          <w:shd w:val="clear" w:color="auto" w:fill="FFFFFF"/>
          <w:lang w:val="en-US"/>
        </w:rPr>
        <w:t xml:space="preserve">. </w:t>
      </w:r>
      <w:r w:rsidRPr="00365544">
        <w:rPr>
          <w:rFonts w:cstheme="minorHAnsi"/>
          <w:b/>
          <w:bCs/>
          <w:sz w:val="24"/>
          <w:szCs w:val="24"/>
          <w:shd w:val="clear" w:color="auto" w:fill="FFFFFF"/>
          <w:lang w:val="en-US"/>
        </w:rPr>
        <w:t>85</w:t>
      </w:r>
      <w:r w:rsidR="002728AA" w:rsidRPr="0010022E">
        <w:rPr>
          <w:rFonts w:cstheme="minorHAnsi"/>
          <w:sz w:val="24"/>
          <w:szCs w:val="24"/>
          <w:shd w:val="clear" w:color="auto" w:fill="FFFFFF"/>
          <w:lang w:val="en-US"/>
        </w:rPr>
        <w:t xml:space="preserve"> </w:t>
      </w:r>
      <w:r w:rsidRPr="00365544">
        <w:rPr>
          <w:rFonts w:cstheme="minorHAnsi"/>
          <w:sz w:val="24"/>
          <w:szCs w:val="24"/>
          <w:shd w:val="clear" w:color="auto" w:fill="FFFFFF"/>
          <w:lang w:val="en-US"/>
        </w:rPr>
        <w:t>(4), 861</w:t>
      </w:r>
      <w:r w:rsidR="002728AA">
        <w:rPr>
          <w:rFonts w:cstheme="minorHAnsi"/>
          <w:sz w:val="24"/>
          <w:szCs w:val="24"/>
          <w:shd w:val="clear" w:color="auto" w:fill="FFFFFF"/>
          <w:lang w:val="en-US"/>
        </w:rPr>
        <w:t>–</w:t>
      </w:r>
      <w:r w:rsidRPr="00365544">
        <w:rPr>
          <w:rFonts w:cstheme="minorHAnsi"/>
          <w:sz w:val="24"/>
          <w:szCs w:val="24"/>
          <w:shd w:val="clear" w:color="auto" w:fill="FFFFFF"/>
          <w:lang w:val="en-US"/>
        </w:rPr>
        <w:t>871 (2003).</w:t>
      </w:r>
    </w:p>
    <w:p w14:paraId="27F22BDF" w14:textId="270125A9"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shd w:val="clear" w:color="auto" w:fill="FFFFFF"/>
        </w:rPr>
        <w:t>García-Escudero</w:t>
      </w:r>
      <w:r w:rsidR="002728AA">
        <w:rPr>
          <w:rFonts w:cstheme="minorHAnsi"/>
          <w:sz w:val="24"/>
          <w:szCs w:val="24"/>
          <w:shd w:val="clear" w:color="auto" w:fill="FFFFFF"/>
        </w:rPr>
        <w:t>,</w:t>
      </w:r>
      <w:r w:rsidRPr="00365544">
        <w:rPr>
          <w:rFonts w:cstheme="minorHAnsi"/>
          <w:sz w:val="24"/>
          <w:szCs w:val="24"/>
          <w:shd w:val="clear" w:color="auto" w:fill="FFFFFF"/>
        </w:rPr>
        <w:t xml:space="preserve"> V. et al. </w:t>
      </w:r>
      <w:r w:rsidRPr="00365544">
        <w:rPr>
          <w:rFonts w:cstheme="minorHAnsi"/>
          <w:sz w:val="24"/>
          <w:szCs w:val="24"/>
          <w:shd w:val="clear" w:color="auto" w:fill="FFFFFF"/>
          <w:lang w:val="en-US"/>
        </w:rPr>
        <w:t>Patient-derived olfactory mucosa cells but not lung or skin fibroblasts mediate axonal regeneration of retinal ganglion neurons.</w:t>
      </w:r>
      <w:r w:rsidR="002728AA">
        <w:rPr>
          <w:rFonts w:cstheme="minorHAnsi"/>
          <w:sz w:val="24"/>
          <w:szCs w:val="24"/>
          <w:shd w:val="clear" w:color="auto" w:fill="FFFFFF"/>
          <w:lang w:val="en-US"/>
        </w:rPr>
        <w:t xml:space="preserve"> </w:t>
      </w:r>
      <w:r w:rsidRPr="00365544">
        <w:rPr>
          <w:rFonts w:cstheme="minorHAnsi"/>
          <w:i/>
          <w:iCs/>
          <w:sz w:val="24"/>
          <w:szCs w:val="24"/>
          <w:shd w:val="clear" w:color="auto" w:fill="FFFFFF"/>
          <w:lang w:val="en-US"/>
        </w:rPr>
        <w:t>Neurosci</w:t>
      </w:r>
      <w:r w:rsidR="002728AA">
        <w:rPr>
          <w:rFonts w:cstheme="minorHAnsi"/>
          <w:i/>
          <w:iCs/>
          <w:sz w:val="24"/>
          <w:szCs w:val="24"/>
          <w:shd w:val="clear" w:color="auto" w:fill="FFFFFF"/>
          <w:lang w:val="en-US"/>
        </w:rPr>
        <w:t>ence</w:t>
      </w:r>
      <w:r w:rsidRPr="00365544">
        <w:rPr>
          <w:rFonts w:cstheme="minorHAnsi"/>
          <w:i/>
          <w:iCs/>
          <w:sz w:val="24"/>
          <w:szCs w:val="24"/>
          <w:shd w:val="clear" w:color="auto" w:fill="FFFFFF"/>
          <w:lang w:val="en-US"/>
        </w:rPr>
        <w:t xml:space="preserve"> Lett</w:t>
      </w:r>
      <w:r w:rsidR="002728AA">
        <w:rPr>
          <w:rFonts w:cstheme="minorHAnsi"/>
          <w:i/>
          <w:iCs/>
          <w:sz w:val="24"/>
          <w:szCs w:val="24"/>
          <w:shd w:val="clear" w:color="auto" w:fill="FFFFFF"/>
          <w:lang w:val="en-US"/>
        </w:rPr>
        <w:t>ers</w:t>
      </w:r>
      <w:r w:rsidRPr="00365544">
        <w:rPr>
          <w:rFonts w:cstheme="minorHAnsi"/>
          <w:sz w:val="24"/>
          <w:szCs w:val="24"/>
          <w:shd w:val="clear" w:color="auto" w:fill="FFFFFF"/>
          <w:lang w:val="en-US"/>
        </w:rPr>
        <w:t xml:space="preserve">. </w:t>
      </w:r>
      <w:r w:rsidRPr="00365544">
        <w:rPr>
          <w:rFonts w:cstheme="minorHAnsi"/>
          <w:b/>
          <w:bCs/>
          <w:sz w:val="24"/>
          <w:szCs w:val="24"/>
          <w:shd w:val="clear" w:color="auto" w:fill="FFFFFF"/>
          <w:lang w:val="en-US"/>
        </w:rPr>
        <w:t>509</w:t>
      </w:r>
      <w:r w:rsidR="002728AA" w:rsidRPr="0010022E">
        <w:rPr>
          <w:rFonts w:cstheme="minorHAnsi"/>
          <w:sz w:val="24"/>
          <w:szCs w:val="24"/>
          <w:shd w:val="clear" w:color="auto" w:fill="FFFFFF"/>
          <w:lang w:val="en-US"/>
        </w:rPr>
        <w:t xml:space="preserve"> </w:t>
      </w:r>
      <w:r w:rsidRPr="00365544">
        <w:rPr>
          <w:rFonts w:cstheme="minorHAnsi"/>
          <w:sz w:val="24"/>
          <w:szCs w:val="24"/>
          <w:shd w:val="clear" w:color="auto" w:fill="FFFFFF"/>
          <w:lang w:val="en-US"/>
        </w:rPr>
        <w:t>(1), 27</w:t>
      </w:r>
      <w:r w:rsidR="002728AA">
        <w:rPr>
          <w:rFonts w:cstheme="minorHAnsi"/>
          <w:sz w:val="24"/>
          <w:szCs w:val="24"/>
          <w:shd w:val="clear" w:color="auto" w:fill="FFFFFF"/>
          <w:lang w:val="en-US"/>
        </w:rPr>
        <w:t>–</w:t>
      </w:r>
      <w:r w:rsidRPr="00365544">
        <w:rPr>
          <w:rFonts w:cstheme="minorHAnsi"/>
          <w:sz w:val="24"/>
          <w:szCs w:val="24"/>
          <w:shd w:val="clear" w:color="auto" w:fill="FFFFFF"/>
          <w:lang w:val="en-US"/>
        </w:rPr>
        <w:t>32 (2012).</w:t>
      </w:r>
    </w:p>
    <w:p w14:paraId="27BEDAEF" w14:textId="720E9BE8" w:rsidR="00B63160" w:rsidRPr="00365544" w:rsidRDefault="00B63160"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Sternberger</w:t>
      </w:r>
      <w:r w:rsidR="002728AA">
        <w:rPr>
          <w:rFonts w:cstheme="minorHAnsi"/>
          <w:sz w:val="24"/>
          <w:szCs w:val="24"/>
          <w:lang w:val="en-US"/>
        </w:rPr>
        <w:t>,</w:t>
      </w:r>
      <w:r w:rsidRPr="00365544">
        <w:rPr>
          <w:rFonts w:cstheme="minorHAnsi"/>
          <w:sz w:val="24"/>
          <w:szCs w:val="24"/>
          <w:lang w:val="en-US"/>
        </w:rPr>
        <w:t xml:space="preserve"> L.</w:t>
      </w:r>
      <w:r w:rsidR="002728AA">
        <w:rPr>
          <w:rFonts w:cstheme="minorHAnsi"/>
          <w:sz w:val="24"/>
          <w:szCs w:val="24"/>
          <w:lang w:val="en-US"/>
        </w:rPr>
        <w:t xml:space="preserve"> </w:t>
      </w:r>
      <w:r w:rsidRPr="00365544">
        <w:rPr>
          <w:rFonts w:cstheme="minorHAnsi"/>
          <w:sz w:val="24"/>
          <w:szCs w:val="24"/>
          <w:lang w:val="en-US"/>
        </w:rPr>
        <w:t>A., Sternberger</w:t>
      </w:r>
      <w:r w:rsidR="002728AA">
        <w:rPr>
          <w:rFonts w:cstheme="minorHAnsi"/>
          <w:sz w:val="24"/>
          <w:szCs w:val="24"/>
          <w:lang w:val="en-US"/>
        </w:rPr>
        <w:t>,</w:t>
      </w:r>
      <w:r w:rsidRPr="00365544">
        <w:rPr>
          <w:rFonts w:cstheme="minorHAnsi"/>
          <w:sz w:val="24"/>
          <w:szCs w:val="24"/>
          <w:lang w:val="en-US"/>
        </w:rPr>
        <w:t xml:space="preserve"> N.</w:t>
      </w:r>
      <w:r w:rsidR="002728AA">
        <w:rPr>
          <w:rFonts w:cstheme="minorHAnsi"/>
          <w:sz w:val="24"/>
          <w:szCs w:val="24"/>
          <w:lang w:val="en-US"/>
        </w:rPr>
        <w:t xml:space="preserve"> </w:t>
      </w:r>
      <w:r w:rsidRPr="00365544">
        <w:rPr>
          <w:rFonts w:cstheme="minorHAnsi"/>
          <w:sz w:val="24"/>
          <w:szCs w:val="24"/>
          <w:lang w:val="en-US"/>
        </w:rPr>
        <w:t>H. Monoclonal antibodies distinguish phosphorylated and nonphosphorylated forms of neurofilaments in situ. Proc</w:t>
      </w:r>
      <w:r w:rsidR="002728AA">
        <w:rPr>
          <w:rFonts w:cstheme="minorHAnsi"/>
          <w:sz w:val="24"/>
          <w:szCs w:val="24"/>
          <w:lang w:val="en-US"/>
        </w:rPr>
        <w:t>eedings of the</w:t>
      </w:r>
      <w:r w:rsidRPr="00365544">
        <w:rPr>
          <w:rFonts w:cstheme="minorHAnsi"/>
          <w:sz w:val="24"/>
          <w:szCs w:val="24"/>
          <w:lang w:val="en-US"/>
        </w:rPr>
        <w:t xml:space="preserve"> Nat</w:t>
      </w:r>
      <w:r w:rsidR="002728AA">
        <w:rPr>
          <w:rFonts w:cstheme="minorHAnsi"/>
          <w:sz w:val="24"/>
          <w:szCs w:val="24"/>
          <w:lang w:val="en-US"/>
        </w:rPr>
        <w:t>iona</w:t>
      </w:r>
      <w:r w:rsidRPr="00365544">
        <w:rPr>
          <w:rFonts w:cstheme="minorHAnsi"/>
          <w:sz w:val="24"/>
          <w:szCs w:val="24"/>
          <w:lang w:val="en-US"/>
        </w:rPr>
        <w:t>l Acad</w:t>
      </w:r>
      <w:r w:rsidR="002728AA">
        <w:rPr>
          <w:rFonts w:cstheme="minorHAnsi"/>
          <w:sz w:val="24"/>
          <w:szCs w:val="24"/>
          <w:lang w:val="en-US"/>
        </w:rPr>
        <w:t>emy of</w:t>
      </w:r>
      <w:r w:rsidRPr="00365544">
        <w:rPr>
          <w:rFonts w:cstheme="minorHAnsi"/>
          <w:sz w:val="24"/>
          <w:szCs w:val="24"/>
          <w:lang w:val="en-US"/>
        </w:rPr>
        <w:t xml:space="preserve"> Sci</w:t>
      </w:r>
      <w:r w:rsidR="002728AA">
        <w:rPr>
          <w:rFonts w:cstheme="minorHAnsi"/>
          <w:sz w:val="24"/>
          <w:szCs w:val="24"/>
          <w:lang w:val="en-US"/>
        </w:rPr>
        <w:t>ences of the</w:t>
      </w:r>
      <w:r w:rsidRPr="00365544">
        <w:rPr>
          <w:rFonts w:cstheme="minorHAnsi"/>
          <w:sz w:val="24"/>
          <w:szCs w:val="24"/>
          <w:lang w:val="en-US"/>
        </w:rPr>
        <w:t xml:space="preserve"> U</w:t>
      </w:r>
      <w:r w:rsidR="002728AA">
        <w:rPr>
          <w:rFonts w:cstheme="minorHAnsi"/>
          <w:sz w:val="24"/>
          <w:szCs w:val="24"/>
          <w:lang w:val="en-US"/>
        </w:rPr>
        <w:t>nited</w:t>
      </w:r>
      <w:r w:rsidRPr="00365544">
        <w:rPr>
          <w:rFonts w:cstheme="minorHAnsi"/>
          <w:sz w:val="24"/>
          <w:szCs w:val="24"/>
          <w:lang w:val="en-US"/>
        </w:rPr>
        <w:t xml:space="preserve"> S</w:t>
      </w:r>
      <w:r w:rsidR="002728AA">
        <w:rPr>
          <w:rFonts w:cstheme="minorHAnsi"/>
          <w:sz w:val="24"/>
          <w:szCs w:val="24"/>
          <w:lang w:val="en-US"/>
        </w:rPr>
        <w:t>tates of</w:t>
      </w:r>
      <w:r w:rsidRPr="00365544">
        <w:rPr>
          <w:rFonts w:cstheme="minorHAnsi"/>
          <w:sz w:val="24"/>
          <w:szCs w:val="24"/>
          <w:lang w:val="en-US"/>
        </w:rPr>
        <w:t xml:space="preserve"> A</w:t>
      </w:r>
      <w:r w:rsidR="002728AA">
        <w:rPr>
          <w:rFonts w:cstheme="minorHAnsi"/>
          <w:sz w:val="24"/>
          <w:szCs w:val="24"/>
          <w:lang w:val="en-US"/>
        </w:rPr>
        <w:t>merica</w:t>
      </w:r>
      <w:r w:rsidRPr="00365544">
        <w:rPr>
          <w:rFonts w:cstheme="minorHAnsi"/>
          <w:sz w:val="24"/>
          <w:szCs w:val="24"/>
          <w:lang w:val="en-US"/>
        </w:rPr>
        <w:t xml:space="preserve">. </w:t>
      </w:r>
      <w:r w:rsidRPr="00365544">
        <w:rPr>
          <w:rFonts w:cstheme="minorHAnsi"/>
          <w:b/>
          <w:bCs/>
          <w:sz w:val="24"/>
          <w:szCs w:val="24"/>
          <w:lang w:val="en-US"/>
        </w:rPr>
        <w:t>80</w:t>
      </w:r>
      <w:r w:rsidR="002728AA" w:rsidRPr="0010022E">
        <w:rPr>
          <w:rFonts w:cstheme="minorHAnsi"/>
          <w:sz w:val="24"/>
          <w:szCs w:val="24"/>
          <w:lang w:val="en-US"/>
        </w:rPr>
        <w:t xml:space="preserve"> </w:t>
      </w:r>
      <w:r w:rsidRPr="00365544">
        <w:rPr>
          <w:rFonts w:cstheme="minorHAnsi"/>
          <w:sz w:val="24"/>
          <w:szCs w:val="24"/>
          <w:lang w:val="en-US"/>
        </w:rPr>
        <w:t>(19), 6126</w:t>
      </w:r>
      <w:r w:rsidR="002728AA">
        <w:rPr>
          <w:rFonts w:cstheme="minorHAnsi"/>
          <w:sz w:val="24"/>
          <w:szCs w:val="24"/>
          <w:lang w:val="en-US"/>
        </w:rPr>
        <w:t>–</w:t>
      </w:r>
      <w:r w:rsidRPr="00365544">
        <w:rPr>
          <w:rFonts w:cstheme="minorHAnsi"/>
          <w:sz w:val="24"/>
          <w:szCs w:val="24"/>
          <w:lang w:val="en-US"/>
        </w:rPr>
        <w:t>6130 (1983).</w:t>
      </w:r>
    </w:p>
    <w:p w14:paraId="123C734C" w14:textId="3580197B"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Sánchez Martin</w:t>
      </w:r>
      <w:r w:rsidR="002728AA">
        <w:rPr>
          <w:rFonts w:cstheme="minorHAnsi"/>
          <w:sz w:val="24"/>
          <w:szCs w:val="24"/>
          <w:lang w:val="en-US"/>
        </w:rPr>
        <w:t>,</w:t>
      </w:r>
      <w:r w:rsidRPr="00365544">
        <w:rPr>
          <w:rFonts w:cstheme="minorHAnsi"/>
          <w:sz w:val="24"/>
          <w:szCs w:val="24"/>
          <w:lang w:val="en-US"/>
        </w:rPr>
        <w:t xml:space="preserve"> C., Díaz-Nido</w:t>
      </w:r>
      <w:r w:rsidR="002728AA">
        <w:rPr>
          <w:rFonts w:cstheme="minorHAnsi"/>
          <w:sz w:val="24"/>
          <w:szCs w:val="24"/>
          <w:lang w:val="en-US"/>
        </w:rPr>
        <w:t>,</w:t>
      </w:r>
      <w:r w:rsidRPr="00365544">
        <w:rPr>
          <w:rFonts w:cstheme="minorHAnsi"/>
          <w:sz w:val="24"/>
          <w:szCs w:val="24"/>
          <w:lang w:val="en-US"/>
        </w:rPr>
        <w:t xml:space="preserve"> J., Avila</w:t>
      </w:r>
      <w:r w:rsidR="002728AA">
        <w:rPr>
          <w:rFonts w:cstheme="minorHAnsi"/>
          <w:sz w:val="24"/>
          <w:szCs w:val="24"/>
          <w:lang w:val="en-US"/>
        </w:rPr>
        <w:t>,</w:t>
      </w:r>
      <w:r w:rsidRPr="00365544">
        <w:rPr>
          <w:rFonts w:cstheme="minorHAnsi"/>
          <w:sz w:val="24"/>
          <w:szCs w:val="24"/>
          <w:lang w:val="en-US"/>
        </w:rPr>
        <w:t xml:space="preserve"> J. Regulation of a site-specific phosphorylation of the microtubule-associated protein 2 during the development of cultured neurons. </w:t>
      </w:r>
      <w:r w:rsidRPr="00365544">
        <w:rPr>
          <w:rFonts w:cstheme="minorHAnsi"/>
          <w:i/>
          <w:iCs/>
          <w:sz w:val="24"/>
          <w:szCs w:val="24"/>
          <w:lang w:val="en-US"/>
        </w:rPr>
        <w:t>Neuroscience</w:t>
      </w:r>
      <w:r w:rsidRPr="00365544">
        <w:rPr>
          <w:rFonts w:cstheme="minorHAnsi"/>
          <w:sz w:val="24"/>
          <w:szCs w:val="24"/>
          <w:lang w:val="en-US"/>
        </w:rPr>
        <w:t xml:space="preserve">. </w:t>
      </w:r>
      <w:r w:rsidRPr="00365544">
        <w:rPr>
          <w:rFonts w:cstheme="minorHAnsi"/>
          <w:b/>
          <w:bCs/>
          <w:sz w:val="24"/>
          <w:szCs w:val="24"/>
          <w:lang w:val="en-US"/>
        </w:rPr>
        <w:t>87</w:t>
      </w:r>
      <w:r w:rsidR="002728AA" w:rsidRPr="0010022E">
        <w:rPr>
          <w:rFonts w:cstheme="minorHAnsi"/>
          <w:sz w:val="24"/>
          <w:szCs w:val="24"/>
          <w:lang w:val="en-US"/>
        </w:rPr>
        <w:t xml:space="preserve"> </w:t>
      </w:r>
      <w:r w:rsidRPr="00365544">
        <w:rPr>
          <w:rFonts w:cstheme="minorHAnsi"/>
          <w:sz w:val="24"/>
          <w:szCs w:val="24"/>
          <w:lang w:val="en-US"/>
        </w:rPr>
        <w:t>(4), 861</w:t>
      </w:r>
      <w:r w:rsidR="002728AA">
        <w:rPr>
          <w:rFonts w:cstheme="minorHAnsi"/>
          <w:sz w:val="24"/>
          <w:szCs w:val="24"/>
          <w:lang w:val="en-US"/>
        </w:rPr>
        <w:t>–</w:t>
      </w:r>
      <w:r w:rsidRPr="00365544">
        <w:rPr>
          <w:rFonts w:cstheme="minorHAnsi"/>
          <w:sz w:val="24"/>
          <w:szCs w:val="24"/>
          <w:lang w:val="en-US"/>
        </w:rPr>
        <w:t>870 (1998).</w:t>
      </w:r>
    </w:p>
    <w:p w14:paraId="05E90F4B" w14:textId="0E5E4373" w:rsidR="00B540B2" w:rsidRPr="00365544" w:rsidRDefault="00B540B2" w:rsidP="00365544">
      <w:pPr>
        <w:pStyle w:val="NoSpacing"/>
        <w:numPr>
          <w:ilvl w:val="0"/>
          <w:numId w:val="37"/>
        </w:numPr>
        <w:ind w:left="0" w:firstLine="0"/>
        <w:jc w:val="both"/>
        <w:rPr>
          <w:rFonts w:cstheme="minorHAnsi"/>
          <w:sz w:val="24"/>
          <w:szCs w:val="24"/>
          <w:lang w:val="en-US"/>
        </w:rPr>
      </w:pPr>
      <w:r w:rsidRPr="00365544">
        <w:rPr>
          <w:rFonts w:cstheme="minorHAnsi"/>
          <w:sz w:val="24"/>
          <w:szCs w:val="24"/>
          <w:lang w:val="en-US"/>
        </w:rPr>
        <w:t>Reshamwala</w:t>
      </w:r>
      <w:r w:rsidR="002728AA">
        <w:rPr>
          <w:rFonts w:cstheme="minorHAnsi"/>
          <w:sz w:val="24"/>
          <w:szCs w:val="24"/>
          <w:lang w:val="en-US"/>
        </w:rPr>
        <w:t>,</w:t>
      </w:r>
      <w:r w:rsidRPr="00365544">
        <w:rPr>
          <w:rFonts w:cstheme="minorHAnsi"/>
          <w:sz w:val="24"/>
          <w:szCs w:val="24"/>
          <w:lang w:val="en-US"/>
        </w:rPr>
        <w:t xml:space="preserve"> R., Shah</w:t>
      </w:r>
      <w:r w:rsidR="002728AA">
        <w:rPr>
          <w:rFonts w:cstheme="minorHAnsi"/>
          <w:sz w:val="24"/>
          <w:szCs w:val="24"/>
          <w:lang w:val="en-US"/>
        </w:rPr>
        <w:t>,</w:t>
      </w:r>
      <w:r w:rsidRPr="00365544">
        <w:rPr>
          <w:rFonts w:cstheme="minorHAnsi"/>
          <w:sz w:val="24"/>
          <w:szCs w:val="24"/>
          <w:lang w:val="en-US"/>
        </w:rPr>
        <w:t xml:space="preserve"> M., Belt</w:t>
      </w:r>
      <w:r w:rsidR="002728AA">
        <w:rPr>
          <w:rFonts w:cstheme="minorHAnsi"/>
          <w:sz w:val="24"/>
          <w:szCs w:val="24"/>
          <w:lang w:val="en-US"/>
        </w:rPr>
        <w:t>,</w:t>
      </w:r>
      <w:r w:rsidRPr="00365544">
        <w:rPr>
          <w:rFonts w:cstheme="minorHAnsi"/>
          <w:sz w:val="24"/>
          <w:szCs w:val="24"/>
          <w:lang w:val="en-US"/>
        </w:rPr>
        <w:t xml:space="preserve"> L., Ekberg</w:t>
      </w:r>
      <w:r w:rsidR="002728AA">
        <w:rPr>
          <w:rFonts w:cstheme="minorHAnsi"/>
          <w:sz w:val="24"/>
          <w:szCs w:val="24"/>
          <w:lang w:val="en-US"/>
        </w:rPr>
        <w:t>,</w:t>
      </w:r>
      <w:r w:rsidRPr="00365544">
        <w:rPr>
          <w:rFonts w:cstheme="minorHAnsi"/>
          <w:sz w:val="24"/>
          <w:szCs w:val="24"/>
          <w:lang w:val="en-US"/>
        </w:rPr>
        <w:t xml:space="preserve"> J.</w:t>
      </w:r>
      <w:r w:rsidR="002728AA">
        <w:rPr>
          <w:rFonts w:cstheme="minorHAnsi"/>
          <w:sz w:val="24"/>
          <w:szCs w:val="24"/>
          <w:lang w:val="en-US"/>
        </w:rPr>
        <w:t xml:space="preserve"> </w:t>
      </w:r>
      <w:r w:rsidRPr="00365544">
        <w:rPr>
          <w:rFonts w:cstheme="minorHAnsi"/>
          <w:sz w:val="24"/>
          <w:szCs w:val="24"/>
          <w:lang w:val="en-US"/>
        </w:rPr>
        <w:t>A.</w:t>
      </w:r>
      <w:r w:rsidR="002728AA">
        <w:rPr>
          <w:rFonts w:cstheme="minorHAnsi"/>
          <w:sz w:val="24"/>
          <w:szCs w:val="24"/>
          <w:lang w:val="en-US"/>
        </w:rPr>
        <w:t xml:space="preserve"> </w:t>
      </w:r>
      <w:r w:rsidRPr="00365544">
        <w:rPr>
          <w:rFonts w:cstheme="minorHAnsi"/>
          <w:sz w:val="24"/>
          <w:szCs w:val="24"/>
          <w:lang w:val="en-US"/>
        </w:rPr>
        <w:t>K., St</w:t>
      </w:r>
      <w:r w:rsidR="002728AA">
        <w:rPr>
          <w:rFonts w:cstheme="minorHAnsi"/>
          <w:sz w:val="24"/>
          <w:szCs w:val="24"/>
          <w:lang w:val="en-US"/>
        </w:rPr>
        <w:t>.</w:t>
      </w:r>
      <w:r w:rsidRPr="00365544">
        <w:rPr>
          <w:rFonts w:cstheme="minorHAnsi"/>
          <w:sz w:val="24"/>
          <w:szCs w:val="24"/>
          <w:lang w:val="en-US"/>
        </w:rPr>
        <w:t xml:space="preserve"> John</w:t>
      </w:r>
      <w:r w:rsidR="002728AA">
        <w:rPr>
          <w:rFonts w:cstheme="minorHAnsi"/>
          <w:sz w:val="24"/>
          <w:szCs w:val="24"/>
          <w:lang w:val="en-US"/>
        </w:rPr>
        <w:t>,</w:t>
      </w:r>
      <w:r w:rsidRPr="00365544">
        <w:rPr>
          <w:rFonts w:cstheme="minorHAnsi"/>
          <w:sz w:val="24"/>
          <w:szCs w:val="24"/>
          <w:lang w:val="en-US"/>
        </w:rPr>
        <w:t xml:space="preserve"> J.</w:t>
      </w:r>
      <w:r w:rsidR="002728AA">
        <w:rPr>
          <w:rFonts w:cstheme="minorHAnsi"/>
          <w:sz w:val="24"/>
          <w:szCs w:val="24"/>
          <w:lang w:val="en-US"/>
        </w:rPr>
        <w:t xml:space="preserve"> </w:t>
      </w:r>
      <w:r w:rsidRPr="00365544">
        <w:rPr>
          <w:rFonts w:cstheme="minorHAnsi"/>
          <w:sz w:val="24"/>
          <w:szCs w:val="24"/>
          <w:lang w:val="en-US"/>
        </w:rPr>
        <w:t xml:space="preserve">A. Reliable cell purification and determination of cell purity: crucial aspects of olfactory ensheathing cell transplantation for spinal cord repair. </w:t>
      </w:r>
      <w:r w:rsidRPr="00365544">
        <w:rPr>
          <w:rFonts w:cstheme="minorHAnsi"/>
          <w:i/>
          <w:iCs/>
          <w:sz w:val="24"/>
          <w:szCs w:val="24"/>
          <w:lang w:val="en-US"/>
        </w:rPr>
        <w:t>Neural Regen</w:t>
      </w:r>
      <w:r w:rsidR="002728AA">
        <w:rPr>
          <w:rFonts w:cstheme="minorHAnsi"/>
          <w:i/>
          <w:iCs/>
          <w:sz w:val="24"/>
          <w:szCs w:val="24"/>
          <w:lang w:val="en-US"/>
        </w:rPr>
        <w:t>eration</w:t>
      </w:r>
      <w:r w:rsidRPr="00365544">
        <w:rPr>
          <w:rFonts w:cstheme="minorHAnsi"/>
          <w:i/>
          <w:iCs/>
          <w:sz w:val="24"/>
          <w:szCs w:val="24"/>
          <w:lang w:val="en-US"/>
        </w:rPr>
        <w:t xml:space="preserve"> Res</w:t>
      </w:r>
      <w:r w:rsidR="002728AA">
        <w:rPr>
          <w:rFonts w:cstheme="minorHAnsi"/>
          <w:i/>
          <w:iCs/>
          <w:sz w:val="24"/>
          <w:szCs w:val="24"/>
          <w:lang w:val="en-US"/>
        </w:rPr>
        <w:t>earch</w:t>
      </w:r>
      <w:r w:rsidRPr="00365544">
        <w:rPr>
          <w:rFonts w:cstheme="minorHAnsi"/>
          <w:sz w:val="24"/>
          <w:szCs w:val="24"/>
          <w:lang w:val="en-US"/>
        </w:rPr>
        <w:t xml:space="preserve">. </w:t>
      </w:r>
      <w:r w:rsidRPr="00365544">
        <w:rPr>
          <w:rFonts w:cstheme="minorHAnsi"/>
          <w:b/>
          <w:bCs/>
          <w:sz w:val="24"/>
          <w:szCs w:val="24"/>
          <w:lang w:val="en-US"/>
        </w:rPr>
        <w:t>15</w:t>
      </w:r>
      <w:r w:rsidR="002728AA" w:rsidRPr="0010022E">
        <w:rPr>
          <w:rFonts w:cstheme="minorHAnsi"/>
          <w:sz w:val="24"/>
          <w:szCs w:val="24"/>
          <w:lang w:val="en-US"/>
        </w:rPr>
        <w:t xml:space="preserve"> </w:t>
      </w:r>
      <w:r w:rsidRPr="00365544">
        <w:rPr>
          <w:rFonts w:cstheme="minorHAnsi"/>
          <w:sz w:val="24"/>
          <w:szCs w:val="24"/>
          <w:lang w:val="en-US"/>
        </w:rPr>
        <w:t>(11), 2016</w:t>
      </w:r>
      <w:r w:rsidR="002728AA">
        <w:rPr>
          <w:rFonts w:cstheme="minorHAnsi"/>
          <w:sz w:val="24"/>
          <w:szCs w:val="24"/>
          <w:lang w:val="en-US"/>
        </w:rPr>
        <w:t>–</w:t>
      </w:r>
      <w:r w:rsidRPr="00365544">
        <w:rPr>
          <w:rFonts w:cstheme="minorHAnsi"/>
          <w:sz w:val="24"/>
          <w:szCs w:val="24"/>
          <w:lang w:val="en-US"/>
        </w:rPr>
        <w:t>2026 (2020).</w:t>
      </w:r>
    </w:p>
    <w:sectPr w:rsidR="00B540B2" w:rsidRPr="00365544" w:rsidSect="00B81B15">
      <w:headerReference w:type="default" r:id="rId18"/>
      <w:headerReference w:type="first" r:id="rId19"/>
      <w:footerReference w:type="first" r:id="rId2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A6FB" w14:textId="77777777" w:rsidR="008B3C0A" w:rsidRDefault="008B3C0A" w:rsidP="00621C4E">
      <w:r>
        <w:separator/>
      </w:r>
    </w:p>
  </w:endnote>
  <w:endnote w:type="continuationSeparator" w:id="0">
    <w:p w14:paraId="15DCA032" w14:textId="77777777" w:rsidR="008B3C0A" w:rsidRDefault="008B3C0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dvTTa9c1b374">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8CAB8A8" w:rsidR="000230E2" w:rsidRDefault="000230E2"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99576" w14:textId="77777777" w:rsidR="008B3C0A" w:rsidRDefault="008B3C0A" w:rsidP="00621C4E">
      <w:r>
        <w:separator/>
      </w:r>
    </w:p>
  </w:footnote>
  <w:footnote w:type="continuationSeparator" w:id="0">
    <w:p w14:paraId="73BAFC60" w14:textId="77777777" w:rsidR="008B3C0A" w:rsidRDefault="008B3C0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4639F722" w:rsidR="000230E2" w:rsidRPr="006F06E4" w:rsidRDefault="000230E2"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C8A1555" w:rsidR="000230E2" w:rsidRPr="006F06E4" w:rsidRDefault="000230E2" w:rsidP="0010022E">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A4B56"/>
    <w:multiLevelType w:val="multilevel"/>
    <w:tmpl w:val="DC38E4DE"/>
    <w:lvl w:ilvl="0">
      <w:start w:val="1"/>
      <w:numFmt w:val="decimal"/>
      <w:lvlText w:val="%1"/>
      <w:lvlJc w:val="left"/>
      <w:pPr>
        <w:ind w:left="435" w:hanging="435"/>
      </w:pPr>
      <w:rPr>
        <w:rFonts w:ascii="Calibri" w:hAnsi="Calibri" w:cs="Calibri" w:hint="default"/>
        <w:i w:val="0"/>
        <w:color w:val="000000"/>
      </w:rPr>
    </w:lvl>
    <w:lvl w:ilvl="1">
      <w:start w:val="1"/>
      <w:numFmt w:val="decimal"/>
      <w:lvlText w:val="%1.%2"/>
      <w:lvlJc w:val="left"/>
      <w:pPr>
        <w:ind w:left="2595" w:hanging="435"/>
      </w:pPr>
      <w:rPr>
        <w:rFonts w:ascii="Calibri" w:hAnsi="Calibri" w:cs="Calibri" w:hint="default"/>
        <w:i w:val="0"/>
        <w:color w:val="000000"/>
      </w:rPr>
    </w:lvl>
    <w:lvl w:ilvl="2">
      <w:start w:val="1"/>
      <w:numFmt w:val="decimal"/>
      <w:lvlText w:val="%1.%2.%3"/>
      <w:lvlJc w:val="left"/>
      <w:pPr>
        <w:ind w:left="5040" w:hanging="720"/>
      </w:pPr>
      <w:rPr>
        <w:rFonts w:ascii="Calibri" w:hAnsi="Calibri" w:cs="Calibri" w:hint="default"/>
        <w:i w:val="0"/>
        <w:color w:val="000000"/>
      </w:rPr>
    </w:lvl>
    <w:lvl w:ilvl="3">
      <w:start w:val="1"/>
      <w:numFmt w:val="decimal"/>
      <w:lvlText w:val="%1.%2.%3.%4"/>
      <w:lvlJc w:val="left"/>
      <w:pPr>
        <w:ind w:left="7200" w:hanging="720"/>
      </w:pPr>
      <w:rPr>
        <w:rFonts w:ascii="Calibri" w:hAnsi="Calibri" w:cs="Calibri" w:hint="default"/>
        <w:i w:val="0"/>
        <w:color w:val="000000"/>
      </w:rPr>
    </w:lvl>
    <w:lvl w:ilvl="4">
      <w:start w:val="1"/>
      <w:numFmt w:val="decimal"/>
      <w:lvlText w:val="%1.%2.%3.%4.%5"/>
      <w:lvlJc w:val="left"/>
      <w:pPr>
        <w:ind w:left="9720" w:hanging="1080"/>
      </w:pPr>
      <w:rPr>
        <w:rFonts w:ascii="Calibri" w:hAnsi="Calibri" w:cs="Calibri" w:hint="default"/>
        <w:i w:val="0"/>
        <w:color w:val="000000"/>
      </w:rPr>
    </w:lvl>
    <w:lvl w:ilvl="5">
      <w:start w:val="1"/>
      <w:numFmt w:val="decimal"/>
      <w:lvlText w:val="%1.%2.%3.%4.%5.%6"/>
      <w:lvlJc w:val="left"/>
      <w:pPr>
        <w:ind w:left="11880" w:hanging="1080"/>
      </w:pPr>
      <w:rPr>
        <w:rFonts w:ascii="Calibri" w:hAnsi="Calibri" w:cs="Calibri" w:hint="default"/>
        <w:i w:val="0"/>
        <w:color w:val="000000"/>
      </w:rPr>
    </w:lvl>
    <w:lvl w:ilvl="6">
      <w:start w:val="1"/>
      <w:numFmt w:val="decimal"/>
      <w:lvlText w:val="%1.%2.%3.%4.%5.%6.%7"/>
      <w:lvlJc w:val="left"/>
      <w:pPr>
        <w:ind w:left="14400" w:hanging="1440"/>
      </w:pPr>
      <w:rPr>
        <w:rFonts w:ascii="Calibri" w:hAnsi="Calibri" w:cs="Calibri" w:hint="default"/>
        <w:i w:val="0"/>
        <w:color w:val="000000"/>
      </w:rPr>
    </w:lvl>
    <w:lvl w:ilvl="7">
      <w:start w:val="1"/>
      <w:numFmt w:val="decimal"/>
      <w:lvlText w:val="%1.%2.%3.%4.%5.%6.%7.%8"/>
      <w:lvlJc w:val="left"/>
      <w:pPr>
        <w:ind w:left="16560" w:hanging="1440"/>
      </w:pPr>
      <w:rPr>
        <w:rFonts w:ascii="Calibri" w:hAnsi="Calibri" w:cs="Calibri" w:hint="default"/>
        <w:i w:val="0"/>
        <w:color w:val="000000"/>
      </w:rPr>
    </w:lvl>
    <w:lvl w:ilvl="8">
      <w:start w:val="1"/>
      <w:numFmt w:val="decimal"/>
      <w:lvlText w:val="%1.%2.%3.%4.%5.%6.%7.%8.%9"/>
      <w:lvlJc w:val="left"/>
      <w:pPr>
        <w:ind w:left="19080" w:hanging="1800"/>
      </w:pPr>
      <w:rPr>
        <w:rFonts w:ascii="Calibri" w:hAnsi="Calibri" w:cs="Calibri" w:hint="default"/>
        <w:i w:val="0"/>
        <w:color w:val="000000"/>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01219"/>
    <w:multiLevelType w:val="hybridMultilevel"/>
    <w:tmpl w:val="1DF0D5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219C6"/>
    <w:multiLevelType w:val="multilevel"/>
    <w:tmpl w:val="6D5017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81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E44725"/>
    <w:multiLevelType w:val="multilevel"/>
    <w:tmpl w:val="0F8015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D33DA6"/>
    <w:multiLevelType w:val="hybridMultilevel"/>
    <w:tmpl w:val="1A9C26EC"/>
    <w:lvl w:ilvl="0" w:tplc="B68EF8FA">
      <w:start w:val="1"/>
      <w:numFmt w:val="decimal"/>
      <w:lvlText w:val="%1."/>
      <w:lvlJc w:val="left"/>
      <w:pPr>
        <w:ind w:left="1776" w:hanging="360"/>
      </w:pPr>
      <w:rPr>
        <w:rFonts w:hint="default"/>
        <w:color w:val="auto"/>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32566"/>
    <w:multiLevelType w:val="hybridMultilevel"/>
    <w:tmpl w:val="27403670"/>
    <w:lvl w:ilvl="0" w:tplc="4E1616A2">
      <w:start w:val="1"/>
      <w:numFmt w:val="decimal"/>
      <w:lvlText w:val="%1."/>
      <w:lvlJc w:val="left"/>
      <w:pPr>
        <w:ind w:left="720" w:hanging="360"/>
      </w:pPr>
      <w:rPr>
        <w:rFonts w:ascii="Calibri" w:eastAsia="Times New Roman" w:hAnsi="Calibri" w:cs="Calibri"/>
        <w:b/>
        <w:bCs/>
        <w:i w:val="0"/>
        <w:iCs w:val="0"/>
        <w:color w:val="auto"/>
      </w:rPr>
    </w:lvl>
    <w:lvl w:ilvl="1" w:tplc="E1FC06B2">
      <w:start w:val="1"/>
      <w:numFmt w:val="decimal"/>
      <w:lvlText w:val="%2."/>
      <w:lvlJc w:val="left"/>
      <w:pPr>
        <w:ind w:left="1440" w:hanging="360"/>
      </w:pPr>
      <w:rPr>
        <w:rFonts w:hint="default"/>
        <w:b w:val="0"/>
        <w:bCs w:val="0"/>
        <w:i w:val="0"/>
        <w:iCs w:val="0"/>
        <w:color w:val="auto"/>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C2A58"/>
    <w:multiLevelType w:val="hybridMultilevel"/>
    <w:tmpl w:val="653E856C"/>
    <w:lvl w:ilvl="0" w:tplc="24B6E4EA">
      <w:start w:val="1"/>
      <w:numFmt w:val="decimal"/>
      <w:lvlText w:val="%1."/>
      <w:lvlJc w:val="left"/>
      <w:pPr>
        <w:ind w:left="1800" w:hanging="360"/>
      </w:pPr>
      <w:rPr>
        <w:rFonts w:hint="default"/>
        <w:i w:val="0"/>
        <w:iCs w:val="0"/>
        <w:color w:val="auto"/>
      </w:r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8" w15:restartNumberingAfterBreak="0">
    <w:nsid w:val="42E03F88"/>
    <w:multiLevelType w:val="multilevel"/>
    <w:tmpl w:val="2FC8831C"/>
    <w:lvl w:ilvl="0">
      <w:start w:val="5"/>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B73B6"/>
    <w:multiLevelType w:val="multilevel"/>
    <w:tmpl w:val="A3206A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4241EE"/>
    <w:multiLevelType w:val="multilevel"/>
    <w:tmpl w:val="C1C413DA"/>
    <w:lvl w:ilvl="0">
      <w:start w:val="3"/>
      <w:numFmt w:val="decimal"/>
      <w:lvlText w:val="%1"/>
      <w:lvlJc w:val="left"/>
      <w:pPr>
        <w:ind w:left="360" w:hanging="360"/>
      </w:pPr>
      <w:rPr>
        <w:rFonts w:hint="default"/>
        <w:i w:val="0"/>
      </w:rPr>
    </w:lvl>
    <w:lvl w:ilvl="1">
      <w:start w:val="1"/>
      <w:numFmt w:val="decimal"/>
      <w:lvlText w:val="%1.%2"/>
      <w:lvlJc w:val="left"/>
      <w:pPr>
        <w:ind w:left="2472" w:hanging="360"/>
      </w:pPr>
      <w:rPr>
        <w:rFonts w:hint="default"/>
        <w:i w:val="0"/>
        <w:color w:val="auto"/>
      </w:rPr>
    </w:lvl>
    <w:lvl w:ilvl="2">
      <w:start w:val="1"/>
      <w:numFmt w:val="decimal"/>
      <w:lvlText w:val="%1.%2.%3"/>
      <w:lvlJc w:val="left"/>
      <w:pPr>
        <w:ind w:left="4944" w:hanging="720"/>
      </w:pPr>
      <w:rPr>
        <w:rFonts w:hint="default"/>
        <w:i w:val="0"/>
      </w:rPr>
    </w:lvl>
    <w:lvl w:ilvl="3">
      <w:start w:val="1"/>
      <w:numFmt w:val="decimal"/>
      <w:lvlText w:val="%1.%2.%3.%4"/>
      <w:lvlJc w:val="left"/>
      <w:pPr>
        <w:ind w:left="7056" w:hanging="720"/>
      </w:pPr>
      <w:rPr>
        <w:rFonts w:hint="default"/>
        <w:i w:val="0"/>
      </w:rPr>
    </w:lvl>
    <w:lvl w:ilvl="4">
      <w:start w:val="1"/>
      <w:numFmt w:val="decimal"/>
      <w:lvlText w:val="%1.%2.%3.%4.%5"/>
      <w:lvlJc w:val="left"/>
      <w:pPr>
        <w:ind w:left="9528" w:hanging="1080"/>
      </w:pPr>
      <w:rPr>
        <w:rFonts w:hint="default"/>
        <w:i w:val="0"/>
      </w:rPr>
    </w:lvl>
    <w:lvl w:ilvl="5">
      <w:start w:val="1"/>
      <w:numFmt w:val="decimal"/>
      <w:lvlText w:val="%1.%2.%3.%4.%5.%6"/>
      <w:lvlJc w:val="left"/>
      <w:pPr>
        <w:ind w:left="11640" w:hanging="1080"/>
      </w:pPr>
      <w:rPr>
        <w:rFonts w:hint="default"/>
        <w:i w:val="0"/>
      </w:rPr>
    </w:lvl>
    <w:lvl w:ilvl="6">
      <w:start w:val="1"/>
      <w:numFmt w:val="decimal"/>
      <w:lvlText w:val="%1.%2.%3.%4.%5.%6.%7"/>
      <w:lvlJc w:val="left"/>
      <w:pPr>
        <w:ind w:left="14112" w:hanging="1440"/>
      </w:pPr>
      <w:rPr>
        <w:rFonts w:hint="default"/>
        <w:i w:val="0"/>
      </w:rPr>
    </w:lvl>
    <w:lvl w:ilvl="7">
      <w:start w:val="1"/>
      <w:numFmt w:val="decimal"/>
      <w:lvlText w:val="%1.%2.%3.%4.%5.%6.%7.%8"/>
      <w:lvlJc w:val="left"/>
      <w:pPr>
        <w:ind w:left="16224" w:hanging="1440"/>
      </w:pPr>
      <w:rPr>
        <w:rFonts w:hint="default"/>
        <w:i w:val="0"/>
      </w:rPr>
    </w:lvl>
    <w:lvl w:ilvl="8">
      <w:start w:val="1"/>
      <w:numFmt w:val="decimal"/>
      <w:lvlText w:val="%1.%2.%3.%4.%5.%6.%7.%8.%9"/>
      <w:lvlJc w:val="left"/>
      <w:pPr>
        <w:ind w:left="18696" w:hanging="1800"/>
      </w:pPr>
      <w:rPr>
        <w:rFonts w:hint="default"/>
        <w:i w:val="0"/>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197E1C"/>
    <w:multiLevelType w:val="multilevel"/>
    <w:tmpl w:val="F1B8B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2727816"/>
    <w:multiLevelType w:val="multilevel"/>
    <w:tmpl w:val="8F342008"/>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5DB5143"/>
    <w:multiLevelType w:val="multilevel"/>
    <w:tmpl w:val="3320C0D6"/>
    <w:lvl w:ilvl="0">
      <w:start w:val="1"/>
      <w:numFmt w:val="decimal"/>
      <w:lvlText w:val="%1."/>
      <w:lvlJc w:val="left"/>
      <w:pPr>
        <w:tabs>
          <w:tab w:val="num" w:pos="1068"/>
        </w:tabs>
        <w:ind w:left="1068" w:hanging="360"/>
      </w:pPr>
      <w:rPr>
        <w:rFonts w:ascii="Calibri" w:eastAsia="Times New Roman" w:hAnsi="Calibri" w:cs="Calibri"/>
        <w:i w:val="0"/>
        <w:iCs w:val="0"/>
        <w:sz w:val="24"/>
        <w:szCs w:val="24"/>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605485"/>
    <w:multiLevelType w:val="multilevel"/>
    <w:tmpl w:val="8760140A"/>
    <w:lvl w:ilvl="0">
      <w:start w:val="8"/>
      <w:numFmt w:val="decimal"/>
      <w:lvlText w:val="%1"/>
      <w:lvlJc w:val="left"/>
      <w:pPr>
        <w:ind w:left="360" w:hanging="360"/>
      </w:pPr>
      <w:rPr>
        <w:rFonts w:asciiTheme="minorHAnsi" w:eastAsiaTheme="minorHAnsi" w:hAnsiTheme="minorHAnsi" w:cstheme="minorHAnsi" w:hint="default"/>
        <w:b w:val="0"/>
        <w:color w:val="auto"/>
      </w:rPr>
    </w:lvl>
    <w:lvl w:ilvl="1">
      <w:start w:val="1"/>
      <w:numFmt w:val="decimal"/>
      <w:lvlText w:val="%1.%2"/>
      <w:lvlJc w:val="left"/>
      <w:pPr>
        <w:ind w:left="2340" w:hanging="360"/>
      </w:pPr>
      <w:rPr>
        <w:rFonts w:asciiTheme="minorHAnsi" w:eastAsiaTheme="minorHAnsi" w:hAnsiTheme="minorHAnsi" w:cstheme="minorHAnsi" w:hint="default"/>
        <w:b w:val="0"/>
        <w:color w:val="auto"/>
      </w:rPr>
    </w:lvl>
    <w:lvl w:ilvl="2">
      <w:start w:val="1"/>
      <w:numFmt w:val="decimal"/>
      <w:lvlText w:val="%1.%2.%3"/>
      <w:lvlJc w:val="left"/>
      <w:pPr>
        <w:ind w:left="4680" w:hanging="720"/>
      </w:pPr>
      <w:rPr>
        <w:rFonts w:asciiTheme="minorHAnsi" w:eastAsiaTheme="minorHAnsi" w:hAnsiTheme="minorHAnsi" w:cstheme="minorHAnsi" w:hint="default"/>
        <w:b w:val="0"/>
        <w:color w:val="auto"/>
      </w:rPr>
    </w:lvl>
    <w:lvl w:ilvl="3">
      <w:start w:val="1"/>
      <w:numFmt w:val="decimal"/>
      <w:lvlText w:val="%1.%2.%3.%4"/>
      <w:lvlJc w:val="left"/>
      <w:pPr>
        <w:ind w:left="6660" w:hanging="720"/>
      </w:pPr>
      <w:rPr>
        <w:rFonts w:asciiTheme="minorHAnsi" w:eastAsiaTheme="minorHAnsi" w:hAnsiTheme="minorHAnsi" w:cstheme="minorHAnsi" w:hint="default"/>
        <w:b w:val="0"/>
        <w:color w:val="auto"/>
      </w:rPr>
    </w:lvl>
    <w:lvl w:ilvl="4">
      <w:start w:val="1"/>
      <w:numFmt w:val="decimal"/>
      <w:lvlText w:val="%1.%2.%3.%4.%5"/>
      <w:lvlJc w:val="left"/>
      <w:pPr>
        <w:ind w:left="9000" w:hanging="1080"/>
      </w:pPr>
      <w:rPr>
        <w:rFonts w:asciiTheme="minorHAnsi" w:eastAsiaTheme="minorHAnsi" w:hAnsiTheme="minorHAnsi" w:cstheme="minorHAnsi" w:hint="default"/>
        <w:b w:val="0"/>
        <w:color w:val="auto"/>
      </w:rPr>
    </w:lvl>
    <w:lvl w:ilvl="5">
      <w:start w:val="1"/>
      <w:numFmt w:val="decimal"/>
      <w:lvlText w:val="%1.%2.%3.%4.%5.%6"/>
      <w:lvlJc w:val="left"/>
      <w:pPr>
        <w:ind w:left="10980" w:hanging="1080"/>
      </w:pPr>
      <w:rPr>
        <w:rFonts w:asciiTheme="minorHAnsi" w:eastAsiaTheme="minorHAnsi" w:hAnsiTheme="minorHAnsi" w:cstheme="minorHAnsi" w:hint="default"/>
        <w:b w:val="0"/>
        <w:color w:val="auto"/>
      </w:rPr>
    </w:lvl>
    <w:lvl w:ilvl="6">
      <w:start w:val="1"/>
      <w:numFmt w:val="decimal"/>
      <w:lvlText w:val="%1.%2.%3.%4.%5.%6.%7"/>
      <w:lvlJc w:val="left"/>
      <w:pPr>
        <w:ind w:left="13320" w:hanging="1440"/>
      </w:pPr>
      <w:rPr>
        <w:rFonts w:asciiTheme="minorHAnsi" w:eastAsiaTheme="minorHAnsi" w:hAnsiTheme="minorHAnsi" w:cstheme="minorHAnsi" w:hint="default"/>
        <w:b w:val="0"/>
        <w:color w:val="auto"/>
      </w:rPr>
    </w:lvl>
    <w:lvl w:ilvl="7">
      <w:start w:val="1"/>
      <w:numFmt w:val="decimal"/>
      <w:lvlText w:val="%1.%2.%3.%4.%5.%6.%7.%8"/>
      <w:lvlJc w:val="left"/>
      <w:pPr>
        <w:ind w:left="15300" w:hanging="1440"/>
      </w:pPr>
      <w:rPr>
        <w:rFonts w:asciiTheme="minorHAnsi" w:eastAsiaTheme="minorHAnsi" w:hAnsiTheme="minorHAnsi" w:cstheme="minorHAnsi" w:hint="default"/>
        <w:b w:val="0"/>
        <w:color w:val="auto"/>
      </w:rPr>
    </w:lvl>
    <w:lvl w:ilvl="8">
      <w:start w:val="1"/>
      <w:numFmt w:val="decimal"/>
      <w:lvlText w:val="%1.%2.%3.%4.%5.%6.%7.%8.%9"/>
      <w:lvlJc w:val="left"/>
      <w:pPr>
        <w:ind w:left="17640" w:hanging="1800"/>
      </w:pPr>
      <w:rPr>
        <w:rFonts w:asciiTheme="minorHAnsi" w:eastAsiaTheme="minorHAnsi" w:hAnsiTheme="minorHAnsi" w:cstheme="minorHAnsi" w:hint="default"/>
        <w:b w:val="0"/>
        <w:color w:val="auto"/>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9"/>
  </w:num>
  <w:num w:numId="3">
    <w:abstractNumId w:val="6"/>
  </w:num>
  <w:num w:numId="4">
    <w:abstractNumId w:val="27"/>
  </w:num>
  <w:num w:numId="5">
    <w:abstractNumId w:val="14"/>
  </w:num>
  <w:num w:numId="6">
    <w:abstractNumId w:val="26"/>
  </w:num>
  <w:num w:numId="7">
    <w:abstractNumId w:val="0"/>
  </w:num>
  <w:num w:numId="8">
    <w:abstractNumId w:val="16"/>
  </w:num>
  <w:num w:numId="9">
    <w:abstractNumId w:val="19"/>
  </w:num>
  <w:num w:numId="10">
    <w:abstractNumId w:val="28"/>
  </w:num>
  <w:num w:numId="11">
    <w:abstractNumId w:val="34"/>
  </w:num>
  <w:num w:numId="12">
    <w:abstractNumId w:val="4"/>
  </w:num>
  <w:num w:numId="13">
    <w:abstractNumId w:val="30"/>
  </w:num>
  <w:num w:numId="14">
    <w:abstractNumId w:val="39"/>
  </w:num>
  <w:num w:numId="15">
    <w:abstractNumId w:val="22"/>
  </w:num>
  <w:num w:numId="16">
    <w:abstractNumId w:val="13"/>
  </w:num>
  <w:num w:numId="17">
    <w:abstractNumId w:val="31"/>
  </w:num>
  <w:num w:numId="18">
    <w:abstractNumId w:val="23"/>
  </w:num>
  <w:num w:numId="19">
    <w:abstractNumId w:val="36"/>
  </w:num>
  <w:num w:numId="20">
    <w:abstractNumId w:val="5"/>
  </w:num>
  <w:num w:numId="21">
    <w:abstractNumId w:val="37"/>
  </w:num>
  <w:num w:numId="22">
    <w:abstractNumId w:val="35"/>
  </w:num>
  <w:num w:numId="23">
    <w:abstractNumId w:val="24"/>
  </w:num>
  <w:num w:numId="24">
    <w:abstractNumId w:val="40"/>
  </w:num>
  <w:num w:numId="25">
    <w:abstractNumId w:val="11"/>
  </w:num>
  <w:num w:numId="26">
    <w:abstractNumId w:val="2"/>
  </w:num>
  <w:num w:numId="27">
    <w:abstractNumId w:val="9"/>
  </w:num>
  <w:num w:numId="28">
    <w:abstractNumId w:val="41"/>
  </w:num>
  <w:num w:numId="29">
    <w:abstractNumId w:val="15"/>
  </w:num>
  <w:num w:numId="30">
    <w:abstractNumId w:val="33"/>
  </w:num>
  <w:num w:numId="31">
    <w:abstractNumId w:val="1"/>
  </w:num>
  <w:num w:numId="32">
    <w:abstractNumId w:val="18"/>
  </w:num>
  <w:num w:numId="33">
    <w:abstractNumId w:val="38"/>
  </w:num>
  <w:num w:numId="34">
    <w:abstractNumId w:val="17"/>
  </w:num>
  <w:num w:numId="35">
    <w:abstractNumId w:val="21"/>
  </w:num>
  <w:num w:numId="36">
    <w:abstractNumId w:val="12"/>
  </w:num>
  <w:num w:numId="37">
    <w:abstractNumId w:val="3"/>
  </w:num>
  <w:num w:numId="38">
    <w:abstractNumId w:val="25"/>
  </w:num>
  <w:num w:numId="39">
    <w:abstractNumId w:val="8"/>
  </w:num>
  <w:num w:numId="40">
    <w:abstractNumId w:val="10"/>
  </w:num>
  <w:num w:numId="41">
    <w:abstractNumId w:val="32"/>
  </w:num>
  <w:num w:numId="4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0224"/>
    <w:rsid w:val="00010235"/>
    <w:rsid w:val="000128D6"/>
    <w:rsid w:val="000129B2"/>
    <w:rsid w:val="00012FF9"/>
    <w:rsid w:val="0001389C"/>
    <w:rsid w:val="00014314"/>
    <w:rsid w:val="000212AE"/>
    <w:rsid w:val="00021434"/>
    <w:rsid w:val="00021774"/>
    <w:rsid w:val="00021DF3"/>
    <w:rsid w:val="000230E2"/>
    <w:rsid w:val="00023869"/>
    <w:rsid w:val="00024598"/>
    <w:rsid w:val="000279B0"/>
    <w:rsid w:val="00032769"/>
    <w:rsid w:val="0003311E"/>
    <w:rsid w:val="0003400D"/>
    <w:rsid w:val="00034E65"/>
    <w:rsid w:val="0003651A"/>
    <w:rsid w:val="00037B58"/>
    <w:rsid w:val="00043EAD"/>
    <w:rsid w:val="00051B73"/>
    <w:rsid w:val="0005280F"/>
    <w:rsid w:val="000575CF"/>
    <w:rsid w:val="00060ABE"/>
    <w:rsid w:val="00061A50"/>
    <w:rsid w:val="000631D3"/>
    <w:rsid w:val="00063338"/>
    <w:rsid w:val="0006361B"/>
    <w:rsid w:val="00063F03"/>
    <w:rsid w:val="00064104"/>
    <w:rsid w:val="000642E3"/>
    <w:rsid w:val="00064B65"/>
    <w:rsid w:val="00064F32"/>
    <w:rsid w:val="000652E3"/>
    <w:rsid w:val="00066025"/>
    <w:rsid w:val="00067A8F"/>
    <w:rsid w:val="000701D1"/>
    <w:rsid w:val="000733FB"/>
    <w:rsid w:val="0007503D"/>
    <w:rsid w:val="00080A20"/>
    <w:rsid w:val="00082487"/>
    <w:rsid w:val="00082796"/>
    <w:rsid w:val="00082DF4"/>
    <w:rsid w:val="00086FF5"/>
    <w:rsid w:val="00087C0A"/>
    <w:rsid w:val="00091788"/>
    <w:rsid w:val="00092BF9"/>
    <w:rsid w:val="00093BC4"/>
    <w:rsid w:val="000943E6"/>
    <w:rsid w:val="0009448D"/>
    <w:rsid w:val="00096CA7"/>
    <w:rsid w:val="00097929"/>
    <w:rsid w:val="000A006A"/>
    <w:rsid w:val="000A0F2D"/>
    <w:rsid w:val="000A1E80"/>
    <w:rsid w:val="000A3B70"/>
    <w:rsid w:val="000A5153"/>
    <w:rsid w:val="000B026B"/>
    <w:rsid w:val="000B10AE"/>
    <w:rsid w:val="000B30BF"/>
    <w:rsid w:val="000B566B"/>
    <w:rsid w:val="000B595C"/>
    <w:rsid w:val="000B61FF"/>
    <w:rsid w:val="000B662E"/>
    <w:rsid w:val="000B7294"/>
    <w:rsid w:val="000B75D0"/>
    <w:rsid w:val="000C1CF8"/>
    <w:rsid w:val="000C49CF"/>
    <w:rsid w:val="000C52E9"/>
    <w:rsid w:val="000C5B8B"/>
    <w:rsid w:val="000C5CDC"/>
    <w:rsid w:val="000C6595"/>
    <w:rsid w:val="000C65DC"/>
    <w:rsid w:val="000C66F3"/>
    <w:rsid w:val="000C6900"/>
    <w:rsid w:val="000D28BF"/>
    <w:rsid w:val="000D31E8"/>
    <w:rsid w:val="000D68D6"/>
    <w:rsid w:val="000D76E4"/>
    <w:rsid w:val="000D7FC4"/>
    <w:rsid w:val="000E3816"/>
    <w:rsid w:val="000E4F77"/>
    <w:rsid w:val="000F265C"/>
    <w:rsid w:val="000F3204"/>
    <w:rsid w:val="000F3AFA"/>
    <w:rsid w:val="000F5712"/>
    <w:rsid w:val="000F6611"/>
    <w:rsid w:val="000F7E22"/>
    <w:rsid w:val="0010022E"/>
    <w:rsid w:val="00107554"/>
    <w:rsid w:val="001075E9"/>
    <w:rsid w:val="001104F3"/>
    <w:rsid w:val="00112EEB"/>
    <w:rsid w:val="001173FF"/>
    <w:rsid w:val="0012563A"/>
    <w:rsid w:val="001264DE"/>
    <w:rsid w:val="001313A7"/>
    <w:rsid w:val="0013276F"/>
    <w:rsid w:val="001342B5"/>
    <w:rsid w:val="00135482"/>
    <w:rsid w:val="0013621E"/>
    <w:rsid w:val="0013642E"/>
    <w:rsid w:val="00142EFE"/>
    <w:rsid w:val="00144349"/>
    <w:rsid w:val="00145D81"/>
    <w:rsid w:val="0014737B"/>
    <w:rsid w:val="00152A23"/>
    <w:rsid w:val="00156415"/>
    <w:rsid w:val="001564C1"/>
    <w:rsid w:val="00156B11"/>
    <w:rsid w:val="00162CB7"/>
    <w:rsid w:val="001665C9"/>
    <w:rsid w:val="00166F32"/>
    <w:rsid w:val="001718C0"/>
    <w:rsid w:val="00171E5B"/>
    <w:rsid w:val="00171F94"/>
    <w:rsid w:val="00175D4E"/>
    <w:rsid w:val="0017668A"/>
    <w:rsid w:val="001766FE"/>
    <w:rsid w:val="001771E7"/>
    <w:rsid w:val="0018470E"/>
    <w:rsid w:val="001911FF"/>
    <w:rsid w:val="00192006"/>
    <w:rsid w:val="00193180"/>
    <w:rsid w:val="00194D66"/>
    <w:rsid w:val="0019530C"/>
    <w:rsid w:val="0019600F"/>
    <w:rsid w:val="00196792"/>
    <w:rsid w:val="00197294"/>
    <w:rsid w:val="001A004C"/>
    <w:rsid w:val="001A7D8B"/>
    <w:rsid w:val="001B01BD"/>
    <w:rsid w:val="001B1519"/>
    <w:rsid w:val="001B2E2D"/>
    <w:rsid w:val="001B5CD2"/>
    <w:rsid w:val="001B6961"/>
    <w:rsid w:val="001B70BC"/>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2100"/>
    <w:rsid w:val="001E7376"/>
    <w:rsid w:val="001F0952"/>
    <w:rsid w:val="001F225C"/>
    <w:rsid w:val="001F2FE4"/>
    <w:rsid w:val="00200792"/>
    <w:rsid w:val="00201CFA"/>
    <w:rsid w:val="0020220D"/>
    <w:rsid w:val="00202448"/>
    <w:rsid w:val="00202D15"/>
    <w:rsid w:val="00205676"/>
    <w:rsid w:val="00205B3F"/>
    <w:rsid w:val="00212EAE"/>
    <w:rsid w:val="00213A27"/>
    <w:rsid w:val="00214BEE"/>
    <w:rsid w:val="002205B8"/>
    <w:rsid w:val="00225720"/>
    <w:rsid w:val="002259E5"/>
    <w:rsid w:val="00226140"/>
    <w:rsid w:val="00226810"/>
    <w:rsid w:val="002274F3"/>
    <w:rsid w:val="0023094C"/>
    <w:rsid w:val="00230D61"/>
    <w:rsid w:val="00233484"/>
    <w:rsid w:val="00234303"/>
    <w:rsid w:val="00234BE3"/>
    <w:rsid w:val="00235A90"/>
    <w:rsid w:val="0023624F"/>
    <w:rsid w:val="00241E48"/>
    <w:rsid w:val="0024214E"/>
    <w:rsid w:val="00242623"/>
    <w:rsid w:val="00250558"/>
    <w:rsid w:val="0025357C"/>
    <w:rsid w:val="002559C1"/>
    <w:rsid w:val="002605D1"/>
    <w:rsid w:val="00260652"/>
    <w:rsid w:val="00261F25"/>
    <w:rsid w:val="002648A9"/>
    <w:rsid w:val="0026536F"/>
    <w:rsid w:val="0026553C"/>
    <w:rsid w:val="002661A0"/>
    <w:rsid w:val="0026790A"/>
    <w:rsid w:val="00267DD5"/>
    <w:rsid w:val="002728AA"/>
    <w:rsid w:val="00274A0A"/>
    <w:rsid w:val="00277593"/>
    <w:rsid w:val="0027765E"/>
    <w:rsid w:val="00280909"/>
    <w:rsid w:val="00280918"/>
    <w:rsid w:val="002810AB"/>
    <w:rsid w:val="00282AF6"/>
    <w:rsid w:val="0028566E"/>
    <w:rsid w:val="0028596A"/>
    <w:rsid w:val="002859DD"/>
    <w:rsid w:val="00287085"/>
    <w:rsid w:val="00287DC0"/>
    <w:rsid w:val="00290AF9"/>
    <w:rsid w:val="00291131"/>
    <w:rsid w:val="002967CF"/>
    <w:rsid w:val="002973F5"/>
    <w:rsid w:val="00297788"/>
    <w:rsid w:val="002A3285"/>
    <w:rsid w:val="002A34F9"/>
    <w:rsid w:val="002A484B"/>
    <w:rsid w:val="002A64A6"/>
    <w:rsid w:val="002A65FC"/>
    <w:rsid w:val="002B0AF3"/>
    <w:rsid w:val="002B1D45"/>
    <w:rsid w:val="002B1FE3"/>
    <w:rsid w:val="002B3301"/>
    <w:rsid w:val="002C1445"/>
    <w:rsid w:val="002C14B9"/>
    <w:rsid w:val="002C47D4"/>
    <w:rsid w:val="002D0F38"/>
    <w:rsid w:val="002D77E3"/>
    <w:rsid w:val="002E3D71"/>
    <w:rsid w:val="002F2859"/>
    <w:rsid w:val="002F63FD"/>
    <w:rsid w:val="002F6E3C"/>
    <w:rsid w:val="0030117D"/>
    <w:rsid w:val="00301F30"/>
    <w:rsid w:val="003038FD"/>
    <w:rsid w:val="00303C87"/>
    <w:rsid w:val="003108E5"/>
    <w:rsid w:val="003115A8"/>
    <w:rsid w:val="003120CB"/>
    <w:rsid w:val="00314CDC"/>
    <w:rsid w:val="003169A7"/>
    <w:rsid w:val="003169DB"/>
    <w:rsid w:val="003176B9"/>
    <w:rsid w:val="00320153"/>
    <w:rsid w:val="00320367"/>
    <w:rsid w:val="00322871"/>
    <w:rsid w:val="003230DC"/>
    <w:rsid w:val="00326FB3"/>
    <w:rsid w:val="00327906"/>
    <w:rsid w:val="0033109E"/>
    <w:rsid w:val="00331504"/>
    <w:rsid w:val="003316D4"/>
    <w:rsid w:val="003321B2"/>
    <w:rsid w:val="00332BBE"/>
    <w:rsid w:val="00333490"/>
    <w:rsid w:val="00333822"/>
    <w:rsid w:val="00336715"/>
    <w:rsid w:val="0033706B"/>
    <w:rsid w:val="003401EC"/>
    <w:rsid w:val="00340DFD"/>
    <w:rsid w:val="003420EB"/>
    <w:rsid w:val="00342DB2"/>
    <w:rsid w:val="00344954"/>
    <w:rsid w:val="00345DE8"/>
    <w:rsid w:val="00350515"/>
    <w:rsid w:val="00350CD7"/>
    <w:rsid w:val="00356B0D"/>
    <w:rsid w:val="00360C17"/>
    <w:rsid w:val="003621C6"/>
    <w:rsid w:val="003622B8"/>
    <w:rsid w:val="00365544"/>
    <w:rsid w:val="00366B76"/>
    <w:rsid w:val="00373051"/>
    <w:rsid w:val="00373B8F"/>
    <w:rsid w:val="00376D95"/>
    <w:rsid w:val="00377FBB"/>
    <w:rsid w:val="00381F06"/>
    <w:rsid w:val="00383E54"/>
    <w:rsid w:val="00385140"/>
    <w:rsid w:val="00390232"/>
    <w:rsid w:val="00393CC7"/>
    <w:rsid w:val="00396302"/>
    <w:rsid w:val="003971F7"/>
    <w:rsid w:val="00397998"/>
    <w:rsid w:val="003A16FC"/>
    <w:rsid w:val="003A2C8A"/>
    <w:rsid w:val="003A4FCD"/>
    <w:rsid w:val="003B01E7"/>
    <w:rsid w:val="003B0944"/>
    <w:rsid w:val="003B1593"/>
    <w:rsid w:val="003B4381"/>
    <w:rsid w:val="003C1043"/>
    <w:rsid w:val="003C1A30"/>
    <w:rsid w:val="003C5505"/>
    <w:rsid w:val="003C6779"/>
    <w:rsid w:val="003C71BE"/>
    <w:rsid w:val="003D033C"/>
    <w:rsid w:val="003D2998"/>
    <w:rsid w:val="003D2F0A"/>
    <w:rsid w:val="003D3891"/>
    <w:rsid w:val="003D3FE9"/>
    <w:rsid w:val="003D5D84"/>
    <w:rsid w:val="003E0A90"/>
    <w:rsid w:val="003E0F4F"/>
    <w:rsid w:val="003E18AC"/>
    <w:rsid w:val="003E210B"/>
    <w:rsid w:val="003E2A12"/>
    <w:rsid w:val="003E3384"/>
    <w:rsid w:val="003E3CA4"/>
    <w:rsid w:val="003E4CCA"/>
    <w:rsid w:val="003E548E"/>
    <w:rsid w:val="00407EC8"/>
    <w:rsid w:val="0041110A"/>
    <w:rsid w:val="00411624"/>
    <w:rsid w:val="004148E1"/>
    <w:rsid w:val="00414CFA"/>
    <w:rsid w:val="00415EC0"/>
    <w:rsid w:val="00416764"/>
    <w:rsid w:val="00420BE9"/>
    <w:rsid w:val="00423AD8"/>
    <w:rsid w:val="00423FDD"/>
    <w:rsid w:val="00424C85"/>
    <w:rsid w:val="004260BD"/>
    <w:rsid w:val="00430012"/>
    <w:rsid w:val="0043012F"/>
    <w:rsid w:val="00430F1F"/>
    <w:rsid w:val="004326EA"/>
    <w:rsid w:val="0043410D"/>
    <w:rsid w:val="00436869"/>
    <w:rsid w:val="00436D7D"/>
    <w:rsid w:val="0044434C"/>
    <w:rsid w:val="0044456B"/>
    <w:rsid w:val="00447BD1"/>
    <w:rsid w:val="004507F3"/>
    <w:rsid w:val="00450AF4"/>
    <w:rsid w:val="00456A57"/>
    <w:rsid w:val="00460377"/>
    <w:rsid w:val="004607DE"/>
    <w:rsid w:val="00464CEB"/>
    <w:rsid w:val="004671C7"/>
    <w:rsid w:val="00472F4D"/>
    <w:rsid w:val="004730BF"/>
    <w:rsid w:val="00474DCB"/>
    <w:rsid w:val="0047535C"/>
    <w:rsid w:val="004762F6"/>
    <w:rsid w:val="004776CB"/>
    <w:rsid w:val="0048164D"/>
    <w:rsid w:val="00485870"/>
    <w:rsid w:val="00485FE8"/>
    <w:rsid w:val="00492473"/>
    <w:rsid w:val="00492EB5"/>
    <w:rsid w:val="00494F77"/>
    <w:rsid w:val="00494F8A"/>
    <w:rsid w:val="0049628E"/>
    <w:rsid w:val="00497721"/>
    <w:rsid w:val="004A0229"/>
    <w:rsid w:val="004A35D2"/>
    <w:rsid w:val="004A52FA"/>
    <w:rsid w:val="004A5D8E"/>
    <w:rsid w:val="004A64A9"/>
    <w:rsid w:val="004A71E4"/>
    <w:rsid w:val="004A7FB4"/>
    <w:rsid w:val="004B0B4E"/>
    <w:rsid w:val="004B0D43"/>
    <w:rsid w:val="004B2F00"/>
    <w:rsid w:val="004B4237"/>
    <w:rsid w:val="004B667A"/>
    <w:rsid w:val="004B6E31"/>
    <w:rsid w:val="004C1D66"/>
    <w:rsid w:val="004C31D7"/>
    <w:rsid w:val="004C4AD2"/>
    <w:rsid w:val="004C5A85"/>
    <w:rsid w:val="004C6981"/>
    <w:rsid w:val="004C6B3D"/>
    <w:rsid w:val="004D1550"/>
    <w:rsid w:val="004D1F21"/>
    <w:rsid w:val="004D268C"/>
    <w:rsid w:val="004D59D8"/>
    <w:rsid w:val="004D5DA1"/>
    <w:rsid w:val="004D7910"/>
    <w:rsid w:val="004E150F"/>
    <w:rsid w:val="004E1DCA"/>
    <w:rsid w:val="004E23A1"/>
    <w:rsid w:val="004E3489"/>
    <w:rsid w:val="004E358A"/>
    <w:rsid w:val="004E3AFA"/>
    <w:rsid w:val="004E469F"/>
    <w:rsid w:val="004E6588"/>
    <w:rsid w:val="004F2742"/>
    <w:rsid w:val="00500697"/>
    <w:rsid w:val="00502A0A"/>
    <w:rsid w:val="00507C50"/>
    <w:rsid w:val="00511DDD"/>
    <w:rsid w:val="00514D40"/>
    <w:rsid w:val="0051612F"/>
    <w:rsid w:val="00517C3A"/>
    <w:rsid w:val="0052416D"/>
    <w:rsid w:val="00527BF4"/>
    <w:rsid w:val="005324BE"/>
    <w:rsid w:val="00532E84"/>
    <w:rsid w:val="00534C60"/>
    <w:rsid w:val="00534F6C"/>
    <w:rsid w:val="00535994"/>
    <w:rsid w:val="0053646D"/>
    <w:rsid w:val="00536D67"/>
    <w:rsid w:val="00540AAD"/>
    <w:rsid w:val="00543BB2"/>
    <w:rsid w:val="00543EC1"/>
    <w:rsid w:val="00546458"/>
    <w:rsid w:val="0055087C"/>
    <w:rsid w:val="00553413"/>
    <w:rsid w:val="005557AA"/>
    <w:rsid w:val="00555983"/>
    <w:rsid w:val="00560E31"/>
    <w:rsid w:val="00561BDA"/>
    <w:rsid w:val="0056787B"/>
    <w:rsid w:val="00567DBF"/>
    <w:rsid w:val="00571539"/>
    <w:rsid w:val="005819B8"/>
    <w:rsid w:val="00581B23"/>
    <w:rsid w:val="0058219C"/>
    <w:rsid w:val="0058707F"/>
    <w:rsid w:val="00591DBD"/>
    <w:rsid w:val="005931FE"/>
    <w:rsid w:val="00596C2E"/>
    <w:rsid w:val="005A0028"/>
    <w:rsid w:val="005A0ACC"/>
    <w:rsid w:val="005A2F7A"/>
    <w:rsid w:val="005B0072"/>
    <w:rsid w:val="005B0732"/>
    <w:rsid w:val="005B38A0"/>
    <w:rsid w:val="005B491C"/>
    <w:rsid w:val="005B4DBF"/>
    <w:rsid w:val="005B5DE2"/>
    <w:rsid w:val="005B62E7"/>
    <w:rsid w:val="005B674C"/>
    <w:rsid w:val="005C24F2"/>
    <w:rsid w:val="005C4FB2"/>
    <w:rsid w:val="005C69DE"/>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20C2"/>
    <w:rsid w:val="00613116"/>
    <w:rsid w:val="006202A6"/>
    <w:rsid w:val="0062054B"/>
    <w:rsid w:val="00620926"/>
    <w:rsid w:val="00621C4E"/>
    <w:rsid w:val="00624A42"/>
    <w:rsid w:val="00624EAE"/>
    <w:rsid w:val="006305D7"/>
    <w:rsid w:val="006320C8"/>
    <w:rsid w:val="00632F63"/>
    <w:rsid w:val="00633A01"/>
    <w:rsid w:val="00633B97"/>
    <w:rsid w:val="006341F7"/>
    <w:rsid w:val="00634585"/>
    <w:rsid w:val="00634C66"/>
    <w:rsid w:val="00635014"/>
    <w:rsid w:val="006367B5"/>
    <w:rsid w:val="006369CE"/>
    <w:rsid w:val="006411CA"/>
    <w:rsid w:val="00642845"/>
    <w:rsid w:val="006450C9"/>
    <w:rsid w:val="0064605E"/>
    <w:rsid w:val="006517B9"/>
    <w:rsid w:val="00654CEF"/>
    <w:rsid w:val="00656999"/>
    <w:rsid w:val="00657BC4"/>
    <w:rsid w:val="006619C8"/>
    <w:rsid w:val="00664AA3"/>
    <w:rsid w:val="00671710"/>
    <w:rsid w:val="00673414"/>
    <w:rsid w:val="006755AF"/>
    <w:rsid w:val="00676079"/>
    <w:rsid w:val="00676ECD"/>
    <w:rsid w:val="00677753"/>
    <w:rsid w:val="00677D0A"/>
    <w:rsid w:val="0068185F"/>
    <w:rsid w:val="0068323E"/>
    <w:rsid w:val="0068461E"/>
    <w:rsid w:val="00685AB4"/>
    <w:rsid w:val="0068703E"/>
    <w:rsid w:val="006A01CF"/>
    <w:rsid w:val="006A03E5"/>
    <w:rsid w:val="006A60DD"/>
    <w:rsid w:val="006B01C5"/>
    <w:rsid w:val="006B0679"/>
    <w:rsid w:val="006B074C"/>
    <w:rsid w:val="006B39EC"/>
    <w:rsid w:val="006B3B84"/>
    <w:rsid w:val="006B4E7C"/>
    <w:rsid w:val="006B5D8C"/>
    <w:rsid w:val="006B650E"/>
    <w:rsid w:val="006B72D4"/>
    <w:rsid w:val="006C11CC"/>
    <w:rsid w:val="006C1AEB"/>
    <w:rsid w:val="006C57FE"/>
    <w:rsid w:val="006C668E"/>
    <w:rsid w:val="006D3DEA"/>
    <w:rsid w:val="006E4B63"/>
    <w:rsid w:val="006E6362"/>
    <w:rsid w:val="006F06E4"/>
    <w:rsid w:val="006F286B"/>
    <w:rsid w:val="006F614A"/>
    <w:rsid w:val="006F7B41"/>
    <w:rsid w:val="00702B5D"/>
    <w:rsid w:val="00703ED2"/>
    <w:rsid w:val="00706E68"/>
    <w:rsid w:val="00707B8D"/>
    <w:rsid w:val="00713636"/>
    <w:rsid w:val="00714B8C"/>
    <w:rsid w:val="0071675D"/>
    <w:rsid w:val="00717736"/>
    <w:rsid w:val="00731E60"/>
    <w:rsid w:val="00732B47"/>
    <w:rsid w:val="00735CF5"/>
    <w:rsid w:val="00737234"/>
    <w:rsid w:val="0074063A"/>
    <w:rsid w:val="00742AA4"/>
    <w:rsid w:val="00743BA1"/>
    <w:rsid w:val="00745F1E"/>
    <w:rsid w:val="00747057"/>
    <w:rsid w:val="007515FE"/>
    <w:rsid w:val="00756DB5"/>
    <w:rsid w:val="007601D0"/>
    <w:rsid w:val="007603BB"/>
    <w:rsid w:val="0076109D"/>
    <w:rsid w:val="00764A5A"/>
    <w:rsid w:val="00767107"/>
    <w:rsid w:val="00773617"/>
    <w:rsid w:val="00773BFD"/>
    <w:rsid w:val="007743B3"/>
    <w:rsid w:val="00774490"/>
    <w:rsid w:val="0077581E"/>
    <w:rsid w:val="007819FF"/>
    <w:rsid w:val="0078360C"/>
    <w:rsid w:val="00784A4C"/>
    <w:rsid w:val="00784BC6"/>
    <w:rsid w:val="0078523D"/>
    <w:rsid w:val="007875BA"/>
    <w:rsid w:val="007931DF"/>
    <w:rsid w:val="007A0172"/>
    <w:rsid w:val="007A1804"/>
    <w:rsid w:val="007A215A"/>
    <w:rsid w:val="007A2511"/>
    <w:rsid w:val="007A260E"/>
    <w:rsid w:val="007A4D4C"/>
    <w:rsid w:val="007A4DD6"/>
    <w:rsid w:val="007A5CB9"/>
    <w:rsid w:val="007A70B5"/>
    <w:rsid w:val="007B20AE"/>
    <w:rsid w:val="007B6B07"/>
    <w:rsid w:val="007B6D43"/>
    <w:rsid w:val="007B749A"/>
    <w:rsid w:val="007B7C6E"/>
    <w:rsid w:val="007D44D7"/>
    <w:rsid w:val="007D47A3"/>
    <w:rsid w:val="007D4A56"/>
    <w:rsid w:val="007D621A"/>
    <w:rsid w:val="007E058A"/>
    <w:rsid w:val="007E2887"/>
    <w:rsid w:val="007E2BAA"/>
    <w:rsid w:val="007E5278"/>
    <w:rsid w:val="007E749C"/>
    <w:rsid w:val="007F1B5C"/>
    <w:rsid w:val="00801257"/>
    <w:rsid w:val="00803B0A"/>
    <w:rsid w:val="00804D86"/>
    <w:rsid w:val="00804DED"/>
    <w:rsid w:val="00805B96"/>
    <w:rsid w:val="00806F60"/>
    <w:rsid w:val="00810298"/>
    <w:rsid w:val="008105BE"/>
    <w:rsid w:val="008115A5"/>
    <w:rsid w:val="00811D46"/>
    <w:rsid w:val="0081415D"/>
    <w:rsid w:val="0081741A"/>
    <w:rsid w:val="00820229"/>
    <w:rsid w:val="00822448"/>
    <w:rsid w:val="00822ABE"/>
    <w:rsid w:val="008244D1"/>
    <w:rsid w:val="00827F51"/>
    <w:rsid w:val="0083104E"/>
    <w:rsid w:val="008343BE"/>
    <w:rsid w:val="00835EC9"/>
    <w:rsid w:val="00836535"/>
    <w:rsid w:val="00840FB4"/>
    <w:rsid w:val="008410B2"/>
    <w:rsid w:val="00841780"/>
    <w:rsid w:val="008500A0"/>
    <w:rsid w:val="008524E5"/>
    <w:rsid w:val="0085351C"/>
    <w:rsid w:val="0085435A"/>
    <w:rsid w:val="008549CA"/>
    <w:rsid w:val="00854B47"/>
    <w:rsid w:val="008556C3"/>
    <w:rsid w:val="0085687C"/>
    <w:rsid w:val="0086074F"/>
    <w:rsid w:val="008611C1"/>
    <w:rsid w:val="0086321C"/>
    <w:rsid w:val="00864001"/>
    <w:rsid w:val="008674D8"/>
    <w:rsid w:val="00867D27"/>
    <w:rsid w:val="008706C5"/>
    <w:rsid w:val="00873707"/>
    <w:rsid w:val="00874B20"/>
    <w:rsid w:val="008757C6"/>
    <w:rsid w:val="008763E1"/>
    <w:rsid w:val="00877445"/>
    <w:rsid w:val="0087775C"/>
    <w:rsid w:val="00877EC8"/>
    <w:rsid w:val="00880F36"/>
    <w:rsid w:val="00885093"/>
    <w:rsid w:val="00885530"/>
    <w:rsid w:val="008910D1"/>
    <w:rsid w:val="0089296C"/>
    <w:rsid w:val="00893F9D"/>
    <w:rsid w:val="00896ABD"/>
    <w:rsid w:val="00897AB6"/>
    <w:rsid w:val="00897DA8"/>
    <w:rsid w:val="008A3380"/>
    <w:rsid w:val="008A5243"/>
    <w:rsid w:val="008A68A9"/>
    <w:rsid w:val="008A7A9C"/>
    <w:rsid w:val="008B0443"/>
    <w:rsid w:val="008B1ABB"/>
    <w:rsid w:val="008B1C99"/>
    <w:rsid w:val="008B26D1"/>
    <w:rsid w:val="008B3C0A"/>
    <w:rsid w:val="008B5218"/>
    <w:rsid w:val="008B6F1F"/>
    <w:rsid w:val="008B7102"/>
    <w:rsid w:val="008C3B7D"/>
    <w:rsid w:val="008C7DF2"/>
    <w:rsid w:val="008D0F90"/>
    <w:rsid w:val="008D3715"/>
    <w:rsid w:val="008D5465"/>
    <w:rsid w:val="008D5E61"/>
    <w:rsid w:val="008D7EB7"/>
    <w:rsid w:val="008D7EC5"/>
    <w:rsid w:val="008E08E5"/>
    <w:rsid w:val="008E3684"/>
    <w:rsid w:val="008E57F5"/>
    <w:rsid w:val="008E7606"/>
    <w:rsid w:val="008E77E9"/>
    <w:rsid w:val="008F17B7"/>
    <w:rsid w:val="008F1DAA"/>
    <w:rsid w:val="008F3EBD"/>
    <w:rsid w:val="008F60B2"/>
    <w:rsid w:val="008F6EBB"/>
    <w:rsid w:val="008F7C41"/>
    <w:rsid w:val="00901083"/>
    <w:rsid w:val="00901C70"/>
    <w:rsid w:val="009031E2"/>
    <w:rsid w:val="00903EC3"/>
    <w:rsid w:val="0091276C"/>
    <w:rsid w:val="009145BE"/>
    <w:rsid w:val="009165AC"/>
    <w:rsid w:val="00916FFC"/>
    <w:rsid w:val="0092053F"/>
    <w:rsid w:val="0092340A"/>
    <w:rsid w:val="00925A70"/>
    <w:rsid w:val="009313D9"/>
    <w:rsid w:val="00935B7F"/>
    <w:rsid w:val="00940265"/>
    <w:rsid w:val="00941293"/>
    <w:rsid w:val="00945175"/>
    <w:rsid w:val="00946372"/>
    <w:rsid w:val="00946A41"/>
    <w:rsid w:val="0095032B"/>
    <w:rsid w:val="00950B13"/>
    <w:rsid w:val="00950C17"/>
    <w:rsid w:val="00951FAF"/>
    <w:rsid w:val="00954740"/>
    <w:rsid w:val="009557BC"/>
    <w:rsid w:val="00955AE5"/>
    <w:rsid w:val="009604F3"/>
    <w:rsid w:val="00962E71"/>
    <w:rsid w:val="00963ABC"/>
    <w:rsid w:val="00965D21"/>
    <w:rsid w:val="00967764"/>
    <w:rsid w:val="00970B0E"/>
    <w:rsid w:val="00970BB9"/>
    <w:rsid w:val="009726EE"/>
    <w:rsid w:val="00972CDE"/>
    <w:rsid w:val="009733DD"/>
    <w:rsid w:val="00975573"/>
    <w:rsid w:val="00976D03"/>
    <w:rsid w:val="00976D3E"/>
    <w:rsid w:val="00977B30"/>
    <w:rsid w:val="009807F6"/>
    <w:rsid w:val="00980DFD"/>
    <w:rsid w:val="00981F5A"/>
    <w:rsid w:val="00982F41"/>
    <w:rsid w:val="00985090"/>
    <w:rsid w:val="00987710"/>
    <w:rsid w:val="009904AB"/>
    <w:rsid w:val="00991C2B"/>
    <w:rsid w:val="009925C4"/>
    <w:rsid w:val="00995688"/>
    <w:rsid w:val="009958A6"/>
    <w:rsid w:val="00996456"/>
    <w:rsid w:val="009A04F5"/>
    <w:rsid w:val="009A15EF"/>
    <w:rsid w:val="009A24E9"/>
    <w:rsid w:val="009A38A5"/>
    <w:rsid w:val="009A4990"/>
    <w:rsid w:val="009A4EC0"/>
    <w:rsid w:val="009A5B73"/>
    <w:rsid w:val="009B118B"/>
    <w:rsid w:val="009B1737"/>
    <w:rsid w:val="009B3649"/>
    <w:rsid w:val="009B3D4B"/>
    <w:rsid w:val="009B4776"/>
    <w:rsid w:val="009B4E63"/>
    <w:rsid w:val="009B5B99"/>
    <w:rsid w:val="009B6EFC"/>
    <w:rsid w:val="009C0772"/>
    <w:rsid w:val="009C1FD0"/>
    <w:rsid w:val="009C2DF8"/>
    <w:rsid w:val="009C31BF"/>
    <w:rsid w:val="009C68B7"/>
    <w:rsid w:val="009D0834"/>
    <w:rsid w:val="009D095A"/>
    <w:rsid w:val="009D0A1E"/>
    <w:rsid w:val="009D2AE3"/>
    <w:rsid w:val="009D3EBA"/>
    <w:rsid w:val="009D52BC"/>
    <w:rsid w:val="009D7D0A"/>
    <w:rsid w:val="009E09D9"/>
    <w:rsid w:val="009E2093"/>
    <w:rsid w:val="009F01B1"/>
    <w:rsid w:val="009F0DBB"/>
    <w:rsid w:val="009F1DB1"/>
    <w:rsid w:val="009F3887"/>
    <w:rsid w:val="009F40DC"/>
    <w:rsid w:val="009F659A"/>
    <w:rsid w:val="009F732B"/>
    <w:rsid w:val="00A008CE"/>
    <w:rsid w:val="00A01FE0"/>
    <w:rsid w:val="00A06945"/>
    <w:rsid w:val="00A10656"/>
    <w:rsid w:val="00A113C0"/>
    <w:rsid w:val="00A12533"/>
    <w:rsid w:val="00A12FA6"/>
    <w:rsid w:val="00A1339B"/>
    <w:rsid w:val="00A14ABA"/>
    <w:rsid w:val="00A21097"/>
    <w:rsid w:val="00A22CF9"/>
    <w:rsid w:val="00A23970"/>
    <w:rsid w:val="00A2492A"/>
    <w:rsid w:val="00A24CB6"/>
    <w:rsid w:val="00A25865"/>
    <w:rsid w:val="00A26CD2"/>
    <w:rsid w:val="00A27667"/>
    <w:rsid w:val="00A31F59"/>
    <w:rsid w:val="00A32979"/>
    <w:rsid w:val="00A32B59"/>
    <w:rsid w:val="00A34A67"/>
    <w:rsid w:val="00A37462"/>
    <w:rsid w:val="00A459E1"/>
    <w:rsid w:val="00A46AC4"/>
    <w:rsid w:val="00A478A5"/>
    <w:rsid w:val="00A47BF9"/>
    <w:rsid w:val="00A52296"/>
    <w:rsid w:val="00A52A7D"/>
    <w:rsid w:val="00A53499"/>
    <w:rsid w:val="00A55661"/>
    <w:rsid w:val="00A55FDA"/>
    <w:rsid w:val="00A61B70"/>
    <w:rsid w:val="00A61FA8"/>
    <w:rsid w:val="00A6312F"/>
    <w:rsid w:val="00A637F4"/>
    <w:rsid w:val="00A64DF2"/>
    <w:rsid w:val="00A65485"/>
    <w:rsid w:val="00A66E05"/>
    <w:rsid w:val="00A67655"/>
    <w:rsid w:val="00A70753"/>
    <w:rsid w:val="00A712D2"/>
    <w:rsid w:val="00A71675"/>
    <w:rsid w:val="00A751F2"/>
    <w:rsid w:val="00A82C8A"/>
    <w:rsid w:val="00A8346B"/>
    <w:rsid w:val="00A852FF"/>
    <w:rsid w:val="00A85CA0"/>
    <w:rsid w:val="00A85D83"/>
    <w:rsid w:val="00A87337"/>
    <w:rsid w:val="00A90C97"/>
    <w:rsid w:val="00A92DDC"/>
    <w:rsid w:val="00A960C8"/>
    <w:rsid w:val="00A96604"/>
    <w:rsid w:val="00AA03DF"/>
    <w:rsid w:val="00AA1763"/>
    <w:rsid w:val="00AA1B4F"/>
    <w:rsid w:val="00AA21D8"/>
    <w:rsid w:val="00AA271A"/>
    <w:rsid w:val="00AA3270"/>
    <w:rsid w:val="00AA375A"/>
    <w:rsid w:val="00AA54F3"/>
    <w:rsid w:val="00AA671F"/>
    <w:rsid w:val="00AA6B43"/>
    <w:rsid w:val="00AA720D"/>
    <w:rsid w:val="00AA7B1F"/>
    <w:rsid w:val="00AB3145"/>
    <w:rsid w:val="00AB367A"/>
    <w:rsid w:val="00AB5910"/>
    <w:rsid w:val="00AB5DB6"/>
    <w:rsid w:val="00AB7BF8"/>
    <w:rsid w:val="00AC01D1"/>
    <w:rsid w:val="00AC0AB2"/>
    <w:rsid w:val="00AC0E9F"/>
    <w:rsid w:val="00AC52A5"/>
    <w:rsid w:val="00AC55C1"/>
    <w:rsid w:val="00AC6EFD"/>
    <w:rsid w:val="00AC7151"/>
    <w:rsid w:val="00AC7AFD"/>
    <w:rsid w:val="00AD460A"/>
    <w:rsid w:val="00AD4EAF"/>
    <w:rsid w:val="00AD59E6"/>
    <w:rsid w:val="00AD6A05"/>
    <w:rsid w:val="00AE0792"/>
    <w:rsid w:val="00AE097C"/>
    <w:rsid w:val="00AE118B"/>
    <w:rsid w:val="00AE272B"/>
    <w:rsid w:val="00AE3E3A"/>
    <w:rsid w:val="00AE549A"/>
    <w:rsid w:val="00AE6049"/>
    <w:rsid w:val="00AE77B4"/>
    <w:rsid w:val="00AE78BA"/>
    <w:rsid w:val="00AE7C1A"/>
    <w:rsid w:val="00AE7DF8"/>
    <w:rsid w:val="00AF0D9C"/>
    <w:rsid w:val="00AF13AB"/>
    <w:rsid w:val="00AF1D36"/>
    <w:rsid w:val="00AF280B"/>
    <w:rsid w:val="00AF5B7A"/>
    <w:rsid w:val="00AF5F75"/>
    <w:rsid w:val="00AF6001"/>
    <w:rsid w:val="00B009B3"/>
    <w:rsid w:val="00B01A16"/>
    <w:rsid w:val="00B06C33"/>
    <w:rsid w:val="00B079FE"/>
    <w:rsid w:val="00B07F45"/>
    <w:rsid w:val="00B1021A"/>
    <w:rsid w:val="00B10271"/>
    <w:rsid w:val="00B13C43"/>
    <w:rsid w:val="00B140D9"/>
    <w:rsid w:val="00B1481A"/>
    <w:rsid w:val="00B15A1F"/>
    <w:rsid w:val="00B15FE9"/>
    <w:rsid w:val="00B211D8"/>
    <w:rsid w:val="00B2148A"/>
    <w:rsid w:val="00B220C2"/>
    <w:rsid w:val="00B2276E"/>
    <w:rsid w:val="00B23512"/>
    <w:rsid w:val="00B25B32"/>
    <w:rsid w:val="00B32616"/>
    <w:rsid w:val="00B36AF0"/>
    <w:rsid w:val="00B36C42"/>
    <w:rsid w:val="00B374CC"/>
    <w:rsid w:val="00B42EA7"/>
    <w:rsid w:val="00B44E6E"/>
    <w:rsid w:val="00B51845"/>
    <w:rsid w:val="00B51923"/>
    <w:rsid w:val="00B5337C"/>
    <w:rsid w:val="00B53FDE"/>
    <w:rsid w:val="00B540B2"/>
    <w:rsid w:val="00B54264"/>
    <w:rsid w:val="00B56397"/>
    <w:rsid w:val="00B566F6"/>
    <w:rsid w:val="00B571DA"/>
    <w:rsid w:val="00B6027B"/>
    <w:rsid w:val="00B6070F"/>
    <w:rsid w:val="00B62F09"/>
    <w:rsid w:val="00B63160"/>
    <w:rsid w:val="00B636C8"/>
    <w:rsid w:val="00B65EDB"/>
    <w:rsid w:val="00B67AFF"/>
    <w:rsid w:val="00B67C41"/>
    <w:rsid w:val="00B70B59"/>
    <w:rsid w:val="00B73657"/>
    <w:rsid w:val="00B739B3"/>
    <w:rsid w:val="00B81B15"/>
    <w:rsid w:val="00B915AE"/>
    <w:rsid w:val="00B93500"/>
    <w:rsid w:val="00BA1735"/>
    <w:rsid w:val="00BA1924"/>
    <w:rsid w:val="00BA19FA"/>
    <w:rsid w:val="00BA4288"/>
    <w:rsid w:val="00BA7D6D"/>
    <w:rsid w:val="00BB0902"/>
    <w:rsid w:val="00BB1F9C"/>
    <w:rsid w:val="00BB48E5"/>
    <w:rsid w:val="00BB5607"/>
    <w:rsid w:val="00BB5ACA"/>
    <w:rsid w:val="00BB627F"/>
    <w:rsid w:val="00BC0C17"/>
    <w:rsid w:val="00BC3823"/>
    <w:rsid w:val="00BC5841"/>
    <w:rsid w:val="00BC5E38"/>
    <w:rsid w:val="00BD12B0"/>
    <w:rsid w:val="00BD201A"/>
    <w:rsid w:val="00BD2DC4"/>
    <w:rsid w:val="00BD2EF0"/>
    <w:rsid w:val="00BD60B4"/>
    <w:rsid w:val="00BD724E"/>
    <w:rsid w:val="00BD796B"/>
    <w:rsid w:val="00BE3A55"/>
    <w:rsid w:val="00BE40C0"/>
    <w:rsid w:val="00BE445C"/>
    <w:rsid w:val="00BE5F4A"/>
    <w:rsid w:val="00BE7238"/>
    <w:rsid w:val="00BE79DD"/>
    <w:rsid w:val="00BE7AEF"/>
    <w:rsid w:val="00BF09B0"/>
    <w:rsid w:val="00BF1544"/>
    <w:rsid w:val="00BF1B53"/>
    <w:rsid w:val="00BF246D"/>
    <w:rsid w:val="00BF2682"/>
    <w:rsid w:val="00BF3CDA"/>
    <w:rsid w:val="00C06F06"/>
    <w:rsid w:val="00C17BFF"/>
    <w:rsid w:val="00C20FAD"/>
    <w:rsid w:val="00C22417"/>
    <w:rsid w:val="00C2375F"/>
    <w:rsid w:val="00C247CB"/>
    <w:rsid w:val="00C261CB"/>
    <w:rsid w:val="00C32E66"/>
    <w:rsid w:val="00C3355F"/>
    <w:rsid w:val="00C33A04"/>
    <w:rsid w:val="00C3569A"/>
    <w:rsid w:val="00C40935"/>
    <w:rsid w:val="00C43F48"/>
    <w:rsid w:val="00C448FF"/>
    <w:rsid w:val="00C44ACB"/>
    <w:rsid w:val="00C45E57"/>
    <w:rsid w:val="00C51236"/>
    <w:rsid w:val="00C52F29"/>
    <w:rsid w:val="00C56CE6"/>
    <w:rsid w:val="00C5745F"/>
    <w:rsid w:val="00C60005"/>
    <w:rsid w:val="00C60A55"/>
    <w:rsid w:val="00C60BFF"/>
    <w:rsid w:val="00C61A98"/>
    <w:rsid w:val="00C63201"/>
    <w:rsid w:val="00C64E62"/>
    <w:rsid w:val="00C651D5"/>
    <w:rsid w:val="00C65B18"/>
    <w:rsid w:val="00C65CCC"/>
    <w:rsid w:val="00C65DA9"/>
    <w:rsid w:val="00C7201F"/>
    <w:rsid w:val="00C7618F"/>
    <w:rsid w:val="00C765A9"/>
    <w:rsid w:val="00C76BF8"/>
    <w:rsid w:val="00C81157"/>
    <w:rsid w:val="00C8162D"/>
    <w:rsid w:val="00C830BB"/>
    <w:rsid w:val="00C83A0B"/>
    <w:rsid w:val="00C842D0"/>
    <w:rsid w:val="00C84ED1"/>
    <w:rsid w:val="00C863CC"/>
    <w:rsid w:val="00C86BCC"/>
    <w:rsid w:val="00C9038F"/>
    <w:rsid w:val="00C92AAB"/>
    <w:rsid w:val="00C95D4C"/>
    <w:rsid w:val="00C9637F"/>
    <w:rsid w:val="00C9708A"/>
    <w:rsid w:val="00CA06C5"/>
    <w:rsid w:val="00CA2435"/>
    <w:rsid w:val="00CA4068"/>
    <w:rsid w:val="00CA67F4"/>
    <w:rsid w:val="00CB37F8"/>
    <w:rsid w:val="00CB536B"/>
    <w:rsid w:val="00CB7C82"/>
    <w:rsid w:val="00CB7DC3"/>
    <w:rsid w:val="00CC5BE1"/>
    <w:rsid w:val="00CC75A2"/>
    <w:rsid w:val="00CC7A18"/>
    <w:rsid w:val="00CD0E2F"/>
    <w:rsid w:val="00CD1D49"/>
    <w:rsid w:val="00CD2F20"/>
    <w:rsid w:val="00CD377A"/>
    <w:rsid w:val="00CD439A"/>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5909"/>
    <w:rsid w:val="00D16FA2"/>
    <w:rsid w:val="00D20882"/>
    <w:rsid w:val="00D20954"/>
    <w:rsid w:val="00D21C39"/>
    <w:rsid w:val="00D21FC6"/>
    <w:rsid w:val="00D2243A"/>
    <w:rsid w:val="00D236C0"/>
    <w:rsid w:val="00D27CE9"/>
    <w:rsid w:val="00D33393"/>
    <w:rsid w:val="00D33D36"/>
    <w:rsid w:val="00D34D94"/>
    <w:rsid w:val="00D409E2"/>
    <w:rsid w:val="00D427D7"/>
    <w:rsid w:val="00D44E62"/>
    <w:rsid w:val="00D44F38"/>
    <w:rsid w:val="00D51570"/>
    <w:rsid w:val="00D51820"/>
    <w:rsid w:val="00D556AD"/>
    <w:rsid w:val="00D60381"/>
    <w:rsid w:val="00D616DE"/>
    <w:rsid w:val="00D62201"/>
    <w:rsid w:val="00D651D1"/>
    <w:rsid w:val="00D6738F"/>
    <w:rsid w:val="00D717BB"/>
    <w:rsid w:val="00D7226B"/>
    <w:rsid w:val="00D72707"/>
    <w:rsid w:val="00D75A9C"/>
    <w:rsid w:val="00D829C8"/>
    <w:rsid w:val="00D83307"/>
    <w:rsid w:val="00D873FC"/>
    <w:rsid w:val="00D87917"/>
    <w:rsid w:val="00D90871"/>
    <w:rsid w:val="00D9155F"/>
    <w:rsid w:val="00D91FDB"/>
    <w:rsid w:val="00D920D7"/>
    <w:rsid w:val="00D9403F"/>
    <w:rsid w:val="00D945D5"/>
    <w:rsid w:val="00D959B4"/>
    <w:rsid w:val="00D97DDF"/>
    <w:rsid w:val="00DA04D9"/>
    <w:rsid w:val="00DA1409"/>
    <w:rsid w:val="00DA44DE"/>
    <w:rsid w:val="00DA750B"/>
    <w:rsid w:val="00DB1307"/>
    <w:rsid w:val="00DB620A"/>
    <w:rsid w:val="00DC0575"/>
    <w:rsid w:val="00DC128F"/>
    <w:rsid w:val="00DC3832"/>
    <w:rsid w:val="00DC7A51"/>
    <w:rsid w:val="00DD3B1E"/>
    <w:rsid w:val="00DE06B2"/>
    <w:rsid w:val="00DE0920"/>
    <w:rsid w:val="00DE5B5F"/>
    <w:rsid w:val="00DF42CC"/>
    <w:rsid w:val="00DF614E"/>
    <w:rsid w:val="00DF7D2E"/>
    <w:rsid w:val="00E00696"/>
    <w:rsid w:val="00E02C64"/>
    <w:rsid w:val="00E03651"/>
    <w:rsid w:val="00E03808"/>
    <w:rsid w:val="00E060C2"/>
    <w:rsid w:val="00E06324"/>
    <w:rsid w:val="00E07B81"/>
    <w:rsid w:val="00E10AFD"/>
    <w:rsid w:val="00E12B11"/>
    <w:rsid w:val="00E12FB0"/>
    <w:rsid w:val="00E14814"/>
    <w:rsid w:val="00E1591B"/>
    <w:rsid w:val="00E16A50"/>
    <w:rsid w:val="00E249D5"/>
    <w:rsid w:val="00E25017"/>
    <w:rsid w:val="00E25683"/>
    <w:rsid w:val="00E26F73"/>
    <w:rsid w:val="00E30A34"/>
    <w:rsid w:val="00E33C68"/>
    <w:rsid w:val="00E34EEB"/>
    <w:rsid w:val="00E3687C"/>
    <w:rsid w:val="00E44EB9"/>
    <w:rsid w:val="00E45BDC"/>
    <w:rsid w:val="00E460B7"/>
    <w:rsid w:val="00E46358"/>
    <w:rsid w:val="00E4647B"/>
    <w:rsid w:val="00E471DC"/>
    <w:rsid w:val="00E50EB4"/>
    <w:rsid w:val="00E5239B"/>
    <w:rsid w:val="00E532FC"/>
    <w:rsid w:val="00E559B4"/>
    <w:rsid w:val="00E55BB0"/>
    <w:rsid w:val="00E609E5"/>
    <w:rsid w:val="00E60F27"/>
    <w:rsid w:val="00E62291"/>
    <w:rsid w:val="00E64D93"/>
    <w:rsid w:val="00E65EDB"/>
    <w:rsid w:val="00E66809"/>
    <w:rsid w:val="00E66927"/>
    <w:rsid w:val="00E66D2D"/>
    <w:rsid w:val="00E677B8"/>
    <w:rsid w:val="00E67E9E"/>
    <w:rsid w:val="00E67FA1"/>
    <w:rsid w:val="00E7115E"/>
    <w:rsid w:val="00E72A6F"/>
    <w:rsid w:val="00E7387D"/>
    <w:rsid w:val="00E73D53"/>
    <w:rsid w:val="00E750FC"/>
    <w:rsid w:val="00E75111"/>
    <w:rsid w:val="00E77296"/>
    <w:rsid w:val="00E81FDC"/>
    <w:rsid w:val="00E86C98"/>
    <w:rsid w:val="00E87527"/>
    <w:rsid w:val="00E87EF7"/>
    <w:rsid w:val="00E93763"/>
    <w:rsid w:val="00E94442"/>
    <w:rsid w:val="00E96C4C"/>
    <w:rsid w:val="00EA2AAE"/>
    <w:rsid w:val="00EA2EC0"/>
    <w:rsid w:val="00EA427A"/>
    <w:rsid w:val="00EA723B"/>
    <w:rsid w:val="00EB233E"/>
    <w:rsid w:val="00EB551D"/>
    <w:rsid w:val="00EB572B"/>
    <w:rsid w:val="00EB6350"/>
    <w:rsid w:val="00EB687A"/>
    <w:rsid w:val="00EC2975"/>
    <w:rsid w:val="00EC2F62"/>
    <w:rsid w:val="00EC62EB"/>
    <w:rsid w:val="00EC6E9F"/>
    <w:rsid w:val="00ED44F0"/>
    <w:rsid w:val="00ED4B33"/>
    <w:rsid w:val="00ED4BFC"/>
    <w:rsid w:val="00ED5993"/>
    <w:rsid w:val="00ED7DD6"/>
    <w:rsid w:val="00EE060B"/>
    <w:rsid w:val="00EE15A1"/>
    <w:rsid w:val="00EE1A60"/>
    <w:rsid w:val="00EE2A7C"/>
    <w:rsid w:val="00EE2C42"/>
    <w:rsid w:val="00EE341B"/>
    <w:rsid w:val="00EE4453"/>
    <w:rsid w:val="00EE5FCE"/>
    <w:rsid w:val="00EE6BBD"/>
    <w:rsid w:val="00EE6E1E"/>
    <w:rsid w:val="00EE705F"/>
    <w:rsid w:val="00EF1462"/>
    <w:rsid w:val="00EF330B"/>
    <w:rsid w:val="00EF33D0"/>
    <w:rsid w:val="00EF4A9B"/>
    <w:rsid w:val="00EF54FD"/>
    <w:rsid w:val="00EF64FC"/>
    <w:rsid w:val="00F00632"/>
    <w:rsid w:val="00F04ED5"/>
    <w:rsid w:val="00F07F0D"/>
    <w:rsid w:val="00F13112"/>
    <w:rsid w:val="00F16FE6"/>
    <w:rsid w:val="00F21EDD"/>
    <w:rsid w:val="00F238BD"/>
    <w:rsid w:val="00F24992"/>
    <w:rsid w:val="00F32D5D"/>
    <w:rsid w:val="00F32F2F"/>
    <w:rsid w:val="00F33C29"/>
    <w:rsid w:val="00F33F3F"/>
    <w:rsid w:val="00F340DC"/>
    <w:rsid w:val="00F35BDD"/>
    <w:rsid w:val="00F35EF0"/>
    <w:rsid w:val="00F3781F"/>
    <w:rsid w:val="00F403FD"/>
    <w:rsid w:val="00F412FC"/>
    <w:rsid w:val="00F41DE5"/>
    <w:rsid w:val="00F41E72"/>
    <w:rsid w:val="00F45BDF"/>
    <w:rsid w:val="00F50300"/>
    <w:rsid w:val="00F5414B"/>
    <w:rsid w:val="00F54C9D"/>
    <w:rsid w:val="00F56E39"/>
    <w:rsid w:val="00F60F61"/>
    <w:rsid w:val="00F623E9"/>
    <w:rsid w:val="00F631DA"/>
    <w:rsid w:val="00F63951"/>
    <w:rsid w:val="00F63C86"/>
    <w:rsid w:val="00F65FA1"/>
    <w:rsid w:val="00F73783"/>
    <w:rsid w:val="00F7567D"/>
    <w:rsid w:val="00F766BE"/>
    <w:rsid w:val="00F76E91"/>
    <w:rsid w:val="00F76E94"/>
    <w:rsid w:val="00F77EB9"/>
    <w:rsid w:val="00F80635"/>
    <w:rsid w:val="00F8115F"/>
    <w:rsid w:val="00F815D1"/>
    <w:rsid w:val="00F81E7E"/>
    <w:rsid w:val="00F81F0F"/>
    <w:rsid w:val="00F825F4"/>
    <w:rsid w:val="00F838DF"/>
    <w:rsid w:val="00F84E39"/>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2EC2"/>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CB536B"/>
    <w:rPr>
      <w:rFonts w:asciiTheme="minorHAnsi" w:eastAsiaTheme="minorHAnsi"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0B2"/>
    <w:rPr>
      <w:rFonts w:asciiTheme="minorHAnsi" w:eastAsiaTheme="minorHAnsi" w:hAnsiTheme="minorHAnsi" w:cstheme="minorBidi"/>
      <w:sz w:val="22"/>
      <w:szCs w:val="22"/>
      <w:lang w:val="es-ES"/>
    </w:rPr>
  </w:style>
  <w:style w:type="character" w:customStyle="1" w:styleId="NormalWebChar">
    <w:name w:val="Normal (Web) Char"/>
    <w:basedOn w:val="DefaultParagraphFont"/>
    <w:link w:val="NormalWeb"/>
    <w:uiPriority w:val="99"/>
    <w:rsid w:val="00197294"/>
    <w:rPr>
      <w:rFonts w:ascii="Calibri" w:hAnsi="Calibri" w:cs="Calibri"/>
      <w:color w:val="000000"/>
      <w:sz w:val="24"/>
      <w:szCs w:val="24"/>
    </w:rPr>
  </w:style>
  <w:style w:type="character" w:styleId="UnresolvedMention">
    <w:name w:val="Unresolved Mention"/>
    <w:basedOn w:val="DefaultParagraphFont"/>
    <w:uiPriority w:val="99"/>
    <w:semiHidden/>
    <w:unhideWhenUsed/>
    <w:rsid w:val="00534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519">
      <w:bodyDiv w:val="1"/>
      <w:marLeft w:val="0"/>
      <w:marRight w:val="0"/>
      <w:marTop w:val="0"/>
      <w:marBottom w:val="0"/>
      <w:divBdr>
        <w:top w:val="none" w:sz="0" w:space="0" w:color="auto"/>
        <w:left w:val="none" w:sz="0" w:space="0" w:color="auto"/>
        <w:bottom w:val="none" w:sz="0" w:space="0" w:color="auto"/>
        <w:right w:val="none" w:sz="0" w:space="0" w:color="auto"/>
      </w:divBdr>
      <w:divsChild>
        <w:div w:id="1516916843">
          <w:marLeft w:val="0"/>
          <w:marRight w:val="0"/>
          <w:marTop w:val="0"/>
          <w:marBottom w:val="0"/>
          <w:divBdr>
            <w:top w:val="none" w:sz="0" w:space="0" w:color="auto"/>
            <w:left w:val="none" w:sz="0" w:space="0" w:color="auto"/>
            <w:bottom w:val="none" w:sz="0" w:space="0" w:color="auto"/>
            <w:right w:val="none" w:sz="0" w:space="0" w:color="auto"/>
          </w:divBdr>
          <w:divsChild>
            <w:div w:id="1867792154">
              <w:marLeft w:val="-240"/>
              <w:marRight w:val="-240"/>
              <w:marTop w:val="0"/>
              <w:marBottom w:val="0"/>
              <w:divBdr>
                <w:top w:val="none" w:sz="0" w:space="0" w:color="auto"/>
                <w:left w:val="none" w:sz="0" w:space="0" w:color="auto"/>
                <w:bottom w:val="none" w:sz="0" w:space="0" w:color="auto"/>
                <w:right w:val="none" w:sz="0" w:space="0" w:color="auto"/>
              </w:divBdr>
              <w:divsChild>
                <w:div w:id="286202267">
                  <w:marLeft w:val="0"/>
                  <w:marRight w:val="0"/>
                  <w:marTop w:val="0"/>
                  <w:marBottom w:val="0"/>
                  <w:divBdr>
                    <w:top w:val="none" w:sz="0" w:space="0" w:color="auto"/>
                    <w:left w:val="none" w:sz="0" w:space="0" w:color="auto"/>
                    <w:bottom w:val="none" w:sz="0" w:space="0" w:color="auto"/>
                    <w:right w:val="none" w:sz="0" w:space="0" w:color="auto"/>
                  </w:divBdr>
                  <w:divsChild>
                    <w:div w:id="1144353046">
                      <w:marLeft w:val="0"/>
                      <w:marRight w:val="0"/>
                      <w:marTop w:val="0"/>
                      <w:marBottom w:val="0"/>
                      <w:divBdr>
                        <w:top w:val="none" w:sz="0" w:space="0" w:color="auto"/>
                        <w:left w:val="none" w:sz="0" w:space="0" w:color="auto"/>
                        <w:bottom w:val="none" w:sz="0" w:space="0" w:color="auto"/>
                        <w:right w:val="none" w:sz="0" w:space="0" w:color="auto"/>
                      </w:divBdr>
                    </w:div>
                    <w:div w:id="789200290">
                      <w:marLeft w:val="0"/>
                      <w:marRight w:val="0"/>
                      <w:marTop w:val="0"/>
                      <w:marBottom w:val="0"/>
                      <w:divBdr>
                        <w:top w:val="none" w:sz="0" w:space="0" w:color="auto"/>
                        <w:left w:val="none" w:sz="0" w:space="0" w:color="auto"/>
                        <w:bottom w:val="none" w:sz="0" w:space="0" w:color="auto"/>
                        <w:right w:val="none" w:sz="0" w:space="0" w:color="auto"/>
                      </w:divBdr>
                      <w:divsChild>
                        <w:div w:id="1465193171">
                          <w:marLeft w:val="165"/>
                          <w:marRight w:val="165"/>
                          <w:marTop w:val="0"/>
                          <w:marBottom w:val="0"/>
                          <w:divBdr>
                            <w:top w:val="none" w:sz="0" w:space="0" w:color="auto"/>
                            <w:left w:val="none" w:sz="0" w:space="0" w:color="auto"/>
                            <w:bottom w:val="none" w:sz="0" w:space="0" w:color="auto"/>
                            <w:right w:val="none" w:sz="0" w:space="0" w:color="auto"/>
                          </w:divBdr>
                          <w:divsChild>
                            <w:div w:id="1129662958">
                              <w:marLeft w:val="0"/>
                              <w:marRight w:val="0"/>
                              <w:marTop w:val="0"/>
                              <w:marBottom w:val="0"/>
                              <w:divBdr>
                                <w:top w:val="none" w:sz="0" w:space="0" w:color="auto"/>
                                <w:left w:val="none" w:sz="0" w:space="0" w:color="auto"/>
                                <w:bottom w:val="none" w:sz="0" w:space="0" w:color="auto"/>
                                <w:right w:val="none" w:sz="0" w:space="0" w:color="auto"/>
                              </w:divBdr>
                              <w:divsChild>
                                <w:div w:id="19483896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istina.russo87@alice.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simon@ufv.es" TargetMode="External"/><Relationship Id="rId17" Type="http://schemas.openxmlformats.org/officeDocument/2006/relationships/hyperlink" Target="mailto:mteresa.moreno@uam.es" TargetMode="External"/><Relationship Id="rId2" Type="http://schemas.openxmlformats.org/officeDocument/2006/relationships/customXml" Target="../customXml/item2.xml"/><Relationship Id="rId16" Type="http://schemas.openxmlformats.org/officeDocument/2006/relationships/hyperlink" Target="mailto:j.sierra.prof@ufv.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20134@alumnos.ufv.es" TargetMode="External"/><Relationship Id="rId5" Type="http://schemas.openxmlformats.org/officeDocument/2006/relationships/numbering" Target="numbering.xml"/><Relationship Id="rId15" Type="http://schemas.openxmlformats.org/officeDocument/2006/relationships/hyperlink" Target="mailto:mteresa.moreno@uam.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sierra.prof@ufv.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907CBA7BBEB44AB35B5B2D9E69B7FB" ma:contentTypeVersion="15" ma:contentTypeDescription="Crear nuevo documento." ma:contentTypeScope="" ma:versionID="e2402137a553b8034a1509d0fef65ed5">
  <xsd:schema xmlns:xsd="http://www.w3.org/2001/XMLSchema" xmlns:xs="http://www.w3.org/2001/XMLSchema" xmlns:p="http://schemas.microsoft.com/office/2006/metadata/properties" xmlns:ns3="7fdd9f85-d25b-4406-9d14-555d65dc2921" xmlns:ns4="1d5fd31d-7a42-4846-af04-f44191ddbdc7" targetNamespace="http://schemas.microsoft.com/office/2006/metadata/properties" ma:root="true" ma:fieldsID="01ef46cebae229c36dee5f867a7331e7" ns3:_="" ns4:_="">
    <xsd:import namespace="7fdd9f85-d25b-4406-9d14-555d65dc2921"/>
    <xsd:import namespace="1d5fd31d-7a42-4846-af04-f44191ddbdc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d9f85-d25b-4406-9d14-555d65dc2921"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element name="LastSharedByUser" ma:index="11" nillable="true" ma:displayName="Última vez que se compartió por usuario"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5fd31d-7a42-4846-af04-f44191ddbdc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13510-EE71-4FAC-B1B5-29D3257C0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d9f85-d25b-4406-9d14-555d65dc2921"/>
    <ds:schemaRef ds:uri="1d5fd31d-7a42-4846-af04-f44191ddb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283D2-E652-4D3A-A7AC-24DB017FCAF4}">
  <ds:schemaRefs>
    <ds:schemaRef ds:uri="http://schemas.openxmlformats.org/officeDocument/2006/bibliography"/>
  </ds:schemaRefs>
</ds:datastoreItem>
</file>

<file path=customXml/itemProps3.xml><?xml version="1.0" encoding="utf-8"?>
<ds:datastoreItem xmlns:ds="http://schemas.openxmlformats.org/officeDocument/2006/customXml" ds:itemID="{DB956B28-DDFE-4976-9D5E-DD4521A08833}">
  <ds:schemaRefs>
    <ds:schemaRef ds:uri="http://schemas.microsoft.com/sharepoint/v3/contenttype/forms"/>
  </ds:schemaRefs>
</ds:datastoreItem>
</file>

<file path=customXml/itemProps4.xml><?xml version="1.0" encoding="utf-8"?>
<ds:datastoreItem xmlns:ds="http://schemas.openxmlformats.org/officeDocument/2006/customXml" ds:itemID="{662A4B24-BCF5-458E-B2D2-EB33115E16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4598</Words>
  <Characters>26214</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30751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2020-09-17T14:03:00Z</dcterms:created>
  <dcterms:modified xsi:type="dcterms:W3CDTF">2020-10-07T19:13:00Z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0x010100F2907CBA7BBEB44AB35B5B2D9E69B7FB</vt:lpwstr>
  </property>
</Properties>
</file>