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Experimental Autoimmune Uveitis: An intraocular inflammatory mouse model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Chantelle E Bowers, Virginia L. Calder, John Greenwood, Malihe Eskandarpour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UCL Institute of Ophthalmology, University College London, London, UK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chantelle.bowers.13@ucl.ac.uk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v.calder@ucl.ac.uk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j.greenwood@ucl.ac.uk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m.eskandarpour@ucl.ac.uk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Malihe Eskandarpour (MSc,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m.eskandarpour@ucl.ac.uk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Experimental Autoimmune Uveitis, C57BL/6J, Inflammatory Eye Disease, Immunisation, Fundoscopy, Angiography.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present a protocol that allows the investigator to generate a mouse model of intraocular uveitis. More commonly referred to as experimental autoimmune uveitis (EAU), this established model captures many aspects of human disease. Herein, we will describe how to induce and monitor disease progression using several readouts.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Experimental Autoimmune Uveitis (EAU) is driven by immune responses to self-antigens. Many features of this non-infectious, intraocular inflammatory disease model recapitulate the clinical phenotype. EAU has been used reliably to study the efficacy of novel inflammatory therapeutics, their mechanism of action and to further investigate the mechanisms that underpin disease progression of intraocular disorders. Here, we provide a detailed protocol on EAU induction in the mouse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the most widely used model organism with high susceptibility to this disease. Clinical assessment of disease severity and progression will be monitored using fundoscopy, histological examination and fluorescein angiography. The induction procedure involves </w:t>
      </w:r>
      <w:r>
        <w:rPr>
          <w:rFonts w:ascii="Arial" w:hAnsi="Arial" w:cs="Arial" w:eastAsia="Arial"/>
          <w:i/>
          <w:color w:val="auto"/>
          <w:spacing w:val="0"/>
          <w:position w:val="0"/>
          <w:sz w:val="24"/>
          <w:shd w:fill="auto" w:val="clear"/>
        </w:rPr>
        <w:t xml:space="preserve">subcutaneous </w:t>
      </w:r>
      <w:r>
        <w:rPr>
          <w:rFonts w:ascii="Arial" w:hAnsi="Arial" w:cs="Arial" w:eastAsia="Arial"/>
          <w:color w:val="auto"/>
          <w:spacing w:val="0"/>
          <w:position w:val="0"/>
          <w:sz w:val="24"/>
          <w:shd w:fill="auto" w:val="clear"/>
        </w:rPr>
        <w:t xml:space="preserve">injection of an emulsion prepared from interphotoreceptor retinoid binding protein (IRBP</w:t>
      </w:r>
      <w:r>
        <w:rPr>
          <w:rFonts w:ascii="Arial" w:hAnsi="Arial" w:cs="Arial" w:eastAsia="Arial"/>
          <w:color w:val="auto"/>
          <w:spacing w:val="0"/>
          <w:position w:val="0"/>
          <w:sz w:val="24"/>
          <w:shd w:fill="auto" w:val="clear"/>
          <w:vertAlign w:val="subscript"/>
        </w:rPr>
        <w:t xml:space="preserve">1-20</w:t>
      </w:r>
      <w:r>
        <w:rPr>
          <w:rFonts w:ascii="Arial" w:hAnsi="Arial" w:cs="Arial" w:eastAsia="Arial"/>
          <w:color w:val="auto"/>
          <w:spacing w:val="0"/>
          <w:position w:val="0"/>
          <w:sz w:val="24"/>
          <w:shd w:fill="auto" w:val="clear"/>
        </w:rPr>
        <w:t xml:space="preserve">), Complete Freund’s Adjuvant (CFA) and supplemented with </w:t>
      </w:r>
      <w:r>
        <w:rPr>
          <w:rFonts w:ascii="Arial" w:hAnsi="Arial" w:cs="Arial" w:eastAsia="Arial"/>
          <w:i/>
          <w:color w:val="auto"/>
          <w:spacing w:val="0"/>
          <w:position w:val="0"/>
          <w:sz w:val="24"/>
          <w:shd w:fill="auto" w:val="clear"/>
        </w:rPr>
        <w:t xml:space="preserve">Mycobacterium tuberculosis. </w:t>
      </w:r>
      <w:r>
        <w:rPr>
          <w:rFonts w:ascii="Arial" w:hAnsi="Arial" w:cs="Arial" w:eastAsia="Arial"/>
          <w:color w:val="auto"/>
          <w:spacing w:val="0"/>
          <w:position w:val="0"/>
          <w:sz w:val="24"/>
          <w:shd w:fill="auto" w:val="clear"/>
        </w:rPr>
        <w:t xml:space="preserve">Injection of this viscous emulsion on the back of the neck is followed by a single intraperitoneal injection of pertussis. At the onset of symptoms (day 12-14) and under general anaesthesia, fundoscopic images are taken to assess disease progression through clinical examination. These data can be directly compared with those at a later timepoint and peak disease (day 20-22) with differences analysed. At the same time, this protocol allows the investigator to assess potential differences in vessel permeability and damages using fluorescein angiography. EAU can be induced in both wildtype mice or genetically modified and combined with novel therapies offering flexibility for studying drug efficacy and/or disease mechanisms.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will demonstrate how to induce Experimental Autoimmune Uveitis (EAU) in the C57BL/6J mouse by a single subcutaneous injection of emulsified retinal antigen. Methods for monitoring and assessing disease progression will be detailed through fundoscopic imaging and histological examination, with measurement parameters outlined within. In addition, fluorescein angiography, a technique for examining the retina and blood vessels will be discussed.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EAU model recapitulates central features of non-infectious posterior uveitis in human disease with regards to clinicopathologic characteristics and the basic cellular and molecular mechanisms that drive posterior uveitis. This disease is mediated by Th1 and/or Th17 subsets of self-reactive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T lymphocytes, as shown in adoptive transfer experiments and with IFN&amp;#947;-depleted mice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Much of the understanding of these cells in uveitis comes from studying EAU</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where both Th1 and Th17 cells are detected within the retinal tissues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Often, EAU is used as a preclinical model to assess the responsiveness of disease to novel therapies for efficacy testing. Therapeutic approaches that have successfully modulated EAU disease have often shown efficacy in the clinic and reached FDA approved status. Examples of these are groups of immunoregulatory drugs such as T cell</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targeting therapies: cyclosporine, FK-506, rapamycin</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Therapies currently in development have used this model to explore a number of avenues for targeting; transcriptional regulation, chromatin readers applying Bromodomain Extra-Terminal (BET) proteins and P-TEFb inhibitors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which recently demonstrated suppression in EAU via modulation of effector Th17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In addition to these, targeting Th17 through the transcription factor, applying TMP778, a ROR&amp;#947;t inverse agonist, has been found to significantly suppress EAU</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Furthermore, this model offers an opportunity to study chronic autoimmune inflammation and the accompanying underlying mechanisms such as lymphocyte priming.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primary readouts for EAU preclinical studies are clinical assessment by performing retinal fundoscopy, Optical Coherence Tomography (OCT), histopathological evaluation and immunophenotyping of retinal cells by flow cytometry. Fundoscopy is an easy-to-use live imaging system that allows for rapid and reproducible clinical assessment of the whole retina. For immunohistochemical assessments, the techniques are based on preparation of retinal sections that allow us to study tissue architecture for degrees of inflammation and structural damage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The assessment criteria and conventional scoring systems, for all techniques used, will be outlined within this protocol. The extent of damage recorded using fundoscopic imaging often closely correlates with histological changes. This dual approach to monitoring and assessing disease severity affords greater sensitivity and more reliable measurement outcomes.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EAU is a well-established, commonly used model for preclinical testing and investigation of immune-mediated eye disease. This model is reliable and will generate comprehensive data to be used for intraocular inflammatory diseases which leading causes of blindness worldwide</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experiments were performed in accordance to the UK Animals (Scientific Procedures) Act of 1986, and </w:t>
      </w:r>
      <w:r>
        <w:rPr>
          <w:rFonts w:ascii="Arial" w:hAnsi="Arial" w:cs="Arial" w:eastAsia="Arial"/>
          <w:color w:val="auto"/>
          <w:spacing w:val="0"/>
          <w:position w:val="0"/>
          <w:sz w:val="24"/>
          <w:shd w:fill="FFFFFF" w:val="clear"/>
        </w:rPr>
        <w:t xml:space="preserve">institutional Animal Welfare and Ethical Review Body (AWERB) guidelines.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Mouse Preparation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Perform all experiments on adult, female C57BL/6J mice aged between 6-8 weeks old provided with food and water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IRBP</w:t>
      </w:r>
      <w:r>
        <w:rPr>
          <w:rFonts w:ascii="Times New Roman" w:hAnsi="Times New Roman" w:cs="Times New Roman" w:eastAsia="Times New Roman"/>
          <w:b/>
          <w:color w:val="auto"/>
          <w:spacing w:val="0"/>
          <w:position w:val="0"/>
          <w:sz w:val="24"/>
          <w:shd w:fill="auto" w:val="clear"/>
          <w:vertAlign w:val="subscript"/>
        </w:rPr>
        <w:t xml:space="preserve">1-20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CFA Emulsion Preparation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As emulsion preparation is essential to the reproducibility and incidence of disease, maintain consistency throughout the preparation process and across experiments.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When preparing the emulsion, note that there will be loss of the antigen emulsion that should be accounted for in the calculations of all reagent quantities beforehand. This loss can be approximately equivalent to 1.5x (or 50% extra of the volume prepared), based on the number of mice prepared for immunisation.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immunize 10 mice (10 x 1.5 = 15 mice), prepare 6.0 mg of peptide (100 &amp;#181;g peptide per 20 g mouse x 15 mice). Each mouse should receive 200 &amp;#181;L for immunization (prepare 3 mL total). The final volume comprises a 1:1 ratio of peptide solution and CFA, hence, 1.5 mL of peptide solution + 1.5 mL of CFA.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Prepare the following sterile solutions in a laminar flow cabinet.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Weigh out human IRBP</w:t>
      </w:r>
      <w:r>
        <w:rPr>
          <w:rFonts w:ascii="Times New Roman" w:hAnsi="Times New Roman" w:cs="Times New Roman" w:eastAsia="Times New Roman"/>
          <w:color w:val="auto"/>
          <w:spacing w:val="0"/>
          <w:position w:val="0"/>
          <w:sz w:val="24"/>
          <w:shd w:fill="FFFF00" w:val="clear"/>
          <w:vertAlign w:val="subscript"/>
        </w:rPr>
        <w:t xml:space="preserve">1-20</w:t>
      </w:r>
      <w:r>
        <w:rPr>
          <w:rFonts w:ascii="Times New Roman" w:hAnsi="Times New Roman" w:cs="Times New Roman" w:eastAsia="Times New Roman"/>
          <w:color w:val="auto"/>
          <w:spacing w:val="0"/>
          <w:position w:val="0"/>
          <w:sz w:val="24"/>
          <w:shd w:fill="FFFF00" w:val="clear"/>
        </w:rPr>
        <w:t xml:space="preserve"> (LAQGAYRTAVDLESLASQLT) stored in a lyophilized form at -20 </w:t>
      </w:r>
      <w:r>
        <w:rPr>
          <w:rFonts w:ascii="Times New Roman" w:hAnsi="Times New Roman" w:cs="Times New Roman" w:eastAsia="Times New Roman"/>
          <w:color w:val="auto"/>
          <w:spacing w:val="0"/>
          <w:position w:val="0"/>
          <w:sz w:val="24"/>
          <w:shd w:fill="FFFFFF" w:val="clear"/>
        </w:rPr>
        <w:t xml:space="preserve">&amp;#176;C according to the desired amount (400 &amp;#181;g per 20 g mouse) and resuspend in a minimum volume in 100% DMSO to completely dissolve the powder.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2.4.1.</w:t>
        <w:tab/>
      </w:r>
      <w:r>
        <w:rPr>
          <w:rFonts w:ascii="Times New Roman" w:hAnsi="Times New Roman" w:cs="Times New Roman" w:eastAsia="Times New Roman"/>
          <w:color w:val="auto"/>
          <w:spacing w:val="0"/>
          <w:position w:val="0"/>
          <w:sz w:val="24"/>
          <w:shd w:fill="FFFF00" w:val="clear"/>
        </w:rPr>
        <w:t xml:space="preserve">To ensure the powder is fully dissolved, ensure that each flake comes into contact with the DMSO first. Then, add PBS in small portions, incrementally, to reach the final volume. Do not mix with a vortex; instead, use gentle agitation.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final concentration of DMSO should not exceed 1% of the total peptide preparation.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Add DMSO-PBS peptide solution at 1:1 v/v to Complete Freund’s adjuvant which has been already supplemented with 1.5 mg/mL </w:t>
      </w:r>
      <w:r>
        <w:rPr>
          <w:rFonts w:ascii="Times New Roman" w:hAnsi="Times New Roman" w:cs="Times New Roman" w:eastAsia="Times New Roman"/>
          <w:i/>
          <w:color w:val="auto"/>
          <w:spacing w:val="0"/>
          <w:position w:val="0"/>
          <w:sz w:val="24"/>
          <w:shd w:fill="FFFF00" w:val="clear"/>
        </w:rPr>
        <w:t xml:space="preserve">Mycobacterium tuberculosis, </w:t>
      </w:r>
      <w:r>
        <w:rPr>
          <w:rFonts w:ascii="Times New Roman" w:hAnsi="Times New Roman" w:cs="Times New Roman" w:eastAsia="Times New Roman"/>
          <w:color w:val="auto"/>
          <w:spacing w:val="0"/>
          <w:position w:val="0"/>
          <w:sz w:val="24"/>
          <w:shd w:fill="FFFF00" w:val="clear"/>
        </w:rPr>
        <w:t xml:space="preserve">to give a final concentration of 2.5 mg/mL.</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Perform this dropwis</w:t>
      </w:r>
      <w:r>
        <w:rPr>
          <w:rFonts w:ascii="Times New Roman" w:hAnsi="Times New Roman" w:cs="Times New Roman" w:eastAsia="Times New Roman"/>
          <w:i/>
          <w:color w:val="auto"/>
          <w:spacing w:val="0"/>
          <w:position w:val="0"/>
          <w:sz w:val="24"/>
          <w:shd w:fill="FFFF00" w:val="clear"/>
        </w:rPr>
        <w:t xml:space="preserve">e</w:t>
      </w:r>
      <w:r>
        <w:rPr>
          <w:rFonts w:ascii="Times New Roman" w:hAnsi="Times New Roman" w:cs="Times New Roman" w:eastAsia="Times New Roman"/>
          <w:color w:val="auto"/>
          <w:spacing w:val="0"/>
          <w:position w:val="0"/>
          <w:sz w:val="24"/>
          <w:shd w:fill="FFFF00" w:val="clear"/>
        </w:rPr>
        <w:t xml:space="preserve">, pipetting gently and frequently to form a viscous and evenly distributed emulsion.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Aerate the two solutions; use a 1000 &amp;#181;L pipette (set to 700 &amp;#181;L to prevent further loss) and pipette the solution to make a creamy thick substance. This technique involves using the pipette suction, up and down and repeated until reaching the desired consistency. For optimal results, ensure that the antigen solution and adjuvant are mixed thoroughly, under sterile conditions before injecting.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Preparing the emulsion in a 20 mL plastic container with a tapered bottom should allow better accessibility of DMSO to the lypophilized powder.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In addition to the emulsion preparation, give each mouse a single i.p. injection of 1.5 &amp;#181;g of Pertussis toxin suspended in 100 &amp;#181;L of RPMI 1640 media and supplemented with 1% mouse serum.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This injection should be performed before injecting the antigen, in order to avoid disturbances at the s.c. injection site.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Arial" w:hAnsi="Arial" w:cs="Arial" w:eastAsia="Arial"/>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Subcutaneous injection of IRBP emulsion and Intraperitoneal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 injection of Pertussis toxin</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First, temporarily transfer each mouse to a separate cage to receive a single 100 &amp;#181;L i.p. injection of Pertussis toxin. Perform the injection with a sterile syringe and 23 G needle.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Next, inject the IRBP emulsion subcutaneously; a process that requires two animal handlers.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Have one trained personnel lightly restrain the mouse on top of the cage in a scruff-like position, with their stomach facing downwards whilst the other trained personnel pinches the skin to form a tent-like structure on the back of the neck where the needle can be threaded to slot between the finger and thumb.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3.2.2.</w:t>
        <w:tab/>
      </w:r>
      <w:r>
        <w:rPr>
          <w:rFonts w:ascii="Times New Roman" w:hAnsi="Times New Roman" w:cs="Times New Roman" w:eastAsia="Times New Roman"/>
          <w:color w:val="auto"/>
          <w:spacing w:val="0"/>
          <w:position w:val="0"/>
          <w:sz w:val="24"/>
          <w:shd w:fill="auto" w:val="clear"/>
        </w:rPr>
        <w:t xml:space="preserve">Once the needle is positioned, inject 200 &amp;#181;L and apply pressure afterwards to prevent the emulsion from spilling out onto the skin. When removing the needle, rotate the needle head to close the skin before pulling out.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CAUTION: The emulsion must not make contact with the skin or fur as this may cause irritation and in more severe cases, a lesion to develop. If this occurs, the area must be wiped immediately and thoroughly using 70% ethanol then dried.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the draining lymph nodes are needed for examination at the end of the study, the injection site will be different. In this instance, inject 100 &amp;#181;L to both sides of the flank subcutaneously. This will generate a stronger response by the draining inguinal lymph nodes, which can be excised at the time of harvesting. However, if the intended outcome is solely to develop EAU, a single injection of 200 &amp;#181;L at the back of the neck is preferable to avoid discomfort from multiple injections.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Arial" w:hAnsi="Arial" w:cs="Arial" w:eastAsia="Arial"/>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Clinical Evaluation - Mouse Fundus Examination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Clinical disease is to be scored using fundus examination, via bright-field live imaging using a fundoscope and Discover software used for visualisation.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At disease onset (day 12-14), sedate mice under general anaesthesia using a combination of both Ketamine (50 mg/mL) and Domitor (Medetomidine; 1 mg/mL). Dilute 1-part Domitor; 1.5 parts Ketamine and 2.5 parts sterile injectable water, then inject 100 &amp;#181;L per 30 g intraperitoneally. Use 1 mL sterile syringes and 23G needles for the above combination of anaesthesia.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Following this, monitor the mouse to ensure that all reflexes are lost and that it is unresponsive to stimuli.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Immediately after receiving the i.p. injection and whilst the mouse is still held in a scruff, apply 1% tropicamide and 2.5% phenylephrine topically to each eye pupil dilation. Aim to completely cover the cornea with both dilating solutions. It may take a few minutes before the pupil is fully dilated.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4.2.1.</w:t>
        <w:tab/>
      </w:r>
      <w:r>
        <w:rPr>
          <w:rFonts w:ascii="Times New Roman" w:hAnsi="Times New Roman" w:cs="Times New Roman" w:eastAsia="Times New Roman"/>
          <w:color w:val="auto"/>
          <w:spacing w:val="0"/>
          <w:position w:val="0"/>
          <w:sz w:val="24"/>
          <w:shd w:fill="FFFF00" w:val="clear"/>
        </w:rPr>
        <w:t xml:space="preserve">Afterwards, generously apply eye viscotears ointment and maintain throughout the imaging process in order to keep the eye fully lubricated.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In the meantime, open the software (e.g., Discover), and set the fundoscope (e.g., Micron III) to capture images with brightfield. Allocate each individual mouse a folder and label images with R or L according to each eye photographed.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00" w:val="clear"/>
        </w:rPr>
        <w:t xml:space="preserve">Mount the mouse on a purpose-built stage for live visualization and position the microscope for full access to the retina.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4.4.1.</w:t>
        <w:tab/>
      </w:r>
      <w:r>
        <w:rPr>
          <w:rFonts w:ascii="Times New Roman" w:hAnsi="Times New Roman" w:cs="Times New Roman" w:eastAsia="Times New Roman"/>
          <w:color w:val="auto"/>
          <w:spacing w:val="0"/>
          <w:position w:val="0"/>
          <w:sz w:val="24"/>
          <w:shd w:fill="FFFF00" w:val="clear"/>
        </w:rPr>
        <w:t xml:space="preserve">To get an accurate representation of the disease, take images of the entire retinal area, covering all corners of the periphery in addition to the optic disc. To achieve this, adjust the eyepiece throughout. It is crucial for the eye to remain fully lubricated at all times throughout the imaging process; ensure this by topping up the eye ointment at a constant rate.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Refer to section 5 at this stage to perform fluorescent angiography.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Once all imaging is complete, dilute anaesthetic reversal anti-sedation (5 mg/mL Antisedan) in injectable water and administer at 0.1 mg/kg i.p. </w:t>
      </w:r>
      <w:r>
        <w:rPr>
          <w:rFonts w:ascii="Times New Roman" w:hAnsi="Times New Roman" w:cs="Times New Roman" w:eastAsia="Times New Roman"/>
          <w:color w:val="auto"/>
          <w:spacing w:val="0"/>
          <w:position w:val="0"/>
          <w:sz w:val="24"/>
          <w:shd w:fill="FFFF00" w:val="clear"/>
        </w:rPr>
        <w:t xml:space="preserve">Return the mouse to a cage and place on a pre-heated mat with access to a wet-soaked diet until recovery. Complete recovery is characterized by whole body movement and walking around the cage with steady gait.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auto" w:val="clear"/>
        </w:rPr>
        <w:t xml:space="preserve">At the experimental endpoint (day 21-23), repeat steps 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 and take photographs of the entire retinal area again, covering the optic disc and all corners of the periphery to capture an accurate representation of disease.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Arial" w:hAnsi="Arial" w:cs="Arial" w:eastAsia="Arial"/>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Fluorescent angiography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FFFF00" w:val="clear"/>
        </w:rPr>
        <w:t xml:space="preserve">To measure vessel leakage in these animals, whilst under anaesthesia, give each mice an injection of 2% fluorescein subcutaneously at the back of the neck and position such that the retina is centralized in the middle of the live image.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Set the fundoscope to a blue light excitation filter at 465-490 nm. The light captured from excited fluorescein is between 520-530 nm.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After 1.5 min, take a photograph per eye and repeat again at 7 minutes.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Arial" w:hAnsi="Arial" w:cs="Arial" w:eastAsia="Arial"/>
          <w:color w:val="auto"/>
          <w:spacing w:val="0"/>
          <w:position w:val="0"/>
          <w:sz w:val="24"/>
          <w:shd w:fill="FFFF00" w:val="clear"/>
        </w:rPr>
        <w:t xml:space="preserve">6.</w:t>
        <w:tab/>
      </w:r>
      <w:r>
        <w:rPr>
          <w:rFonts w:ascii="Times New Roman" w:hAnsi="Times New Roman" w:cs="Times New Roman" w:eastAsia="Times New Roman"/>
          <w:b/>
          <w:color w:val="auto"/>
          <w:spacing w:val="0"/>
          <w:position w:val="0"/>
          <w:sz w:val="24"/>
          <w:shd w:fill="FFFF00" w:val="clear"/>
        </w:rPr>
        <w:t xml:space="preserve">Clinical Disease Scoring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Base the clinical assessment on the severity of the following criteria: optic disc inflammation, retinal vessel cuffing, retinal tissue infiltrate and structural damage.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6.2.</w:t>
        <w:tab/>
      </w:r>
      <w:r>
        <w:rPr>
          <w:rFonts w:ascii="Times New Roman" w:hAnsi="Times New Roman" w:cs="Times New Roman" w:eastAsia="Times New Roman"/>
          <w:color w:val="auto"/>
          <w:spacing w:val="0"/>
          <w:position w:val="0"/>
          <w:sz w:val="24"/>
          <w:shd w:fill="FFFF00" w:val="clear"/>
        </w:rPr>
        <w:t xml:space="preserve">Award each of these parameters a score on a scale from 0 to 5 and the collective total is representative of clinical disease for the whole eye, with a maximum score of 20 obtainable per eye. </w:t>
      </w:r>
      <w:r>
        <w:rPr>
          <w:rFonts w:ascii="Times New Roman" w:hAnsi="Times New Roman" w:cs="Times New Roman" w:eastAsia="Times New Roman"/>
          <w:b/>
          <w:color w:val="auto"/>
          <w:spacing w:val="0"/>
          <w:position w:val="0"/>
          <w:sz w:val="24"/>
          <w:shd w:fill="FFFF00" w:val="clear"/>
        </w:rPr>
        <w:t xml:space="preserve">Table 1</w:t>
      </w:r>
      <w:r>
        <w:rPr>
          <w:rFonts w:ascii="Times New Roman" w:hAnsi="Times New Roman" w:cs="Times New Roman" w:eastAsia="Times New Roman"/>
          <w:color w:val="auto"/>
          <w:spacing w:val="0"/>
          <w:position w:val="0"/>
          <w:sz w:val="24"/>
          <w:shd w:fill="FFFF00" w:val="clear"/>
        </w:rPr>
        <w:t xml:space="preserve"> can be used as a guide for scoring criteria.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Arial" w:hAnsi="Arial" w:cs="Arial" w:eastAsia="Arial"/>
          <w:color w:val="auto"/>
          <w:spacing w:val="0"/>
          <w:position w:val="0"/>
          <w:sz w:val="24"/>
          <w:shd w:fill="FFFF00" w:val="clear"/>
        </w:rPr>
        <w:t xml:space="preserve">7.</w:t>
        <w:tab/>
      </w:r>
      <w:r>
        <w:rPr>
          <w:rFonts w:ascii="Times New Roman" w:hAnsi="Times New Roman" w:cs="Times New Roman" w:eastAsia="Times New Roman"/>
          <w:b/>
          <w:color w:val="auto"/>
          <w:spacing w:val="0"/>
          <w:position w:val="0"/>
          <w:sz w:val="24"/>
          <w:shd w:fill="FFFF00" w:val="clear"/>
        </w:rPr>
        <w:t xml:space="preserve">Histology and Histological Scoring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7.1.</w:t>
        <w:tab/>
      </w:r>
      <w:r>
        <w:rPr>
          <w:rFonts w:ascii="Times New Roman" w:hAnsi="Times New Roman" w:cs="Times New Roman" w:eastAsia="Times New Roman"/>
          <w:color w:val="auto"/>
          <w:spacing w:val="0"/>
          <w:position w:val="0"/>
          <w:sz w:val="24"/>
          <w:shd w:fill="FFFF00" w:val="clear"/>
        </w:rPr>
        <w:t xml:space="preserve">Perform histological examination of eyes using standard protocols for Hematoxylin and Eosin (H&amp;amp;E) staining.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7.2.</w:t>
        <w:tab/>
      </w:r>
      <w:r>
        <w:rPr>
          <w:rFonts w:ascii="Times New Roman" w:hAnsi="Times New Roman" w:cs="Times New Roman" w:eastAsia="Times New Roman"/>
          <w:color w:val="auto"/>
          <w:spacing w:val="0"/>
          <w:position w:val="0"/>
          <w:sz w:val="24"/>
          <w:shd w:fill="FFFF00" w:val="clear"/>
        </w:rPr>
        <w:t xml:space="preserve">To enucleate the eyes, prise the eyelids apart for easy access to the entire eye.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7.3.</w:t>
        <w:tab/>
      </w:r>
      <w:r>
        <w:rPr>
          <w:rFonts w:ascii="Times New Roman" w:hAnsi="Times New Roman" w:cs="Times New Roman" w:eastAsia="Times New Roman"/>
          <w:color w:val="auto"/>
          <w:spacing w:val="0"/>
          <w:position w:val="0"/>
          <w:sz w:val="24"/>
          <w:shd w:fill="FFFF00" w:val="clear"/>
        </w:rPr>
        <w:t xml:space="preserve">Next, place curved forceps behind the globe with the intention of grasping the orbital connective tissue and optic nerve. Take care to avoid squeezing the globe.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7.4.</w:t>
        <w:tab/>
      </w:r>
      <w:r>
        <w:rPr>
          <w:rFonts w:ascii="Times New Roman" w:hAnsi="Times New Roman" w:cs="Times New Roman" w:eastAsia="Times New Roman"/>
          <w:color w:val="auto"/>
          <w:spacing w:val="0"/>
          <w:position w:val="0"/>
          <w:sz w:val="24"/>
          <w:shd w:fill="FFFF00" w:val="clear"/>
        </w:rPr>
        <w:t xml:space="preserve">For fixation, place the eye in 4% glutaraldehyde for a minimum of 15 minutes and then transfer to 10% formaldehyde for at least 24 h. 1-2 mL of fixative would give enough volume to cover two eyes.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Perform embedding in paraffin, sectioning on a microtome and staining according to the standard protocols. 3-4 &amp;#181;m section thickness is recommended for any type of staining.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Arial" w:hAnsi="Arial" w:cs="Arial" w:eastAsia="Arial"/>
          <w:color w:val="auto"/>
          <w:spacing w:val="0"/>
          <w:position w:val="0"/>
          <w:sz w:val="24"/>
          <w:shd w:fill="FFFF00" w:val="clear"/>
        </w:rPr>
        <w:t xml:space="preserve">7.6.</w:t>
        <w:tab/>
      </w:r>
      <w:r>
        <w:rPr>
          <w:rFonts w:ascii="Times New Roman" w:hAnsi="Times New Roman" w:cs="Times New Roman" w:eastAsia="Times New Roman"/>
          <w:color w:val="auto"/>
          <w:spacing w:val="0"/>
          <w:position w:val="0"/>
          <w:sz w:val="24"/>
          <w:shd w:fill="FFFF00" w:val="clear"/>
        </w:rPr>
        <w:t xml:space="preserve">Alternatively, assign scores on a scale of 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4, according to the criteria for EAU scoring, based on the level of the immune cell infiltration and the degree of retinal damage, as previously described (Agarwal 2013) and summarized in </w:t>
      </w:r>
      <w:r>
        <w:rPr>
          <w:rFonts w:ascii="Times New Roman" w:hAnsi="Times New Roman" w:cs="Times New Roman" w:eastAsia="Times New Roman"/>
          <w:b/>
          <w:color w:val="auto"/>
          <w:spacing w:val="0"/>
          <w:position w:val="0"/>
          <w:sz w:val="24"/>
          <w:shd w:fill="FFFF00" w:val="clear"/>
        </w:rPr>
        <w:t xml:space="preserve">Table 3</w:t>
      </w:r>
      <w:r>
        <w:rPr>
          <w:rFonts w:ascii="Times New Roman" w:hAnsi="Times New Roman" w:cs="Times New Roman" w:eastAsia="Times New Roman"/>
          <w:color w:val="auto"/>
          <w:spacing w:val="0"/>
          <w:position w:val="0"/>
          <w:sz w:val="24"/>
          <w:shd w:fill="FFFF00" w:val="clear"/>
          <w:vertAlign w:val="superscript"/>
        </w:rPr>
        <w:t xml:space="preserve">10</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 this protocol, we describe the induction methods for a model of experimental autoimmune uveitis by challenging mice with the retinal antigen IRBP. The model has provided valuable understanding of human non-infectious posterior uveitis and can be diagnosed using the same fundoscopic techniques. The first signs of EAU in C57BL/6J mice can be detected two weeks post-immunization and peak disease reached within three weeks as illustrated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Fundoscopic changes are classified during disease progression as inflammatory changes, which include retinal tissue, vascular and optic disc inflammation, retinal structural damage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in addition to histological changes based on infiltrating immune cells and structural impairments. These clinical and histo-pathological changes can be graded and scored for evaluation proposes to study disease progression and also in therapeutic intervention studies.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showing herein how the clinical and histological scoring systems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Table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guide scientists to validate the efficacy of treatments and exploring the mechanism of drug action. Vascular leakage is also a pathological feature of the model and in human uveitis. We are showing examples of vascular leakage of fluorescein with focal leakages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as another readout of using this model.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timeline of clinical and histological disease progression in IRBP</w:t>
      </w:r>
      <w:r>
        <w:rPr>
          <w:rFonts w:ascii="Arial" w:hAnsi="Arial" w:cs="Arial" w:eastAsia="Arial"/>
          <w:b/>
          <w:color w:val="auto"/>
          <w:spacing w:val="0"/>
          <w:position w:val="0"/>
          <w:sz w:val="24"/>
          <w:shd w:fill="auto" w:val="clear"/>
          <w:vertAlign w:val="subscript"/>
        </w:rPr>
        <w:t xml:space="preserve">1-20</w:t>
      </w:r>
      <w:r>
        <w:rPr>
          <w:rFonts w:ascii="Arial" w:hAnsi="Arial" w:cs="Arial" w:eastAsia="Arial"/>
          <w:b/>
          <w:color w:val="auto"/>
          <w:spacing w:val="0"/>
          <w:position w:val="0"/>
          <w:sz w:val="24"/>
          <w:shd w:fill="auto" w:val="clear"/>
        </w:rPr>
        <w:t xml:space="preserve"> induced EAU. </w:t>
      </w:r>
      <w:r>
        <w:rPr>
          <w:rFonts w:ascii="Arial" w:hAnsi="Arial" w:cs="Arial" w:eastAsia="Arial"/>
          <w:color w:val="auto"/>
          <w:spacing w:val="0"/>
          <w:position w:val="0"/>
          <w:sz w:val="24"/>
          <w:shd w:fill="auto" w:val="clear"/>
        </w:rPr>
        <w:t xml:space="preserve">A timeline outlining the important cellular events throughout the progression of IRBP</w:t>
      </w:r>
      <w:r>
        <w:rPr>
          <w:rFonts w:ascii="Arial" w:hAnsi="Arial" w:cs="Arial" w:eastAsia="Arial"/>
          <w:color w:val="auto"/>
          <w:spacing w:val="0"/>
          <w:position w:val="0"/>
          <w:sz w:val="24"/>
          <w:shd w:fill="auto" w:val="clear"/>
          <w:vertAlign w:val="subscript"/>
        </w:rPr>
        <w:t xml:space="preserve">1-20 </w:t>
      </w:r>
      <w:r>
        <w:rPr>
          <w:rFonts w:ascii="Arial" w:hAnsi="Arial" w:cs="Arial" w:eastAsia="Arial"/>
          <w:color w:val="auto"/>
          <w:spacing w:val="0"/>
          <w:position w:val="0"/>
          <w:sz w:val="24"/>
          <w:shd w:fill="auto" w:val="clear"/>
        </w:rPr>
        <w:t xml:space="preserve">induced EAU. From immunisation, the first signs of clinical disease, as detected by fundoscopic imaging and histopathological analysis, falls between days 12-14. The disease will then continue to progress, according to these parameters, until a peak is reached around day 21-23.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Representative fundoscopic images correlating with histological sections at different stages of IRBP</w:t>
      </w:r>
      <w:r>
        <w:rPr>
          <w:rFonts w:ascii="Arial" w:hAnsi="Arial" w:cs="Arial" w:eastAsia="Arial"/>
          <w:b/>
          <w:color w:val="auto"/>
          <w:spacing w:val="0"/>
          <w:position w:val="0"/>
          <w:sz w:val="24"/>
          <w:shd w:fill="auto" w:val="clear"/>
          <w:vertAlign w:val="subscript"/>
        </w:rPr>
        <w:t xml:space="preserve">1-20 </w:t>
      </w:r>
      <w:r>
        <w:rPr>
          <w:rFonts w:ascii="Arial" w:hAnsi="Arial" w:cs="Arial" w:eastAsia="Arial"/>
          <w:b/>
          <w:color w:val="auto"/>
          <w:spacing w:val="0"/>
          <w:position w:val="0"/>
          <w:sz w:val="24"/>
          <w:shd w:fill="auto" w:val="clear"/>
        </w:rPr>
        <w:t xml:space="preserve">induced EAU disease in C57BL/6J mice. </w:t>
      </w:r>
      <w:r>
        <w:rPr>
          <w:rFonts w:ascii="Arial" w:hAnsi="Arial" w:cs="Arial" w:eastAsia="Arial"/>
          <w:color w:val="auto"/>
          <w:spacing w:val="0"/>
          <w:position w:val="0"/>
          <w:sz w:val="24"/>
          <w:shd w:fill="auto" w:val="clear"/>
        </w:rPr>
        <w:t xml:space="preserve">Clinical fundoscopic and corresponding tissue images of</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C57BL/6J immunised with IRBP</w:t>
      </w:r>
      <w:r>
        <w:rPr>
          <w:rFonts w:ascii="Arial" w:hAnsi="Arial" w:cs="Arial" w:eastAsia="Arial"/>
          <w:color w:val="auto"/>
          <w:spacing w:val="0"/>
          <w:position w:val="0"/>
          <w:sz w:val="24"/>
          <w:shd w:fill="auto" w:val="clear"/>
          <w:vertAlign w:val="subscript"/>
        </w:rPr>
        <w:t xml:space="preserve">1-20 </w:t>
      </w:r>
      <w:r>
        <w:rPr>
          <w:rFonts w:ascii="Arial" w:hAnsi="Arial" w:cs="Arial" w:eastAsia="Arial"/>
          <w:color w:val="auto"/>
          <w:spacing w:val="0"/>
          <w:position w:val="0"/>
          <w:sz w:val="24"/>
          <w:shd w:fill="auto" w:val="clear"/>
        </w:rPr>
        <w:t xml:space="preserve">peptide. (A and B) fundoscopic images and histological sections of eye obtained from healthy and CFA injected mice. Retina has no sign of inflammation and corresponding histology sections show a preserved retinal layers. (C) Fundoscopic image of eye obtained from C57BL/6J mouse 14 days post immunization demonstrate classic signs of EAU, presenting with severe optic disc swelling in the early stage of disease, corresponding histology shows infiltrating immune cells into vitreous space. (D) Fundoscopic images of eye obtained from C57BL/6J mouse 21 days post immunization with inflamed vessels, retinal tissues and infiltrating immune cells throughout the retinal layers, retinal folding and structural damages observed in the corresponding histology.</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V= vessel, O= optic disk, R=retina, L=lens, Vit=vitreous</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 iO= inflamed optic disk, iV= inflamed vessel, iR= inflamed retina, i= infiltrating cells in vitreous, RFs=retinal folds.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Arial" w:hAnsi="Arial" w:cs="Arial" w:eastAsia="Arial"/>
          <w:b/>
          <w:color w:val="auto"/>
          <w:spacing w:val="0"/>
          <w:position w:val="0"/>
          <w:sz w:val="24"/>
          <w:shd w:fill="auto" w:val="clear"/>
        </w:rPr>
        <w:t xml:space="preserve">Figure 3. Representative images of fluorescent angiography taken using Micron III imaging system at peak disease. </w:t>
      </w:r>
      <w:r>
        <w:rPr>
          <w:rFonts w:ascii="Arial" w:hAnsi="Arial" w:cs="Arial" w:eastAsia="Arial"/>
          <w:color w:val="auto"/>
          <w:spacing w:val="0"/>
          <w:position w:val="0"/>
          <w:sz w:val="24"/>
          <w:shd w:fill="auto" w:val="clear"/>
        </w:rPr>
        <w:t xml:space="preserve">C57BL/6J mice were injected subcutaneously with 2% fluorescein and images taken at various timepoints after circulation of the tracer. (A) CFA only control mouse taken at 1.5 and 7 minutes post fluorescein administration. (B) Representative images of IRBP</w:t>
      </w:r>
      <w:r>
        <w:rPr>
          <w:rFonts w:ascii="Arial" w:hAnsi="Arial" w:cs="Arial" w:eastAsia="Arial"/>
          <w:color w:val="auto"/>
          <w:spacing w:val="0"/>
          <w:position w:val="0"/>
          <w:sz w:val="24"/>
          <w:shd w:fill="auto" w:val="clear"/>
          <w:vertAlign w:val="subscript"/>
        </w:rPr>
        <w:t xml:space="preserve">1-20 </w:t>
      </w:r>
      <w:r>
        <w:rPr>
          <w:rFonts w:ascii="Arial" w:hAnsi="Arial" w:cs="Arial" w:eastAsia="Arial"/>
          <w:color w:val="auto"/>
          <w:spacing w:val="0"/>
          <w:position w:val="0"/>
          <w:sz w:val="24"/>
          <w:shd w:fill="auto" w:val="clear"/>
        </w:rPr>
        <w:t xml:space="preserve">immunized mice taken 1.5 and 7 minutes, respectively, after receiving fluorescein. White arrow indicates vessel leakage.</w:t>
      </w:r>
    </w:p>
    <w:p>
      <w:pPr>
        <w:spacing w:before="0" w:after="0" w:line="240"/>
        <w:ind w:right="0" w:left="0" w:firstLine="0"/>
        <w:jc w:val="both"/>
        <w:rPr>
          <w:rFonts w:ascii="Arial" w:hAnsi="Arial" w:cs="Arial" w:eastAsia="Arial"/>
          <w:b/>
          <w:i/>
          <w:color w:val="44546A"/>
          <w:spacing w:val="0"/>
          <w:position w:val="0"/>
          <w:sz w:val="18"/>
          <w:shd w:fill="auto" w:val="clear"/>
        </w:rPr>
      </w:pPr>
      <w:r>
        <w:rPr>
          <w:rFonts w:ascii="Arial" w:hAnsi="Arial" w:cs="Arial" w:eastAsia="Arial"/>
          <w:b/>
          <w:i/>
          <w:color w:val="44546A"/>
          <w:spacing w:val="0"/>
          <w:position w:val="0"/>
          <w:sz w:val="18"/>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 Conventional clinical scoring scale for evaluating EAU clinical disease severity.</w:t>
      </w:r>
      <w:r>
        <w:rPr>
          <w:rFonts w:ascii="Arial" w:hAnsi="Arial" w:cs="Arial" w:eastAsia="Arial"/>
          <w:color w:val="auto"/>
          <w:spacing w:val="0"/>
          <w:position w:val="0"/>
          <w:sz w:val="24"/>
          <w:shd w:fill="auto" w:val="clear"/>
        </w:rPr>
        <w:t xml:space="preserve"> Table showing criteria used to evaluate the extent of disease severity in mice immunised with IRBP</w:t>
      </w:r>
      <w:r>
        <w:rPr>
          <w:rFonts w:ascii="Arial" w:hAnsi="Arial" w:cs="Arial" w:eastAsia="Arial"/>
          <w:color w:val="auto"/>
          <w:spacing w:val="0"/>
          <w:position w:val="0"/>
          <w:sz w:val="24"/>
          <w:shd w:fill="auto" w:val="clear"/>
          <w:vertAlign w:val="subscript"/>
        </w:rPr>
        <w:t xml:space="preserve">1-20. </w:t>
      </w:r>
      <w:r>
        <w:rPr>
          <w:rFonts w:ascii="Arial" w:hAnsi="Arial" w:cs="Arial" w:eastAsia="Arial"/>
          <w:color w:val="auto"/>
          <w:spacing w:val="0"/>
          <w:position w:val="0"/>
          <w:sz w:val="24"/>
          <w:shd w:fill="auto" w:val="clear"/>
        </w:rPr>
        <w:t xml:space="preserve">Scores were allocated according to the hallmarks outlined above being visible on the fundus images, each eye was given a total score out of twenty. Table adopted with permission from Xu H., et al., 2008</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2. Histologically scoring EAU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 showing criteria used to evaluate the severity of EAU based on histopathological features of disease. Scores were allocated according to the hallmarks outlined above on H&amp;amp;E staining, each eye was given a total score out of four. Table adopted with permission from Agarwal et al. 2013</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Experimental animal models are necessary tools for studying disease pathogenesis and preclinical testing of novel therapeutic paradigms. In the current protocol, we have discussed practical details for the experimental model of intraocular inflammatory uveitis (EAU). The main features of EAU in animals are retinal and/or choroidal inflammation, retinal vasculitis, photoreceptor destruction and loss of vision, all of which represent many essential clinicopathological features of human posterior uveitis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Much of the understanding on the basic cellular and molecular mechanisms involved in uveitis has derived from the induced EAU model as described herein. EAU can be induced in mice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rats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by active immunization with retinal antigens that are recognized by lymphocytes. These retinal antigens take many forms; IRBP (for mice) or retinal soluble antigen (S-Ag) for rats. Inducing EAU on a C57BL/6J background generates a more chronic form of the disease, with peak pathology observed three weeks post-immunisation. By comparison, applying retinal antigen to a B10RIII background</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induces an acute-monophasic EAU where peak pathology typically presents within two weeks of induction.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Different IRBP epitopes have been tested in C57BL/6J mice and IRBP</w:t>
      </w:r>
      <w:r>
        <w:rPr>
          <w:rFonts w:ascii="Arial" w:hAnsi="Arial" w:cs="Arial" w:eastAsia="Arial"/>
          <w:color w:val="auto"/>
          <w:spacing w:val="0"/>
          <w:position w:val="0"/>
          <w:sz w:val="24"/>
          <w:shd w:fill="auto" w:val="clear"/>
          <w:vertAlign w:val="subscript"/>
        </w:rPr>
        <w:t xml:space="preserve">1-20</w:t>
      </w:r>
      <w:r>
        <w:rPr>
          <w:rFonts w:ascii="Arial" w:hAnsi="Arial" w:cs="Arial" w:eastAsia="Arial"/>
          <w:color w:val="auto"/>
          <w:spacing w:val="0"/>
          <w:position w:val="0"/>
          <w:sz w:val="24"/>
          <w:shd w:fill="auto" w:val="clear"/>
        </w:rPr>
        <w:t xml:space="preserve"> peptide has proven to be a reproducible model with a high incidence and severity levels. Recently a new uveitogenic epitope of IRBP, amino acid residues 651 to 670 of human IRBP have been reported to induce EAU with a higher clinical incidence and severe disease manifestation</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However, unpublished data from the laboratory showed no signs of disease development. Indeed, the impact of gut commensal microbiota and the activation of autoreactive T cell receptors (TCRs) is known to interfere with the onset</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Therefore, for beginners in this field, we advise both hIRBP</w:t>
      </w:r>
      <w:r>
        <w:rPr>
          <w:rFonts w:ascii="Arial" w:hAnsi="Arial" w:cs="Arial" w:eastAsia="Arial"/>
          <w:color w:val="auto"/>
          <w:spacing w:val="0"/>
          <w:position w:val="0"/>
          <w:sz w:val="24"/>
          <w:shd w:fill="auto" w:val="clear"/>
          <w:vertAlign w:val="subscript"/>
        </w:rPr>
        <w:t xml:space="preserve">1-20 </w:t>
      </w:r>
      <w:r>
        <w:rPr>
          <w:rFonts w:ascii="Arial" w:hAnsi="Arial" w:cs="Arial" w:eastAsia="Arial"/>
          <w:color w:val="auto"/>
          <w:spacing w:val="0"/>
          <w:position w:val="0"/>
          <w:sz w:val="24"/>
          <w:shd w:fill="auto" w:val="clear"/>
        </w:rPr>
        <w:t xml:space="preserve">and hIRBP</w:t>
      </w:r>
      <w:r>
        <w:rPr>
          <w:rFonts w:ascii="Arial" w:hAnsi="Arial" w:cs="Arial" w:eastAsia="Arial"/>
          <w:color w:val="auto"/>
          <w:spacing w:val="0"/>
          <w:position w:val="0"/>
          <w:sz w:val="24"/>
          <w:shd w:fill="auto" w:val="clear"/>
          <w:vertAlign w:val="subscript"/>
        </w:rPr>
        <w:t xml:space="preserve">651-670</w:t>
      </w:r>
      <w:r>
        <w:rPr>
          <w:rFonts w:ascii="Arial" w:hAnsi="Arial" w:cs="Arial" w:eastAsia="Arial"/>
          <w:color w:val="auto"/>
          <w:spacing w:val="0"/>
          <w:position w:val="0"/>
          <w:sz w:val="24"/>
          <w:shd w:fill="auto" w:val="clear"/>
        </w:rPr>
        <w:t xml:space="preserve"> peptides to be tested and titrated (300-500 &amp;#181;g) in order to achieve a reliable model in their own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a number of other models such as spontaneous uveitis that progresses in IRBP T cell receptor (TCR) transgenic (R161H) mice and spontaneously develops ocular inflammation by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 weeks of age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EAU can also be adoptively induced by transferring uveitogenic effector cells. Activated, IRBP-specific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T cells derived from primed mice can be used as a source of effector cells</w:t>
      </w:r>
      <w:r>
        <w:rPr>
          <w:rFonts w:ascii="Arial" w:hAnsi="Arial" w:cs="Arial" w:eastAsia="Arial"/>
          <w:color w:val="auto"/>
          <w:spacing w:val="0"/>
          <w:position w:val="0"/>
          <w:sz w:val="24"/>
          <w:shd w:fill="auto" w:val="clear"/>
          <w:vertAlign w:val="superscript"/>
        </w:rPr>
        <w:t xml:space="preserve">3,10</w:t>
      </w:r>
      <w:r>
        <w:rPr>
          <w:rFonts w:ascii="Arial" w:hAnsi="Arial" w:cs="Arial" w:eastAsia="Arial"/>
          <w:color w:val="auto"/>
          <w:spacing w:val="0"/>
          <w:position w:val="0"/>
          <w:sz w:val="24"/>
          <w:shd w:fill="auto" w:val="clear"/>
        </w:rPr>
        <w:t xml:space="preserve">. This model represents the effector phase of the disease while avoiding the complexities of using CFA in the inducible model.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Further to this, there are many advantages to using ocular inflammatory models as appropriate tools to investigate other inflammatory diseases, in particular, those with effector Th1 and Th17 subset pathology. The main advantages to using this model are the relatively simple methods to monitor disease development and progression, which are fundoscopy and angiography. These non-invasive imaging systems allow easy access to neuronal tissues, that would otherwise be concealed behind protective anatomical barriers. An additional method for monitoring disease progression involves the application of OCT imaging which is more sensitive than fundoscopic imaging in detecting cellular infiltrates, especially at the early stage of EAU onset. The technique allows multi-layer cross- and horizontal-sectional visualizations of retinal lesions longitudinally and in a non-invasive fashion. In vivo OCT imaging adds information that could not be obtained by fundoscopic and histological examinations such as retinal thickness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Furthermore, the ability to dissect and isolate resident and infiltrating cell populations for deeper analysis of immunophenotypes using flow cytometry methods affords great opportunities for study.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a few established scoring systems based on clinical criteria obtained from fundoscopy</w:t>
      </w:r>
      <w:r>
        <w:rPr>
          <w:rFonts w:ascii="Arial" w:hAnsi="Arial" w:cs="Arial" w:eastAsia="Arial"/>
          <w:color w:val="auto"/>
          <w:spacing w:val="0"/>
          <w:position w:val="0"/>
          <w:sz w:val="24"/>
          <w:shd w:fill="auto" w:val="clear"/>
          <w:vertAlign w:val="superscript"/>
        </w:rPr>
        <w:t xml:space="preserve">7,8,17</w:t>
      </w:r>
      <w:r>
        <w:rPr>
          <w:rFonts w:ascii="Arial" w:hAnsi="Arial" w:cs="Arial" w:eastAsia="Arial"/>
          <w:color w:val="auto"/>
          <w:spacing w:val="0"/>
          <w:position w:val="0"/>
          <w:sz w:val="24"/>
          <w:shd w:fill="auto" w:val="clear"/>
        </w:rPr>
        <w:t xml:space="preserve">. Whilst these differ slightly between ophthalmology research centers, all are reliable and capable of accurately reflecting the severity of disease and correlate with histopathological features. In the current study, we refer to the scoring system developed by Xu et al.</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This system offers a more detailed assessment approach with greater numbers of clinical measurement parameters. It comprises a maximum score of 20 which introduces a wider window for scoring than alternative systems limited to a maximum of 5. This is more important for further exploration within therapeutic approaches. EAU model has over 95% disease incidence when all procedures are performed according to the protocol outlined herein, and results in the development of chronic, monophasic EAU. The most critical parts of the preparation are antigen preparation and injection of the emulsion, both of which have been detailed in adequate amounts throughout.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Gender consideration in inducing autoimmune models has been discussed and connected to the cytokine milieu elicited by the physiological state of the individual</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However, we did not see any significant difference in the pilot studies. The issue for planning an experiment would be considering that males at the same age have higher body mass than females and need more reagents and antigen for inducing the disease. We also studied age-dependency of susceptibility in B10RIII mice and concluded that mice over 8 weeks of life have a lower incidence of EAU.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Animal models of intraocular disease have provided an invaluable tool to study human uveitis and aided in the development of experimental therapies. However, no animal model by itself reproduces the full spectrum of human uveitis, each has unique characteristics that make it suitable for studying particular aspects of the disease. This EAU model is induced by autoimmunity through the application of IRBP peptide supplemented with adjuvants (Mtb and pertussis) which trigger innate immune responses. However, we don’t know if all idiopathic uveitis in humans are autoimmune and if antigenic mimicry is a triggering factor. In addition, we are still not sure about the involvement of any infections in triggering human uveitis.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of interest to declare with this work.</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UCL Institute of Ophthalmology, Biological Service Unit especially Ms Alison O’Hara and her team for their technical support.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Lyu, C.</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TMP778, a selective inhibitor of RORgammat, suppresses experimental autoimmune uveitis development, but affects both Th17 and Th1 cell populations.</w:t>
      </w:r>
      <w:r>
        <w:rPr>
          <w:rFonts w:ascii="Times New Roman" w:hAnsi="Times New Roman" w:cs="Times New Roman" w:eastAsia="Times New Roman"/>
          <w:i/>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The European Journal of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1810-1816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Klaska, I. P., Forrester, J. V. Mouse models of autoimmune uveitis. </w:t>
      </w:r>
      <w:r>
        <w:rPr>
          <w:rFonts w:ascii="Arial" w:hAnsi="Arial" w:cs="Arial" w:eastAsia="Arial"/>
          <w:i/>
          <w:color w:val="auto"/>
          <w:spacing w:val="0"/>
          <w:position w:val="0"/>
          <w:sz w:val="24"/>
          <w:shd w:fill="auto" w:val="clear"/>
        </w:rPr>
        <w:t xml:space="preserve">urrent Pharmaceutical Design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2453-2467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Eskandarpour, M., Alexander, R., Adamson, P., Calder, V. L. Pharmacological Inhibition of Bromodomain Proteins Suppresses Retinal Inflammatory Disease and Downregulates Retinal Th17 Cells. </w:t>
      </w:r>
      <w:r>
        <w:rPr>
          <w:rFonts w:ascii="Arial" w:hAnsi="Arial" w:cs="Arial" w:eastAsia="Arial"/>
          <w:i/>
          <w:color w:val="auto"/>
          <w:spacing w:val="0"/>
          <w:position w:val="0"/>
          <w:sz w:val="24"/>
          <w:shd w:fill="auto" w:val="clear"/>
        </w:rPr>
        <w:t xml:space="preserve">The Journal of Immunology</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198</w:t>
      </w:r>
      <w:r>
        <w:rPr>
          <w:rFonts w:ascii="Arial" w:hAnsi="Arial" w:cs="Arial" w:eastAsia="Arial"/>
          <w:color w:val="auto"/>
          <w:spacing w:val="0"/>
          <w:position w:val="0"/>
          <w:sz w:val="24"/>
          <w:shd w:fill="auto" w:val="clear"/>
        </w:rPr>
        <w:t xml:space="preserve">, 1093-1103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Mochizuki, M.</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Preclinical and clinical study of FK506 in uveitis. </w:t>
      </w:r>
      <w:r>
        <w:rPr>
          <w:rFonts w:ascii="Arial" w:hAnsi="Arial" w:cs="Arial" w:eastAsia="Arial"/>
          <w:i/>
          <w:color w:val="auto"/>
          <w:spacing w:val="0"/>
          <w:position w:val="0"/>
          <w:sz w:val="24"/>
          <w:shd w:fill="auto" w:val="clear"/>
        </w:rPr>
        <w:t xml:space="preserve">Current Eye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Suppl, 87-95 (1992).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Nguyen, Q. D.</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Intravitreal Sirolimus for the Treatment of Noninfectious Uveitis: Evolution through Preclinical and Clinical Studies. </w:t>
      </w:r>
      <w:r>
        <w:rPr>
          <w:rFonts w:ascii="Arial" w:hAnsi="Arial" w:cs="Arial" w:eastAsia="Arial"/>
          <w:i/>
          <w:color w:val="auto"/>
          <w:spacing w:val="0"/>
          <w:position w:val="0"/>
          <w:sz w:val="24"/>
          <w:shd w:fill="auto" w:val="clear"/>
        </w:rPr>
        <w:t xml:space="preserve">Ophthalmology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1984-1993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Leal, I.</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Anti-TNF Drugs for Chronic Uveitis in Adults-A Systematic Review and Meta-Analysis of Randomized Controlled Trials. </w:t>
      </w:r>
      <w:r>
        <w:rPr>
          <w:rFonts w:ascii="Arial" w:hAnsi="Arial" w:cs="Arial" w:eastAsia="Arial"/>
          <w:i/>
          <w:color w:val="auto"/>
          <w:spacing w:val="0"/>
          <w:position w:val="0"/>
          <w:sz w:val="24"/>
          <w:shd w:fill="auto" w:val="clear"/>
        </w:rPr>
        <w:t xml:space="preserve">Frontiers in Medicine (Lausanne)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104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Xu, 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 clinical grading system for retinal inflammation in the chronic model of experimental autoimmune uveoretinitis using digital fundus images. </w:t>
      </w:r>
      <w:r>
        <w:rPr>
          <w:rFonts w:ascii="Arial" w:hAnsi="Arial" w:cs="Arial" w:eastAsia="Arial"/>
          <w:i/>
          <w:color w:val="auto"/>
          <w:spacing w:val="0"/>
          <w:position w:val="0"/>
          <w:sz w:val="24"/>
          <w:shd w:fill="auto" w:val="clear"/>
        </w:rPr>
        <w:t xml:space="preserve">Experimental Eye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319-326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Copland, D. A.</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The clinical time-course of experimental autoimmune uveoretinitis using topical endoscopic fundal imaging with histologic and cellular infiltrate correlation. </w:t>
      </w:r>
      <w:r>
        <w:rPr>
          <w:rFonts w:ascii="Arial" w:hAnsi="Arial" w:cs="Arial" w:eastAsia="Arial"/>
          <w:i/>
          <w:color w:val="auto"/>
          <w:spacing w:val="0"/>
          <w:position w:val="0"/>
          <w:sz w:val="24"/>
          <w:shd w:fill="auto" w:val="clear"/>
        </w:rPr>
        <w:t xml:space="preserve">Investigative Ophthalmology &amp;amp; Visual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5458-5465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Dick, A. D. Doyne lecture 2016: intraocular health and the many faces of inflammation. </w:t>
      </w:r>
      <w:r>
        <w:rPr>
          <w:rFonts w:ascii="Arial" w:hAnsi="Arial" w:cs="Arial" w:eastAsia="Arial"/>
          <w:i/>
          <w:color w:val="auto"/>
          <w:spacing w:val="0"/>
          <w:position w:val="0"/>
          <w:sz w:val="24"/>
          <w:shd w:fill="auto" w:val="clear"/>
        </w:rPr>
        <w:t xml:space="preserve">Eye (Lond)</w:t>
      </w:r>
      <w:r>
        <w:rPr>
          <w:rFonts w:ascii="Arial" w:hAnsi="Arial" w:cs="Arial" w:eastAsia="Arial"/>
          <w:color w:val="auto"/>
          <w:spacing w:val="0"/>
          <w:position w:val="0"/>
          <w:sz w:val="24"/>
          <w:shd w:fill="auto" w:val="clear"/>
        </w:rPr>
        <w:t xml:space="preserve"> .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87-96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Agarwal, R. K., Silver, P. B., Caspi, R. R. Rodent models of experimental autoimmune uveitis. </w:t>
      </w:r>
      <w:r>
        <w:rPr>
          <w:rFonts w:ascii="Arial" w:hAnsi="Arial" w:cs="Arial" w:eastAsia="Arial"/>
          <w:i/>
          <w:color w:val="auto"/>
          <w:spacing w:val="0"/>
          <w:position w:val="0"/>
          <w:sz w:val="24"/>
          <w:shd w:fill="auto" w:val="clear"/>
        </w:rPr>
        <w:t xml:space="preserve">Methods in Molecular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900</w:t>
      </w:r>
      <w:r>
        <w:rPr>
          <w:rFonts w:ascii="Arial" w:hAnsi="Arial" w:cs="Arial" w:eastAsia="Arial"/>
          <w:color w:val="auto"/>
          <w:spacing w:val="0"/>
          <w:position w:val="0"/>
          <w:sz w:val="24"/>
          <w:shd w:fill="auto" w:val="clear"/>
        </w:rPr>
        <w:t xml:space="preserve">, 443-469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Caspi, R. R. A look at autoimmunity and inflammation in the eye. </w:t>
      </w:r>
      <w:r>
        <w:rPr>
          <w:rFonts w:ascii="Arial" w:hAnsi="Arial" w:cs="Arial" w:eastAsia="Arial"/>
          <w:i/>
          <w:color w:val="auto"/>
          <w:spacing w:val="0"/>
          <w:position w:val="0"/>
          <w:sz w:val="24"/>
          <w:shd w:fill="auto" w:val="clear"/>
        </w:rPr>
        <w:t xml:space="preserve">Journal of Clininical Investigation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3073-3083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Caspi, R. 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Mouse models of experimental autoimmune uveitis. </w:t>
      </w:r>
      <w:r>
        <w:rPr>
          <w:rFonts w:ascii="Arial" w:hAnsi="Arial" w:cs="Arial" w:eastAsia="Arial"/>
          <w:i/>
          <w:color w:val="auto"/>
          <w:spacing w:val="0"/>
          <w:position w:val="0"/>
          <w:sz w:val="24"/>
          <w:shd w:fill="auto" w:val="clear"/>
        </w:rPr>
        <w:t xml:space="preserve">Ophthalmic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169-174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Shao, 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Severe chronic experimental autoimmune uveitis (EAU) of the C57BL/6 mouse induced by adoptive transfer of IRBP1-20-specific T cells. </w:t>
      </w:r>
      <w:r>
        <w:rPr>
          <w:rFonts w:ascii="Arial" w:hAnsi="Arial" w:cs="Arial" w:eastAsia="Arial"/>
          <w:i/>
          <w:color w:val="auto"/>
          <w:spacing w:val="0"/>
          <w:position w:val="0"/>
          <w:sz w:val="24"/>
          <w:shd w:fill="auto" w:val="clear"/>
        </w:rPr>
        <w:t xml:space="preserve">Experimental Eye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323-331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Horai, 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Microbiota-Dependent Activation of an Autoreactive T Cell Receptor Provokes Autoimmunity in an Immunologically Privileged Site. </w:t>
      </w:r>
      <w:r>
        <w:rPr>
          <w:rFonts w:ascii="Arial" w:hAnsi="Arial" w:cs="Arial" w:eastAsia="Arial"/>
          <w:i/>
          <w:color w:val="auto"/>
          <w:spacing w:val="0"/>
          <w:position w:val="0"/>
          <w:sz w:val="24"/>
          <w:shd w:fill="auto" w:val="clear"/>
        </w:rPr>
        <w:t xml:space="preserve">Immunity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343-353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Chen, J.</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Comparative analysis of induced vs. spontaneous models of autoimmune uveitis targeting the interphotoreceptor retinoid binding protein.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e72161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Chen, J., Qian, H., Horai, R., Chan, C. C., Caspi, R. R. Use of optical coherence tomography and electroretinography to evaluate retinal pathology in a mouse model of autoimmune uveitis.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e63904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Harry, 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Suppression of autoimmune retinal disease by lovastatin does not require Th2 cytokine induction. </w:t>
      </w:r>
      <w:r>
        <w:rPr>
          <w:rFonts w:ascii="Arial" w:hAnsi="Arial" w:cs="Arial" w:eastAsia="Arial"/>
          <w:i/>
          <w:color w:val="auto"/>
          <w:spacing w:val="0"/>
          <w:position w:val="0"/>
          <w:sz w:val="24"/>
          <w:shd w:fill="auto" w:val="clear"/>
        </w:rPr>
        <w:t xml:space="preserve">Journal of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2327-2335 (2005).</w:t>
      </w:r>
    </w:p>
    <w:p>
      <w:pPr>
        <w:spacing w:before="0" w:after="0" w:line="240"/>
        <w:ind w:right="0" w:left="0" w:firstLine="0"/>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