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410FD" w14:textId="77777777" w:rsidR="00F901B5" w:rsidRDefault="00C029DC" w:rsidP="004E5E0B">
      <w:pPr>
        <w:pStyle w:val="NormalWeb"/>
        <w:spacing w:before="0" w:beforeAutospacing="0" w:after="0" w:afterAutospacing="0"/>
      </w:pPr>
      <w:r w:rsidRPr="00356212">
        <w:rPr>
          <w:rStyle w:val="Strong"/>
          <w:u w:val="single"/>
        </w:rPr>
        <w:t>Editorial comments:</w:t>
      </w:r>
      <w:r w:rsidRPr="00356212">
        <w:br/>
      </w:r>
      <w:r w:rsidRPr="000C33F4">
        <w:rPr>
          <w:b/>
          <w:bCs/>
        </w:rPr>
        <w:t>Changes to be made by the Author(s):</w:t>
      </w:r>
    </w:p>
    <w:p w14:paraId="341D4F0D" w14:textId="38280C13" w:rsidR="00356212" w:rsidRDefault="00C029DC" w:rsidP="004E5E0B">
      <w:pPr>
        <w:pStyle w:val="NormalWeb"/>
        <w:spacing w:before="0" w:beforeAutospacing="0" w:after="0" w:afterAutospacing="0"/>
      </w:pPr>
      <w:r w:rsidRPr="00356212">
        <w:br/>
      </w:r>
      <w:r w:rsidRPr="00894BCE">
        <w:rPr>
          <w:b/>
          <w:bCs/>
        </w:rPr>
        <w:t>1. Please take this opportunity to thoroughly proofread the manuscript to ensure that there are no spelling or grammar issues.</w:t>
      </w:r>
    </w:p>
    <w:p w14:paraId="1E8B66BB" w14:textId="2769CE02" w:rsidR="00356212" w:rsidRDefault="00356212" w:rsidP="000C33F4">
      <w:pPr>
        <w:pStyle w:val="NormalWeb"/>
        <w:spacing w:before="0" w:beforeAutospacing="0" w:after="0" w:afterAutospacing="0"/>
        <w:ind w:firstLine="360"/>
      </w:pPr>
      <w:r>
        <w:t xml:space="preserve">We </w:t>
      </w:r>
      <w:r w:rsidR="00A7159D">
        <w:t>reviewed the manuscript and corrected the issues.</w:t>
      </w:r>
    </w:p>
    <w:p w14:paraId="3506E88A" w14:textId="77777777" w:rsidR="00A7159D" w:rsidRPr="00894BCE" w:rsidRDefault="00C029DC" w:rsidP="004E5E0B">
      <w:pPr>
        <w:pStyle w:val="NormalWeb"/>
        <w:spacing w:before="0" w:beforeAutospacing="0" w:after="0" w:afterAutospacing="0"/>
        <w:rPr>
          <w:b/>
          <w:bCs/>
        </w:rPr>
      </w:pPr>
      <w:r w:rsidRPr="00356212">
        <w:br/>
      </w:r>
      <w:r w:rsidRPr="00894BCE">
        <w:rPr>
          <w:b/>
          <w:bCs/>
        </w:rPr>
        <w:t>2. Please remove the embedded Table from the manuscript.</w:t>
      </w:r>
    </w:p>
    <w:p w14:paraId="433B3F59" w14:textId="2268A75A" w:rsidR="00A7159D" w:rsidRDefault="00A7159D" w:rsidP="000C33F4">
      <w:pPr>
        <w:pStyle w:val="NormalWeb"/>
        <w:spacing w:before="0" w:beforeAutospacing="0" w:after="0" w:afterAutospacing="0"/>
        <w:ind w:firstLine="360"/>
      </w:pPr>
      <w:r>
        <w:t>We removed the table and will include it separately.</w:t>
      </w:r>
    </w:p>
    <w:p w14:paraId="2AFA524C" w14:textId="77777777" w:rsidR="00AC650A" w:rsidRPr="00894BCE" w:rsidRDefault="00C029DC" w:rsidP="004E5E0B">
      <w:pPr>
        <w:pStyle w:val="NormalWeb"/>
        <w:spacing w:before="0" w:beforeAutospacing="0" w:after="0" w:afterAutospacing="0"/>
        <w:rPr>
          <w:b/>
          <w:bCs/>
        </w:rPr>
      </w:pPr>
      <w:r w:rsidRPr="00356212">
        <w:br/>
      </w:r>
      <w:r w:rsidRPr="00894BCE">
        <w:rPr>
          <w:b/>
          <w:bCs/>
        </w:rPr>
        <w:t>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4FAD060" w14:textId="39C21AE9" w:rsidR="00AC650A" w:rsidRDefault="00447CDB" w:rsidP="000C33F4">
      <w:pPr>
        <w:pStyle w:val="NormalWeb"/>
        <w:spacing w:before="0" w:beforeAutospacing="0" w:after="0" w:afterAutospacing="0"/>
        <w:ind w:firstLine="360"/>
      </w:pPr>
      <w:r>
        <w:t xml:space="preserve">We highlighted </w:t>
      </w:r>
      <w:r w:rsidR="00A47EC3">
        <w:t xml:space="preserve">key steps for the video, </w:t>
      </w:r>
      <w:r w:rsidR="00F901B5">
        <w:t xml:space="preserve">particularly for </w:t>
      </w:r>
      <w:r w:rsidR="00A47EC3">
        <w:t>the synthesis of fluorescent antigen arrays.</w:t>
      </w:r>
    </w:p>
    <w:p w14:paraId="24917221" w14:textId="20C7F219" w:rsidR="00F901B5" w:rsidRDefault="00C029DC" w:rsidP="00F901B5">
      <w:pPr>
        <w:pStyle w:val="NormalWeb"/>
        <w:spacing w:before="0" w:beforeAutospacing="0" w:after="0" w:afterAutospacing="0"/>
        <w:ind w:firstLine="360"/>
      </w:pPr>
      <w:r w:rsidRPr="00356212">
        <w:br/>
      </w:r>
      <w:r w:rsidRPr="00894BCE">
        <w:rPr>
          <w:b/>
          <w:bCs/>
        </w:rPr>
        <w:t>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648C0708" w14:textId="2C53FF7B" w:rsidR="00F901B5" w:rsidRDefault="00F901B5" w:rsidP="000C33F4">
      <w:pPr>
        <w:pStyle w:val="NormalWeb"/>
        <w:spacing w:before="0" w:beforeAutospacing="0" w:after="0" w:afterAutospacing="0"/>
        <w:ind w:firstLine="360"/>
        <w:rPr>
          <w:b/>
          <w:bCs/>
        </w:rPr>
      </w:pPr>
      <w:r>
        <w:t>Confirmed.</w:t>
      </w:r>
      <w:r w:rsidR="00C029DC" w:rsidRPr="00356212">
        <w:br/>
      </w:r>
      <w:r w:rsidR="00C029DC" w:rsidRPr="00356212">
        <w:br/>
        <w:t>____________________________________</w:t>
      </w:r>
      <w:r w:rsidR="00C029DC" w:rsidRPr="00356212">
        <w:br/>
      </w:r>
      <w:r w:rsidR="00C029DC" w:rsidRPr="00356212">
        <w:rPr>
          <w:rStyle w:val="Strong"/>
          <w:u w:val="single"/>
        </w:rPr>
        <w:t>Reviewers' comments:</w:t>
      </w:r>
      <w:r w:rsidR="00C029DC" w:rsidRPr="00356212">
        <w:br/>
      </w:r>
      <w:r w:rsidR="00C029DC" w:rsidRPr="00356212">
        <w:rPr>
          <w:b/>
          <w:bCs/>
        </w:rPr>
        <w:t>Reviewer #1:</w:t>
      </w:r>
    </w:p>
    <w:p w14:paraId="7048CEC5" w14:textId="34315B65" w:rsidR="00F901B5" w:rsidRPr="000C33F4" w:rsidRDefault="00C029DC" w:rsidP="004E5E0B">
      <w:pPr>
        <w:pStyle w:val="NormalWeb"/>
        <w:spacing w:before="0" w:beforeAutospacing="0" w:after="0" w:afterAutospacing="0"/>
        <w:rPr>
          <w:b/>
          <w:bCs/>
        </w:rPr>
      </w:pPr>
      <w:r w:rsidRPr="00356212">
        <w:br/>
      </w:r>
      <w:r w:rsidRPr="000C33F4">
        <w:rPr>
          <w:b/>
          <w:bCs/>
        </w:rPr>
        <w:t>Manuscript Summary:</w:t>
      </w:r>
      <w:r w:rsidRPr="000C33F4">
        <w:rPr>
          <w:b/>
          <w:bCs/>
        </w:rPr>
        <w:br/>
        <w:t>This manuscript titled 'Tetrameric fluorescent antigen arrays for single-step identification of antigen-specific B cells' presents a previously used method for the application of 'baiting' antigen-specific B cells. The isolation of antigen-specific B cells is difficult due to</w:t>
      </w:r>
      <w:r w:rsidR="004E5E0B" w:rsidRPr="000C33F4">
        <w:rPr>
          <w:b/>
          <w:bCs/>
        </w:rPr>
        <w:t xml:space="preserve"> </w:t>
      </w:r>
      <w:r w:rsidRPr="000C33F4">
        <w:rPr>
          <w:b/>
          <w:bCs/>
        </w:rPr>
        <w:t>the scarcity of specific cells and the unavailability of efficient reagents. In that regard, this protocol provides an additional method to scientists in the B cell field.</w:t>
      </w:r>
      <w:r w:rsidRPr="000C33F4">
        <w:rPr>
          <w:b/>
          <w:bCs/>
        </w:rPr>
        <w:br/>
      </w:r>
      <w:r w:rsidRPr="000C33F4">
        <w:rPr>
          <w:b/>
          <w:bCs/>
        </w:rPr>
        <w:br/>
        <w:t>Major Concerns:</w:t>
      </w:r>
    </w:p>
    <w:p w14:paraId="144D9090" w14:textId="60EC9CD0" w:rsidR="00981CC7" w:rsidRDefault="00C029DC" w:rsidP="004E5E0B">
      <w:pPr>
        <w:pStyle w:val="NormalWeb"/>
        <w:spacing w:before="0" w:beforeAutospacing="0" w:after="0" w:afterAutospacing="0"/>
      </w:pPr>
      <w:r w:rsidRPr="00356212">
        <w:br/>
      </w:r>
      <w:r w:rsidRPr="00981CC7">
        <w:rPr>
          <w:b/>
          <w:bCs/>
        </w:rPr>
        <w:t>A deeper discussion on the benefits and shortcomings of this method would be valuable. The examples shown are for murine cells; whether this method can as easily be applied to human studies has not been clearly established.</w:t>
      </w:r>
    </w:p>
    <w:p w14:paraId="658FE771" w14:textId="115FF2CB" w:rsidR="004E5E0B" w:rsidRPr="002F65F0" w:rsidRDefault="00981CC7" w:rsidP="000C33F4">
      <w:pPr>
        <w:pStyle w:val="NormalWeb"/>
        <w:spacing w:before="0" w:beforeAutospacing="0" w:after="0" w:afterAutospacing="0"/>
        <w:ind w:firstLine="360"/>
        <w:rPr>
          <w:b/>
          <w:bCs/>
        </w:rPr>
      </w:pPr>
      <w:r>
        <w:t xml:space="preserve">We </w:t>
      </w:r>
      <w:r w:rsidR="00F901B5">
        <w:t>agree and we added a new</w:t>
      </w:r>
      <w:r w:rsidR="00166BE2">
        <w:t xml:space="preserve"> final paragraph </w:t>
      </w:r>
      <w:r w:rsidR="00F901B5">
        <w:t xml:space="preserve">to </w:t>
      </w:r>
      <w:r w:rsidR="00166BE2">
        <w:t xml:space="preserve">the discussion addressing these points in comparison to another conventional B cell labeling modality. We </w:t>
      </w:r>
      <w:r w:rsidR="00F901B5">
        <w:t>now confirm</w:t>
      </w:r>
      <w:r w:rsidR="00166BE2">
        <w:t xml:space="preserve"> that these principles should </w:t>
      </w:r>
      <w:r w:rsidR="00F901B5">
        <w:t xml:space="preserve">also </w:t>
      </w:r>
      <w:r w:rsidR="00166BE2">
        <w:t xml:space="preserve">be applicable </w:t>
      </w:r>
      <w:r w:rsidR="00F901B5">
        <w:t xml:space="preserve">for the study of </w:t>
      </w:r>
      <w:r w:rsidR="00166BE2">
        <w:t>human samples (Lines 4</w:t>
      </w:r>
      <w:r w:rsidR="00CD69AE">
        <w:t>31</w:t>
      </w:r>
      <w:r w:rsidR="00166BE2">
        <w:t>-4</w:t>
      </w:r>
      <w:r w:rsidR="00CD69AE">
        <w:t>39</w:t>
      </w:r>
      <w:r w:rsidR="00166BE2">
        <w:t xml:space="preserve">). </w:t>
      </w:r>
      <w:r w:rsidR="00C029DC" w:rsidRPr="00356212">
        <w:br/>
      </w:r>
      <w:r w:rsidR="00C029DC" w:rsidRPr="00356212">
        <w:br/>
      </w:r>
      <w:r w:rsidR="00C029DC" w:rsidRPr="000C33F4">
        <w:rPr>
          <w:b/>
          <w:bCs/>
        </w:rPr>
        <w:t>Minor Concerns:</w:t>
      </w:r>
      <w:r w:rsidR="00C029DC" w:rsidRPr="00356212">
        <w:br/>
      </w:r>
      <w:r w:rsidR="00C029DC" w:rsidRPr="002F65F0">
        <w:rPr>
          <w:b/>
          <w:bCs/>
        </w:rPr>
        <w:t>1. Troubleshooting pointers after steps 1 and 2 would help.</w:t>
      </w:r>
      <w:r w:rsidR="0008377E" w:rsidRPr="002F65F0">
        <w:rPr>
          <w:b/>
          <w:bCs/>
        </w:rPr>
        <w:t xml:space="preserve"> </w:t>
      </w:r>
    </w:p>
    <w:p w14:paraId="67F551FE" w14:textId="644CF842" w:rsidR="00BE16CF" w:rsidRPr="00356212" w:rsidRDefault="004A2807" w:rsidP="000C33F4">
      <w:pPr>
        <w:pStyle w:val="NormalWeb"/>
        <w:spacing w:before="0" w:beforeAutospacing="0" w:after="0" w:afterAutospacing="0"/>
        <w:ind w:firstLine="360"/>
      </w:pPr>
      <w:r>
        <w:t xml:space="preserve">This is an excellent suggestion to </w:t>
      </w:r>
      <w:r w:rsidR="00BC1469">
        <w:t>improve accessibility to the protocol. We a</w:t>
      </w:r>
      <w:r w:rsidR="004E5E0B" w:rsidRPr="00356212">
        <w:t xml:space="preserve">dded several </w:t>
      </w:r>
      <w:r w:rsidR="000C33F4">
        <w:t>n</w:t>
      </w:r>
      <w:r w:rsidR="00F901B5">
        <w:t xml:space="preserve">ew troubleshooting </w:t>
      </w:r>
      <w:r w:rsidR="004E5E0B" w:rsidRPr="00356212">
        <w:t>sentences</w:t>
      </w:r>
      <w:r w:rsidR="001341A6" w:rsidRPr="00356212">
        <w:t xml:space="preserve"> to the discussion</w:t>
      </w:r>
      <w:r w:rsidR="004E5E0B" w:rsidRPr="00356212">
        <w:t xml:space="preserve"> </w:t>
      </w:r>
      <w:r w:rsidR="001341A6" w:rsidRPr="00356212">
        <w:t xml:space="preserve">in Step 1.1, 1.3, and 2. (Lines </w:t>
      </w:r>
      <w:r w:rsidR="00C03688">
        <w:t>38</w:t>
      </w:r>
      <w:r w:rsidR="00CD69AE">
        <w:t>0</w:t>
      </w:r>
      <w:r w:rsidR="00C03688">
        <w:t>-38</w:t>
      </w:r>
      <w:r w:rsidR="00CD69AE">
        <w:t>6</w:t>
      </w:r>
      <w:r w:rsidR="001341A6" w:rsidRPr="00356212">
        <w:t xml:space="preserve">, </w:t>
      </w:r>
      <w:r w:rsidR="00C03688">
        <w:t>39</w:t>
      </w:r>
      <w:r w:rsidR="00CD69AE">
        <w:t>4</w:t>
      </w:r>
      <w:r w:rsidR="00C03688">
        <w:t>-39</w:t>
      </w:r>
      <w:r w:rsidR="00CD69AE">
        <w:t>7</w:t>
      </w:r>
      <w:r w:rsidR="001341A6" w:rsidRPr="00356212">
        <w:t>)</w:t>
      </w:r>
    </w:p>
    <w:p w14:paraId="6B3E7171" w14:textId="7129B443" w:rsidR="001341A6" w:rsidRPr="002F65F0" w:rsidRDefault="00C029DC" w:rsidP="004E5E0B">
      <w:pPr>
        <w:pStyle w:val="NormalWeb"/>
        <w:spacing w:before="0" w:beforeAutospacing="0" w:after="0" w:afterAutospacing="0"/>
        <w:ind w:firstLine="720"/>
        <w:rPr>
          <w:b/>
          <w:bCs/>
        </w:rPr>
      </w:pPr>
      <w:r w:rsidRPr="00356212">
        <w:br/>
      </w:r>
      <w:r w:rsidRPr="002F65F0">
        <w:rPr>
          <w:b/>
          <w:bCs/>
        </w:rPr>
        <w:t>2. Please provide stability and storage guidance for product after step 2.</w:t>
      </w:r>
      <w:r w:rsidR="0008377E" w:rsidRPr="002F65F0">
        <w:rPr>
          <w:b/>
          <w:bCs/>
        </w:rPr>
        <w:t xml:space="preserve"> </w:t>
      </w:r>
    </w:p>
    <w:p w14:paraId="3B9183CB" w14:textId="21AC1A7E" w:rsidR="00BE16CF" w:rsidRPr="00356212" w:rsidRDefault="00A956DE" w:rsidP="004F16EF">
      <w:pPr>
        <w:pStyle w:val="NormalWeb"/>
        <w:spacing w:before="0" w:beforeAutospacing="0" w:after="0" w:afterAutospacing="0"/>
        <w:ind w:firstLine="360"/>
      </w:pPr>
      <w:r>
        <w:lastRenderedPageBreak/>
        <w:t xml:space="preserve">We </w:t>
      </w:r>
      <w:r w:rsidR="00F901B5">
        <w:t>update</w:t>
      </w:r>
      <w:r w:rsidR="004F16EF">
        <w:t>d</w:t>
      </w:r>
      <w:r w:rsidR="00F901B5">
        <w:t xml:space="preserve"> the manuscript to include</w:t>
      </w:r>
      <w:r w:rsidR="00A233F1">
        <w:t xml:space="preserve"> </w:t>
      </w:r>
      <w:r w:rsidR="00F901B5">
        <w:t xml:space="preserve">our </w:t>
      </w:r>
      <w:r>
        <w:t>specification</w:t>
      </w:r>
      <w:r w:rsidR="00A233F1">
        <w:t>s</w:t>
      </w:r>
      <w:r>
        <w:t xml:space="preserve"> for </w:t>
      </w:r>
      <w:r w:rsidR="00F901B5">
        <w:t>appropriate storage and</w:t>
      </w:r>
      <w:r w:rsidR="004D3232">
        <w:t xml:space="preserve"> </w:t>
      </w:r>
      <w:r w:rsidR="00F901B5">
        <w:t>stability</w:t>
      </w:r>
      <w:r w:rsidR="001341A6" w:rsidRPr="00356212">
        <w:t xml:space="preserve"> (Line</w:t>
      </w:r>
      <w:r w:rsidR="00C03688">
        <w:t>s 12</w:t>
      </w:r>
      <w:r w:rsidR="001F0382">
        <w:t>1</w:t>
      </w:r>
      <w:r w:rsidR="00C03688">
        <w:t>-12</w:t>
      </w:r>
      <w:r w:rsidR="001F0382">
        <w:t>4</w:t>
      </w:r>
      <w:r w:rsidR="00C03688">
        <w:t>, 144-151</w:t>
      </w:r>
      <w:r w:rsidR="00842D7B">
        <w:t>,</w:t>
      </w:r>
      <w:r w:rsidR="001341A6" w:rsidRPr="00356212">
        <w:t xml:space="preserve"> </w:t>
      </w:r>
      <w:r w:rsidR="00C03688">
        <w:t>165-168</w:t>
      </w:r>
      <w:r w:rsidR="001341A6" w:rsidRPr="00356212">
        <w:t>)</w:t>
      </w:r>
      <w:r w:rsidR="00842D7B">
        <w:t>.</w:t>
      </w:r>
    </w:p>
    <w:p w14:paraId="31DFD677" w14:textId="77777777" w:rsidR="00F4537F" w:rsidRDefault="00C029DC" w:rsidP="00F4537F">
      <w:pPr>
        <w:pStyle w:val="NormalWeb"/>
        <w:spacing w:before="0" w:beforeAutospacing="0" w:after="0" w:afterAutospacing="0"/>
        <w:ind w:firstLine="720"/>
        <w:rPr>
          <w:b/>
          <w:bCs/>
        </w:rPr>
      </w:pPr>
      <w:r w:rsidRPr="00356212">
        <w:br/>
      </w:r>
      <w:r w:rsidRPr="002F65F0">
        <w:rPr>
          <w:b/>
          <w:bCs/>
        </w:rPr>
        <w:t>3. The figures 1 and 2 have not been cited anywhere in the paper.</w:t>
      </w:r>
      <w:r w:rsidR="0008377E" w:rsidRPr="002F65F0">
        <w:rPr>
          <w:b/>
          <w:bCs/>
        </w:rPr>
        <w:t xml:space="preserve"> </w:t>
      </w:r>
    </w:p>
    <w:p w14:paraId="52DC7F2B" w14:textId="56578248" w:rsidR="00BE16CF" w:rsidRPr="00F4537F" w:rsidRDefault="00F901B5" w:rsidP="004F16EF">
      <w:pPr>
        <w:pStyle w:val="NormalWeb"/>
        <w:spacing w:before="0" w:beforeAutospacing="0" w:after="0" w:afterAutospacing="0"/>
        <w:ind w:firstLine="360"/>
        <w:rPr>
          <w:b/>
          <w:bCs/>
        </w:rPr>
      </w:pPr>
      <w:bookmarkStart w:id="0" w:name="OLE_LINK1"/>
      <w:r>
        <w:t>The omission has been corrected and f</w:t>
      </w:r>
      <w:r w:rsidR="00842D7B">
        <w:t>igures 1 and 2 are now cited in the</w:t>
      </w:r>
      <w:r w:rsidR="00F4537F">
        <w:t xml:space="preserve"> manuscript</w:t>
      </w:r>
      <w:r>
        <w:t xml:space="preserve"> </w:t>
      </w:r>
      <w:r w:rsidR="00C03688">
        <w:t>(Lines 78</w:t>
      </w:r>
      <w:r w:rsidR="007B150E" w:rsidRPr="00356212">
        <w:t xml:space="preserve">, </w:t>
      </w:r>
      <w:r w:rsidR="00C03688">
        <w:t>2</w:t>
      </w:r>
      <w:r w:rsidR="001F0382">
        <w:t>92</w:t>
      </w:r>
      <w:r w:rsidR="00C03688">
        <w:t>-29</w:t>
      </w:r>
      <w:r w:rsidR="001F0382">
        <w:t>7</w:t>
      </w:r>
      <w:r w:rsidR="007B150E" w:rsidRPr="00356212">
        <w:t xml:space="preserve">, </w:t>
      </w:r>
      <w:r w:rsidR="00C03688">
        <w:t>37</w:t>
      </w:r>
      <w:r w:rsidR="001F0382">
        <w:t>1</w:t>
      </w:r>
      <w:r w:rsidR="007B150E" w:rsidRPr="00356212">
        <w:t>)</w:t>
      </w:r>
      <w:r w:rsidR="00842D7B">
        <w:t>.</w:t>
      </w:r>
    </w:p>
    <w:bookmarkEnd w:id="0"/>
    <w:p w14:paraId="2ED65068" w14:textId="00C2F924" w:rsidR="001341A6" w:rsidRPr="002F65F0" w:rsidRDefault="00C029DC" w:rsidP="004E5E0B">
      <w:pPr>
        <w:pStyle w:val="NormalWeb"/>
        <w:spacing w:before="0" w:beforeAutospacing="0" w:after="0" w:afterAutospacing="0"/>
        <w:ind w:firstLine="720"/>
        <w:rPr>
          <w:b/>
          <w:bCs/>
        </w:rPr>
      </w:pPr>
      <w:r w:rsidRPr="00356212">
        <w:br/>
      </w:r>
      <w:r w:rsidRPr="002F65F0">
        <w:rPr>
          <w:b/>
          <w:bCs/>
        </w:rPr>
        <w:t>4. The Figure legend for Fig2 has a typo.</w:t>
      </w:r>
      <w:r w:rsidR="0008377E" w:rsidRPr="002F65F0">
        <w:rPr>
          <w:b/>
          <w:bCs/>
        </w:rPr>
        <w:t xml:space="preserve"> </w:t>
      </w:r>
    </w:p>
    <w:p w14:paraId="4F837241" w14:textId="5EF9FBBA" w:rsidR="00BE16CF" w:rsidRPr="00356212" w:rsidRDefault="00BE16CF" w:rsidP="004F16EF">
      <w:pPr>
        <w:pStyle w:val="NormalWeb"/>
        <w:spacing w:before="0" w:beforeAutospacing="0" w:after="0" w:afterAutospacing="0"/>
        <w:ind w:firstLine="360"/>
      </w:pPr>
      <w:r w:rsidRPr="00356212">
        <w:t xml:space="preserve">We corrected the spelling of fluorophore </w:t>
      </w:r>
      <w:r w:rsidR="00C03688">
        <w:t>(Line 45</w:t>
      </w:r>
      <w:r w:rsidR="001F0382">
        <w:t>3</w:t>
      </w:r>
      <w:r w:rsidR="00C03688">
        <w:t>)</w:t>
      </w:r>
      <w:r w:rsidRPr="00356212">
        <w:t>.</w:t>
      </w:r>
    </w:p>
    <w:p w14:paraId="0184C29D" w14:textId="23E97D95" w:rsidR="00552EA4" w:rsidRPr="002F65F0" w:rsidRDefault="00C029DC" w:rsidP="004E5E0B">
      <w:pPr>
        <w:pStyle w:val="NormalWeb"/>
        <w:spacing w:before="0" w:beforeAutospacing="0" w:after="0" w:afterAutospacing="0"/>
        <w:ind w:firstLine="720"/>
        <w:rPr>
          <w:b/>
          <w:bCs/>
        </w:rPr>
      </w:pPr>
      <w:r w:rsidRPr="00356212">
        <w:br/>
      </w:r>
      <w:r w:rsidRPr="002F65F0">
        <w:rPr>
          <w:b/>
          <w:bCs/>
        </w:rPr>
        <w:t>5. The statistical tests used to establish significant differences are not mentioned.</w:t>
      </w:r>
      <w:r w:rsidR="0008377E" w:rsidRPr="002F65F0">
        <w:rPr>
          <w:b/>
          <w:bCs/>
        </w:rPr>
        <w:t xml:space="preserve"> </w:t>
      </w:r>
    </w:p>
    <w:p w14:paraId="7FEC363B" w14:textId="16573C4A" w:rsidR="00BE16CF" w:rsidRPr="00356212" w:rsidRDefault="00552EA4" w:rsidP="004F16EF">
      <w:pPr>
        <w:pStyle w:val="NormalWeb"/>
        <w:spacing w:before="0" w:beforeAutospacing="0" w:after="0" w:afterAutospacing="0"/>
        <w:ind w:firstLine="360"/>
      </w:pPr>
      <w:r w:rsidRPr="00356212">
        <w:t xml:space="preserve">We thank the reviewer </w:t>
      </w:r>
      <w:r w:rsidR="00F901B5">
        <w:t>on this point and we now include</w:t>
      </w:r>
      <w:r w:rsidR="00CD0C42" w:rsidRPr="00356212">
        <w:t xml:space="preserve"> information about statistical tests in the figure legends for Figs. </w:t>
      </w:r>
      <w:r w:rsidR="00BE16CF" w:rsidRPr="00356212">
        <w:t>4 &amp; 5</w:t>
      </w:r>
      <w:r w:rsidR="00F901B5">
        <w:t>,</w:t>
      </w:r>
      <w:r w:rsidR="00BE16CF" w:rsidRPr="00356212">
        <w:t xml:space="preserve"> </w:t>
      </w:r>
      <w:proofErr w:type="gramStart"/>
      <w:r w:rsidR="00F901B5">
        <w:t>and also</w:t>
      </w:r>
      <w:proofErr w:type="gramEnd"/>
      <w:r w:rsidR="00BE16CF" w:rsidRPr="00356212">
        <w:t xml:space="preserve"> Supp. Fig. 10.</w:t>
      </w:r>
      <w:r w:rsidR="00C03688">
        <w:t xml:space="preserve"> (Lines 47</w:t>
      </w:r>
      <w:r w:rsidR="00951D29">
        <w:t>3</w:t>
      </w:r>
      <w:r w:rsidR="00C03688">
        <w:t>-47</w:t>
      </w:r>
      <w:r w:rsidR="00951D29">
        <w:t>4</w:t>
      </w:r>
      <w:r w:rsidR="00C03688">
        <w:t>, 48</w:t>
      </w:r>
      <w:r w:rsidR="00951D29">
        <w:t>0</w:t>
      </w:r>
      <w:r w:rsidR="00C03688">
        <w:t>-48</w:t>
      </w:r>
      <w:r w:rsidR="00951D29">
        <w:t>2</w:t>
      </w:r>
      <w:r w:rsidR="00C03688">
        <w:t>, 53</w:t>
      </w:r>
      <w:r w:rsidR="00951D29">
        <w:t>9</w:t>
      </w:r>
      <w:r w:rsidR="00C03688">
        <w:t>)</w:t>
      </w:r>
    </w:p>
    <w:p w14:paraId="1BF81DCD" w14:textId="12D2EC6B" w:rsidR="007B150E" w:rsidRDefault="00C029DC" w:rsidP="004E5E0B">
      <w:pPr>
        <w:pStyle w:val="NormalWeb"/>
        <w:spacing w:before="0" w:beforeAutospacing="0" w:after="0" w:afterAutospacing="0"/>
        <w:ind w:firstLine="720"/>
        <w:rPr>
          <w:b/>
          <w:bCs/>
        </w:rPr>
      </w:pPr>
      <w:r w:rsidRPr="00356212">
        <w:br/>
      </w:r>
      <w:r w:rsidRPr="002F65F0">
        <w:rPr>
          <w:b/>
          <w:bCs/>
        </w:rPr>
        <w:t>6. For some figures the 'n' or the number of times the experiment was done is not provided.</w:t>
      </w:r>
    </w:p>
    <w:p w14:paraId="40C47FFD" w14:textId="3F91DCD6" w:rsidR="00F4537F" w:rsidRPr="00F4537F" w:rsidRDefault="00F4537F" w:rsidP="004F16EF">
      <w:pPr>
        <w:pStyle w:val="NormalWeb"/>
        <w:spacing w:before="0" w:beforeAutospacing="0" w:after="0" w:afterAutospacing="0"/>
        <w:ind w:firstLine="360"/>
      </w:pPr>
      <w:r>
        <w:t xml:space="preserve">We </w:t>
      </w:r>
      <w:r w:rsidR="00437858">
        <w:t>now ensure</w:t>
      </w:r>
      <w:r>
        <w:t xml:space="preserve"> that replicate numbers are </w:t>
      </w:r>
      <w:r w:rsidR="00250C62">
        <w:t>appropriately included with figure</w:t>
      </w:r>
      <w:r w:rsidR="00D3028D">
        <w:t xml:space="preserve"> and supplementary figure</w:t>
      </w:r>
      <w:r w:rsidR="00250C62">
        <w:t xml:space="preserve"> captions.</w:t>
      </w:r>
      <w:r w:rsidR="00C03688">
        <w:t xml:space="preserve"> (Lines 47</w:t>
      </w:r>
      <w:r w:rsidR="00951D29">
        <w:t>3</w:t>
      </w:r>
      <w:r w:rsidR="00C03688">
        <w:t>, 48</w:t>
      </w:r>
      <w:r w:rsidR="00951D29">
        <w:t>1</w:t>
      </w:r>
      <w:r w:rsidR="00C03688">
        <w:t>, 53</w:t>
      </w:r>
      <w:r w:rsidR="00951D29">
        <w:t>9</w:t>
      </w:r>
      <w:r w:rsidR="00C03688">
        <w:t>)</w:t>
      </w:r>
    </w:p>
    <w:p w14:paraId="3D14B966" w14:textId="670FEA12" w:rsidR="007B150E" w:rsidRPr="00356212" w:rsidRDefault="00C029DC" w:rsidP="004E5E0B">
      <w:pPr>
        <w:pStyle w:val="NormalWeb"/>
        <w:spacing w:before="0" w:beforeAutospacing="0" w:after="0" w:afterAutospacing="0"/>
        <w:ind w:firstLine="720"/>
        <w:rPr>
          <w:b/>
          <w:bCs/>
        </w:rPr>
      </w:pPr>
      <w:r w:rsidRPr="00356212">
        <w:br/>
      </w:r>
      <w:r w:rsidRPr="00356212">
        <w:br/>
      </w:r>
      <w:r w:rsidRPr="00356212">
        <w:br/>
      </w:r>
      <w:r w:rsidRPr="00F901B5">
        <w:rPr>
          <w:b/>
          <w:bCs/>
        </w:rPr>
        <w:t>Reviewer #2:</w:t>
      </w:r>
      <w:r w:rsidRPr="004F16EF">
        <w:rPr>
          <w:b/>
          <w:bCs/>
        </w:rPr>
        <w:br/>
        <w:t>Manuscript Summary:</w:t>
      </w:r>
      <w:r w:rsidRPr="004F16EF">
        <w:rPr>
          <w:b/>
          <w:bCs/>
        </w:rPr>
        <w:br/>
        <w:t xml:space="preserve">The authors present a protocol for staining and analyzing antigen-specific B cells utilizing a flow cytometry-based platform. Such analyses are critical for understanding immune activation in a variety of systems. We believe the article may be suitable for publication in </w:t>
      </w:r>
      <w:proofErr w:type="spellStart"/>
      <w:r w:rsidRPr="004F16EF">
        <w:rPr>
          <w:b/>
          <w:bCs/>
        </w:rPr>
        <w:t>JoVE</w:t>
      </w:r>
      <w:proofErr w:type="spellEnd"/>
      <w:r w:rsidRPr="004F16EF">
        <w:rPr>
          <w:b/>
          <w:bCs/>
        </w:rPr>
        <w:t>, pending some revisions and technical specifications for the protocol.</w:t>
      </w:r>
      <w:r w:rsidRPr="004F16EF">
        <w:rPr>
          <w:b/>
          <w:bCs/>
        </w:rPr>
        <w:br/>
      </w:r>
      <w:r w:rsidRPr="004F16EF">
        <w:rPr>
          <w:b/>
          <w:bCs/>
        </w:rPr>
        <w:br/>
        <w:t>Major Concerns:</w:t>
      </w:r>
      <w:r w:rsidRPr="004F16EF">
        <w:rPr>
          <w:b/>
          <w:bCs/>
        </w:rPr>
        <w:br/>
        <w:t>NONE</w:t>
      </w:r>
      <w:r w:rsidRPr="004F16EF">
        <w:rPr>
          <w:b/>
          <w:bCs/>
        </w:rPr>
        <w:br/>
      </w:r>
      <w:r w:rsidRPr="00356212">
        <w:br/>
      </w:r>
      <w:r w:rsidRPr="004F16EF">
        <w:rPr>
          <w:b/>
          <w:bCs/>
        </w:rPr>
        <w:t>Minor Concerns:</w:t>
      </w:r>
      <w:r w:rsidRPr="00356212">
        <w:br/>
      </w:r>
      <w:r w:rsidRPr="00D3028D">
        <w:rPr>
          <w:b/>
          <w:bCs/>
        </w:rPr>
        <w:t xml:space="preserve">* Gentle heating at what temperature? Reduced pressure at what pressure? Please list details of the temperature during heating, and settings on the </w:t>
      </w:r>
      <w:proofErr w:type="spellStart"/>
      <w:r w:rsidRPr="00D3028D">
        <w:rPr>
          <w:b/>
          <w:bCs/>
        </w:rPr>
        <w:t>rotavap</w:t>
      </w:r>
      <w:proofErr w:type="spellEnd"/>
      <w:r w:rsidRPr="00D3028D">
        <w:rPr>
          <w:b/>
          <w:bCs/>
        </w:rPr>
        <w:t>.</w:t>
      </w:r>
      <w:r w:rsidR="0008377E" w:rsidRPr="00356212">
        <w:t xml:space="preserve"> </w:t>
      </w:r>
    </w:p>
    <w:p w14:paraId="7F32B820" w14:textId="652A1CDE" w:rsidR="00D3028D" w:rsidRDefault="00D3028D" w:rsidP="004F16EF">
      <w:pPr>
        <w:pStyle w:val="NormalWeb"/>
        <w:spacing w:before="0" w:beforeAutospacing="0" w:after="0" w:afterAutospacing="0"/>
        <w:ind w:firstLine="360"/>
      </w:pPr>
      <w:r w:rsidRPr="00D3028D">
        <w:t xml:space="preserve">We thank the reviewer for these </w:t>
      </w:r>
      <w:r w:rsidR="00CD1856" w:rsidRPr="00D3028D">
        <w:t>points,</w:t>
      </w:r>
      <w:r w:rsidRPr="00D3028D">
        <w:t xml:space="preserve"> </w:t>
      </w:r>
      <w:r w:rsidR="00437858">
        <w:t>and we added</w:t>
      </w:r>
      <w:r w:rsidR="006D72E0" w:rsidRPr="00356212">
        <w:t xml:space="preserve"> specific temperature</w:t>
      </w:r>
      <w:r>
        <w:t xml:space="preserve"> instructions</w:t>
      </w:r>
      <w:r w:rsidR="006D72E0" w:rsidRPr="00356212">
        <w:t xml:space="preserve"> to </w:t>
      </w:r>
      <w:r w:rsidR="006D72E0" w:rsidRPr="00D13053">
        <w:t>Step 1.1.</w:t>
      </w:r>
      <w:r w:rsidR="00437858" w:rsidRPr="00D13053">
        <w:t>,</w:t>
      </w:r>
      <w:r w:rsidR="00437858">
        <w:t xml:space="preserve"> and </w:t>
      </w:r>
      <w:r w:rsidR="006D72E0" w:rsidRPr="00356212">
        <w:t xml:space="preserve">pressure and rotation </w:t>
      </w:r>
      <w:r>
        <w:t>specifications</w:t>
      </w:r>
      <w:r w:rsidR="006D72E0" w:rsidRPr="00356212">
        <w:t xml:space="preserve"> to Step 1.2.1.</w:t>
      </w:r>
      <w:r w:rsidR="00C03688">
        <w:t xml:space="preserve"> (Lines 106, 121)</w:t>
      </w:r>
    </w:p>
    <w:p w14:paraId="72CD7F2A" w14:textId="5933D9B8" w:rsidR="006D72E0" w:rsidRPr="008E51DF" w:rsidRDefault="00C029DC" w:rsidP="004E5E0B">
      <w:pPr>
        <w:pStyle w:val="NormalWeb"/>
        <w:spacing w:before="0" w:beforeAutospacing="0" w:after="0" w:afterAutospacing="0"/>
        <w:ind w:firstLine="720"/>
        <w:rPr>
          <w:b/>
          <w:bCs/>
        </w:rPr>
      </w:pPr>
      <w:r w:rsidRPr="00356212">
        <w:br/>
      </w:r>
      <w:r w:rsidRPr="008E51DF">
        <w:rPr>
          <w:b/>
          <w:bCs/>
        </w:rPr>
        <w:t xml:space="preserve">* Would be great to include notes on the physical characteristics of the resulting functionalized antigens: stability, hygroscopic, storage conditions if applicable (does it need to be kept under inert gas, </w:t>
      </w:r>
      <w:proofErr w:type="spellStart"/>
      <w:r w:rsidRPr="008E51DF">
        <w:rPr>
          <w:b/>
          <w:bCs/>
        </w:rPr>
        <w:t>etc</w:t>
      </w:r>
      <w:proofErr w:type="spellEnd"/>
      <w:r w:rsidR="008E51DF" w:rsidRPr="008E51DF">
        <w:rPr>
          <w:b/>
          <w:bCs/>
        </w:rPr>
        <w:t>)</w:t>
      </w:r>
    </w:p>
    <w:p w14:paraId="2F97B4EF" w14:textId="7613DBBD" w:rsidR="00D3028D" w:rsidRDefault="008E51DF" w:rsidP="00BD7A5A">
      <w:pPr>
        <w:pStyle w:val="NormalWeb"/>
        <w:spacing w:before="0" w:beforeAutospacing="0" w:after="0" w:afterAutospacing="0"/>
        <w:ind w:firstLine="360"/>
      </w:pPr>
      <w:r>
        <w:t xml:space="preserve">We </w:t>
      </w:r>
      <w:r w:rsidR="00437858">
        <w:t xml:space="preserve">now </w:t>
      </w:r>
      <w:r>
        <w:t xml:space="preserve">include </w:t>
      </w:r>
      <w:r w:rsidR="00437858">
        <w:t xml:space="preserve">the </w:t>
      </w:r>
      <w:r>
        <w:t>suggested</w:t>
      </w:r>
      <w:r w:rsidR="002357A8" w:rsidRPr="00356212">
        <w:t xml:space="preserve"> storage conditions to the functionalized antigen in Step 1.2.1</w:t>
      </w:r>
      <w:r w:rsidR="00437858">
        <w:t>,</w:t>
      </w:r>
      <w:r w:rsidR="002357A8" w:rsidRPr="00356212">
        <w:t xml:space="preserve"> and for the antigen array in Step 1.4.1. </w:t>
      </w:r>
      <w:r w:rsidR="00437858">
        <w:t>We a</w:t>
      </w:r>
      <w:r w:rsidR="00437858" w:rsidRPr="00356212">
        <w:t xml:space="preserve">dded </w:t>
      </w:r>
      <w:r w:rsidR="00437858">
        <w:t xml:space="preserve">additional </w:t>
      </w:r>
      <w:r w:rsidR="002357A8" w:rsidRPr="00356212">
        <w:t>notes on hy</w:t>
      </w:r>
      <w:r w:rsidR="00AD3775">
        <w:t>g</w:t>
      </w:r>
      <w:r w:rsidR="002357A8" w:rsidRPr="00356212">
        <w:t xml:space="preserve">roscopicity and stability </w:t>
      </w:r>
      <w:r w:rsidR="00437858">
        <w:t>as well</w:t>
      </w:r>
      <w:r w:rsidR="00C03688">
        <w:t xml:space="preserve"> </w:t>
      </w:r>
      <w:r w:rsidR="00C03688" w:rsidRPr="00356212">
        <w:t>(Line</w:t>
      </w:r>
      <w:r w:rsidR="00C03688">
        <w:t>s 12</w:t>
      </w:r>
      <w:r w:rsidR="007E3876">
        <w:t>1</w:t>
      </w:r>
      <w:r w:rsidR="00C03688">
        <w:t>-12</w:t>
      </w:r>
      <w:r w:rsidR="007E3876">
        <w:t>4</w:t>
      </w:r>
      <w:r w:rsidR="00C03688">
        <w:t>, 1</w:t>
      </w:r>
      <w:r w:rsidR="007E3876">
        <w:t>38</w:t>
      </w:r>
      <w:r w:rsidR="00C03688">
        <w:t>-151,</w:t>
      </w:r>
      <w:r w:rsidR="00C03688" w:rsidRPr="00356212">
        <w:t xml:space="preserve"> </w:t>
      </w:r>
      <w:r w:rsidR="00C03688">
        <w:t>165-168</w:t>
      </w:r>
      <w:r w:rsidR="00C03688" w:rsidRPr="00356212">
        <w:t>)</w:t>
      </w:r>
    </w:p>
    <w:p w14:paraId="16DD026C" w14:textId="49417123" w:rsidR="005B7E86" w:rsidRPr="008E51DF" w:rsidRDefault="00C029DC" w:rsidP="004E5E0B">
      <w:pPr>
        <w:pStyle w:val="NormalWeb"/>
        <w:spacing w:before="0" w:beforeAutospacing="0" w:after="0" w:afterAutospacing="0"/>
        <w:ind w:firstLine="720"/>
        <w:rPr>
          <w:b/>
          <w:bCs/>
        </w:rPr>
      </w:pPr>
      <w:r w:rsidRPr="00356212">
        <w:br/>
      </w:r>
      <w:r w:rsidRPr="008E51DF">
        <w:rPr>
          <w:b/>
          <w:bCs/>
        </w:rPr>
        <w:t>* At what temperature is the dialysis done? Room temperature or 4C?</w:t>
      </w:r>
    </w:p>
    <w:p w14:paraId="5C729F90" w14:textId="46EF910F" w:rsidR="00D3028D" w:rsidRDefault="00437858" w:rsidP="00AD3775">
      <w:pPr>
        <w:pStyle w:val="NormalWeb"/>
        <w:spacing w:before="0" w:beforeAutospacing="0" w:after="0" w:afterAutospacing="0"/>
        <w:ind w:firstLine="360"/>
        <w:rPr>
          <w:bCs/>
        </w:rPr>
      </w:pPr>
      <w:r>
        <w:t>We</w:t>
      </w:r>
      <w:r w:rsidR="008E51DF">
        <w:rPr>
          <w:bCs/>
        </w:rPr>
        <w:t xml:space="preserve"> now specif</w:t>
      </w:r>
      <w:r>
        <w:rPr>
          <w:bCs/>
        </w:rPr>
        <w:t>y dialysis temperature</w:t>
      </w:r>
      <w:r w:rsidR="008E51DF">
        <w:rPr>
          <w:bCs/>
        </w:rPr>
        <w:t xml:space="preserve"> </w:t>
      </w:r>
      <w:r w:rsidR="00C03688">
        <w:rPr>
          <w:bCs/>
        </w:rPr>
        <w:t>(Line 162)</w:t>
      </w:r>
    </w:p>
    <w:p w14:paraId="696455AC" w14:textId="741AC572" w:rsidR="00D3028D" w:rsidRDefault="00C029DC" w:rsidP="004E5E0B">
      <w:pPr>
        <w:pStyle w:val="NormalWeb"/>
        <w:spacing w:before="0" w:beforeAutospacing="0" w:after="0" w:afterAutospacing="0"/>
        <w:ind w:firstLine="720"/>
        <w:rPr>
          <w:b/>
          <w:bCs/>
        </w:rPr>
      </w:pPr>
      <w:r w:rsidRPr="00356212">
        <w:br/>
      </w:r>
      <w:r w:rsidRPr="008E51DF">
        <w:rPr>
          <w:b/>
          <w:bCs/>
        </w:rPr>
        <w:t xml:space="preserve">* Suggest including short protocol for isolation of B cells from blood or other commonly used tissue as </w:t>
      </w:r>
      <w:r w:rsidRPr="008E51DF">
        <w:rPr>
          <w:b/>
          <w:bCs/>
        </w:rPr>
        <w:lastRenderedPageBreak/>
        <w:t>a prep example (are there any considerations to be made prior to preparation? Is this compatible with enzymatic digestion of tissues?)</w:t>
      </w:r>
      <w:r w:rsidR="0008377E" w:rsidRPr="008E51DF">
        <w:rPr>
          <w:b/>
          <w:bCs/>
        </w:rPr>
        <w:t xml:space="preserve"> </w:t>
      </w:r>
    </w:p>
    <w:p w14:paraId="4215954F" w14:textId="4C1EB6D8" w:rsidR="0023748F" w:rsidRPr="0023748F" w:rsidRDefault="00437858" w:rsidP="00AD3775">
      <w:pPr>
        <w:pStyle w:val="NormalWeb"/>
        <w:spacing w:before="0" w:beforeAutospacing="0" w:after="0" w:afterAutospacing="0"/>
        <w:ind w:firstLine="360"/>
      </w:pPr>
      <w:r>
        <w:t>We</w:t>
      </w:r>
      <w:r w:rsidR="0023748F">
        <w:t xml:space="preserve"> included a note citing supplementary protocols for blood and spleen isolation. We </w:t>
      </w:r>
      <w:r w:rsidR="004507FC">
        <w:t>try to avoid</w:t>
      </w:r>
      <w:r w:rsidR="0023748F">
        <w:t xml:space="preserve"> enzymatic digestion </w:t>
      </w:r>
      <w:r>
        <w:t xml:space="preserve">because it </w:t>
      </w:r>
      <w:r w:rsidR="004507FC">
        <w:t>has the potential to</w:t>
      </w:r>
      <w:r>
        <w:t xml:space="preserve"> </w:t>
      </w:r>
      <w:r w:rsidR="004507FC">
        <w:t>alter cell surface proteins including</w:t>
      </w:r>
      <w:r>
        <w:t xml:space="preserve"> the</w:t>
      </w:r>
      <w:r w:rsidR="0023748F">
        <w:t xml:space="preserve"> BCR</w:t>
      </w:r>
      <w:r>
        <w:t xml:space="preserve"> and </w:t>
      </w:r>
      <w:r w:rsidR="004507FC">
        <w:t>key</w:t>
      </w:r>
      <w:r>
        <w:t xml:space="preserve"> clusters of differentiation </w:t>
      </w:r>
      <w:r w:rsidR="004507FC">
        <w:t>that are used for flow cytometry</w:t>
      </w:r>
      <w:r w:rsidR="0042409C">
        <w:t>. We also include a note</w:t>
      </w:r>
      <w:r w:rsidR="0023748F">
        <w:t xml:space="preserve"> </w:t>
      </w:r>
      <w:r w:rsidR="00C03688">
        <w:t>(Lines 223-225)</w:t>
      </w:r>
      <w:r w:rsidR="004507FC">
        <w:t>.</w:t>
      </w:r>
    </w:p>
    <w:p w14:paraId="77487B2F" w14:textId="5B813B33" w:rsidR="00D3028D" w:rsidRDefault="00C029DC" w:rsidP="004E5E0B">
      <w:pPr>
        <w:pStyle w:val="NormalWeb"/>
        <w:spacing w:before="0" w:beforeAutospacing="0" w:after="0" w:afterAutospacing="0"/>
        <w:ind w:firstLine="720"/>
        <w:rPr>
          <w:b/>
          <w:bCs/>
        </w:rPr>
      </w:pPr>
      <w:r w:rsidRPr="00356212">
        <w:br/>
      </w:r>
      <w:r w:rsidRPr="008E51DF">
        <w:rPr>
          <w:b/>
          <w:bCs/>
        </w:rPr>
        <w:t>* Antibody titers?</w:t>
      </w:r>
      <w:r w:rsidR="0008377E" w:rsidRPr="008E51DF">
        <w:rPr>
          <w:b/>
          <w:bCs/>
        </w:rPr>
        <w:t xml:space="preserve"> </w:t>
      </w:r>
    </w:p>
    <w:p w14:paraId="07C90067" w14:textId="706505DF" w:rsidR="00183752" w:rsidRPr="00183752" w:rsidRDefault="004507FC" w:rsidP="00FA34E5">
      <w:pPr>
        <w:pStyle w:val="NormalWeb"/>
        <w:spacing w:before="0" w:beforeAutospacing="0" w:after="0" w:afterAutospacing="0"/>
        <w:ind w:firstLine="360"/>
      </w:pPr>
      <w:r>
        <w:t>All fluorescent antibody</w:t>
      </w:r>
      <w:r w:rsidR="00183752">
        <w:t xml:space="preserve"> assays were conducted under manufacturer recommended working concentrations</w:t>
      </w:r>
      <w:r>
        <w:t>, which we confirmed were appropriate for our experiments</w:t>
      </w:r>
      <w:r w:rsidR="00183752">
        <w:t xml:space="preserve"> (Lines </w:t>
      </w:r>
      <w:r w:rsidR="00C03688">
        <w:t>2</w:t>
      </w:r>
      <w:r w:rsidR="00BB240B">
        <w:t>47</w:t>
      </w:r>
      <w:r w:rsidR="00C03688">
        <w:t>-2</w:t>
      </w:r>
      <w:r w:rsidR="00BB240B">
        <w:t>48</w:t>
      </w:r>
      <w:r w:rsidR="00183752">
        <w:t>).</w:t>
      </w:r>
      <w:r w:rsidR="00C03688">
        <w:t xml:space="preserve"> </w:t>
      </w:r>
      <w:r>
        <w:t>We have added a</w:t>
      </w:r>
      <w:r w:rsidR="00EA268A">
        <w:t xml:space="preserve">n additional note </w:t>
      </w:r>
      <w:r>
        <w:t>to remind all researchers to titrate each antibody batch received to confirm its efficacy</w:t>
      </w:r>
      <w:r w:rsidR="005507B3">
        <w:t xml:space="preserve"> (250-251)</w:t>
      </w:r>
      <w:r>
        <w:t>.</w:t>
      </w:r>
    </w:p>
    <w:p w14:paraId="599C7444" w14:textId="4A96EF36" w:rsidR="00D3028D" w:rsidRDefault="00C029DC" w:rsidP="004E5E0B">
      <w:pPr>
        <w:pStyle w:val="NormalWeb"/>
        <w:spacing w:before="0" w:beforeAutospacing="0" w:after="0" w:afterAutospacing="0"/>
        <w:ind w:firstLine="720"/>
        <w:rPr>
          <w:b/>
          <w:bCs/>
        </w:rPr>
      </w:pPr>
      <w:r w:rsidRPr="00356212">
        <w:br/>
      </w:r>
      <w:r w:rsidRPr="008E51DF">
        <w:rPr>
          <w:b/>
          <w:bCs/>
        </w:rPr>
        <w:t>* The FAA titers seem quite high as most kits start 1 - 5 micrograms, would suggest providing a titer that covers the low end (ex. starting at 0.5)</w:t>
      </w:r>
      <w:r w:rsidR="0008377E" w:rsidRPr="008E51DF">
        <w:rPr>
          <w:b/>
          <w:bCs/>
        </w:rPr>
        <w:t xml:space="preserve"> </w:t>
      </w:r>
    </w:p>
    <w:p w14:paraId="1B63D564" w14:textId="7D692303" w:rsidR="006D4CFA" w:rsidRPr="006D4CFA" w:rsidRDefault="004507FC" w:rsidP="00FA34E5">
      <w:pPr>
        <w:pStyle w:val="NormalWeb"/>
        <w:spacing w:before="0" w:beforeAutospacing="0" w:after="0" w:afterAutospacing="0"/>
        <w:ind w:firstLine="360"/>
      </w:pPr>
      <w:r>
        <w:t>In</w:t>
      </w:r>
      <w:r w:rsidR="00273BED">
        <w:t xml:space="preserve"> this demonstration we provide a sample set of </w:t>
      </w:r>
      <w:r>
        <w:t>FAA titers</w:t>
      </w:r>
      <w:r w:rsidR="00273BED">
        <w:t>.</w:t>
      </w:r>
      <w:r>
        <w:t xml:space="preserve"> We </w:t>
      </w:r>
      <w:r w:rsidR="007E3876">
        <w:t>agree</w:t>
      </w:r>
      <w:r>
        <w:t xml:space="preserve"> that FAA concentrations can vary depending on user-specified applications.</w:t>
      </w:r>
    </w:p>
    <w:p w14:paraId="4B0C52EA" w14:textId="764DFAAC" w:rsidR="00D3028D" w:rsidRPr="008E51DF" w:rsidRDefault="00C029DC" w:rsidP="00D3028D">
      <w:pPr>
        <w:pStyle w:val="NormalWeb"/>
        <w:spacing w:before="0" w:beforeAutospacing="0" w:after="0" w:afterAutospacing="0"/>
        <w:ind w:firstLine="720"/>
        <w:rPr>
          <w:b/>
          <w:bCs/>
        </w:rPr>
      </w:pPr>
      <w:r w:rsidRPr="00356212">
        <w:br/>
      </w:r>
      <w:r w:rsidRPr="008E51DF">
        <w:rPr>
          <w:b/>
          <w:bCs/>
        </w:rPr>
        <w:t>* Fig 4D/ Supp Fig 8: Why was the comparison not made with commercially available monovalent insulin-fluorescent product? That may have provided a more accurate benefit analysis in the context of used concentrations/test.</w:t>
      </w:r>
      <w:r w:rsidR="0008377E" w:rsidRPr="008E51DF">
        <w:rPr>
          <w:b/>
          <w:bCs/>
        </w:rPr>
        <w:t xml:space="preserve"> </w:t>
      </w:r>
    </w:p>
    <w:p w14:paraId="4857F517" w14:textId="6D54FECE" w:rsidR="00D3028D" w:rsidRDefault="00CA592A" w:rsidP="00273EBC">
      <w:pPr>
        <w:pStyle w:val="NormalWeb"/>
        <w:spacing w:before="0" w:beforeAutospacing="0" w:after="0" w:afterAutospacing="0"/>
        <w:ind w:firstLine="360"/>
      </w:pPr>
      <w:r w:rsidRPr="00356212">
        <w:t>We compare</w:t>
      </w:r>
      <w:r w:rsidR="004507FC">
        <w:t>d</w:t>
      </w:r>
      <w:r w:rsidRPr="00356212">
        <w:t xml:space="preserve"> FAAs to an insulin-fluorophore conjugate because we </w:t>
      </w:r>
      <w:r w:rsidR="004507FC">
        <w:t>could</w:t>
      </w:r>
      <w:r w:rsidR="004507FC" w:rsidRPr="00356212">
        <w:t xml:space="preserve"> </w:t>
      </w:r>
      <w:r w:rsidRPr="00356212">
        <w:t xml:space="preserve">fully characterize it and </w:t>
      </w:r>
      <w:r w:rsidR="004507FC">
        <w:t>confirm</w:t>
      </w:r>
      <w:r w:rsidR="004507FC" w:rsidRPr="00356212">
        <w:t xml:space="preserve"> </w:t>
      </w:r>
      <w:r w:rsidRPr="00356212">
        <w:t>its exact identity</w:t>
      </w:r>
      <w:r w:rsidR="004507FC">
        <w:t xml:space="preserve">, </w:t>
      </w:r>
      <w:proofErr w:type="gramStart"/>
      <w:r w:rsidR="004507FC">
        <w:t>and also</w:t>
      </w:r>
      <w:proofErr w:type="gramEnd"/>
      <w:r w:rsidR="00273EBC">
        <w:t xml:space="preserve"> to</w:t>
      </w:r>
      <w:r w:rsidR="004507FC">
        <w:t xml:space="preserve"> keep the</w:t>
      </w:r>
      <w:r w:rsidRPr="00356212">
        <w:t xml:space="preserve"> attachment point on insulin (B29 lysine) </w:t>
      </w:r>
      <w:r w:rsidR="004507FC">
        <w:t xml:space="preserve">as </w:t>
      </w:r>
      <w:r w:rsidRPr="00356212">
        <w:t xml:space="preserve">the </w:t>
      </w:r>
      <w:r w:rsidR="004507FC">
        <w:t xml:space="preserve">exact </w:t>
      </w:r>
      <w:r w:rsidRPr="00356212">
        <w:t>same</w:t>
      </w:r>
      <w:r w:rsidR="004507FC">
        <w:t xml:space="preserve"> </w:t>
      </w:r>
      <w:r w:rsidRPr="00356212">
        <w:t xml:space="preserve">between monovalent and multivalent materials. This </w:t>
      </w:r>
      <w:r w:rsidR="008E51DF">
        <w:t xml:space="preserve">specification </w:t>
      </w:r>
      <w:r w:rsidRPr="00356212">
        <w:t>eliminate</w:t>
      </w:r>
      <w:r w:rsidR="008E51DF">
        <w:t>d</w:t>
      </w:r>
      <w:r w:rsidRPr="00356212">
        <w:t xml:space="preserve"> the </w:t>
      </w:r>
      <w:r w:rsidR="008E51DF">
        <w:t>variable for</w:t>
      </w:r>
      <w:r w:rsidRPr="00356212">
        <w:t xml:space="preserve"> any improvement or reduction in activity </w:t>
      </w:r>
      <w:r w:rsidR="00C03688">
        <w:t>being</w:t>
      </w:r>
      <w:r w:rsidRPr="00356212">
        <w:t xml:space="preserve"> due to a different site of modification that may allow better access to, or hinder the accessibility, of the epitope region on insulin</w:t>
      </w:r>
      <w:r w:rsidR="008E51DF">
        <w:t>.</w:t>
      </w:r>
      <w:r w:rsidR="008F2AC4">
        <w:t xml:space="preserve"> We </w:t>
      </w:r>
      <w:r w:rsidR="00C03688">
        <w:t>know modification at the B29 lysine does not block any major B cell epitopes of insulin</w:t>
      </w:r>
      <w:r w:rsidR="004507FC">
        <w:t>, and thus we believe the monomeric insulin-fluorophore that we made in-house is superior to commercially available fluorescent insulin alternatives, and is also the most accurate monomeric control available for our experiments</w:t>
      </w:r>
      <w:r w:rsidR="00C03688">
        <w:t>.</w:t>
      </w:r>
    </w:p>
    <w:p w14:paraId="65C7AB59" w14:textId="5A0EBC45" w:rsidR="00D3028D" w:rsidRDefault="00C029DC" w:rsidP="004E5E0B">
      <w:pPr>
        <w:pStyle w:val="NormalWeb"/>
        <w:spacing w:before="0" w:beforeAutospacing="0" w:after="0" w:afterAutospacing="0"/>
        <w:ind w:firstLine="720"/>
        <w:rPr>
          <w:b/>
          <w:bCs/>
        </w:rPr>
      </w:pPr>
      <w:r w:rsidRPr="00356212">
        <w:br/>
      </w:r>
      <w:r w:rsidRPr="008E51DF">
        <w:rPr>
          <w:b/>
          <w:bCs/>
        </w:rPr>
        <w:t>* Fig 4: Specify the source of cells</w:t>
      </w:r>
    </w:p>
    <w:p w14:paraId="02599736" w14:textId="1A58CB5B" w:rsidR="0023748F" w:rsidRPr="0023748F" w:rsidRDefault="0023748F" w:rsidP="006776F5">
      <w:pPr>
        <w:pStyle w:val="NormalWeb"/>
        <w:spacing w:before="0" w:beforeAutospacing="0" w:after="0" w:afterAutospacing="0"/>
        <w:ind w:firstLine="360"/>
      </w:pPr>
      <w:r>
        <w:t xml:space="preserve">We </w:t>
      </w:r>
      <w:r w:rsidR="004507FC">
        <w:t>added</w:t>
      </w:r>
      <w:r>
        <w:t xml:space="preserve"> this information </w:t>
      </w:r>
      <w:r w:rsidR="004507FC">
        <w:t xml:space="preserve">to </w:t>
      </w:r>
      <w:r>
        <w:t xml:space="preserve">the representative results section (Lines </w:t>
      </w:r>
      <w:r w:rsidR="00C03688">
        <w:t>3</w:t>
      </w:r>
      <w:r w:rsidR="007E3876">
        <w:t>30</w:t>
      </w:r>
      <w:r w:rsidR="00C03688">
        <w:t>-33</w:t>
      </w:r>
      <w:r w:rsidR="007E3876">
        <w:t>4</w:t>
      </w:r>
      <w:r>
        <w:t>).</w:t>
      </w:r>
    </w:p>
    <w:p w14:paraId="419AFB8D" w14:textId="03E686F2" w:rsidR="00D3028D" w:rsidRPr="008E51DF" w:rsidRDefault="00C029DC" w:rsidP="004E5E0B">
      <w:pPr>
        <w:pStyle w:val="NormalWeb"/>
        <w:spacing w:before="0" w:beforeAutospacing="0" w:after="0" w:afterAutospacing="0"/>
        <w:ind w:firstLine="720"/>
        <w:rPr>
          <w:b/>
          <w:bCs/>
        </w:rPr>
      </w:pPr>
      <w:r w:rsidRPr="00356212">
        <w:br/>
      </w:r>
      <w:r w:rsidRPr="008E51DF">
        <w:rPr>
          <w:b/>
          <w:bCs/>
        </w:rPr>
        <w:t>* Specify the statistic used alongside p-values (ex. Students T-test, ANOVA</w:t>
      </w:r>
      <w:r w:rsidR="008E51DF" w:rsidRPr="008E51DF">
        <w:rPr>
          <w:b/>
          <w:bCs/>
        </w:rPr>
        <w:t>)</w:t>
      </w:r>
    </w:p>
    <w:p w14:paraId="7B883E7B" w14:textId="699B3DC4" w:rsidR="008E51DF" w:rsidRDefault="00576455" w:rsidP="006776F5">
      <w:pPr>
        <w:pStyle w:val="NormalWeb"/>
        <w:spacing w:before="0" w:beforeAutospacing="0" w:after="0" w:afterAutospacing="0"/>
        <w:ind w:firstLine="360"/>
      </w:pPr>
      <w:r>
        <w:t>We</w:t>
      </w:r>
      <w:r w:rsidR="008E51DF">
        <w:t xml:space="preserve"> </w:t>
      </w:r>
      <w:r>
        <w:t>corrected the omission and added this information to</w:t>
      </w:r>
      <w:r w:rsidR="008E51DF">
        <w:t xml:space="preserve"> figure captions.</w:t>
      </w:r>
      <w:r w:rsidR="00C03688">
        <w:t xml:space="preserve"> (Lines </w:t>
      </w:r>
      <w:r w:rsidR="007E3876">
        <w:t>473-474, 480-482, 539</w:t>
      </w:r>
      <w:r w:rsidR="00C03688">
        <w:t>)</w:t>
      </w:r>
    </w:p>
    <w:p w14:paraId="7C517CD7" w14:textId="6D295940" w:rsidR="008E51DF" w:rsidRPr="000B274C" w:rsidRDefault="00C029DC" w:rsidP="008E51DF">
      <w:pPr>
        <w:pStyle w:val="NormalWeb"/>
        <w:spacing w:before="0" w:beforeAutospacing="0" w:after="0" w:afterAutospacing="0"/>
        <w:ind w:firstLine="720"/>
        <w:rPr>
          <w:b/>
          <w:bCs/>
        </w:rPr>
      </w:pPr>
      <w:r w:rsidRPr="00356212">
        <w:br/>
      </w:r>
      <w:r w:rsidRPr="000B274C">
        <w:rPr>
          <w:b/>
          <w:bCs/>
        </w:rPr>
        <w:t>* Supp Fig 4: make SSC-A linear, a log-scale is not needed on a splenocyte plot especially when gating lymphocytes</w:t>
      </w:r>
      <w:r w:rsidR="008E51DF" w:rsidRPr="000B274C">
        <w:rPr>
          <w:b/>
          <w:bCs/>
        </w:rPr>
        <w:t>.</w:t>
      </w:r>
    </w:p>
    <w:p w14:paraId="6651D2AD" w14:textId="7424AA3A" w:rsidR="008E51DF" w:rsidRPr="008E51DF" w:rsidRDefault="000B274C" w:rsidP="00D771F2">
      <w:pPr>
        <w:pStyle w:val="NormalWeb"/>
        <w:spacing w:before="0" w:beforeAutospacing="0" w:after="0" w:afterAutospacing="0"/>
        <w:ind w:firstLine="360"/>
      </w:pPr>
      <w:r>
        <w:t>We thank the reviewer for this guidance</w:t>
      </w:r>
      <w:r w:rsidR="00576455">
        <w:t xml:space="preserve"> and</w:t>
      </w:r>
      <w:r>
        <w:t xml:space="preserve"> adjusted Supp. Fig. 4 accordingly.</w:t>
      </w:r>
    </w:p>
    <w:p w14:paraId="029578CB" w14:textId="50680F55" w:rsidR="00D3028D" w:rsidRDefault="00C029DC" w:rsidP="004E5E0B">
      <w:pPr>
        <w:pStyle w:val="NormalWeb"/>
        <w:spacing w:before="0" w:beforeAutospacing="0" w:after="0" w:afterAutospacing="0"/>
        <w:ind w:firstLine="720"/>
        <w:rPr>
          <w:b/>
          <w:bCs/>
        </w:rPr>
      </w:pPr>
      <w:r w:rsidRPr="00356212">
        <w:br/>
      </w:r>
      <w:r w:rsidRPr="000B274C">
        <w:rPr>
          <w:b/>
          <w:bCs/>
        </w:rPr>
        <w:t>* Supp Fig 4: The FSC-H x FSC-W plot should be linear, and the FSC-H x FSC-A plot should follow along a y = x line, if not, area scaling should be adjusted in the cytometer to ensure a y = x singlet angle. The FSC-H x FSC-W plot should be a flat line (no angle)</w:t>
      </w:r>
    </w:p>
    <w:p w14:paraId="43210E10" w14:textId="1967AC3B" w:rsidR="000B274C" w:rsidRPr="000B274C" w:rsidRDefault="000B274C" w:rsidP="00D771F2">
      <w:pPr>
        <w:pStyle w:val="NormalWeb"/>
        <w:spacing w:before="0" w:beforeAutospacing="0" w:after="0" w:afterAutospacing="0"/>
        <w:ind w:firstLine="360"/>
      </w:pPr>
      <w:r>
        <w:t xml:space="preserve">We adjusted </w:t>
      </w:r>
      <w:r w:rsidR="00576455">
        <w:t xml:space="preserve">the </w:t>
      </w:r>
      <w:r>
        <w:t xml:space="preserve">singlet plot representation </w:t>
      </w:r>
      <w:r w:rsidR="00576455">
        <w:t>accordingly</w:t>
      </w:r>
      <w:r>
        <w:t>.</w:t>
      </w:r>
    </w:p>
    <w:p w14:paraId="477B2C55" w14:textId="0FDE5523" w:rsidR="00D3028D" w:rsidRPr="000B274C" w:rsidRDefault="00C029DC" w:rsidP="004E5E0B">
      <w:pPr>
        <w:pStyle w:val="NormalWeb"/>
        <w:spacing w:before="0" w:beforeAutospacing="0" w:after="0" w:afterAutospacing="0"/>
        <w:ind w:firstLine="720"/>
        <w:rPr>
          <w:b/>
          <w:bCs/>
        </w:rPr>
      </w:pPr>
      <w:r w:rsidRPr="00356212">
        <w:br/>
      </w:r>
      <w:r w:rsidR="00C03688">
        <w:rPr>
          <w:b/>
          <w:bCs/>
        </w:rPr>
        <w:t>*</w:t>
      </w:r>
      <w:r w:rsidRPr="000B274C">
        <w:rPr>
          <w:b/>
          <w:bCs/>
        </w:rPr>
        <w:t xml:space="preserve"> Please remove log scale from both panels A and B, there is unnecessary compression of events into a very small portion to the graph. FSC and SSC (-A, -H, -W) should be in linear scale. Only very messy </w:t>
      </w:r>
      <w:r w:rsidRPr="000B274C">
        <w:rPr>
          <w:b/>
          <w:bCs/>
        </w:rPr>
        <w:lastRenderedPageBreak/>
        <w:t>samples with very different cell populations (</w:t>
      </w:r>
      <w:proofErr w:type="spellStart"/>
      <w:proofErr w:type="gramStart"/>
      <w:r w:rsidRPr="000B274C">
        <w:rPr>
          <w:b/>
          <w:bCs/>
        </w:rPr>
        <w:t>ex.tumors</w:t>
      </w:r>
      <w:proofErr w:type="spellEnd"/>
      <w:proofErr w:type="gramEnd"/>
      <w:r w:rsidRPr="000B274C">
        <w:rPr>
          <w:b/>
          <w:bCs/>
        </w:rPr>
        <w:t xml:space="preserve"> looking at both lymphocytes and fibroblasts) benefit from log, for all others data and information is lost.</w:t>
      </w:r>
      <w:r w:rsidR="0008377E" w:rsidRPr="000B274C">
        <w:rPr>
          <w:b/>
          <w:bCs/>
        </w:rPr>
        <w:t xml:space="preserve"> </w:t>
      </w:r>
    </w:p>
    <w:p w14:paraId="464F86F7" w14:textId="39470F61" w:rsidR="000B274C" w:rsidRDefault="000B274C" w:rsidP="00D771F2">
      <w:pPr>
        <w:pStyle w:val="NormalWeb"/>
        <w:spacing w:before="0" w:beforeAutospacing="0" w:after="0" w:afterAutospacing="0"/>
        <w:ind w:firstLine="360"/>
      </w:pPr>
      <w:r>
        <w:t>These plots are now in linear scale</w:t>
      </w:r>
      <w:r w:rsidR="00576455">
        <w:t>, and w</w:t>
      </w:r>
      <w:r>
        <w:t>e thank the reviewer for this guidance.</w:t>
      </w:r>
    </w:p>
    <w:p w14:paraId="22DB0F2A" w14:textId="7B9CC8B9" w:rsidR="00D3028D" w:rsidRPr="000B274C" w:rsidRDefault="00C029DC" w:rsidP="004E5E0B">
      <w:pPr>
        <w:pStyle w:val="NormalWeb"/>
        <w:spacing w:before="0" w:beforeAutospacing="0" w:after="0" w:afterAutospacing="0"/>
        <w:ind w:firstLine="720"/>
        <w:rPr>
          <w:b/>
          <w:bCs/>
        </w:rPr>
      </w:pPr>
      <w:r w:rsidRPr="00356212">
        <w:br/>
      </w:r>
      <w:r w:rsidRPr="000B274C">
        <w:rPr>
          <w:b/>
          <w:bCs/>
        </w:rPr>
        <w:t>* ALL FIGURES: Text compression in figures with FACS plots (might have been through submission site) has make the text illegible and pixelated</w:t>
      </w:r>
    </w:p>
    <w:p w14:paraId="48CD6AA0" w14:textId="1C33EF22" w:rsidR="000B274C" w:rsidRPr="000B274C" w:rsidRDefault="000B274C" w:rsidP="000A1C2C">
      <w:pPr>
        <w:pStyle w:val="NormalWeb"/>
        <w:spacing w:before="0" w:beforeAutospacing="0" w:after="0" w:afterAutospacing="0"/>
        <w:ind w:firstLine="360"/>
      </w:pPr>
      <w:r>
        <w:t>We appreciate the notification that this loss of resolution has occurred. We will work with the editor to ensure that the figures are translated with full integrity for the final publication.</w:t>
      </w:r>
    </w:p>
    <w:p w14:paraId="0EDA482F" w14:textId="21B22F37" w:rsidR="00D3028D" w:rsidRPr="000B274C" w:rsidRDefault="00C029DC" w:rsidP="004E5E0B">
      <w:pPr>
        <w:pStyle w:val="NormalWeb"/>
        <w:spacing w:before="0" w:beforeAutospacing="0" w:after="0" w:afterAutospacing="0"/>
        <w:ind w:firstLine="720"/>
        <w:rPr>
          <w:b/>
          <w:bCs/>
        </w:rPr>
      </w:pPr>
      <w:r w:rsidRPr="00356212">
        <w:br/>
      </w:r>
      <w:r w:rsidRPr="000B274C">
        <w:rPr>
          <w:b/>
          <w:bCs/>
        </w:rPr>
        <w:t xml:space="preserve">* ALL FACS Plots: Include fluorescence minus one </w:t>
      </w:r>
      <w:proofErr w:type="gramStart"/>
      <w:r w:rsidRPr="000B274C">
        <w:rPr>
          <w:b/>
          <w:bCs/>
        </w:rPr>
        <w:t>controls</w:t>
      </w:r>
      <w:proofErr w:type="gramEnd"/>
    </w:p>
    <w:p w14:paraId="6307D1F5" w14:textId="78AAE646" w:rsidR="00BE15DF" w:rsidRDefault="00576455" w:rsidP="004773AC">
      <w:pPr>
        <w:pStyle w:val="NormalWeb"/>
        <w:spacing w:before="0" w:beforeAutospacing="0" w:after="0" w:afterAutospacing="0"/>
        <w:ind w:firstLine="360"/>
      </w:pPr>
      <w:r>
        <w:t xml:space="preserve">We performed </w:t>
      </w:r>
      <w:r w:rsidR="00D87CB6">
        <w:t xml:space="preserve">extensive </w:t>
      </w:r>
      <w:r w:rsidR="0005590A">
        <w:t>single-</w:t>
      </w:r>
      <w:r w:rsidR="00D87CB6">
        <w:t xml:space="preserve">stain controls </w:t>
      </w:r>
      <w:r w:rsidR="00BE15DF">
        <w:t>on our small</w:t>
      </w:r>
      <w:r>
        <w:t xml:space="preserve"> flow panel marker, </w:t>
      </w:r>
      <w:r w:rsidR="00BE15DF">
        <w:t xml:space="preserve">which was designed </w:t>
      </w:r>
      <w:r>
        <w:t>for minimal spectral overlap</w:t>
      </w:r>
      <w:r w:rsidR="000F56A6">
        <w:t xml:space="preserve">, with the only critical overlap (CD3-PE/Cy7 </w:t>
      </w:r>
      <w:r w:rsidR="000F56A6">
        <w:sym w:font="Wingdings" w:char="F0E0"/>
      </w:r>
      <w:r w:rsidR="000F56A6">
        <w:t xml:space="preserve"> CD86-PE) designed to be on those markers because CD3 is marker for non-B cells in this flow panel (i.e., a dump gate), and that known spectral overlap does not influence our data or conclusions</w:t>
      </w:r>
      <w:r w:rsidR="00A82362">
        <w:t xml:space="preserve">. </w:t>
      </w:r>
      <w:r w:rsidR="000F56A6">
        <w:t xml:space="preserve">Upon further </w:t>
      </w:r>
      <w:r w:rsidR="00EB0D70">
        <w:t xml:space="preserve">close </w:t>
      </w:r>
      <w:r w:rsidR="000F56A6">
        <w:t xml:space="preserve">analysis at the suggestion of the reviewer, we did observe minor spectral overlap from the CD86-PE channel into PerCP-5.5 (CD79b) – but </w:t>
      </w:r>
      <w:r w:rsidR="00EB0D70">
        <w:t xml:space="preserve">importantly, </w:t>
      </w:r>
      <w:r w:rsidR="000F56A6">
        <w:t xml:space="preserve">not in the reverse direction – and we </w:t>
      </w:r>
      <w:r w:rsidR="00EB0D70">
        <w:t xml:space="preserve">have </w:t>
      </w:r>
      <w:r w:rsidR="000F56A6">
        <w:t xml:space="preserve">removed CD79b results from the report accordingly. </w:t>
      </w:r>
      <w:r w:rsidR="00BE15DF">
        <w:t>As the reviewer notes, FACS controls are critical for our analysis and we now</w:t>
      </w:r>
      <w:r w:rsidR="00CF0183">
        <w:t xml:space="preserve"> include a new supplementary </w:t>
      </w:r>
      <w:r w:rsidR="00303EB0">
        <w:t>figure showing</w:t>
      </w:r>
      <w:r w:rsidR="000F56A6">
        <w:t xml:space="preserve"> </w:t>
      </w:r>
      <w:r w:rsidR="0005590A">
        <w:t>single-stain</w:t>
      </w:r>
      <w:r w:rsidR="00303EB0">
        <w:t xml:space="preserve"> controls</w:t>
      </w:r>
      <w:r w:rsidR="00A7532F">
        <w:t xml:space="preserve"> </w:t>
      </w:r>
      <w:r w:rsidR="00BE15DF">
        <w:t>that</w:t>
      </w:r>
      <w:r w:rsidR="00A7532F">
        <w:t xml:space="preserve"> substantiate our gating strategy</w:t>
      </w:r>
      <w:r w:rsidR="0005590A">
        <w:t xml:space="preserve"> </w:t>
      </w:r>
      <w:r w:rsidR="0005590A">
        <w:t>(Supp. Fig. 10)</w:t>
      </w:r>
      <w:r w:rsidR="00303EB0">
        <w:t xml:space="preserve">. </w:t>
      </w:r>
    </w:p>
    <w:p w14:paraId="1C58407A" w14:textId="0F59674B" w:rsidR="00A82362" w:rsidRDefault="0005590A" w:rsidP="000A1C2C">
      <w:pPr>
        <w:pStyle w:val="NormalWeb"/>
        <w:spacing w:before="0" w:beforeAutospacing="0" w:after="0" w:afterAutospacing="0"/>
        <w:ind w:firstLine="450"/>
      </w:pPr>
      <w:r>
        <w:t xml:space="preserve">We </w:t>
      </w:r>
      <w:r w:rsidR="000F56A6">
        <w:t xml:space="preserve">also </w:t>
      </w:r>
      <w:r>
        <w:t>note</w:t>
      </w:r>
      <w:r w:rsidR="004773AC">
        <w:t xml:space="preserve"> that </w:t>
      </w:r>
      <w:r>
        <w:t xml:space="preserve">critical markers in </w:t>
      </w:r>
      <w:r w:rsidR="00D31EE3">
        <w:t xml:space="preserve">adjacent channels such as </w:t>
      </w:r>
      <w:r w:rsidR="000F56A6">
        <w:t>FAA-FITC and</w:t>
      </w:r>
      <w:r w:rsidR="00D31EE3">
        <w:t xml:space="preserve"> CD86</w:t>
      </w:r>
      <w:r w:rsidR="000F56A6">
        <w:t>-PE</w:t>
      </w:r>
      <w:r w:rsidR="00C336FF">
        <w:t xml:space="preserve"> </w:t>
      </w:r>
      <w:r w:rsidR="00AE2682">
        <w:t>exhibit</w:t>
      </w:r>
      <w:r w:rsidR="00A2763A">
        <w:t>ed</w:t>
      </w:r>
      <w:r w:rsidR="00AE2682">
        <w:t xml:space="preserve"> opposite </w:t>
      </w:r>
      <w:r>
        <w:t>staining trends</w:t>
      </w:r>
      <w:r w:rsidR="000F56A6">
        <w:t>,</w:t>
      </w:r>
      <w:r>
        <w:t xml:space="preserve"> </w:t>
      </w:r>
      <w:r w:rsidR="000F56A6">
        <w:t xml:space="preserve">which was </w:t>
      </w:r>
      <w:r>
        <w:t>consistent with appropriate biological activity</w:t>
      </w:r>
      <w:r w:rsidR="00EB0D70">
        <w:t xml:space="preserve"> and demonstrated that these channels measured cell surface markers independently of each other</w:t>
      </w:r>
      <w:r>
        <w:t xml:space="preserve">. </w:t>
      </w:r>
      <w:r w:rsidR="00EB0D70">
        <w:t>For</w:t>
      </w:r>
      <w:r>
        <w:t xml:space="preserve"> example,</w:t>
      </w:r>
      <w:r w:rsidR="00A7532F">
        <w:t xml:space="preserve"> FITC+ events decreased between vehicle</w:t>
      </w:r>
      <w:r w:rsidR="00C05AC9">
        <w:t xml:space="preserve"> and antigen treatment groups</w:t>
      </w:r>
      <w:r>
        <w:t>,</w:t>
      </w:r>
      <w:r w:rsidR="00C05AC9">
        <w:t xml:space="preserve"> while CD86 signals increased</w:t>
      </w:r>
      <w:r w:rsidR="00A2763A">
        <w:t xml:space="preserve"> </w:t>
      </w:r>
      <w:r w:rsidR="00EB0D70">
        <w:t>between vehicle and antigen</w:t>
      </w:r>
      <w:r w:rsidR="00A2763A">
        <w:t xml:space="preserve"> </w:t>
      </w:r>
      <w:r w:rsidR="00EB0D70">
        <w:t>treatment groups</w:t>
      </w:r>
      <w:r w:rsidR="00A2763A">
        <w:t xml:space="preserve"> (Fig</w:t>
      </w:r>
      <w:r w:rsidR="000F56A6">
        <w:t>.</w:t>
      </w:r>
      <w:r w:rsidR="00A2763A">
        <w:t xml:space="preserve"> 5 and Supp. Fig. 11)</w:t>
      </w:r>
      <w:r w:rsidR="00C05AC9">
        <w:t xml:space="preserve">. </w:t>
      </w:r>
      <w:r w:rsidR="000F56A6">
        <w:t xml:space="preserve">We </w:t>
      </w:r>
      <w:r w:rsidR="00A82362">
        <w:t>included a new note in the assay development</w:t>
      </w:r>
      <w:r w:rsidR="00C03688">
        <w:t xml:space="preserve"> section (Step 4)</w:t>
      </w:r>
      <w:r w:rsidR="00A82362">
        <w:t xml:space="preserve"> for researchers to include additional controls </w:t>
      </w:r>
      <w:r w:rsidR="00BE15DF">
        <w:t>to validate</w:t>
      </w:r>
      <w:r w:rsidR="00A82362">
        <w:t xml:space="preserve"> of their chosen assay</w:t>
      </w:r>
      <w:r w:rsidR="00D87CB6">
        <w:t xml:space="preserve">, especially if </w:t>
      </w:r>
      <w:r w:rsidR="00BE15DF">
        <w:t>using an expanded number of</w:t>
      </w:r>
      <w:r w:rsidR="00D87CB6">
        <w:t xml:space="preserve"> flow markers </w:t>
      </w:r>
      <w:r w:rsidR="00C03688">
        <w:t>(Lines 239-240)</w:t>
      </w:r>
      <w:r w:rsidR="00D87CB6">
        <w:t>.</w:t>
      </w:r>
      <w:r w:rsidR="000F56A6">
        <w:t xml:space="preserve"> We thank the reviewer for emphasizing the importance of flow marker</w:t>
      </w:r>
      <w:r w:rsidR="00EB0D70">
        <w:t xml:space="preserve"> panel</w:t>
      </w:r>
      <w:r w:rsidR="000F56A6">
        <w:t xml:space="preserve"> design and validation.</w:t>
      </w:r>
    </w:p>
    <w:p w14:paraId="56CA3F43" w14:textId="3BE6B8E3" w:rsidR="004B27E8" w:rsidRPr="00356212" w:rsidRDefault="00C029DC" w:rsidP="000A1C2C">
      <w:pPr>
        <w:pStyle w:val="NormalWeb"/>
        <w:spacing w:before="0" w:beforeAutospacing="0" w:after="0" w:afterAutospacing="0"/>
        <w:rPr>
          <w:b/>
          <w:bCs/>
        </w:rPr>
      </w:pPr>
      <w:bookmarkStart w:id="1" w:name="_GoBack"/>
      <w:bookmarkEnd w:id="1"/>
      <w:r w:rsidRPr="00356212">
        <w:br/>
      </w:r>
      <w:r w:rsidRPr="000B274C">
        <w:rPr>
          <w:b/>
          <w:bCs/>
        </w:rPr>
        <w:t>* Supp Table 1: Clean up formatting to match the other figures</w:t>
      </w:r>
      <w:r w:rsidR="0008377E" w:rsidRPr="00356212">
        <w:t xml:space="preserve"> </w:t>
      </w:r>
    </w:p>
    <w:p w14:paraId="442D187C" w14:textId="6B4A15FA" w:rsidR="00252D33" w:rsidRDefault="00C03688" w:rsidP="003E172E">
      <w:pPr>
        <w:pStyle w:val="NormalWeb"/>
        <w:spacing w:before="0" w:beforeAutospacing="0" w:after="0" w:afterAutospacing="0"/>
        <w:ind w:firstLine="360"/>
      </w:pPr>
      <w:r>
        <w:t xml:space="preserve">Thank you for the catch. </w:t>
      </w:r>
      <w:r w:rsidR="000B274C">
        <w:t xml:space="preserve">We resolved </w:t>
      </w:r>
      <w:r w:rsidR="009F3922">
        <w:t xml:space="preserve">the </w:t>
      </w:r>
      <w:r w:rsidR="000B274C">
        <w:t>discrepancy.</w:t>
      </w:r>
      <w:r w:rsidR="00C029DC" w:rsidRPr="00356212">
        <w:br/>
      </w:r>
      <w:r w:rsidR="00C029DC" w:rsidRPr="00356212">
        <w:br/>
      </w:r>
      <w:r w:rsidR="00C029DC" w:rsidRPr="00356212">
        <w:br/>
      </w:r>
      <w:r w:rsidR="00C029DC" w:rsidRPr="00F901B5">
        <w:rPr>
          <w:b/>
          <w:bCs/>
        </w:rPr>
        <w:t xml:space="preserve">Reviewer #3: </w:t>
      </w:r>
      <w:r w:rsidR="00C029DC" w:rsidRPr="003E172E">
        <w:rPr>
          <w:b/>
          <w:bCs/>
        </w:rPr>
        <w:br/>
        <w:t>Manuscript Summary:</w:t>
      </w:r>
      <w:r w:rsidR="00C029DC" w:rsidRPr="003E172E">
        <w:rPr>
          <w:b/>
          <w:bCs/>
        </w:rPr>
        <w:br/>
        <w:t xml:space="preserve">The manuscript by Apley et al., entitled "Tetrameric fluorescent antigen arrays for single-step identification of antigen-specific B cells" described a general method to prepare tetrameric fluorescent antigen arrays for characterizing antigen-specific B cells by flow cytometry. The authors explored an </w:t>
      </w:r>
      <w:proofErr w:type="spellStart"/>
      <w:r w:rsidR="00C029DC" w:rsidRPr="003E172E">
        <w:rPr>
          <w:b/>
          <w:bCs/>
        </w:rPr>
        <w:t>azide</w:t>
      </w:r>
      <w:proofErr w:type="spellEnd"/>
      <w:r w:rsidR="00C029DC" w:rsidRPr="003E172E">
        <w:rPr>
          <w:b/>
          <w:bCs/>
        </w:rPr>
        <w:t>-alkyne click chemistry that enables conjugating a couple of model antigens to four arm PEG-</w:t>
      </w:r>
      <w:proofErr w:type="spellStart"/>
      <w:r w:rsidR="00C029DC" w:rsidRPr="003E172E">
        <w:rPr>
          <w:b/>
          <w:bCs/>
        </w:rPr>
        <w:t>Azide</w:t>
      </w:r>
      <w:proofErr w:type="spellEnd"/>
      <w:r w:rsidR="00C029DC" w:rsidRPr="003E172E">
        <w:rPr>
          <w:b/>
          <w:bCs/>
        </w:rPr>
        <w:t xml:space="preserve"> backbone molecules to produce tetrameric antigen array, followed by conjugation of fluorophore to the antigen array which resulted in fluorescent antigen arrays for B cell response analysis. The authors subsequently used the fluorescent antigen arrays to characterize B cell responses in two mouse models, the VH125 NOD mouse model for type 1 diabetes, and the EAE mouse model for multiple sclerosis. The authors showed that the tetrameric fluorescent antigen arrays are superior to monomeric fluorescent antigen in identifying antigen-specific B cells by increasing the sensitivity which resulted in a larger detectable antigen-specific B cell population. Furthermore, the identification of antigen-specific B cell population allows assessment of antigen-specific B cell activation induced by ex vivo antigen stimulation. Overall, the study described in the manuscript is well thought out. The experiments are well </w:t>
      </w:r>
      <w:proofErr w:type="gramStart"/>
      <w:r w:rsidR="00C029DC" w:rsidRPr="003E172E">
        <w:rPr>
          <w:b/>
          <w:bCs/>
        </w:rPr>
        <w:t>controlled</w:t>
      </w:r>
      <w:proofErr w:type="gramEnd"/>
      <w:r w:rsidR="00C029DC" w:rsidRPr="003E172E">
        <w:rPr>
          <w:b/>
          <w:bCs/>
        </w:rPr>
        <w:t xml:space="preserve"> and the data are solid. The </w:t>
      </w:r>
      <w:r w:rsidR="00C029DC" w:rsidRPr="003E172E">
        <w:rPr>
          <w:b/>
          <w:bCs/>
        </w:rPr>
        <w:lastRenderedPageBreak/>
        <w:t>method described here, which is an advancement for studying B cell response in various settings including vaccination and autoimmunity, will be valuable for the field. Some suggestions are listed as below to improve the clarity and precision for publication.</w:t>
      </w:r>
      <w:r w:rsidR="00C029DC" w:rsidRPr="003E172E">
        <w:rPr>
          <w:b/>
          <w:bCs/>
        </w:rPr>
        <w:br/>
      </w:r>
      <w:r w:rsidR="00C029DC" w:rsidRPr="003E172E">
        <w:rPr>
          <w:b/>
          <w:bCs/>
        </w:rPr>
        <w:br/>
        <w:t>Major Concerns:</w:t>
      </w:r>
      <w:r w:rsidR="00C029DC" w:rsidRPr="00252D33">
        <w:rPr>
          <w:b/>
          <w:bCs/>
        </w:rPr>
        <w:br/>
        <w:t>The rationale of each FAA could be explained specifically in the introduction section so that the reader can easily understand the scope of this manuscript. For instance, why insulin and PLP are selected as model antigens in this manuscript. Lines 295-301 did some job. However, it is better to put this part in the introduction section.</w:t>
      </w:r>
      <w:r w:rsidR="0008377E" w:rsidRPr="00356212">
        <w:t xml:space="preserve"> </w:t>
      </w:r>
    </w:p>
    <w:p w14:paraId="32B0D3BE" w14:textId="47A0203A" w:rsidR="000E5144" w:rsidRPr="00356212" w:rsidRDefault="00252D33" w:rsidP="003E172E">
      <w:pPr>
        <w:pStyle w:val="NormalWeb"/>
        <w:spacing w:before="0" w:beforeAutospacing="0" w:after="0" w:afterAutospacing="0"/>
        <w:ind w:firstLine="360"/>
        <w:rPr>
          <w:b/>
          <w:bCs/>
        </w:rPr>
      </w:pPr>
      <w:r>
        <w:t xml:space="preserve">We thank the reviewer for this suggestion. We modified our introduction to clearly state our intention and the models used (Lines 88-94). </w:t>
      </w:r>
      <w:r w:rsidR="00C029DC" w:rsidRPr="00356212">
        <w:br/>
      </w:r>
      <w:r w:rsidR="00C029DC" w:rsidRPr="00356212">
        <w:br/>
      </w:r>
      <w:r w:rsidR="00C029DC" w:rsidRPr="003E172E">
        <w:rPr>
          <w:b/>
          <w:bCs/>
        </w:rPr>
        <w:t>Minor Concerns:</w:t>
      </w:r>
      <w:r w:rsidR="00C029DC" w:rsidRPr="00356212">
        <w:br/>
      </w:r>
      <w:r w:rsidR="00C029DC" w:rsidRPr="00625518">
        <w:rPr>
          <w:b/>
          <w:bCs/>
        </w:rPr>
        <w:t>1) Figure 1 and 2 have not been mentioned in the main text.</w:t>
      </w:r>
      <w:r w:rsidR="0008377E" w:rsidRPr="00356212">
        <w:t xml:space="preserve"> </w:t>
      </w:r>
    </w:p>
    <w:p w14:paraId="6D5ED03C" w14:textId="320105FD" w:rsidR="00C338BA" w:rsidRDefault="009F3922" w:rsidP="003E172E">
      <w:pPr>
        <w:pStyle w:val="NormalWeb"/>
        <w:spacing w:before="0" w:beforeAutospacing="0" w:after="0" w:afterAutospacing="0"/>
        <w:ind w:firstLine="360"/>
      </w:pPr>
      <w:r>
        <w:t>We corrected the omission and</w:t>
      </w:r>
      <w:r w:rsidR="00C338BA">
        <w:t xml:space="preserve"> </w:t>
      </w:r>
      <w:r w:rsidR="00625518">
        <w:t xml:space="preserve">Figures 1 and 2 are now cited in the manuscript </w:t>
      </w:r>
      <w:r w:rsidR="00C338BA">
        <w:t>(Lines 78</w:t>
      </w:r>
      <w:r w:rsidR="00C338BA" w:rsidRPr="00356212">
        <w:t xml:space="preserve">, </w:t>
      </w:r>
      <w:r w:rsidR="00C338BA">
        <w:t>2</w:t>
      </w:r>
      <w:r w:rsidR="007E3876">
        <w:t>92</w:t>
      </w:r>
      <w:r w:rsidR="00C338BA">
        <w:t>-29</w:t>
      </w:r>
      <w:r w:rsidR="007E3876">
        <w:t>7</w:t>
      </w:r>
      <w:r w:rsidR="00C338BA" w:rsidRPr="00356212">
        <w:t xml:space="preserve">, </w:t>
      </w:r>
      <w:r w:rsidR="00C338BA">
        <w:t>37</w:t>
      </w:r>
      <w:r w:rsidR="007E3876">
        <w:t>1</w:t>
      </w:r>
      <w:r w:rsidR="00C338BA" w:rsidRPr="00356212">
        <w:t>)</w:t>
      </w:r>
      <w:r>
        <w:t>.</w:t>
      </w:r>
    </w:p>
    <w:p w14:paraId="7BB1C463" w14:textId="4533C023" w:rsidR="00625518" w:rsidRDefault="00C029DC" w:rsidP="000E5144">
      <w:pPr>
        <w:pStyle w:val="NormalWeb"/>
        <w:spacing w:before="0" w:beforeAutospacing="0" w:after="0" w:afterAutospacing="0"/>
        <w:ind w:firstLine="720"/>
        <w:rPr>
          <w:b/>
          <w:bCs/>
        </w:rPr>
      </w:pPr>
      <w:r w:rsidRPr="00356212">
        <w:br/>
      </w:r>
      <w:r w:rsidRPr="00625518">
        <w:rPr>
          <w:b/>
          <w:bCs/>
        </w:rPr>
        <w:t>2) What is FITC-PLP (line 279)? PLP was first mentioned on line 279 without spelling out the full name. The full name of PLP is explained on line 296, instead. Please reverse the order. The same with EAE, without fully spelling out in any section of the manuscript.</w:t>
      </w:r>
    </w:p>
    <w:p w14:paraId="2F099228" w14:textId="68684048" w:rsidR="00625518" w:rsidRDefault="00625518" w:rsidP="003E172E">
      <w:pPr>
        <w:pStyle w:val="NormalWeb"/>
        <w:spacing w:before="0" w:beforeAutospacing="0" w:after="0" w:afterAutospacing="0"/>
        <w:ind w:firstLine="360"/>
      </w:pPr>
      <w:r>
        <w:t xml:space="preserve">We </w:t>
      </w:r>
      <w:r w:rsidR="009F3922">
        <w:t xml:space="preserve">thank the reviewer and now </w:t>
      </w:r>
      <w:r>
        <w:t xml:space="preserve">introduce the antigens and models </w:t>
      </w:r>
      <w:r w:rsidR="009F3922">
        <w:t>with</w:t>
      </w:r>
      <w:r>
        <w:t>in the introduction for clarity</w:t>
      </w:r>
      <w:r w:rsidR="00C338BA">
        <w:t xml:space="preserve"> (Lines 88-94)</w:t>
      </w:r>
      <w:r w:rsidR="009F3922">
        <w:t>.</w:t>
      </w:r>
      <w:r w:rsidR="00C029DC" w:rsidRPr="00356212">
        <w:br/>
      </w:r>
      <w:r w:rsidR="00C029DC" w:rsidRPr="00356212">
        <w:br/>
      </w:r>
      <w:r w:rsidR="00C029DC" w:rsidRPr="00625518">
        <w:rPr>
          <w:b/>
          <w:bCs/>
        </w:rPr>
        <w:t>3) Fig. 4 and 5, Fig. S10, what statistical method is used to report the p value?</w:t>
      </w:r>
      <w:r w:rsidR="0008377E" w:rsidRPr="00356212">
        <w:t xml:space="preserve"> </w:t>
      </w:r>
    </w:p>
    <w:p w14:paraId="1D8FBF05" w14:textId="406CC511" w:rsidR="00232F76" w:rsidRPr="00C338BA" w:rsidRDefault="00625518" w:rsidP="003E172E">
      <w:pPr>
        <w:pStyle w:val="NormalWeb"/>
        <w:spacing w:before="0" w:beforeAutospacing="0" w:after="0" w:afterAutospacing="0"/>
        <w:ind w:firstLine="360"/>
      </w:pPr>
      <w:r>
        <w:t xml:space="preserve">We now include statistical analysis details (unpaired, two tailed t tests) for all comparisons </w:t>
      </w:r>
      <w:r w:rsidR="009F3922">
        <w:t>within</w:t>
      </w:r>
      <w:r>
        <w:t xml:space="preserve"> the captions for each figure</w:t>
      </w:r>
      <w:r w:rsidR="00C338BA">
        <w:t xml:space="preserve"> (Lines </w:t>
      </w:r>
      <w:r w:rsidR="007E3876">
        <w:t>473-474, 480-482, 539</w:t>
      </w:r>
      <w:r w:rsidR="00C338BA">
        <w:t>)</w:t>
      </w:r>
      <w:r w:rsidR="009F3922">
        <w:t>.</w:t>
      </w:r>
      <w:r w:rsidR="00C029DC" w:rsidRPr="00356212">
        <w:br/>
      </w:r>
      <w:r w:rsidR="00C029DC" w:rsidRPr="00356212">
        <w:br/>
      </w:r>
      <w:r w:rsidR="00C029DC" w:rsidRPr="00625518">
        <w:rPr>
          <w:b/>
          <w:bCs/>
        </w:rPr>
        <w:t>4) Fig. S7 c and d, the Y-axis are labeled as "PE% of CD19+ cells). However, it is described in the figure legend that Rhodamine 4-arm PLP is used to labeled cells. The description of the fluorophore should be consistent.</w:t>
      </w:r>
    </w:p>
    <w:p w14:paraId="52429629" w14:textId="75BCF43C" w:rsidR="007D3716" w:rsidRDefault="00232F76" w:rsidP="003E172E">
      <w:pPr>
        <w:pStyle w:val="NormalWeb"/>
        <w:spacing w:before="0" w:beforeAutospacing="0" w:after="0" w:afterAutospacing="0"/>
        <w:ind w:firstLine="360"/>
        <w:rPr>
          <w:b/>
          <w:bCs/>
        </w:rPr>
      </w:pPr>
      <w:r>
        <w:t xml:space="preserve">We thank the reviewer for </w:t>
      </w:r>
      <w:r w:rsidR="009F3922">
        <w:t>noticing this</w:t>
      </w:r>
      <w:r>
        <w:t>. The rhodamine dye is detected in the PE channel, but it is appropriate to rename the populations “%</w:t>
      </w:r>
      <w:proofErr w:type="spellStart"/>
      <w:r>
        <w:t>RhdB</w:t>
      </w:r>
      <w:proofErr w:type="spellEnd"/>
      <w:r>
        <w:t>+”, consistent with our dye</w:t>
      </w:r>
      <w:r w:rsidR="009F3922">
        <w:t>, and we</w:t>
      </w:r>
      <w:r>
        <w:t xml:space="preserve"> updated Fig. S7 </w:t>
      </w:r>
      <w:r w:rsidR="009F3922">
        <w:t>for clarity</w:t>
      </w:r>
      <w:r>
        <w:t>.</w:t>
      </w:r>
      <w:r w:rsidR="00C029DC" w:rsidRPr="00356212">
        <w:br/>
      </w:r>
      <w:r w:rsidR="00C029DC" w:rsidRPr="00356212">
        <w:br/>
      </w:r>
      <w:r w:rsidR="00C029DC" w:rsidRPr="00625518">
        <w:rPr>
          <w:b/>
          <w:bCs/>
        </w:rPr>
        <w:t>5) Fig. S8, left panel, what does the blue gate mean? Please specify.</w:t>
      </w:r>
    </w:p>
    <w:p w14:paraId="0CF6D02B" w14:textId="5E8412BE" w:rsidR="007D3716" w:rsidRDefault="007D3716" w:rsidP="003E172E">
      <w:pPr>
        <w:pStyle w:val="NormalWeb"/>
        <w:spacing w:before="0" w:beforeAutospacing="0" w:after="0" w:afterAutospacing="0"/>
        <w:ind w:firstLine="360"/>
      </w:pPr>
      <w:r>
        <w:t xml:space="preserve">. We updated the figure caption to state </w:t>
      </w:r>
      <w:r w:rsidR="009F3922">
        <w:t xml:space="preserve">the </w:t>
      </w:r>
      <w:r>
        <w:t>purpose</w:t>
      </w:r>
      <w:r w:rsidR="009F3922">
        <w:t xml:space="preserve"> of the blue gate denoting insulin-specific B cells that are identified by FAAs but not by monovalent insulin</w:t>
      </w:r>
      <w:r w:rsidR="00C338BA">
        <w:t xml:space="preserve"> (Lines 5</w:t>
      </w:r>
      <w:r w:rsidR="007E3876">
        <w:t>18</w:t>
      </w:r>
      <w:r w:rsidR="00C338BA">
        <w:t>-5</w:t>
      </w:r>
      <w:r w:rsidR="007E3876">
        <w:t>20</w:t>
      </w:r>
      <w:r w:rsidR="00C338BA">
        <w:t>)</w:t>
      </w:r>
      <w:r w:rsidR="009F3922">
        <w:t>.</w:t>
      </w:r>
      <w:r w:rsidR="00C029DC" w:rsidRPr="00356212">
        <w:br/>
      </w:r>
      <w:r w:rsidR="00C029DC" w:rsidRPr="00356212">
        <w:br/>
      </w:r>
      <w:r w:rsidR="00C029DC" w:rsidRPr="00625518">
        <w:rPr>
          <w:b/>
          <w:bCs/>
        </w:rPr>
        <w:t>6) Fig. S10 shows PLP-specific B cells. PLP is labeled with Rhodamine in the text, however, the figure lists FITC+ of CD19+ population. The label is not consistent with the text.</w:t>
      </w:r>
      <w:r w:rsidR="0008377E" w:rsidRPr="00356212">
        <w:t xml:space="preserve"> </w:t>
      </w:r>
    </w:p>
    <w:p w14:paraId="306CDBA5" w14:textId="24CE4952" w:rsidR="00EF2DE3" w:rsidRPr="007F63BF" w:rsidRDefault="00C10D7A" w:rsidP="003E172E">
      <w:pPr>
        <w:pStyle w:val="NormalWeb"/>
        <w:spacing w:before="0" w:beforeAutospacing="0" w:after="0" w:afterAutospacing="0"/>
        <w:ind w:firstLine="360"/>
        <w:rPr>
          <w:b/>
          <w:bCs/>
        </w:rPr>
      </w:pPr>
      <w:r>
        <w:t xml:space="preserve">In </w:t>
      </w:r>
      <w:r w:rsidR="009F3922">
        <w:t xml:space="preserve">Fig. </w:t>
      </w:r>
      <w:r>
        <w:t>S10</w:t>
      </w:r>
      <w:r w:rsidR="007E3876">
        <w:t xml:space="preserve"> (now Fig. S11)</w:t>
      </w:r>
      <w:r>
        <w:t xml:space="preserve"> we used the FITC 4-arm PLP variant because </w:t>
      </w:r>
      <w:r w:rsidR="009F3922">
        <w:t>FITC</w:t>
      </w:r>
      <w:r>
        <w:t xml:space="preserve"> was more compatible with the labeling antibodies used. We updated the representative results and discussion sections </w:t>
      </w:r>
      <w:r w:rsidR="009F3922">
        <w:t>accordingly</w:t>
      </w:r>
      <w:r w:rsidR="00681BB5">
        <w:t xml:space="preserve"> (Lines 3</w:t>
      </w:r>
      <w:r w:rsidR="007E3876">
        <w:t>51</w:t>
      </w:r>
      <w:r w:rsidR="00681BB5">
        <w:t xml:space="preserve">, </w:t>
      </w:r>
      <w:r w:rsidR="007E3876">
        <w:t>428-429</w:t>
      </w:r>
      <w:r w:rsidR="00681BB5">
        <w:t xml:space="preserve">). </w:t>
      </w:r>
      <w:r w:rsidR="00C029DC" w:rsidRPr="00356212">
        <w:br/>
      </w:r>
      <w:r w:rsidR="00C029DC" w:rsidRPr="00356212">
        <w:br/>
      </w:r>
      <w:r w:rsidR="00C029DC" w:rsidRPr="00356212">
        <w:br/>
      </w:r>
      <w:r w:rsidR="00C029DC" w:rsidRPr="00356212">
        <w:rPr>
          <w:b/>
          <w:bCs/>
        </w:rPr>
        <w:t xml:space="preserve">Reviewer #4: </w:t>
      </w:r>
      <w:r w:rsidR="00C029DC" w:rsidRPr="00356212">
        <w:br/>
      </w:r>
      <w:r w:rsidR="00C029DC" w:rsidRPr="00425F56">
        <w:rPr>
          <w:b/>
          <w:bCs/>
        </w:rPr>
        <w:t>Manuscript Summary:</w:t>
      </w:r>
      <w:r w:rsidR="00C029DC" w:rsidRPr="00425F56">
        <w:rPr>
          <w:b/>
          <w:bCs/>
        </w:rPr>
        <w:br/>
        <w:t xml:space="preserve">This manuscript is about the use of fluorescent-conjugated antigens to track down antigen-specific B </w:t>
      </w:r>
      <w:r w:rsidR="00C029DC" w:rsidRPr="00425F56">
        <w:rPr>
          <w:b/>
          <w:bCs/>
        </w:rPr>
        <w:lastRenderedPageBreak/>
        <w:t>cells. More specifically, the authors present a 2-step protocol that would significantly enhance the detection of these cells through the usage of a 4-arm-fluorochrome-labelled antigen in comparison to a monovalent counterpart.</w:t>
      </w:r>
      <w:r w:rsidR="00C029DC" w:rsidRPr="00356212">
        <w:br/>
      </w:r>
      <w:r w:rsidR="00C029DC" w:rsidRPr="00356212">
        <w:br/>
      </w:r>
      <w:r w:rsidR="00C029DC" w:rsidRPr="00425F56">
        <w:rPr>
          <w:b/>
          <w:bCs/>
        </w:rPr>
        <w:t>Major Concerns:</w:t>
      </w:r>
      <w:r w:rsidR="00C029DC" w:rsidRPr="00425F56">
        <w:rPr>
          <w:b/>
          <w:bCs/>
        </w:rPr>
        <w:br/>
        <w:t>None.</w:t>
      </w:r>
      <w:r w:rsidR="00C029DC" w:rsidRPr="00425F56">
        <w:rPr>
          <w:b/>
          <w:bCs/>
        </w:rPr>
        <w:br/>
      </w:r>
      <w:r w:rsidR="00C029DC" w:rsidRPr="00425F56">
        <w:rPr>
          <w:b/>
          <w:bCs/>
        </w:rPr>
        <w:br/>
        <w:t>Minor Concerns:</w:t>
      </w:r>
      <w:r w:rsidR="00C029DC" w:rsidRPr="00425F56">
        <w:rPr>
          <w:b/>
          <w:bCs/>
        </w:rPr>
        <w:br/>
        <w:t>Described below point-by-point.</w:t>
      </w:r>
      <w:r w:rsidR="00C029DC" w:rsidRPr="00356212">
        <w:br/>
      </w:r>
      <w:r w:rsidR="00C029DC" w:rsidRPr="007F63BF">
        <w:rPr>
          <w:b/>
          <w:bCs/>
        </w:rPr>
        <w:t>It would be interesting to include the entire time spent in that each step of the whole protocol.</w:t>
      </w:r>
      <w:r w:rsidR="00065377" w:rsidRPr="007F63BF">
        <w:rPr>
          <w:b/>
          <w:bCs/>
        </w:rPr>
        <w:t xml:space="preserve"> </w:t>
      </w:r>
    </w:p>
    <w:p w14:paraId="1C2D787D" w14:textId="13DFC373" w:rsidR="007F63BF" w:rsidRDefault="004D3AB2" w:rsidP="003E172E">
      <w:pPr>
        <w:pStyle w:val="NormalWeb"/>
        <w:spacing w:before="0" w:beforeAutospacing="0" w:after="0" w:afterAutospacing="0"/>
        <w:ind w:firstLine="360"/>
        <w:rPr>
          <w:bCs/>
        </w:rPr>
      </w:pPr>
      <w:r w:rsidRPr="00192B81">
        <w:rPr>
          <w:bCs/>
        </w:rPr>
        <w:t>Time estimates are an excellent idea</w:t>
      </w:r>
      <w:r w:rsidR="009F3922">
        <w:rPr>
          <w:bCs/>
        </w:rPr>
        <w:t xml:space="preserve"> and we appreciate the suggestion</w:t>
      </w:r>
      <w:r w:rsidRPr="00192B81">
        <w:rPr>
          <w:bCs/>
        </w:rPr>
        <w:t xml:space="preserve">. We </w:t>
      </w:r>
      <w:r w:rsidR="009F3922">
        <w:rPr>
          <w:bCs/>
        </w:rPr>
        <w:t xml:space="preserve">now </w:t>
      </w:r>
      <w:r w:rsidRPr="00192B81">
        <w:rPr>
          <w:bCs/>
        </w:rPr>
        <w:t>include these estimates throughout the steps presented</w:t>
      </w:r>
      <w:r w:rsidR="009F3922">
        <w:rPr>
          <w:bCs/>
        </w:rPr>
        <w:t xml:space="preserve">, </w:t>
      </w:r>
      <w:proofErr w:type="gramStart"/>
      <w:r w:rsidR="009F3922">
        <w:rPr>
          <w:bCs/>
        </w:rPr>
        <w:t>and also</w:t>
      </w:r>
      <w:proofErr w:type="gramEnd"/>
      <w:r w:rsidR="009F3922">
        <w:rPr>
          <w:bCs/>
        </w:rPr>
        <w:t xml:space="preserve"> for many sub-steps</w:t>
      </w:r>
      <w:r w:rsidRPr="00192B81">
        <w:rPr>
          <w:bCs/>
        </w:rPr>
        <w:t>.</w:t>
      </w:r>
      <w:r w:rsidR="00192B81">
        <w:rPr>
          <w:bCs/>
        </w:rPr>
        <w:t xml:space="preserve"> </w:t>
      </w:r>
    </w:p>
    <w:p w14:paraId="2256C895" w14:textId="77777777" w:rsidR="007F63BF" w:rsidRDefault="00C029DC" w:rsidP="000E5144">
      <w:pPr>
        <w:pStyle w:val="NormalWeb"/>
        <w:spacing w:before="0" w:beforeAutospacing="0" w:after="0" w:afterAutospacing="0"/>
        <w:ind w:firstLine="720"/>
        <w:rPr>
          <w:b/>
          <w:bCs/>
        </w:rPr>
      </w:pPr>
      <w:r w:rsidRPr="00356212">
        <w:br/>
      </w:r>
      <w:r w:rsidRPr="007F63BF">
        <w:rPr>
          <w:b/>
          <w:bCs/>
        </w:rPr>
        <w:t>Line 99 - It is not clear what the authors meant by functionalizing a native antigen. Please, give details about it.</w:t>
      </w:r>
    </w:p>
    <w:p w14:paraId="195CE651" w14:textId="073D9378" w:rsidR="00BB7053" w:rsidRDefault="007F63BF" w:rsidP="00294E67">
      <w:pPr>
        <w:pStyle w:val="NormalWeb"/>
        <w:spacing w:before="0" w:beforeAutospacing="0" w:after="0" w:afterAutospacing="0"/>
        <w:ind w:firstLine="360"/>
        <w:rPr>
          <w:b/>
          <w:bCs/>
        </w:rPr>
      </w:pPr>
      <w:r>
        <w:t xml:space="preserve">We </w:t>
      </w:r>
      <w:r w:rsidR="004D3AB2">
        <w:t>substituted “native” for “</w:t>
      </w:r>
      <w:proofErr w:type="gramStart"/>
      <w:r w:rsidR="004D3AB2">
        <w:t xml:space="preserve">unmodified” </w:t>
      </w:r>
      <w:r w:rsidR="00A571F6">
        <w:t xml:space="preserve"> </w:t>
      </w:r>
      <w:r w:rsidR="00C338BA">
        <w:t>(</w:t>
      </w:r>
      <w:proofErr w:type="gramEnd"/>
      <w:r w:rsidR="00C338BA">
        <w:t>Line 104)</w:t>
      </w:r>
      <w:r w:rsidR="009F3922">
        <w:t>.</w:t>
      </w:r>
      <w:r w:rsidR="00C029DC" w:rsidRPr="00356212">
        <w:br/>
      </w:r>
      <w:r w:rsidR="00C029DC" w:rsidRPr="00356212">
        <w:br/>
      </w:r>
      <w:r w:rsidR="00C029DC" w:rsidRPr="007F63BF">
        <w:rPr>
          <w:b/>
          <w:bCs/>
        </w:rPr>
        <w:t xml:space="preserve">Line 118 - It is not clear how the antigen array can be synthesized by copper-catalyzed, </w:t>
      </w:r>
      <w:proofErr w:type="spellStart"/>
      <w:r w:rsidR="00C029DC" w:rsidRPr="007F63BF">
        <w:rPr>
          <w:b/>
          <w:bCs/>
        </w:rPr>
        <w:t>azide</w:t>
      </w:r>
      <w:proofErr w:type="spellEnd"/>
      <w:r w:rsidR="00C029DC" w:rsidRPr="007F63BF">
        <w:rPr>
          <w:b/>
          <w:bCs/>
        </w:rPr>
        <w:t>-alkyne cycloaddition (</w:t>
      </w:r>
      <w:proofErr w:type="spellStart"/>
      <w:r w:rsidR="00C029DC" w:rsidRPr="007F63BF">
        <w:rPr>
          <w:b/>
          <w:bCs/>
        </w:rPr>
        <w:t>CuAAC</w:t>
      </w:r>
      <w:proofErr w:type="spellEnd"/>
      <w:r w:rsidR="00C029DC" w:rsidRPr="007F63BF">
        <w:rPr>
          <w:b/>
          <w:bCs/>
        </w:rPr>
        <w:t>). Please, give details about it.</w:t>
      </w:r>
      <w:r w:rsidR="00065377" w:rsidRPr="007F63BF">
        <w:rPr>
          <w:b/>
          <w:bCs/>
        </w:rPr>
        <w:t xml:space="preserve"> </w:t>
      </w:r>
    </w:p>
    <w:p w14:paraId="729D2007" w14:textId="2DECDC45" w:rsidR="00DB0DB0" w:rsidRDefault="00A571F6" w:rsidP="00294E67">
      <w:pPr>
        <w:pStyle w:val="NormalWeb"/>
        <w:spacing w:before="0" w:beforeAutospacing="0" w:after="0" w:afterAutospacing="0"/>
        <w:ind w:firstLine="360"/>
        <w:rPr>
          <w:b/>
          <w:bCs/>
        </w:rPr>
      </w:pPr>
      <w:r>
        <w:t xml:space="preserve">We cite a </w:t>
      </w:r>
      <w:r w:rsidR="009F3922">
        <w:t xml:space="preserve">prior </w:t>
      </w:r>
      <w:r>
        <w:t xml:space="preserve">report </w:t>
      </w:r>
      <w:r w:rsidR="009F3922">
        <w:t xml:space="preserve">on </w:t>
      </w:r>
      <w:proofErr w:type="spellStart"/>
      <w:r>
        <w:t>CuAAC</w:t>
      </w:r>
      <w:proofErr w:type="spellEnd"/>
      <w:r>
        <w:t xml:space="preserve"> conjugation </w:t>
      </w:r>
      <w:r w:rsidR="009F3922">
        <w:t xml:space="preserve">to provide additional details </w:t>
      </w:r>
      <w:r>
        <w:t xml:space="preserve">(Line </w:t>
      </w:r>
      <w:r w:rsidR="00FA567B">
        <w:t>126-127</w:t>
      </w:r>
      <w:r>
        <w:t>, Ref 22)</w:t>
      </w:r>
      <w:r w:rsidR="00C029DC" w:rsidRPr="007F63BF">
        <w:br/>
      </w:r>
      <w:r w:rsidR="00C029DC" w:rsidRPr="00356212">
        <w:br/>
      </w:r>
      <w:r w:rsidR="00C029DC" w:rsidRPr="007F63BF">
        <w:rPr>
          <w:b/>
          <w:bCs/>
        </w:rPr>
        <w:t>All figures must be presented in a higher-resolution format. Some of them were simply impossible to evaluate, specially to read any of the details added, such as shown in the Figure 4D and Supplementary Figures 5 and 6.</w:t>
      </w:r>
    </w:p>
    <w:p w14:paraId="631BF460" w14:textId="0F58D694" w:rsidR="001C2419" w:rsidRPr="00356212" w:rsidRDefault="00DB0DB0" w:rsidP="00294E67">
      <w:pPr>
        <w:pStyle w:val="NormalWeb"/>
        <w:spacing w:before="0" w:beforeAutospacing="0" w:after="0" w:afterAutospacing="0"/>
        <w:ind w:firstLine="360"/>
        <w:rPr>
          <w:b/>
          <w:bCs/>
        </w:rPr>
      </w:pPr>
      <w:r w:rsidRPr="00DB0DB0">
        <w:t>We appreciate the notification that this loss of resolution has occurred. We will work with the editor to ensure that the figures are translated with full integrity for the final publication.</w:t>
      </w:r>
      <w:r w:rsidR="00C029DC" w:rsidRPr="00356212">
        <w:br/>
      </w:r>
      <w:r w:rsidR="00C029DC" w:rsidRPr="00356212">
        <w:br/>
      </w:r>
      <w:proofErr w:type="spellStart"/>
      <w:r w:rsidR="00C029DC" w:rsidRPr="007F63BF">
        <w:rPr>
          <w:b/>
          <w:bCs/>
        </w:rPr>
        <w:t>Supplem</w:t>
      </w:r>
      <w:proofErr w:type="spellEnd"/>
      <w:r w:rsidR="00C029DC" w:rsidRPr="007F63BF">
        <w:rPr>
          <w:b/>
          <w:bCs/>
        </w:rPr>
        <w:t xml:space="preserve"> Fig 3 - I suggest to change the line color for the insulin antigen array to clearly distinguish it from the FITC PLP FAA curve. Also, I suggest </w:t>
      </w:r>
      <w:proofErr w:type="gramStart"/>
      <w:r w:rsidR="00C029DC" w:rsidRPr="007F63BF">
        <w:rPr>
          <w:b/>
          <w:bCs/>
        </w:rPr>
        <w:t>to include</w:t>
      </w:r>
      <w:proofErr w:type="gramEnd"/>
      <w:r w:rsidR="00C029DC" w:rsidRPr="007F63BF">
        <w:rPr>
          <w:b/>
          <w:bCs/>
        </w:rPr>
        <w:t xml:space="preserve"> the curve of PLP antigen array in this figure as an important control.</w:t>
      </w:r>
      <w:r w:rsidR="00065377" w:rsidRPr="007F63BF">
        <w:rPr>
          <w:b/>
          <w:bCs/>
        </w:rPr>
        <w:t xml:space="preserve"> </w:t>
      </w:r>
    </w:p>
    <w:p w14:paraId="068D99B9" w14:textId="72CB115D" w:rsidR="007F63BF" w:rsidRDefault="00FA567B" w:rsidP="00294E67">
      <w:pPr>
        <w:pStyle w:val="NormalWeb"/>
        <w:spacing w:before="0" w:beforeAutospacing="0" w:after="0" w:afterAutospacing="0"/>
        <w:ind w:firstLine="360"/>
      </w:pPr>
      <w:r>
        <w:rPr>
          <w:bCs/>
        </w:rPr>
        <w:t xml:space="preserve">Thank you for the recommendation to help improve the clarity of the figure. </w:t>
      </w:r>
      <w:r w:rsidR="001C2419" w:rsidRPr="00356212">
        <w:rPr>
          <w:bCs/>
        </w:rPr>
        <w:t>The</w:t>
      </w:r>
      <w:r>
        <w:t xml:space="preserve"> PLP antigen array curve has</w:t>
      </w:r>
      <w:r w:rsidR="001C2419" w:rsidRPr="00356212">
        <w:t xml:space="preserve"> </w:t>
      </w:r>
      <w:r>
        <w:t xml:space="preserve">been </w:t>
      </w:r>
      <w:r w:rsidR="001C2419" w:rsidRPr="00356212">
        <w:t>included and the color pallet has been changed to allow individual species to be better distinguished.</w:t>
      </w:r>
    </w:p>
    <w:p w14:paraId="49D37D0E" w14:textId="77777777" w:rsidR="00175F67" w:rsidRDefault="00C029DC" w:rsidP="000E5144">
      <w:pPr>
        <w:pStyle w:val="NormalWeb"/>
        <w:spacing w:before="0" w:beforeAutospacing="0" w:after="0" w:afterAutospacing="0"/>
        <w:ind w:firstLine="720"/>
        <w:rPr>
          <w:b/>
          <w:bCs/>
        </w:rPr>
      </w:pPr>
      <w:r w:rsidRPr="00356212">
        <w:br/>
      </w:r>
      <w:r w:rsidRPr="007F63BF">
        <w:rPr>
          <w:b/>
          <w:bCs/>
        </w:rPr>
        <w:t>Figures 4A, 4B and 4C - Although it is clear the improvement on the B cell staining with a lower FITC 4-arm insulin and no effect over T cells, no isotype Ab control was added to the staining. This data should be shown as is plus the addition of control staining side by side, which would highlight the quality of the cell staining.</w:t>
      </w:r>
    </w:p>
    <w:p w14:paraId="33967F60" w14:textId="1940341A" w:rsidR="00175F67" w:rsidRDefault="009F3922" w:rsidP="001A32B9">
      <w:pPr>
        <w:pStyle w:val="NormalWeb"/>
        <w:spacing w:before="0" w:beforeAutospacing="0" w:after="0" w:afterAutospacing="0"/>
        <w:ind w:firstLine="360"/>
      </w:pPr>
      <w:r>
        <w:t xml:space="preserve">Isotype controls were not required for this </w:t>
      </w:r>
      <w:proofErr w:type="gramStart"/>
      <w:r>
        <w:t>particular demonstration</w:t>
      </w:r>
      <w:proofErr w:type="gramEnd"/>
      <w:r>
        <w:t xml:space="preserve"> because FAA+ populations were compared relatively between two cell populations (CD19 as specific, CD3 as nonspecific), and both these antibodies have the same mouse kappa isotype. </w:t>
      </w:r>
      <w:r w:rsidR="00175F67">
        <w:t>We primarily intended our cytometry data as a baseline demonstration for researchers to adapt for their own purposes. We have included a new note in the assay development section of the protocol for researchers to include additional controls for full validation of their chosen assay.</w:t>
      </w:r>
      <w:r w:rsidR="00FA567B">
        <w:t xml:space="preserve"> (Lines 239-240)</w:t>
      </w:r>
    </w:p>
    <w:p w14:paraId="56313467" w14:textId="4683D30F" w:rsidR="004D3AB2" w:rsidRDefault="00C029DC" w:rsidP="001A32B9">
      <w:pPr>
        <w:pStyle w:val="NormalWeb"/>
        <w:spacing w:before="0" w:beforeAutospacing="0" w:after="0" w:afterAutospacing="0"/>
        <w:ind w:firstLine="360"/>
        <w:rPr>
          <w:b/>
          <w:bCs/>
        </w:rPr>
      </w:pPr>
      <w:r w:rsidRPr="007F63BF">
        <w:rPr>
          <w:b/>
          <w:bCs/>
        </w:rPr>
        <w:br/>
      </w:r>
      <w:r w:rsidRPr="00356212">
        <w:br/>
      </w:r>
      <w:r w:rsidRPr="007F63BF">
        <w:rPr>
          <w:b/>
          <w:bCs/>
        </w:rPr>
        <w:t xml:space="preserve">Supplementary Figures 7A and 7C - I suggest </w:t>
      </w:r>
      <w:proofErr w:type="gramStart"/>
      <w:r w:rsidRPr="007F63BF">
        <w:rPr>
          <w:b/>
          <w:bCs/>
        </w:rPr>
        <w:t>to use</w:t>
      </w:r>
      <w:proofErr w:type="gramEnd"/>
      <w:r w:rsidRPr="007F63BF">
        <w:rPr>
          <w:b/>
          <w:bCs/>
        </w:rPr>
        <w:t xml:space="preserve"> the same y-axis scale for both panels (left and right) of each figure.</w:t>
      </w:r>
    </w:p>
    <w:p w14:paraId="44973160" w14:textId="6D633218" w:rsidR="00FC5535" w:rsidRDefault="004D3AB2" w:rsidP="001A32B9">
      <w:pPr>
        <w:pStyle w:val="NormalWeb"/>
        <w:spacing w:before="0" w:beforeAutospacing="0" w:after="0" w:afterAutospacing="0"/>
        <w:ind w:firstLine="360"/>
        <w:rPr>
          <w:b/>
          <w:bCs/>
        </w:rPr>
      </w:pPr>
      <w:r>
        <w:lastRenderedPageBreak/>
        <w:t xml:space="preserve">We adjusted the y-axis scaling to be consistent between </w:t>
      </w:r>
      <w:r w:rsidR="004F6870">
        <w:t>each panel.</w:t>
      </w:r>
      <w:r w:rsidR="00C029DC" w:rsidRPr="00356212">
        <w:br/>
      </w:r>
      <w:r w:rsidR="00C029DC" w:rsidRPr="00356212">
        <w:br/>
      </w:r>
      <w:r w:rsidR="00C029DC" w:rsidRPr="007F63BF">
        <w:rPr>
          <w:b/>
          <w:bCs/>
        </w:rPr>
        <w:t xml:space="preserve">Supplementary Figures 9A-B - I disagree that FAA- and FAA+ B cell subsets were completely separated with the chosen gating strategy. Indeed, the displayed plots do not show FAA+ (4-arm FITC) cells totally separated from the FAA- counterparts. As suggested for Figure 4 data, I suggest </w:t>
      </w:r>
      <w:proofErr w:type="gramStart"/>
      <w:r w:rsidR="00C029DC" w:rsidRPr="007F63BF">
        <w:rPr>
          <w:b/>
          <w:bCs/>
        </w:rPr>
        <w:t>to include</w:t>
      </w:r>
      <w:proofErr w:type="gramEnd"/>
      <w:r w:rsidR="00C029DC" w:rsidRPr="007F63BF">
        <w:rPr>
          <w:b/>
          <w:bCs/>
        </w:rPr>
        <w:t xml:space="preserve"> data from control </w:t>
      </w:r>
      <w:proofErr w:type="spellStart"/>
      <w:r w:rsidR="00C029DC" w:rsidRPr="007F63BF">
        <w:rPr>
          <w:b/>
          <w:bCs/>
        </w:rPr>
        <w:t>stainings</w:t>
      </w:r>
      <w:proofErr w:type="spellEnd"/>
      <w:r w:rsidR="00C029DC" w:rsidRPr="007F63BF">
        <w:rPr>
          <w:b/>
          <w:bCs/>
        </w:rPr>
        <w:t>, such as isotype Ab control.</w:t>
      </w:r>
      <w:r w:rsidR="00065377" w:rsidRPr="007F63BF">
        <w:rPr>
          <w:b/>
          <w:bCs/>
        </w:rPr>
        <w:t xml:space="preserve"> </w:t>
      </w:r>
    </w:p>
    <w:p w14:paraId="35500BE5" w14:textId="2271CEF4" w:rsidR="003C4200" w:rsidRDefault="00FC5535" w:rsidP="001A32B9">
      <w:pPr>
        <w:pStyle w:val="NormalWeb"/>
        <w:spacing w:before="0" w:beforeAutospacing="0" w:after="0" w:afterAutospacing="0"/>
        <w:ind w:firstLine="360"/>
        <w:rPr>
          <w:b/>
          <w:bCs/>
        </w:rPr>
      </w:pPr>
      <w:r>
        <w:t xml:space="preserve">We agree that these subsets were not completely </w:t>
      </w:r>
      <w:r w:rsidR="00D11914">
        <w:t>separated</w:t>
      </w:r>
      <w:r>
        <w:t xml:space="preserve"> from one another in the plots we obtained</w:t>
      </w:r>
      <w:r w:rsidR="00D11914">
        <w:t xml:space="preserve"> after 24 hours, unlike in the specificity studies with fresh cells (Supp. Fig. 8)</w:t>
      </w:r>
      <w:r>
        <w:t xml:space="preserve">. As such, we have </w:t>
      </w:r>
      <w:r w:rsidR="00D11914">
        <w:t>tempered</w:t>
      </w:r>
      <w:r>
        <w:t xml:space="preserve"> our assertion </w:t>
      </w:r>
      <w:r w:rsidR="00D11914">
        <w:t xml:space="preserve">in the representative results </w:t>
      </w:r>
      <w:r w:rsidR="009E0D2E">
        <w:t xml:space="preserve">when reporting the data from the functional assays </w:t>
      </w:r>
      <w:r w:rsidR="00D11914">
        <w:t xml:space="preserve">(Lines </w:t>
      </w:r>
      <w:r w:rsidR="00FA567B">
        <w:t>3</w:t>
      </w:r>
      <w:r w:rsidR="007E3876">
        <w:t>51</w:t>
      </w:r>
      <w:r w:rsidR="00FA567B">
        <w:t>-35</w:t>
      </w:r>
      <w:r w:rsidR="004A2B80">
        <w:t>5</w:t>
      </w:r>
      <w:r w:rsidR="00D11914">
        <w:t>).</w:t>
      </w:r>
      <w:r>
        <w:t xml:space="preserve"> </w:t>
      </w:r>
      <w:r w:rsidR="007E3876">
        <w:t xml:space="preserve">We also included a new supplementary figure (S10) providing control staining used for gating. </w:t>
      </w:r>
      <w:r w:rsidR="00C029DC" w:rsidRPr="00356212">
        <w:br/>
      </w:r>
      <w:r w:rsidR="00C029DC" w:rsidRPr="00356212">
        <w:br/>
      </w:r>
      <w:r w:rsidR="00C029DC" w:rsidRPr="007F63BF">
        <w:rPr>
          <w:b/>
          <w:bCs/>
        </w:rPr>
        <w:t xml:space="preserve">Figure 5 and Supplementary Figure 10 - there is no explanation in the manuscript about why it is relevant to verify the expression of CD86+ and CD79b+ in the antigen-specific B cells, neither the details of treatment performed to stimulate the up- or down-regulation of these costimulatory molecules. About the gating strategy for CD86+ and CD79b+, it must be presented as done in the Figure 4. Also, there are no information about the anti-CD86 and anti-CD79b antibodies used in this cell staining procedure. Furthermore, authors focused on the respective MFIs for both CD86+ and CD79b+ FAA+ </w:t>
      </w:r>
      <w:proofErr w:type="spellStart"/>
      <w:r w:rsidR="00C029DC" w:rsidRPr="007F63BF">
        <w:rPr>
          <w:b/>
          <w:bCs/>
        </w:rPr>
        <w:t>stainings</w:t>
      </w:r>
      <w:proofErr w:type="spellEnd"/>
      <w:r w:rsidR="00C029DC" w:rsidRPr="007F63BF">
        <w:rPr>
          <w:b/>
          <w:bCs/>
        </w:rPr>
        <w:t>. What about the absolute number of CD86+ and CD79b+ FAA+ elicited between the vehicle and the insulin or PLP treatment? Does this parameter also change as seen with the MFIs?</w:t>
      </w:r>
      <w:r w:rsidR="00065377" w:rsidRPr="007F63BF">
        <w:rPr>
          <w:b/>
          <w:bCs/>
        </w:rPr>
        <w:t xml:space="preserve"> </w:t>
      </w:r>
    </w:p>
    <w:p w14:paraId="7CBCCB74" w14:textId="24FA062B" w:rsidR="003C4200" w:rsidRDefault="003C4200" w:rsidP="001A32B9">
      <w:pPr>
        <w:pStyle w:val="NormalWeb"/>
        <w:spacing w:before="0" w:beforeAutospacing="0" w:after="0" w:afterAutospacing="0"/>
        <w:ind w:firstLine="360"/>
      </w:pPr>
      <w:r>
        <w:t xml:space="preserve">While we intended the assays in these figures as supplementary demonstrations of the potential utility for FAAs, we certainly hope to avoid adding additional confusion by introducing additional markers. We have briefly described our study and rationale for looking at these phenotypical markers as examples for observing changes to antigen-specific B cells in response to stimulation and treatment conditions (Lines </w:t>
      </w:r>
      <w:r w:rsidR="00FA567B">
        <w:t>3</w:t>
      </w:r>
      <w:r w:rsidR="004A2B80">
        <w:t>51-355</w:t>
      </w:r>
      <w:r w:rsidR="00FA567B">
        <w:t>, 35</w:t>
      </w:r>
      <w:r w:rsidR="004A2B80">
        <w:t>7</w:t>
      </w:r>
      <w:r w:rsidR="00FA567B">
        <w:t>-36</w:t>
      </w:r>
      <w:r w:rsidR="004A2B80">
        <w:t>2</w:t>
      </w:r>
      <w:r>
        <w:t>). References 22 and 31 are also included to substantiate marker selection.</w:t>
      </w:r>
    </w:p>
    <w:p w14:paraId="4E686A87" w14:textId="28B409DC" w:rsidR="007D1D32" w:rsidRPr="00356212" w:rsidRDefault="003C4200" w:rsidP="001A32B9">
      <w:pPr>
        <w:pStyle w:val="NormalWeb"/>
        <w:spacing w:before="0" w:beforeAutospacing="0" w:after="0" w:afterAutospacing="0"/>
        <w:ind w:firstLine="360"/>
        <w:rPr>
          <w:b/>
          <w:bCs/>
        </w:rPr>
      </w:pPr>
      <w:r>
        <w:t xml:space="preserve">We have included the source information for fluorescent antibodies in the representative results section (Line </w:t>
      </w:r>
      <w:r w:rsidR="00FA567B">
        <w:t>35</w:t>
      </w:r>
      <w:r w:rsidR="004A2B80">
        <w:t>9</w:t>
      </w:r>
      <w:r>
        <w:t xml:space="preserve">), but not the materials table as this experiment is complementary but not essential to the instruction of this methods paper. We did not gate for CD86 </w:t>
      </w:r>
      <w:r w:rsidR="004A2B80">
        <w:t>(</w:t>
      </w:r>
      <w:r>
        <w:t>or CD79b</w:t>
      </w:r>
      <w:r w:rsidR="004A2B80">
        <w:t>)</w:t>
      </w:r>
      <w:r>
        <w:t xml:space="preserve"> positive populations – B cells all express varying levels of these markers on a continuous scale</w:t>
      </w:r>
      <w:r w:rsidR="00571AF9">
        <w:t>, and therefore we focused on MFI for this analysis</w:t>
      </w:r>
      <w:r>
        <w:t>.</w:t>
      </w:r>
      <w:r w:rsidR="00C029DC" w:rsidRPr="00356212">
        <w:br/>
      </w:r>
      <w:r w:rsidR="00C029DC" w:rsidRPr="00356212">
        <w:br/>
      </w:r>
      <w:r w:rsidR="00C029DC" w:rsidRPr="007F63BF">
        <w:rPr>
          <w:b/>
          <w:bCs/>
        </w:rPr>
        <w:t>Once formed a 4-arm antigen fluorochrome, any idea about how much time the conjugated fluorescence can be maintained on this antigen? When compared to other methods, this 2-step procedure induces a more stable antigen for cell staining?</w:t>
      </w:r>
      <w:r w:rsidR="00065377" w:rsidRPr="00356212">
        <w:t xml:space="preserve"> </w:t>
      </w:r>
    </w:p>
    <w:p w14:paraId="66BED47D" w14:textId="02C6D080" w:rsidR="001C2419" w:rsidRDefault="001C2419" w:rsidP="001A32B9">
      <w:pPr>
        <w:pStyle w:val="NormalWeb"/>
        <w:spacing w:before="0" w:beforeAutospacing="0" w:after="0" w:afterAutospacing="0"/>
        <w:ind w:firstLine="360"/>
        <w:rPr>
          <w:bCs/>
        </w:rPr>
      </w:pPr>
      <w:r w:rsidRPr="00356212">
        <w:rPr>
          <w:bCs/>
        </w:rPr>
        <w:t xml:space="preserve">Proper storage of the FAAs in -20 </w:t>
      </w:r>
      <w:r w:rsidR="00571AF9">
        <w:rPr>
          <w:rFonts w:ascii="Times New Roman" w:hAnsi="Times New Roman" w:cs="Times New Roman"/>
          <w:bCs/>
        </w:rPr>
        <w:t>°</w:t>
      </w:r>
      <w:r w:rsidRPr="00356212">
        <w:rPr>
          <w:bCs/>
        </w:rPr>
        <w:t xml:space="preserve">C and dry atmosphere will keep </w:t>
      </w:r>
      <w:r w:rsidR="00571AF9">
        <w:rPr>
          <w:bCs/>
        </w:rPr>
        <w:t>FAAs</w:t>
      </w:r>
      <w:r w:rsidR="00571AF9" w:rsidRPr="00356212">
        <w:rPr>
          <w:bCs/>
        </w:rPr>
        <w:t xml:space="preserve"> </w:t>
      </w:r>
      <w:r w:rsidRPr="00356212">
        <w:rPr>
          <w:bCs/>
        </w:rPr>
        <w:t xml:space="preserve">stable for several months. </w:t>
      </w:r>
      <w:proofErr w:type="gramStart"/>
      <w:r w:rsidRPr="00356212">
        <w:rPr>
          <w:bCs/>
        </w:rPr>
        <w:t>As long as</w:t>
      </w:r>
      <w:proofErr w:type="gramEnd"/>
      <w:r w:rsidRPr="00356212">
        <w:rPr>
          <w:bCs/>
        </w:rPr>
        <w:t xml:space="preserve"> they are stored in the dark, the fluorophore will not </w:t>
      </w:r>
      <w:proofErr w:type="spellStart"/>
      <w:r w:rsidRPr="00356212">
        <w:rPr>
          <w:bCs/>
        </w:rPr>
        <w:t>photobleach</w:t>
      </w:r>
      <w:proofErr w:type="spellEnd"/>
      <w:r w:rsidRPr="00356212">
        <w:rPr>
          <w:bCs/>
        </w:rPr>
        <w:t xml:space="preserve">. Using irreversible </w:t>
      </w:r>
      <w:r w:rsidRPr="00F901B5">
        <w:t>conjugation</w:t>
      </w:r>
      <w:r w:rsidRPr="00356212">
        <w:rPr>
          <w:bCs/>
        </w:rPr>
        <w:t xml:space="preserve"> chemistries, like the NHS-ester, forms an amide bond that is not readily hydrolyze</w:t>
      </w:r>
      <w:r w:rsidR="00CA592A" w:rsidRPr="00356212">
        <w:rPr>
          <w:bCs/>
        </w:rPr>
        <w:t xml:space="preserve">d. </w:t>
      </w:r>
      <w:r w:rsidR="004F6870">
        <w:rPr>
          <w:bCs/>
        </w:rPr>
        <w:t>We</w:t>
      </w:r>
      <w:r w:rsidR="00CA592A" w:rsidRPr="00356212">
        <w:rPr>
          <w:bCs/>
        </w:rPr>
        <w:t xml:space="preserve"> have included</w:t>
      </w:r>
      <w:r w:rsidR="004F6870">
        <w:rPr>
          <w:bCs/>
        </w:rPr>
        <w:t xml:space="preserve"> information</w:t>
      </w:r>
      <w:r w:rsidR="00CA592A" w:rsidRPr="00356212">
        <w:rPr>
          <w:bCs/>
        </w:rPr>
        <w:t xml:space="preserve"> </w:t>
      </w:r>
      <w:r w:rsidR="00571AF9">
        <w:rPr>
          <w:bCs/>
        </w:rPr>
        <w:t>on product stability in the updated</w:t>
      </w:r>
      <w:r w:rsidR="00CA592A" w:rsidRPr="00356212">
        <w:rPr>
          <w:bCs/>
        </w:rPr>
        <w:t xml:space="preserve"> protocol</w:t>
      </w:r>
      <w:r w:rsidR="004F6870">
        <w:rPr>
          <w:bCs/>
        </w:rPr>
        <w:t xml:space="preserve"> </w:t>
      </w:r>
      <w:r w:rsidR="00FA567B" w:rsidRPr="00356212">
        <w:t>(Line</w:t>
      </w:r>
      <w:r w:rsidR="00FA567B">
        <w:t>s 122-124, 144-151,</w:t>
      </w:r>
      <w:r w:rsidR="00FA567B" w:rsidRPr="00356212">
        <w:t xml:space="preserve"> </w:t>
      </w:r>
      <w:r w:rsidR="00FA567B">
        <w:t>165-168</w:t>
      </w:r>
      <w:r w:rsidR="00FA567B" w:rsidRPr="00356212">
        <w:t>)</w:t>
      </w:r>
      <w:r w:rsidR="00FA567B">
        <w:t>.</w:t>
      </w:r>
    </w:p>
    <w:p w14:paraId="625637BD" w14:textId="43D03745" w:rsidR="004F6870" w:rsidRPr="00356212" w:rsidRDefault="00571AF9" w:rsidP="001A32B9">
      <w:pPr>
        <w:pStyle w:val="NormalWeb"/>
        <w:spacing w:before="0" w:beforeAutospacing="0" w:after="0" w:afterAutospacing="0"/>
        <w:ind w:firstLine="360"/>
        <w:rPr>
          <w:bCs/>
        </w:rPr>
      </w:pPr>
      <w:r>
        <w:rPr>
          <w:bCs/>
        </w:rPr>
        <w:t>We have not performed a direct comparison in this study, but Ref 8</w:t>
      </w:r>
      <w:r w:rsidR="004F6870">
        <w:rPr>
          <w:bCs/>
        </w:rPr>
        <w:t xml:space="preserve"> notes that conventional streptavidin </w:t>
      </w:r>
      <w:r w:rsidR="004F6870" w:rsidRPr="00F901B5">
        <w:t>tetramerization</w:t>
      </w:r>
      <w:r w:rsidR="004F6870">
        <w:rPr>
          <w:bCs/>
        </w:rPr>
        <w:t xml:space="preserve"> methods sometimes induce deleterious aggregation that may be avoided using soluble, polymeric backbones </w:t>
      </w:r>
      <w:r>
        <w:rPr>
          <w:bCs/>
        </w:rPr>
        <w:t>that are stored</w:t>
      </w:r>
      <w:r w:rsidR="004F6870">
        <w:rPr>
          <w:bCs/>
        </w:rPr>
        <w:t xml:space="preserve"> as a fully conjugated construct.</w:t>
      </w:r>
    </w:p>
    <w:sectPr w:rsidR="004F6870" w:rsidRPr="0035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4F2"/>
    <w:multiLevelType w:val="hybridMultilevel"/>
    <w:tmpl w:val="8F1E0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DC"/>
    <w:rsid w:val="00052BAC"/>
    <w:rsid w:val="0005590A"/>
    <w:rsid w:val="00065377"/>
    <w:rsid w:val="0008377E"/>
    <w:rsid w:val="000A1C2C"/>
    <w:rsid w:val="000B2407"/>
    <w:rsid w:val="000B274C"/>
    <w:rsid w:val="000C33F4"/>
    <w:rsid w:val="000E5144"/>
    <w:rsid w:val="000F3590"/>
    <w:rsid w:val="000F56A6"/>
    <w:rsid w:val="001341A6"/>
    <w:rsid w:val="00166BE2"/>
    <w:rsid w:val="00175F67"/>
    <w:rsid w:val="00183752"/>
    <w:rsid w:val="00192B81"/>
    <w:rsid w:val="001A32B9"/>
    <w:rsid w:val="001A6EF0"/>
    <w:rsid w:val="001C2419"/>
    <w:rsid w:val="001E5508"/>
    <w:rsid w:val="001F0382"/>
    <w:rsid w:val="00232F76"/>
    <w:rsid w:val="002357A8"/>
    <w:rsid w:val="0023748F"/>
    <w:rsid w:val="00250C62"/>
    <w:rsid w:val="00252D33"/>
    <w:rsid w:val="00273BED"/>
    <w:rsid w:val="00273EBC"/>
    <w:rsid w:val="002931E1"/>
    <w:rsid w:val="00294E67"/>
    <w:rsid w:val="00297D5B"/>
    <w:rsid w:val="002D3C70"/>
    <w:rsid w:val="002F65F0"/>
    <w:rsid w:val="00303EB0"/>
    <w:rsid w:val="00323AB9"/>
    <w:rsid w:val="003508AF"/>
    <w:rsid w:val="00356212"/>
    <w:rsid w:val="00356DD1"/>
    <w:rsid w:val="00371885"/>
    <w:rsid w:val="003C4200"/>
    <w:rsid w:val="003E172E"/>
    <w:rsid w:val="0041184B"/>
    <w:rsid w:val="0042409C"/>
    <w:rsid w:val="00425F56"/>
    <w:rsid w:val="00437858"/>
    <w:rsid w:val="00447CDB"/>
    <w:rsid w:val="004507FC"/>
    <w:rsid w:val="00450C74"/>
    <w:rsid w:val="004773AC"/>
    <w:rsid w:val="004A2807"/>
    <w:rsid w:val="004A2B80"/>
    <w:rsid w:val="004B27E8"/>
    <w:rsid w:val="004C6175"/>
    <w:rsid w:val="004C61E0"/>
    <w:rsid w:val="004D3232"/>
    <w:rsid w:val="004D3AB2"/>
    <w:rsid w:val="004E4CC0"/>
    <w:rsid w:val="004E5E0B"/>
    <w:rsid w:val="004F16EF"/>
    <w:rsid w:val="004F6870"/>
    <w:rsid w:val="00501C83"/>
    <w:rsid w:val="005507B3"/>
    <w:rsid w:val="00552EA4"/>
    <w:rsid w:val="00571AF9"/>
    <w:rsid w:val="00576455"/>
    <w:rsid w:val="005A4583"/>
    <w:rsid w:val="005B7E86"/>
    <w:rsid w:val="005C442A"/>
    <w:rsid w:val="00625518"/>
    <w:rsid w:val="0067576A"/>
    <w:rsid w:val="006776F5"/>
    <w:rsid w:val="00681BB5"/>
    <w:rsid w:val="006A3F45"/>
    <w:rsid w:val="006D4CFA"/>
    <w:rsid w:val="006D72E0"/>
    <w:rsid w:val="006E42C3"/>
    <w:rsid w:val="007B0734"/>
    <w:rsid w:val="007B150E"/>
    <w:rsid w:val="007B530D"/>
    <w:rsid w:val="007D3716"/>
    <w:rsid w:val="007E3876"/>
    <w:rsid w:val="007F63BF"/>
    <w:rsid w:val="00813B24"/>
    <w:rsid w:val="00842D7B"/>
    <w:rsid w:val="00894BCE"/>
    <w:rsid w:val="008E51DF"/>
    <w:rsid w:val="008F2AC4"/>
    <w:rsid w:val="00921319"/>
    <w:rsid w:val="00951D29"/>
    <w:rsid w:val="00981CC7"/>
    <w:rsid w:val="009E0D2E"/>
    <w:rsid w:val="009F3922"/>
    <w:rsid w:val="00A233F1"/>
    <w:rsid w:val="00A2763A"/>
    <w:rsid w:val="00A47EC3"/>
    <w:rsid w:val="00A571F6"/>
    <w:rsid w:val="00A7159D"/>
    <w:rsid w:val="00A7532F"/>
    <w:rsid w:val="00A82362"/>
    <w:rsid w:val="00A956DE"/>
    <w:rsid w:val="00AC650A"/>
    <w:rsid w:val="00AD3775"/>
    <w:rsid w:val="00AD6DB0"/>
    <w:rsid w:val="00AE2682"/>
    <w:rsid w:val="00BA06E6"/>
    <w:rsid w:val="00BB13B4"/>
    <w:rsid w:val="00BB240B"/>
    <w:rsid w:val="00BB7053"/>
    <w:rsid w:val="00BC1469"/>
    <w:rsid w:val="00BD7A5A"/>
    <w:rsid w:val="00BE15DF"/>
    <w:rsid w:val="00BE16CF"/>
    <w:rsid w:val="00BF6F75"/>
    <w:rsid w:val="00C029DC"/>
    <w:rsid w:val="00C03688"/>
    <w:rsid w:val="00C05AC9"/>
    <w:rsid w:val="00C10D7A"/>
    <w:rsid w:val="00C336FF"/>
    <w:rsid w:val="00C338BA"/>
    <w:rsid w:val="00CA592A"/>
    <w:rsid w:val="00CD0C42"/>
    <w:rsid w:val="00CD1856"/>
    <w:rsid w:val="00CD33DB"/>
    <w:rsid w:val="00CD69AE"/>
    <w:rsid w:val="00CF0183"/>
    <w:rsid w:val="00D11914"/>
    <w:rsid w:val="00D13053"/>
    <w:rsid w:val="00D26FE8"/>
    <w:rsid w:val="00D3028D"/>
    <w:rsid w:val="00D31EE3"/>
    <w:rsid w:val="00D771F2"/>
    <w:rsid w:val="00D87CB6"/>
    <w:rsid w:val="00DB0DB0"/>
    <w:rsid w:val="00E01A19"/>
    <w:rsid w:val="00E75662"/>
    <w:rsid w:val="00EA268A"/>
    <w:rsid w:val="00EB0D70"/>
    <w:rsid w:val="00EF2DE3"/>
    <w:rsid w:val="00F4537F"/>
    <w:rsid w:val="00F7590F"/>
    <w:rsid w:val="00F901B5"/>
    <w:rsid w:val="00FA34E5"/>
    <w:rsid w:val="00FA567B"/>
    <w:rsid w:val="00FC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E75E"/>
  <w15:chartTrackingRefBased/>
  <w15:docId w15:val="{368E4F60-21F3-4B88-838C-2AA57850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9D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C029DC"/>
    <w:rPr>
      <w:b/>
      <w:bCs/>
    </w:rPr>
  </w:style>
  <w:style w:type="character" w:styleId="CommentReference">
    <w:name w:val="annotation reference"/>
    <w:basedOn w:val="DefaultParagraphFont"/>
    <w:uiPriority w:val="99"/>
    <w:semiHidden/>
    <w:unhideWhenUsed/>
    <w:rsid w:val="001C2419"/>
    <w:rPr>
      <w:sz w:val="16"/>
      <w:szCs w:val="16"/>
    </w:rPr>
  </w:style>
  <w:style w:type="paragraph" w:styleId="CommentText">
    <w:name w:val="annotation text"/>
    <w:basedOn w:val="Normal"/>
    <w:link w:val="CommentTextChar"/>
    <w:uiPriority w:val="99"/>
    <w:semiHidden/>
    <w:unhideWhenUsed/>
    <w:rsid w:val="001C2419"/>
    <w:pPr>
      <w:spacing w:line="240" w:lineRule="auto"/>
    </w:pPr>
    <w:rPr>
      <w:sz w:val="20"/>
      <w:szCs w:val="20"/>
    </w:rPr>
  </w:style>
  <w:style w:type="character" w:customStyle="1" w:styleId="CommentTextChar">
    <w:name w:val="Comment Text Char"/>
    <w:basedOn w:val="DefaultParagraphFont"/>
    <w:link w:val="CommentText"/>
    <w:uiPriority w:val="99"/>
    <w:semiHidden/>
    <w:rsid w:val="001C2419"/>
    <w:rPr>
      <w:sz w:val="20"/>
      <w:szCs w:val="20"/>
    </w:rPr>
  </w:style>
  <w:style w:type="paragraph" w:styleId="CommentSubject">
    <w:name w:val="annotation subject"/>
    <w:basedOn w:val="CommentText"/>
    <w:next w:val="CommentText"/>
    <w:link w:val="CommentSubjectChar"/>
    <w:uiPriority w:val="99"/>
    <w:semiHidden/>
    <w:unhideWhenUsed/>
    <w:rsid w:val="001C2419"/>
    <w:rPr>
      <w:b/>
      <w:bCs/>
    </w:rPr>
  </w:style>
  <w:style w:type="character" w:customStyle="1" w:styleId="CommentSubjectChar">
    <w:name w:val="Comment Subject Char"/>
    <w:basedOn w:val="CommentTextChar"/>
    <w:link w:val="CommentSubject"/>
    <w:uiPriority w:val="99"/>
    <w:semiHidden/>
    <w:rsid w:val="001C2419"/>
    <w:rPr>
      <w:b/>
      <w:bCs/>
      <w:sz w:val="20"/>
      <w:szCs w:val="20"/>
    </w:rPr>
  </w:style>
  <w:style w:type="paragraph" w:styleId="BalloonText">
    <w:name w:val="Balloon Text"/>
    <w:basedOn w:val="Normal"/>
    <w:link w:val="BalloonTextChar"/>
    <w:uiPriority w:val="99"/>
    <w:semiHidden/>
    <w:unhideWhenUsed/>
    <w:rsid w:val="001C2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19"/>
    <w:rPr>
      <w:rFonts w:ascii="Segoe UI" w:hAnsi="Segoe UI" w:cs="Segoe UI"/>
      <w:sz w:val="18"/>
      <w:szCs w:val="18"/>
    </w:rPr>
  </w:style>
  <w:style w:type="character" w:styleId="Hyperlink">
    <w:name w:val="Hyperlink"/>
    <w:basedOn w:val="DefaultParagraphFont"/>
    <w:uiPriority w:val="99"/>
    <w:semiHidden/>
    <w:unhideWhenUsed/>
    <w:rsid w:val="00BA06E6"/>
    <w:rPr>
      <w:color w:val="0000FF"/>
      <w:u w:val="single"/>
    </w:rPr>
  </w:style>
  <w:style w:type="character" w:styleId="FollowedHyperlink">
    <w:name w:val="FollowedHyperlink"/>
    <w:basedOn w:val="DefaultParagraphFont"/>
    <w:uiPriority w:val="99"/>
    <w:semiHidden/>
    <w:unhideWhenUsed/>
    <w:rsid w:val="002D3C70"/>
    <w:rPr>
      <w:color w:val="954F72" w:themeColor="followedHyperlink"/>
      <w:u w:val="single"/>
    </w:rPr>
  </w:style>
  <w:style w:type="paragraph" w:styleId="Revision">
    <w:name w:val="Revision"/>
    <w:hidden/>
    <w:uiPriority w:val="99"/>
    <w:semiHidden/>
    <w:rsid w:val="00F901B5"/>
    <w:pPr>
      <w:spacing w:after="0" w:line="240" w:lineRule="auto"/>
    </w:pPr>
  </w:style>
  <w:style w:type="paragraph" w:styleId="ListParagraph">
    <w:name w:val="List Paragraph"/>
    <w:basedOn w:val="Normal"/>
    <w:uiPriority w:val="34"/>
    <w:qFormat/>
    <w:rsid w:val="005C442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471">
      <w:bodyDiv w:val="1"/>
      <w:marLeft w:val="0"/>
      <w:marRight w:val="0"/>
      <w:marTop w:val="0"/>
      <w:marBottom w:val="0"/>
      <w:divBdr>
        <w:top w:val="none" w:sz="0" w:space="0" w:color="auto"/>
        <w:left w:val="none" w:sz="0" w:space="0" w:color="auto"/>
        <w:bottom w:val="none" w:sz="0" w:space="0" w:color="auto"/>
        <w:right w:val="none" w:sz="0" w:space="0" w:color="auto"/>
      </w:divBdr>
    </w:div>
    <w:div w:id="11299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3111</Words>
  <Characters>17737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Griffin</dc:creator>
  <cp:keywords/>
  <dc:description/>
  <cp:lastModifiedBy>Danny Griffin</cp:lastModifiedBy>
  <cp:revision>2</cp:revision>
  <dcterms:created xsi:type="dcterms:W3CDTF">2020-09-04T22:43:00Z</dcterms:created>
  <dcterms:modified xsi:type="dcterms:W3CDTF">2020-09-04T22:43:00Z</dcterms:modified>
</cp:coreProperties>
</file>