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2F386" w14:textId="563BBF5A" w:rsidR="00402C49" w:rsidRPr="00487C69" w:rsidRDefault="00402C49" w:rsidP="00487C6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  <w:b/>
          <w:bCs/>
        </w:rPr>
        <w:t>TITLE: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57C5433B" w14:textId="52C068C3" w:rsidR="00402C49" w:rsidRPr="00487C69" w:rsidRDefault="00402C49" w:rsidP="00487C69">
      <w:pPr>
        <w:contextualSpacing/>
        <w:rPr>
          <w:rFonts w:asciiTheme="minorHAnsi" w:hAnsiTheme="minorHAnsi" w:cstheme="minorHAnsi"/>
          <w:b/>
          <w:bCs/>
        </w:rPr>
      </w:pPr>
      <w:bookmarkStart w:id="0" w:name="_Hlk51667121"/>
      <w:r w:rsidRPr="00487C69">
        <w:rPr>
          <w:rFonts w:asciiTheme="minorHAnsi" w:hAnsiTheme="minorHAnsi" w:cstheme="minorHAnsi"/>
          <w:b/>
          <w:bCs/>
        </w:rPr>
        <w:t>Development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and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  <w:bCs/>
        </w:rPr>
        <w:t>T</w:t>
      </w:r>
      <w:r w:rsidRPr="00487C69">
        <w:rPr>
          <w:rFonts w:asciiTheme="minorHAnsi" w:hAnsiTheme="minorHAnsi" w:cstheme="minorHAnsi"/>
          <w:b/>
          <w:bCs/>
        </w:rPr>
        <w:t>esting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of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  <w:bCs/>
        </w:rPr>
        <w:t>S</w:t>
      </w:r>
      <w:r w:rsidRPr="00487C69">
        <w:rPr>
          <w:rFonts w:asciiTheme="minorHAnsi" w:hAnsiTheme="minorHAnsi" w:cstheme="minorHAnsi"/>
          <w:b/>
          <w:bCs/>
        </w:rPr>
        <w:t>pecies-specific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  <w:bCs/>
        </w:rPr>
        <w:t>Q</w:t>
      </w:r>
      <w:r w:rsidRPr="00487C69">
        <w:rPr>
          <w:rFonts w:asciiTheme="minorHAnsi" w:hAnsiTheme="minorHAnsi" w:cstheme="minorHAnsi"/>
          <w:b/>
          <w:bCs/>
        </w:rPr>
        <w:t>uantitative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PCR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  <w:bCs/>
        </w:rPr>
        <w:t>A</w:t>
      </w:r>
      <w:r w:rsidRPr="00487C69">
        <w:rPr>
          <w:rFonts w:asciiTheme="minorHAnsi" w:hAnsiTheme="minorHAnsi" w:cstheme="minorHAnsi"/>
          <w:b/>
          <w:bCs/>
        </w:rPr>
        <w:t>ssays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for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  <w:bCs/>
        </w:rPr>
        <w:t>E</w:t>
      </w:r>
      <w:r w:rsidRPr="00487C69">
        <w:rPr>
          <w:rFonts w:asciiTheme="minorHAnsi" w:hAnsiTheme="minorHAnsi" w:cstheme="minorHAnsi"/>
          <w:b/>
          <w:bCs/>
        </w:rPr>
        <w:t>nvironmental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DNA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  <w:bCs/>
        </w:rPr>
        <w:t>A</w:t>
      </w:r>
      <w:r w:rsidRPr="00487C69">
        <w:rPr>
          <w:rFonts w:asciiTheme="minorHAnsi" w:hAnsiTheme="minorHAnsi" w:cstheme="minorHAnsi"/>
          <w:b/>
          <w:bCs/>
        </w:rPr>
        <w:t>pplications</w:t>
      </w:r>
    </w:p>
    <w:bookmarkEnd w:id="0"/>
    <w:p w14:paraId="45B10952" w14:textId="77777777" w:rsidR="00402C49" w:rsidRPr="00487C69" w:rsidRDefault="00402C49" w:rsidP="00487C69">
      <w:pPr>
        <w:contextualSpacing/>
        <w:rPr>
          <w:rFonts w:asciiTheme="minorHAnsi" w:hAnsiTheme="minorHAnsi" w:cstheme="minorHAnsi"/>
          <w:b/>
          <w:bCs/>
        </w:rPr>
      </w:pPr>
    </w:p>
    <w:p w14:paraId="33BF754B" w14:textId="1B2FCC4D" w:rsidR="00402C49" w:rsidRPr="00487C69" w:rsidRDefault="00402C49" w:rsidP="00487C69">
      <w:pPr>
        <w:contextualSpacing/>
        <w:rPr>
          <w:rFonts w:asciiTheme="minorHAnsi" w:hAnsiTheme="minorHAnsi" w:cstheme="minorHAnsi"/>
          <w:color w:val="808080" w:themeColor="background1" w:themeShade="80"/>
        </w:rPr>
      </w:pPr>
      <w:r w:rsidRPr="00487C69">
        <w:rPr>
          <w:rFonts w:asciiTheme="minorHAnsi" w:hAnsiTheme="minorHAnsi" w:cstheme="minorHAnsi"/>
          <w:b/>
          <w:bCs/>
        </w:rPr>
        <w:t>AUTHORS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AND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AFFILIATIONS: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</w:p>
    <w:p w14:paraId="5303844E" w14:textId="5A4C2610" w:rsidR="00402C49" w:rsidRPr="00487C69" w:rsidRDefault="00402C49" w:rsidP="00487C69">
      <w:pPr>
        <w:contextualSpacing/>
        <w:rPr>
          <w:rFonts w:asciiTheme="minorHAnsi" w:eastAsiaTheme="minorEastAsia" w:hAnsiTheme="minorHAnsi" w:cstheme="minorHAnsi"/>
          <w:color w:val="000000" w:themeColor="text1"/>
          <w:vertAlign w:val="superscript"/>
        </w:rPr>
      </w:pPr>
      <w:r w:rsidRPr="00487C69">
        <w:rPr>
          <w:rFonts w:asciiTheme="minorHAnsi" w:eastAsiaTheme="minorEastAsia" w:hAnsiTheme="minorHAnsi" w:cstheme="minorHAnsi"/>
          <w:color w:val="000000" w:themeColor="text1"/>
        </w:rPr>
        <w:t>Katy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E.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Klymus</w:t>
      </w:r>
      <w:proofErr w:type="gramStart"/>
      <w:r w:rsidRPr="00487C69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1,*</w:t>
      </w:r>
      <w:proofErr w:type="gramEnd"/>
      <w:r w:rsidRPr="00487C69">
        <w:rPr>
          <w:rFonts w:asciiTheme="minorHAnsi" w:eastAsiaTheme="minorEastAsia" w:hAnsiTheme="minorHAnsi" w:cstheme="minorHAnsi"/>
          <w:color w:val="000000" w:themeColor="text1"/>
        </w:rPr>
        <w:t>,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proofErr w:type="spellStart"/>
      <w:r w:rsidRPr="00487C69">
        <w:rPr>
          <w:rFonts w:asciiTheme="minorHAnsi" w:eastAsiaTheme="minorEastAsia" w:hAnsiTheme="minorHAnsi" w:cstheme="minorHAnsi"/>
          <w:color w:val="000000" w:themeColor="text1"/>
        </w:rPr>
        <w:t>Dannise</w:t>
      </w:r>
      <w:proofErr w:type="spellEnd"/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V.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Ruiz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Ramos</w:t>
      </w:r>
      <w:r w:rsidRPr="00487C69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1,*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,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Nathan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L.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Thompson</w:t>
      </w:r>
      <w:r w:rsidRPr="00487C69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1,*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,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Catherine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A.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Richter</w:t>
      </w:r>
      <w:r w:rsidRPr="00487C69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1,*</w:t>
      </w:r>
    </w:p>
    <w:p w14:paraId="22A59AD4" w14:textId="77777777" w:rsidR="00E35CFF" w:rsidRPr="00487C69" w:rsidRDefault="00E35CFF" w:rsidP="00487C69">
      <w:pPr>
        <w:contextualSpacing/>
        <w:rPr>
          <w:rFonts w:asciiTheme="minorHAnsi" w:eastAsiaTheme="minorEastAsia" w:hAnsiTheme="minorHAnsi" w:cstheme="minorHAnsi"/>
          <w:color w:val="000000" w:themeColor="text1"/>
          <w:vertAlign w:val="superscript"/>
        </w:rPr>
      </w:pPr>
    </w:p>
    <w:p w14:paraId="48F777CE" w14:textId="5740B185" w:rsidR="00402C49" w:rsidRPr="00487C69" w:rsidRDefault="00697EF8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</w:rPr>
      </w:pPr>
      <w:r w:rsidRPr="00487C69">
        <w:rPr>
          <w:rFonts w:asciiTheme="minorHAnsi" w:eastAsiaTheme="minorEastAsia" w:hAnsiTheme="minorHAnsi" w:cstheme="minorHAnsi"/>
          <w:vertAlign w:val="superscript"/>
        </w:rPr>
        <w:t>1</w:t>
      </w:r>
      <w:r w:rsidR="00402C49" w:rsidRPr="00487C69">
        <w:rPr>
          <w:rFonts w:asciiTheme="minorHAnsi" w:eastAsiaTheme="minorEastAsia" w:hAnsiTheme="minorHAnsi" w:cstheme="minorHAnsi"/>
        </w:rPr>
        <w:t>U.S.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Geological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Survey,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Columbia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Environmental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Research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Center,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Columbia,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MO,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U.S.</w:t>
      </w:r>
      <w:proofErr w:type="gramStart"/>
      <w:r w:rsidR="00402C49" w:rsidRPr="00487C69">
        <w:rPr>
          <w:rFonts w:asciiTheme="minorHAnsi" w:eastAsiaTheme="minorEastAsia" w:hAnsiTheme="minorHAnsi" w:cstheme="minorHAnsi"/>
        </w:rPr>
        <w:t>A;</w:t>
      </w:r>
      <w:proofErr w:type="gramEnd"/>
      <w:r w:rsidR="00487C69" w:rsidRPr="00487C69">
        <w:rPr>
          <w:rFonts w:asciiTheme="minorHAnsi" w:eastAsiaTheme="minorEastAsia" w:hAnsiTheme="minorHAnsi" w:cstheme="minorHAnsi"/>
        </w:rPr>
        <w:t xml:space="preserve"> </w:t>
      </w:r>
    </w:p>
    <w:p w14:paraId="58BC0103" w14:textId="2D74C7F6" w:rsidR="00402C49" w:rsidRPr="00487C69" w:rsidRDefault="00402C49" w:rsidP="00487C69">
      <w:pPr>
        <w:contextualSpacing/>
        <w:rPr>
          <w:rFonts w:asciiTheme="minorHAnsi" w:hAnsiTheme="minorHAnsi" w:cstheme="minorHAnsi"/>
          <w:bCs/>
          <w:color w:val="auto"/>
        </w:rPr>
      </w:pPr>
      <w:r w:rsidRPr="00487C69">
        <w:rPr>
          <w:rFonts w:asciiTheme="minorHAnsi" w:hAnsiTheme="minorHAnsi" w:cstheme="minorHAnsi"/>
          <w:bCs/>
          <w:color w:val="auto"/>
        </w:rPr>
        <w:t>*These</w:t>
      </w:r>
      <w:r w:rsidR="00487C69" w:rsidRPr="00487C69">
        <w:rPr>
          <w:rFonts w:asciiTheme="minorHAnsi" w:hAnsiTheme="minorHAnsi" w:cstheme="minorHAnsi"/>
          <w:bCs/>
          <w:color w:val="auto"/>
        </w:rPr>
        <w:t xml:space="preserve"> </w:t>
      </w:r>
      <w:r w:rsidRPr="00487C69">
        <w:rPr>
          <w:rFonts w:asciiTheme="minorHAnsi" w:hAnsiTheme="minorHAnsi" w:cstheme="minorHAnsi"/>
          <w:bCs/>
          <w:color w:val="auto"/>
        </w:rPr>
        <w:t>authors</w:t>
      </w:r>
      <w:r w:rsidR="00487C69" w:rsidRPr="00487C69">
        <w:rPr>
          <w:rFonts w:asciiTheme="minorHAnsi" w:hAnsiTheme="minorHAnsi" w:cstheme="minorHAnsi"/>
          <w:bCs/>
          <w:color w:val="auto"/>
        </w:rPr>
        <w:t xml:space="preserve"> </w:t>
      </w:r>
      <w:r w:rsidRPr="00487C69">
        <w:rPr>
          <w:rFonts w:asciiTheme="minorHAnsi" w:hAnsiTheme="minorHAnsi" w:cstheme="minorHAnsi"/>
          <w:bCs/>
          <w:color w:val="auto"/>
        </w:rPr>
        <w:t>contributed</w:t>
      </w:r>
      <w:r w:rsidR="00487C69" w:rsidRPr="00487C69">
        <w:rPr>
          <w:rFonts w:asciiTheme="minorHAnsi" w:hAnsiTheme="minorHAnsi" w:cstheme="minorHAnsi"/>
          <w:bCs/>
          <w:color w:val="auto"/>
        </w:rPr>
        <w:t xml:space="preserve"> </w:t>
      </w:r>
      <w:r w:rsidRPr="00487C69">
        <w:rPr>
          <w:rFonts w:asciiTheme="minorHAnsi" w:hAnsiTheme="minorHAnsi" w:cstheme="minorHAnsi"/>
          <w:bCs/>
          <w:color w:val="auto"/>
        </w:rPr>
        <w:t>equally.</w:t>
      </w:r>
    </w:p>
    <w:p w14:paraId="3F7FAE80" w14:textId="77777777" w:rsidR="00402C49" w:rsidRPr="00487C69" w:rsidRDefault="00402C49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2056393F" w14:textId="1FA26731" w:rsidR="00402C49" w:rsidRPr="00487C69" w:rsidRDefault="00697EF8" w:rsidP="00487C69">
      <w:pPr>
        <w:contextualSpacing/>
        <w:rPr>
          <w:rStyle w:val="Hyperlink"/>
          <w:rFonts w:asciiTheme="minorHAnsi" w:eastAsiaTheme="minorEastAsia" w:hAnsiTheme="minorHAnsi" w:cstheme="minorHAnsi"/>
          <w:u w:val="none"/>
        </w:rPr>
      </w:pPr>
      <w:r w:rsidRPr="00487C69">
        <w:rPr>
          <w:rFonts w:asciiTheme="minorHAnsi" w:eastAsia="Arial" w:hAnsiTheme="minorHAnsi" w:cstheme="minorHAnsi"/>
        </w:rPr>
        <w:t>E</w:t>
      </w:r>
      <w:r w:rsidR="00402C49" w:rsidRPr="00487C69">
        <w:rPr>
          <w:rFonts w:asciiTheme="minorHAnsi" w:eastAsia="Arial" w:hAnsiTheme="minorHAnsi" w:cstheme="minorHAnsi"/>
        </w:rPr>
        <w:t>mail</w:t>
      </w:r>
      <w:r w:rsidR="00487C69" w:rsidRPr="00487C69">
        <w:rPr>
          <w:rFonts w:asciiTheme="minorHAnsi" w:eastAsia="Arial" w:hAnsiTheme="minorHAnsi" w:cstheme="minorHAnsi"/>
        </w:rPr>
        <w:t xml:space="preserve"> </w:t>
      </w:r>
      <w:r w:rsidR="00402C49" w:rsidRPr="00487C69">
        <w:rPr>
          <w:rFonts w:asciiTheme="minorHAnsi" w:eastAsia="Arial" w:hAnsiTheme="minorHAnsi" w:cstheme="minorHAnsi"/>
        </w:rPr>
        <w:t>addresses</w:t>
      </w:r>
      <w:r w:rsidR="00487C69" w:rsidRPr="00487C69">
        <w:rPr>
          <w:rFonts w:asciiTheme="minorHAnsi" w:eastAsia="Arial" w:hAnsiTheme="minorHAnsi" w:cstheme="minorHAnsi"/>
        </w:rPr>
        <w:t xml:space="preserve"> </w:t>
      </w:r>
      <w:r w:rsidR="00402C49" w:rsidRPr="00487C69">
        <w:rPr>
          <w:rFonts w:asciiTheme="minorHAnsi" w:eastAsia="Arial" w:hAnsiTheme="minorHAnsi" w:cstheme="minorHAnsi"/>
        </w:rPr>
        <w:t>of</w:t>
      </w:r>
      <w:r w:rsidR="00487C69" w:rsidRPr="00487C69">
        <w:rPr>
          <w:rFonts w:asciiTheme="minorHAnsi" w:eastAsia="Arial" w:hAnsiTheme="minorHAnsi" w:cstheme="minorHAnsi"/>
        </w:rPr>
        <w:t xml:space="preserve"> </w:t>
      </w:r>
      <w:r w:rsidR="00402C49" w:rsidRPr="00487C69">
        <w:rPr>
          <w:rFonts w:asciiTheme="minorHAnsi" w:eastAsia="Arial" w:hAnsiTheme="minorHAnsi" w:cstheme="minorHAnsi"/>
        </w:rPr>
        <w:t>co-authors:</w:t>
      </w:r>
    </w:p>
    <w:p w14:paraId="26DEEA13" w14:textId="5FCB42AC" w:rsidR="00402C49" w:rsidRPr="00487C69" w:rsidRDefault="00402C49" w:rsidP="00487C69">
      <w:pPr>
        <w:contextualSpacing/>
        <w:rPr>
          <w:rStyle w:val="Hyperlink"/>
          <w:rFonts w:asciiTheme="minorHAnsi" w:eastAsiaTheme="minorEastAsia" w:hAnsiTheme="minorHAnsi" w:cstheme="minorHAnsi"/>
          <w:u w:val="none"/>
        </w:rPr>
      </w:pPr>
      <w:proofErr w:type="spellStart"/>
      <w:r w:rsidRPr="00487C69">
        <w:rPr>
          <w:rFonts w:asciiTheme="minorHAnsi" w:hAnsiTheme="minorHAnsi" w:cstheme="minorHAnsi"/>
        </w:rPr>
        <w:t>Dannise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Ruiz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Ramos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hyperlink r:id="rId10" w:history="1">
        <w:r w:rsidRPr="00487C69">
          <w:rPr>
            <w:rStyle w:val="Hyperlink"/>
            <w:rFonts w:asciiTheme="minorHAnsi" w:eastAsia="Arial" w:hAnsiTheme="minorHAnsi" w:cstheme="minorHAnsi"/>
            <w:u w:val="none"/>
          </w:rPr>
          <w:t>druizramos@usgs.gov</w:t>
        </w:r>
      </w:hyperlink>
      <w:r w:rsidRPr="00487C69">
        <w:rPr>
          <w:rStyle w:val="Hyperlink"/>
          <w:rFonts w:asciiTheme="minorHAnsi" w:eastAsia="Arial" w:hAnsiTheme="minorHAnsi" w:cstheme="minorHAnsi"/>
          <w:u w:val="none"/>
        </w:rPr>
        <w:t>)</w:t>
      </w:r>
    </w:p>
    <w:p w14:paraId="50C6999E" w14:textId="7334789C" w:rsidR="00402C49" w:rsidRPr="00487C69" w:rsidRDefault="00402C49" w:rsidP="00487C69">
      <w:pPr>
        <w:contextualSpacing/>
        <w:rPr>
          <w:rStyle w:val="Hyperlink"/>
          <w:rFonts w:asciiTheme="minorHAnsi" w:eastAsiaTheme="minorEastAsia" w:hAnsiTheme="minorHAnsi" w:cstheme="minorHAnsi"/>
          <w:u w:val="none"/>
        </w:rPr>
      </w:pPr>
      <w:r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>Nathan</w:t>
      </w:r>
      <w:r w:rsidR="00487C69"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 xml:space="preserve"> </w:t>
      </w:r>
      <w:r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>L.</w:t>
      </w:r>
      <w:r w:rsidR="00487C69"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 xml:space="preserve"> </w:t>
      </w:r>
      <w:r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>Thompson</w:t>
      </w:r>
      <w:r w:rsidR="00487C69"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 xml:space="preserve"> </w:t>
      </w:r>
      <w:r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>(</w:t>
      </w:r>
      <w:r w:rsidRPr="00487C69">
        <w:rPr>
          <w:rStyle w:val="Hyperlink"/>
          <w:rFonts w:asciiTheme="minorHAnsi" w:eastAsiaTheme="minorEastAsia" w:hAnsiTheme="minorHAnsi" w:cstheme="minorHAnsi"/>
          <w:u w:val="none"/>
        </w:rPr>
        <w:t>nthompson@usgs.gov)</w:t>
      </w:r>
    </w:p>
    <w:p w14:paraId="6E001D82" w14:textId="0C4D1F86" w:rsidR="00402C49" w:rsidRPr="00487C69" w:rsidRDefault="00402C49" w:rsidP="00487C69">
      <w:pPr>
        <w:contextualSpacing/>
        <w:rPr>
          <w:rStyle w:val="Hyperlink"/>
          <w:rFonts w:asciiTheme="minorHAnsi" w:eastAsia="Arial" w:hAnsiTheme="minorHAnsi" w:cstheme="minorHAnsi"/>
          <w:u w:val="none"/>
        </w:rPr>
      </w:pPr>
      <w:r w:rsidRPr="00487C69">
        <w:rPr>
          <w:rFonts w:asciiTheme="minorHAnsi" w:hAnsiTheme="minorHAnsi" w:cstheme="minorHAnsi"/>
        </w:rPr>
        <w:t>Catherine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Richter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hyperlink r:id="rId11" w:history="1">
        <w:r w:rsidRPr="00487C69">
          <w:rPr>
            <w:rStyle w:val="Hyperlink"/>
            <w:rFonts w:asciiTheme="minorHAnsi" w:eastAsia="Arial" w:hAnsiTheme="minorHAnsi" w:cstheme="minorHAnsi"/>
            <w:u w:val="none"/>
          </w:rPr>
          <w:t>crichter@usgs.gov</w:t>
        </w:r>
      </w:hyperlink>
      <w:r w:rsidRPr="00487C69">
        <w:rPr>
          <w:rStyle w:val="Hyperlink"/>
          <w:rFonts w:asciiTheme="minorHAnsi" w:eastAsia="Arial" w:hAnsiTheme="minorHAnsi" w:cstheme="minorHAnsi"/>
          <w:u w:val="none"/>
        </w:rPr>
        <w:t>)</w:t>
      </w:r>
    </w:p>
    <w:p w14:paraId="1578FFA3" w14:textId="77777777" w:rsidR="00402C49" w:rsidRPr="00487C69" w:rsidRDefault="00402C49" w:rsidP="00487C69">
      <w:pPr>
        <w:contextualSpacing/>
        <w:rPr>
          <w:rStyle w:val="Hyperlink"/>
          <w:rFonts w:asciiTheme="minorHAnsi" w:eastAsia="Arial" w:hAnsiTheme="minorHAnsi" w:cstheme="minorHAnsi"/>
          <w:u w:val="none"/>
        </w:rPr>
      </w:pPr>
    </w:p>
    <w:p w14:paraId="5DF3C9FC" w14:textId="0CBFD358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Corresponding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author:</w:t>
      </w:r>
    </w:p>
    <w:p w14:paraId="6C98A41B" w14:textId="6117D225" w:rsidR="00402C49" w:rsidRPr="00487C69" w:rsidRDefault="00402C49" w:rsidP="00487C69">
      <w:pPr>
        <w:contextualSpacing/>
        <w:rPr>
          <w:rStyle w:val="Hyperlink"/>
          <w:rFonts w:asciiTheme="minorHAnsi" w:hAnsiTheme="minorHAnsi" w:cstheme="minorHAnsi"/>
          <w:u w:val="none"/>
        </w:rPr>
      </w:pPr>
      <w:r w:rsidRPr="00487C69">
        <w:rPr>
          <w:rFonts w:asciiTheme="minorHAnsi" w:hAnsiTheme="minorHAnsi" w:cstheme="minorHAnsi"/>
        </w:rPr>
        <w:t>Katy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E.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Klymus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hyperlink r:id="rId12" w:history="1">
        <w:r w:rsidRPr="00487C69">
          <w:rPr>
            <w:rStyle w:val="Hyperlink"/>
            <w:rFonts w:asciiTheme="minorHAnsi" w:eastAsia="Arial" w:hAnsiTheme="minorHAnsi" w:cstheme="minorHAnsi"/>
            <w:u w:val="none"/>
          </w:rPr>
          <w:t>kklymus@usgs.gov</w:t>
        </w:r>
      </w:hyperlink>
      <w:r w:rsidRPr="00487C69">
        <w:rPr>
          <w:rFonts w:asciiTheme="minorHAnsi" w:eastAsia="Arial" w:hAnsiTheme="minorHAnsi" w:cstheme="minorHAnsi"/>
        </w:rPr>
        <w:t>)</w:t>
      </w:r>
    </w:p>
    <w:p w14:paraId="36DC9EAA" w14:textId="77777777" w:rsidR="00402C49" w:rsidRPr="00487C69" w:rsidRDefault="00402C49" w:rsidP="00487C69">
      <w:pPr>
        <w:contextualSpacing/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B7CD411" w14:textId="3044F7FF" w:rsidR="00402C49" w:rsidRPr="00487C69" w:rsidRDefault="00402C49" w:rsidP="00487C6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808080"/>
        </w:rPr>
      </w:pPr>
      <w:r w:rsidRPr="00487C69">
        <w:rPr>
          <w:rFonts w:asciiTheme="minorHAnsi" w:hAnsiTheme="minorHAnsi" w:cstheme="minorHAnsi"/>
          <w:b/>
          <w:bCs/>
        </w:rPr>
        <w:t>KEYWORDS: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7EE079E5" w14:textId="5F90695A" w:rsidR="00402C49" w:rsidRPr="00487C69" w:rsidRDefault="00402C49" w:rsidP="00487C6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eDNA,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species-specific,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validation,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specificity,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sensitivity</w:t>
      </w:r>
    </w:p>
    <w:p w14:paraId="04B151C9" w14:textId="77777777" w:rsidR="00402C49" w:rsidRPr="00487C69" w:rsidRDefault="00402C49" w:rsidP="00487C6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</w:p>
    <w:p w14:paraId="219B4EC8" w14:textId="77777777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  <w:b/>
          <w:bCs/>
        </w:rPr>
        <w:t>SUMMARY:</w:t>
      </w:r>
    </w:p>
    <w:p w14:paraId="5837D57D" w14:textId="17F542B7" w:rsidR="5DC71F1A" w:rsidRPr="00487C69" w:rsidRDefault="6F369694" w:rsidP="00487C69">
      <w:pPr>
        <w:contextualSpacing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E</w:t>
      </w:r>
      <w:r w:rsidR="7B08AF2E" w:rsidRPr="00487C69">
        <w:rPr>
          <w:rFonts w:asciiTheme="minorHAnsi" w:hAnsiTheme="minorHAnsi" w:cstheme="minorHAnsi"/>
          <w:color w:val="auto"/>
        </w:rPr>
        <w:t>nvironmental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7B08AF2E" w:rsidRPr="00487C69">
        <w:rPr>
          <w:rFonts w:asciiTheme="minorHAnsi" w:hAnsiTheme="minorHAnsi" w:cstheme="minorHAnsi"/>
          <w:color w:val="auto"/>
        </w:rPr>
        <w:t>DNA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assays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require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rigorous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design,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testing,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402C49" w:rsidRPr="00487C69">
        <w:rPr>
          <w:rFonts w:asciiTheme="minorHAnsi" w:hAnsiTheme="minorHAnsi" w:cstheme="minorHAnsi"/>
          <w:color w:val="auto"/>
        </w:rPr>
        <w:t>optimization</w:t>
      </w:r>
      <w:proofErr w:type="gramEnd"/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validation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before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12C0811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12C0811" w:rsidRPr="00487C69">
        <w:rPr>
          <w:rFonts w:asciiTheme="minorHAnsi" w:hAnsiTheme="minorHAnsi" w:cstheme="minorHAnsi"/>
          <w:color w:val="auto"/>
        </w:rPr>
        <w:t>collection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12C0811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field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data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7350E0F1" w:rsidRPr="00487C69">
        <w:rPr>
          <w:rFonts w:asciiTheme="minorHAnsi" w:hAnsiTheme="minorHAnsi" w:cstheme="minorHAnsi"/>
          <w:color w:val="auto"/>
        </w:rPr>
        <w:t>can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7350E0F1" w:rsidRPr="00487C69">
        <w:rPr>
          <w:rFonts w:asciiTheme="minorHAnsi" w:hAnsiTheme="minorHAnsi" w:cstheme="minorHAnsi"/>
          <w:color w:val="auto"/>
        </w:rPr>
        <w:t>begin</w:t>
      </w:r>
      <w:r w:rsidR="00402C49" w:rsidRPr="00487C69">
        <w:rPr>
          <w:rFonts w:asciiTheme="minorHAnsi" w:hAnsiTheme="minorHAnsi" w:cstheme="minorHAnsi"/>
          <w:color w:val="auto"/>
        </w:rPr>
        <w:t>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7D7A8539" w:rsidRPr="00487C69">
        <w:rPr>
          <w:rFonts w:asciiTheme="minorHAnsi" w:hAnsiTheme="minorHAnsi" w:cstheme="minorHAnsi"/>
          <w:color w:val="auto"/>
        </w:rPr>
        <w:t>Here,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7D7A8539" w:rsidRPr="00487C69">
        <w:rPr>
          <w:rFonts w:asciiTheme="minorHAnsi" w:hAnsiTheme="minorHAnsi" w:cstheme="minorHAnsi"/>
          <w:color w:val="auto"/>
        </w:rPr>
        <w:t>w</w:t>
      </w:r>
      <w:r w:rsidR="435E98BA" w:rsidRPr="00487C69">
        <w:rPr>
          <w:rFonts w:asciiTheme="minorHAnsi" w:hAnsiTheme="minorHAnsi" w:cstheme="minorHAnsi"/>
          <w:color w:val="auto"/>
        </w:rPr>
        <w:t>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present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protocol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take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users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through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each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step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designing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species-specific,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probe-based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qPCR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assay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detection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quantification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target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species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73C76" w:rsidRPr="00487C69">
        <w:rPr>
          <w:rFonts w:asciiTheme="minorHAnsi" w:hAnsiTheme="minorHAnsi" w:cstheme="minorHAnsi"/>
          <w:color w:val="auto"/>
        </w:rPr>
        <w:t>DNA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from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environmental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samples.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</w:p>
    <w:p w14:paraId="11778C4A" w14:textId="77777777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</w:p>
    <w:p w14:paraId="324D9A72" w14:textId="101C15FA" w:rsidR="00402C49" w:rsidRPr="00487C69" w:rsidRDefault="00402C49" w:rsidP="00487C69">
      <w:pPr>
        <w:contextualSpacing/>
        <w:rPr>
          <w:rFonts w:asciiTheme="minorHAnsi" w:hAnsiTheme="minorHAnsi" w:cstheme="minorHAnsi"/>
          <w:color w:val="808080"/>
        </w:rPr>
      </w:pPr>
      <w:r w:rsidRPr="00487C69">
        <w:rPr>
          <w:rFonts w:asciiTheme="minorHAnsi" w:hAnsiTheme="minorHAnsi" w:cstheme="minorHAnsi"/>
          <w:b/>
          <w:bCs/>
        </w:rPr>
        <w:t>ABSTRACT: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662ADDA8" w14:textId="1DDCB4BF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New,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non-invasive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methods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monitoring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presence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developed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aid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fisheries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wildlife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conservation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management.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(eDNA)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detecting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3A5E82" w:rsidRPr="00487C69">
        <w:rPr>
          <w:rFonts w:asciiTheme="minorHAnsi" w:hAnsiTheme="minorHAnsi" w:cstheme="minorHAnsi"/>
        </w:rPr>
        <w:t>macrobiota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group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methods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rapidly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becoming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popular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implemented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national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management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programs.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focus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development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species-specific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probe-based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quantitative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(qPCR)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applications.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probe-based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offers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greater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possible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alone.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Furthermore,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ability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quantify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amount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useful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our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understanding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ecology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interpretation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patterns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Careful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consideration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needed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development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ensure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sensitivity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protocol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delineate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steps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needed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probe-based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B3F26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species;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including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creation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selection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optimization,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performance,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validation.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Following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steps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help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achieve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efficient,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sensitive,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confidence.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We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demonstrate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th</w:t>
      </w:r>
      <w:r w:rsidR="00E26765"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process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our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design</w:t>
      </w:r>
      <w:r w:rsidR="00AB3F26" w:rsidRPr="00487C69">
        <w:rPr>
          <w:rFonts w:asciiTheme="minorHAnsi" w:hAnsiTheme="minorHAnsi" w:cstheme="minorHAnsi"/>
        </w:rPr>
        <w:t>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populations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mucket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(</w:t>
      </w:r>
      <w:proofErr w:type="spellStart"/>
      <w:r w:rsidR="000D2B55" w:rsidRPr="00487C69">
        <w:rPr>
          <w:rFonts w:asciiTheme="minorHAnsi" w:hAnsiTheme="minorHAnsi" w:cstheme="minorHAnsi"/>
          <w:i/>
          <w:iCs/>
        </w:rPr>
        <w:t>Actinonaias</w:t>
      </w:r>
      <w:proofErr w:type="spellEnd"/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0D2B55" w:rsidRPr="00487C69">
        <w:rPr>
          <w:rFonts w:asciiTheme="minorHAnsi" w:hAnsiTheme="minorHAnsi" w:cstheme="minorHAnsi"/>
          <w:i/>
          <w:iCs/>
        </w:rPr>
        <w:lastRenderedPageBreak/>
        <w:t>ligamentina</w:t>
      </w:r>
      <w:proofErr w:type="spellEnd"/>
      <w:r w:rsidR="000D2B55" w:rsidRPr="00487C69">
        <w:rPr>
          <w:rFonts w:asciiTheme="minorHAnsi" w:hAnsiTheme="minorHAnsi" w:cstheme="minorHAnsi"/>
        </w:rPr>
        <w:t>),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freshwater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mussel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found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Clinch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River,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USA.</w:t>
      </w:r>
    </w:p>
    <w:p w14:paraId="1586527F" w14:textId="77777777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</w:p>
    <w:p w14:paraId="43EE9FAE" w14:textId="4DC5E8B6" w:rsidR="00D5773A" w:rsidRPr="00487C69" w:rsidRDefault="00402C49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  <w:b/>
        </w:rPr>
        <w:t>INTRODUCTION</w:t>
      </w:r>
      <w:r w:rsidRPr="00487C69">
        <w:rPr>
          <w:rFonts w:asciiTheme="minorHAnsi" w:hAnsiTheme="minorHAnsi" w:cstheme="minorHAnsi"/>
          <w:b/>
          <w:bCs/>
        </w:rPr>
        <w:t>: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6B426022" w14:textId="646CEB99" w:rsidR="00402C49" w:rsidRPr="00487C69" w:rsidRDefault="00402C49" w:rsidP="00487C69">
      <w:pPr>
        <w:contextualSpacing/>
        <w:rPr>
          <w:rFonts w:asciiTheme="minorHAnsi" w:eastAsia="Calibr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Researchers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managers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increasingly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becoming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interested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detection.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three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decades,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quantitative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83A89"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83A89" w:rsidRPr="00487C69">
        <w:rPr>
          <w:rFonts w:asciiTheme="minorHAnsi" w:eastAsia="Calibri" w:hAnsiTheme="minorHAnsi" w:cstheme="minorHAnsi"/>
        </w:rPr>
        <w:t>real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83A89" w:rsidRPr="00487C69">
        <w:rPr>
          <w:rFonts w:asciiTheme="minorHAnsi" w:eastAsia="Calibri" w:hAnsiTheme="minorHAnsi" w:cstheme="minorHAnsi"/>
        </w:rPr>
        <w:t>time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PCR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(qPCR</w:t>
      </w:r>
      <w:r w:rsidR="00487C69" w:rsidRPr="00487C69">
        <w:rPr>
          <w:rFonts w:asciiTheme="minorHAnsi" w:eastAsia="Calibri" w:hAnsiTheme="minorHAnsi" w:cstheme="minorHAnsi"/>
        </w:rPr>
        <w:t>/</w:t>
      </w:r>
      <w:proofErr w:type="spellStart"/>
      <w:r w:rsidR="00E83A89" w:rsidRPr="00487C69">
        <w:rPr>
          <w:rFonts w:asciiTheme="minorHAnsi" w:eastAsia="Calibri" w:hAnsiTheme="minorHAnsi" w:cstheme="minorHAnsi"/>
        </w:rPr>
        <w:t>rtPCR</w:t>
      </w:r>
      <w:proofErr w:type="spellEnd"/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used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numerous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fields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D518A" w:rsidRPr="00487C69">
        <w:rPr>
          <w:rFonts w:asciiTheme="minorHAnsi" w:eastAsia="Calibri" w:hAnsiTheme="minorHAnsi" w:cstheme="minorHAnsi"/>
        </w:rPr>
        <w:t>sequence-specific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quantification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nucleic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acids</w:t>
      </w:r>
      <w:r w:rsidRPr="00487C69">
        <w:rPr>
          <w:rFonts w:asciiTheme="minorHAnsi" w:eastAsia="Calibri" w:hAnsiTheme="minorHAnsi" w:cstheme="minorHAnsi"/>
          <w:noProof/>
          <w:vertAlign w:val="superscript"/>
        </w:rPr>
        <w:t>1,2</w:t>
      </w:r>
      <w:r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relatively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new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field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research,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A87E63" w:rsidRPr="00487C69">
        <w:rPr>
          <w:rFonts w:asciiTheme="minorHAnsi" w:eastAsia="Calibri" w:hAnsiTheme="minorHAnsi" w:cstheme="minorHAnsi"/>
        </w:rPr>
        <w:t>these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standard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curve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quantification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80F79" w:rsidRPr="00487C69">
        <w:rPr>
          <w:rFonts w:asciiTheme="minorHAnsi" w:eastAsia="Calibri" w:hAnsiTheme="minorHAnsi" w:cstheme="minorHAnsi"/>
        </w:rPr>
        <w:t>copies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80F79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80F79" w:rsidRPr="00487C69">
        <w:rPr>
          <w:rFonts w:asciiTheme="minorHAnsi" w:eastAsia="Calibri" w:hAnsiTheme="minorHAnsi" w:cstheme="minorHAnsi"/>
        </w:rPr>
        <w:t>per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FD241C" w:rsidRPr="00487C69">
        <w:rPr>
          <w:rFonts w:asciiTheme="minorHAnsi" w:eastAsia="Calibri" w:hAnsiTheme="minorHAnsi" w:cstheme="minorHAnsi"/>
        </w:rPr>
        <w:t>volume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FD241C"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FD241C" w:rsidRPr="00487C69">
        <w:rPr>
          <w:rFonts w:asciiTheme="minorHAnsi" w:eastAsia="Calibri" w:hAnsiTheme="minorHAnsi" w:cstheme="minorHAnsi"/>
        </w:rPr>
        <w:t>weight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FD241C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sample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now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become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routine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practice.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bookmarkStart w:id="1" w:name="_Hlk50743420"/>
      <w:r w:rsidR="0017118F" w:rsidRPr="00487C69">
        <w:rPr>
          <w:rFonts w:asciiTheme="minorHAnsi" w:eastAsia="Calibri" w:hAnsiTheme="minorHAnsi" w:cstheme="minorHAnsi"/>
        </w:rPr>
        <w:t>Mitochondrial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sequences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generally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targeted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because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mitochondrial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genome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present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thousands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copies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per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cell,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but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nuclear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RNA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sequences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also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possible.</w:t>
      </w:r>
      <w:bookmarkEnd w:id="1"/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vital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understand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published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samples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not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always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equal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performance.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assay’s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reliability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only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</w:t>
      </w:r>
      <w:r w:rsidR="00637133" w:rsidRPr="00487C69">
        <w:rPr>
          <w:rFonts w:asciiTheme="minorHAnsi" w:eastAsia="Calibri" w:hAnsiTheme="minorHAnsi" w:cstheme="minorHAnsi"/>
        </w:rPr>
        <w:t>i.e.,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specificity)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low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quantities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</w:t>
      </w:r>
      <w:r w:rsidR="00637133" w:rsidRPr="00487C69">
        <w:rPr>
          <w:rFonts w:asciiTheme="minorHAnsi" w:eastAsia="Calibri" w:hAnsiTheme="minorHAnsi" w:cstheme="minorHAnsi"/>
        </w:rPr>
        <w:t>i.e.,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sensitivity)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vary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considerably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due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differences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how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designed,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selected,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optimized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tested.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Reporting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quantitative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measures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performance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previously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largely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overlooked,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but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recently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standards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improve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transparency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development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emerging</w:t>
      </w:r>
      <w:r w:rsidRPr="00487C69">
        <w:rPr>
          <w:rFonts w:asciiTheme="minorHAnsi" w:eastAsia="Calibri" w:hAnsiTheme="minorHAnsi" w:cstheme="minorHAnsi"/>
          <w:noProof/>
          <w:vertAlign w:val="superscript"/>
        </w:rPr>
        <w:t>3-8</w:t>
      </w:r>
      <w:r w:rsidRPr="00487C69">
        <w:rPr>
          <w:rFonts w:asciiTheme="minorHAnsi" w:eastAsia="Calibri" w:hAnsiTheme="minorHAnsi" w:cstheme="minorHAnsi"/>
        </w:rPr>
        <w:t>.</w:t>
      </w:r>
    </w:p>
    <w:p w14:paraId="6C6EFA0D" w14:textId="77777777" w:rsidR="00402C49" w:rsidRPr="00487C69" w:rsidRDefault="00402C49" w:rsidP="00487C69">
      <w:pPr>
        <w:contextualSpacing/>
        <w:rPr>
          <w:rFonts w:asciiTheme="minorHAnsi" w:eastAsia="Calibri" w:hAnsiTheme="minorHAnsi" w:cstheme="minorHAnsi"/>
        </w:rPr>
      </w:pPr>
    </w:p>
    <w:p w14:paraId="787BAEBE" w14:textId="4A06123E" w:rsidR="00402C49" w:rsidRPr="00487C69" w:rsidRDefault="00402C49" w:rsidP="00487C69">
      <w:pPr>
        <w:contextualSpacing/>
        <w:rPr>
          <w:rFonts w:asciiTheme="minorHAnsi" w:eastAsia="Calibr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Optimization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reporting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performance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aids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study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design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interpretation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survey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results.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cross-react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non-target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could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lead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false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positive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detections,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while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poor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sensitivity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fail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even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present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sample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(false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negatives).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understanding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sensitivity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selectivity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will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help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inform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sampling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effort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needed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species.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895B51" w:rsidRPr="00487C69">
        <w:rPr>
          <w:rFonts w:asciiTheme="minorHAnsi" w:eastAsia="Calibri" w:hAnsiTheme="minorHAnsi" w:cstheme="minorHAnsi"/>
        </w:rPr>
        <w:t>Because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895B51" w:rsidRPr="00487C69">
        <w:rPr>
          <w:rFonts w:asciiTheme="minorHAnsi" w:eastAsia="Calibri" w:hAnsiTheme="minorHAnsi" w:cstheme="minorHAnsi"/>
        </w:rPr>
        <w:t>there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895B51"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895B51" w:rsidRPr="00487C69">
        <w:rPr>
          <w:rFonts w:asciiTheme="minorHAnsi" w:eastAsia="Calibri" w:hAnsiTheme="minorHAnsi" w:cstheme="minorHAnsi"/>
        </w:rPr>
        <w:t>many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895B51" w:rsidRPr="00487C69">
        <w:rPr>
          <w:rFonts w:asciiTheme="minorHAnsi" w:eastAsia="Calibri" w:hAnsiTheme="minorHAnsi" w:cstheme="minorHAnsi"/>
        </w:rPr>
        <w:t>natural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895B51" w:rsidRPr="00487C69">
        <w:rPr>
          <w:rFonts w:asciiTheme="minorHAnsi" w:eastAsia="Calibri" w:hAnsiTheme="minorHAnsi" w:cstheme="minorHAnsi"/>
        </w:rPr>
        <w:t>sources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A81E69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A81E69" w:rsidRPr="00487C69">
        <w:rPr>
          <w:rFonts w:asciiTheme="minorHAnsi" w:eastAsia="Calibri" w:hAnsiTheme="minorHAnsi" w:cstheme="minorHAnsi"/>
        </w:rPr>
        <w:t>variation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A81E69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A81E69" w:rsidRPr="00487C69">
        <w:rPr>
          <w:rFonts w:asciiTheme="minorHAnsi" w:eastAsia="Calibri" w:hAnsiTheme="minorHAnsi" w:cstheme="minorHAnsi"/>
        </w:rPr>
        <w:t>eDNA,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studies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must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limit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controllable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sources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variation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much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possible,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including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fully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optimizing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characterizing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B68AE"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Pr="00487C69">
        <w:rPr>
          <w:rFonts w:asciiTheme="minorHAnsi" w:eastAsia="Calibri" w:hAnsiTheme="minorHAnsi" w:cstheme="minorHAnsi"/>
          <w:noProof/>
          <w:vertAlign w:val="superscript"/>
        </w:rPr>
        <w:t>3</w:t>
      </w:r>
      <w:r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</w:p>
    <w:p w14:paraId="3BEBB020" w14:textId="77777777" w:rsidR="00402C49" w:rsidRPr="00487C69" w:rsidRDefault="00402C49" w:rsidP="00487C69">
      <w:pPr>
        <w:contextualSpacing/>
        <w:rPr>
          <w:rFonts w:asciiTheme="minorHAnsi" w:eastAsia="Calibri" w:hAnsiTheme="minorHAnsi" w:cstheme="minorHAnsi"/>
        </w:rPr>
      </w:pPr>
    </w:p>
    <w:p w14:paraId="1498CA17" w14:textId="3AC4311E" w:rsidR="00044103" w:rsidRPr="00487C69" w:rsidRDefault="00DF42BF" w:rsidP="00487C69">
      <w:pPr>
        <w:contextualSpacing/>
        <w:rPr>
          <w:rFonts w:asciiTheme="minorHAnsi" w:eastAsia="Calibr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Conditions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directly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affect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assay’s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specificity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sensitivity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will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change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assay’s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performance.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occur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under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different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laboratory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conditions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(i.e.</w:t>
      </w:r>
      <w:r w:rsidR="00637133" w:rsidRPr="00487C69">
        <w:rPr>
          <w:rFonts w:asciiTheme="minorHAnsi" w:eastAsia="Calibri" w:hAnsiTheme="minorHAnsi" w:cstheme="minorHAnsi"/>
        </w:rPr>
        <w:t>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different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reagents,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users,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machines,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etc.)</w:t>
      </w:r>
      <w:r w:rsidR="007B228B"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Therefore,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this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protocol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should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be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revisited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applying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under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new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conditions</w:t>
      </w:r>
      <w:r w:rsidR="00CD56CB"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Even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well-characterized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literature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should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be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tested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optimized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adopted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by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new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laboratory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using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different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reagents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(e.g.</w:t>
      </w:r>
      <w:r w:rsidR="00637133" w:rsidRPr="00487C69">
        <w:rPr>
          <w:rFonts w:asciiTheme="minorHAnsi" w:eastAsia="Calibri" w:hAnsiTheme="minorHAnsi" w:cstheme="minorHAnsi"/>
        </w:rPr>
        <w:t>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master-mix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solution)</w:t>
      </w:r>
      <w:r w:rsidR="00581FCD" w:rsidRPr="00487C69">
        <w:rPr>
          <w:rFonts w:asciiTheme="minorHAnsi" w:eastAsia="Calibri" w:hAnsiTheme="minorHAnsi" w:cstheme="minorHAnsi"/>
          <w:noProof/>
          <w:vertAlign w:val="superscript"/>
        </w:rPr>
        <w:t>5,9</w:t>
      </w:r>
      <w:r w:rsidR="00581FCD"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specificity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change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applied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different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geographic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region,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because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applied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samples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from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new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biotic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community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include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non-target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not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tested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against</w:t>
      </w:r>
      <w:r w:rsidR="00366928" w:rsidRPr="00487C69">
        <w:rPr>
          <w:rFonts w:asciiTheme="minorHAnsi" w:eastAsia="Calibri" w:hAnsiTheme="minorHAnsi" w:cstheme="minorHAnsi"/>
        </w:rPr>
        <w:t>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genetic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variation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may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occur</w:t>
      </w:r>
      <w:r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Again,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should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re-assessed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us</w:t>
      </w:r>
      <w:r w:rsidR="0065631E" w:rsidRPr="00487C69">
        <w:rPr>
          <w:rFonts w:asciiTheme="minorHAnsi" w:eastAsia="Calibri" w:hAnsiTheme="minorHAnsi" w:cstheme="minorHAnsi"/>
        </w:rPr>
        <w:t>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new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location.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Field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conditions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differ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from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laboratory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conditions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5631E" w:rsidRPr="00487C69">
        <w:rPr>
          <w:rFonts w:asciiTheme="minorHAnsi" w:eastAsia="Calibri" w:hAnsiTheme="minorHAnsi" w:cstheme="minorHAnsi"/>
        </w:rPr>
        <w:t>because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field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PCR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inhibitors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more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likely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be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present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samples.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PCR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inhibitors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directly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affect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amplification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reaction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thus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affect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performance.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reason,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internal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positive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control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required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developing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assay.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</w:p>
    <w:p w14:paraId="7C175D72" w14:textId="77777777" w:rsidR="00044103" w:rsidRPr="00487C69" w:rsidRDefault="00044103" w:rsidP="00487C69">
      <w:pPr>
        <w:contextualSpacing/>
        <w:rPr>
          <w:rFonts w:asciiTheme="minorHAnsi" w:eastAsia="Calibri" w:hAnsiTheme="minorHAnsi" w:cstheme="minorHAnsi"/>
        </w:rPr>
      </w:pPr>
    </w:p>
    <w:p w14:paraId="1AE75C1F" w14:textId="470D67DF" w:rsidR="003C1901" w:rsidRPr="00487C69" w:rsidRDefault="00044103" w:rsidP="00487C69">
      <w:pPr>
        <w:contextualSpacing/>
        <w:rPr>
          <w:rFonts w:asciiTheme="minorHAnsi" w:eastAsia="Calibr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Finally,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</w:t>
      </w:r>
      <w:r w:rsidR="00366928" w:rsidRPr="00487C69">
        <w:rPr>
          <w:rFonts w:asciiTheme="minorHAnsi" w:eastAsia="Calibri" w:hAnsiTheme="minorHAnsi" w:cstheme="minorHAnsi"/>
        </w:rPr>
        <w:t>nvironmental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conditions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B68AE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B68AE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B68AE" w:rsidRPr="00487C69">
        <w:rPr>
          <w:rFonts w:asciiTheme="minorHAnsi" w:eastAsia="Calibri" w:hAnsiTheme="minorHAnsi" w:cstheme="minorHAnsi"/>
        </w:rPr>
        <w:t>field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affect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molecules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their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capture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through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degradation,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proofErr w:type="gramStart"/>
      <w:r w:rsidR="00366928" w:rsidRPr="00487C69">
        <w:rPr>
          <w:rFonts w:asciiTheme="minorHAnsi" w:eastAsia="Calibri" w:hAnsiTheme="minorHAnsi" w:cstheme="minorHAnsi"/>
        </w:rPr>
        <w:t>transport</w:t>
      </w:r>
      <w:proofErr w:type="gramEnd"/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retention.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Furthermore,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different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protocols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collection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extraction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vary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their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efficiency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ability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retain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DNA.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However,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important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note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processes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affect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detectability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but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not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molecular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assays’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performance.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Thus</w:t>
      </w:r>
      <w:r w:rsidR="00DF42BF" w:rsidRPr="00487C69">
        <w:rPr>
          <w:rFonts w:asciiTheme="minorHAnsi" w:eastAsia="Calibri" w:hAnsiTheme="minorHAnsi" w:cstheme="minorHAnsi"/>
        </w:rPr>
        <w:t>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detectability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from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field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lastRenderedPageBreak/>
        <w:t>samples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function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both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technical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performance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qPCR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well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field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conditions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collection,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storage,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extraction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protocols.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using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well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characterized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highly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performing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assay,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users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can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feel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confident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assay’s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capabilities;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allowing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researchers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B3064A"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B3064A" w:rsidRPr="00487C69">
        <w:rPr>
          <w:rFonts w:asciiTheme="minorHAnsi" w:eastAsia="Calibri" w:hAnsiTheme="minorHAnsi" w:cstheme="minorHAnsi"/>
        </w:rPr>
        <w:t>now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focus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B3064A" w:rsidRPr="00487C69">
        <w:rPr>
          <w:rFonts w:asciiTheme="minorHAnsi" w:eastAsia="Calibri" w:hAnsiTheme="minorHAnsi" w:cstheme="minorHAnsi"/>
        </w:rPr>
        <w:t>understanding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external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B68AE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f</w:t>
      </w:r>
      <w:r w:rsidR="00E35B93" w:rsidRPr="00487C69">
        <w:rPr>
          <w:rFonts w:asciiTheme="minorHAnsi" w:eastAsia="Calibri" w:hAnsiTheme="minorHAnsi" w:cstheme="minorHAnsi"/>
        </w:rPr>
        <w:t>ac</w:t>
      </w:r>
      <w:r w:rsidR="00446C01" w:rsidRPr="00487C69">
        <w:rPr>
          <w:rFonts w:asciiTheme="minorHAnsi" w:eastAsia="Calibri" w:hAnsiTheme="minorHAnsi" w:cstheme="minorHAnsi"/>
        </w:rPr>
        <w:t>tors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(</w:t>
      </w:r>
      <w:r w:rsidR="00637133" w:rsidRPr="00487C69">
        <w:rPr>
          <w:rFonts w:asciiTheme="minorHAnsi" w:eastAsia="Calibri" w:hAnsiTheme="minorHAnsi" w:cstheme="minorHAnsi"/>
        </w:rPr>
        <w:t>i.e.,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environmental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variables,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differences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capture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extraction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proto</w:t>
      </w:r>
      <w:r w:rsidR="00E35B93" w:rsidRPr="00487C69">
        <w:rPr>
          <w:rFonts w:asciiTheme="minorHAnsi" w:eastAsia="Calibri" w:hAnsiTheme="minorHAnsi" w:cstheme="minorHAnsi"/>
        </w:rPr>
        <w:t>co</w:t>
      </w:r>
      <w:r w:rsidR="00446C01" w:rsidRPr="00487C69">
        <w:rPr>
          <w:rFonts w:asciiTheme="minorHAnsi" w:eastAsia="Calibri" w:hAnsiTheme="minorHAnsi" w:cstheme="minorHAnsi"/>
        </w:rPr>
        <w:t>ls)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affecting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</w:t>
      </w:r>
      <w:r w:rsidR="00446C01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detection.</w:t>
      </w:r>
    </w:p>
    <w:p w14:paraId="5A9A88A2" w14:textId="77777777" w:rsidR="00044103" w:rsidRPr="00487C69" w:rsidRDefault="00044103" w:rsidP="00487C69">
      <w:pPr>
        <w:contextualSpacing/>
        <w:rPr>
          <w:rFonts w:asciiTheme="minorHAnsi" w:eastAsia="Calibri" w:hAnsiTheme="minorHAnsi" w:cstheme="minorHAnsi"/>
        </w:rPr>
      </w:pPr>
    </w:p>
    <w:p w14:paraId="324BDF8F" w14:textId="34C8D504" w:rsidR="00925DD8" w:rsidRPr="00487C69" w:rsidRDefault="00DF42BF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Here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focus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specifically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C1901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technical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performance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through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B2F05" w:rsidRPr="00487C69">
        <w:rPr>
          <w:rFonts w:asciiTheme="minorHAnsi" w:eastAsia="Calibri" w:hAnsiTheme="minorHAnsi" w:cstheme="minorHAnsi"/>
        </w:rPr>
        <w:t>rigorous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design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optimization.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We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demonstrate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protocol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using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B2F05" w:rsidRPr="00487C69">
        <w:rPr>
          <w:rFonts w:asciiTheme="minorHAnsi" w:eastAsia="Calibri" w:hAnsiTheme="minorHAnsi" w:cstheme="minorHAnsi"/>
        </w:rPr>
        <w:t>probe-based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developed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detection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freshwater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mussel,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mucket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(</w:t>
      </w:r>
      <w:proofErr w:type="spellStart"/>
      <w:r w:rsidR="009D5CCF" w:rsidRPr="00487C69">
        <w:rPr>
          <w:rFonts w:asciiTheme="minorHAnsi" w:hAnsiTheme="minorHAnsi" w:cstheme="minorHAnsi"/>
          <w:i/>
          <w:iCs/>
        </w:rPr>
        <w:t>Actinonaias</w:t>
      </w:r>
      <w:proofErr w:type="spellEnd"/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CCF"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="009D5CCF" w:rsidRPr="00487C69">
        <w:rPr>
          <w:rFonts w:asciiTheme="minorHAnsi" w:eastAsia="Calibri" w:hAnsiTheme="minorHAnsi" w:cstheme="minorHAnsi"/>
        </w:rPr>
        <w:t>),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from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water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sampled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Clinch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River,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USA.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Recently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proofErr w:type="spellStart"/>
      <w:r w:rsidR="00044103" w:rsidRPr="00487C69">
        <w:rPr>
          <w:rFonts w:asciiTheme="minorHAnsi" w:eastAsia="Calibri" w:hAnsiTheme="minorHAnsi" w:cstheme="minorHAnsi"/>
        </w:rPr>
        <w:t>Thalinger</w:t>
      </w:r>
      <w:proofErr w:type="spellEnd"/>
      <w:r w:rsidR="00487C69" w:rsidRPr="00487C69">
        <w:rPr>
          <w:rFonts w:asciiTheme="minorHAnsi" w:eastAsia="Calibri" w:hAnsiTheme="minorHAnsi" w:cstheme="minorHAnsi"/>
        </w:rPr>
        <w:t xml:space="preserve"> et al. </w:t>
      </w:r>
      <w:r w:rsidR="00044103" w:rsidRPr="00487C69">
        <w:rPr>
          <w:rFonts w:asciiTheme="minorHAnsi" w:eastAsia="Calibri" w:hAnsiTheme="minorHAnsi" w:cstheme="minorHAnsi"/>
        </w:rPr>
        <w:t>(2020)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presented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guidelines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validation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targeted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assays.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following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44103" w:rsidRPr="00487C69">
        <w:rPr>
          <w:rFonts w:asciiTheme="minorHAnsi" w:hAnsiTheme="minorHAnsi" w:cstheme="minorHAnsi"/>
        </w:rPr>
        <w:t>our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protocol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bring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402C49" w:rsidRPr="00487C69">
        <w:rPr>
          <w:rFonts w:asciiTheme="minorHAnsi" w:hAnsiTheme="minorHAnsi" w:cstheme="minorHAnsi"/>
        </w:rPr>
        <w:t>Thalinger</w:t>
      </w:r>
      <w:proofErr w:type="spellEnd"/>
      <w:r w:rsidR="00487C69" w:rsidRPr="00487C69">
        <w:rPr>
          <w:rFonts w:asciiTheme="minorHAnsi" w:hAnsiTheme="minorHAnsi" w:cstheme="minorHAnsi"/>
        </w:rPr>
        <w:t xml:space="preserve"> et al.</w:t>
      </w:r>
      <w:r w:rsidR="00402C49" w:rsidRPr="00487C69">
        <w:rPr>
          <w:rFonts w:asciiTheme="minorHAnsi" w:hAnsiTheme="minorHAnsi" w:cstheme="minorHAnsi"/>
        </w:rPr>
        <w:t>’s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4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plus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additional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step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towards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5</w:t>
      </w:r>
      <w:r w:rsidR="00402C49" w:rsidRPr="00487C69">
        <w:rPr>
          <w:rFonts w:asciiTheme="minorHAnsi" w:hAnsiTheme="minorHAnsi" w:cstheme="minorHAnsi"/>
          <w:noProof/>
          <w:vertAlign w:val="superscript"/>
        </w:rPr>
        <w:t>6</w:t>
      </w:r>
      <w:r w:rsidR="00402C49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point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assay</w:t>
      </w:r>
      <w:r w:rsidR="00925DD8" w:rsidRPr="00487C69">
        <w:rPr>
          <w:rFonts w:asciiTheme="minorHAnsi" w:hAnsiTheme="minorHAnsi" w:cstheme="minorHAnsi"/>
        </w:rPr>
        <w:t>’s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technical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performance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optimized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it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ready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regular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use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617A5" w:rsidRPr="00487C69">
        <w:rPr>
          <w:rFonts w:asciiTheme="minorHAnsi" w:hAnsiTheme="minorHAnsi" w:cstheme="minorHAnsi"/>
        </w:rPr>
        <w:t>lab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617A5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617A5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applications</w:t>
      </w:r>
      <w:r w:rsidR="00D617A5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Further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use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laboratory,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mesocosm,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experiments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can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then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address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questions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regarding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factors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influencing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detectability,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final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steps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validation</w:t>
      </w:r>
      <w:r w:rsidR="00925DD8" w:rsidRPr="00487C69">
        <w:rPr>
          <w:rFonts w:asciiTheme="minorHAnsi" w:hAnsiTheme="minorHAnsi" w:cstheme="minorHAnsi"/>
          <w:vertAlign w:val="superscript"/>
        </w:rPr>
        <w:t>6</w:t>
      </w:r>
      <w:r w:rsidR="00925DD8" w:rsidRPr="00487C69">
        <w:rPr>
          <w:rFonts w:asciiTheme="minorHAnsi" w:hAnsiTheme="minorHAnsi" w:cstheme="minorHAnsi"/>
        </w:rPr>
        <w:t>.</w:t>
      </w:r>
    </w:p>
    <w:p w14:paraId="6BD4C9F8" w14:textId="77777777" w:rsidR="00402C49" w:rsidRPr="00487C69" w:rsidRDefault="00402C49" w:rsidP="00487C69">
      <w:pPr>
        <w:contextualSpacing/>
        <w:rPr>
          <w:rFonts w:asciiTheme="minorHAnsi" w:hAnsiTheme="minorHAnsi" w:cstheme="minorHAnsi"/>
          <w:b/>
        </w:rPr>
      </w:pPr>
    </w:p>
    <w:p w14:paraId="3C4CA145" w14:textId="63139CE8" w:rsidR="001E23AC" w:rsidRPr="00487C69" w:rsidRDefault="001E23AC" w:rsidP="00487C69">
      <w:pPr>
        <w:contextualSpacing/>
        <w:rPr>
          <w:rFonts w:asciiTheme="minorHAnsi" w:hAnsiTheme="minorHAnsi" w:cstheme="minorHAnsi"/>
          <w:color w:val="808080" w:themeColor="background1" w:themeShade="80"/>
        </w:rPr>
      </w:pPr>
      <w:r w:rsidRPr="00487C69">
        <w:rPr>
          <w:rFonts w:asciiTheme="minorHAnsi" w:hAnsiTheme="minorHAnsi" w:cstheme="minorHAnsi"/>
          <w:b/>
        </w:rPr>
        <w:t>PROTOCOL: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62D3969A" w14:textId="77777777" w:rsidR="001E23AC" w:rsidRPr="00487C69" w:rsidRDefault="001E23AC" w:rsidP="00487C69">
      <w:pPr>
        <w:contextualSpacing/>
        <w:rPr>
          <w:rFonts w:asciiTheme="minorHAnsi" w:hAnsiTheme="minorHAnsi" w:cstheme="minorHAnsi"/>
        </w:rPr>
      </w:pPr>
      <w:bookmarkStart w:id="2" w:name="_Hlk50549835"/>
    </w:p>
    <w:p w14:paraId="6A45772C" w14:textId="17660641" w:rsidR="001E23AC" w:rsidRPr="00487C69" w:rsidRDefault="0065631E" w:rsidP="00487C69">
      <w:pPr>
        <w:pStyle w:val="ListParagraph"/>
        <w:widowControl/>
        <w:numPr>
          <w:ilvl w:val="0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bookmarkStart w:id="3" w:name="_Hlk53080350"/>
      <w:r w:rsidRPr="00487C69">
        <w:rPr>
          <w:rFonts w:asciiTheme="minorHAnsi" w:hAnsiTheme="minorHAnsi" w:cstheme="minorHAnsi"/>
          <w:b/>
          <w:bCs/>
          <w:highlight w:val="yellow"/>
        </w:rPr>
        <w:t>Generation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of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a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sequence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database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of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mitochondrial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DNA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from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target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and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non-target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species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of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interest</w:t>
      </w:r>
    </w:p>
    <w:p w14:paraId="7FF02580" w14:textId="77777777" w:rsidR="0065631E" w:rsidRPr="00487C69" w:rsidRDefault="0065631E" w:rsidP="00487C69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DFB2AA7" w14:textId="4D08E023" w:rsidR="00D36E73" w:rsidRPr="00487C69" w:rsidRDefault="0065631E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</w:rPr>
        <w:t>Define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question,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system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addressed.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Identify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Identify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geographic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system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which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Make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list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interest,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including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sympatric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(co-occurring)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taxa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(usually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order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family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level),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closely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allopatric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those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geographic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r w:rsidRPr="00487C69">
        <w:rPr>
          <w:rFonts w:asciiTheme="minorHAnsi" w:hAnsiTheme="minorHAnsi" w:cstheme="minorHAnsi"/>
          <w:b/>
          <w:bCs/>
        </w:rPr>
        <w:t>Figure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1</w:t>
      </w:r>
      <w:r w:rsidRPr="00487C69">
        <w:rPr>
          <w:rFonts w:asciiTheme="minorHAnsi" w:hAnsiTheme="minorHAnsi" w:cstheme="minorHAnsi"/>
        </w:rPr>
        <w:t>).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4B93BD2C" w14:textId="77777777" w:rsidR="00637133" w:rsidRPr="00487C69" w:rsidRDefault="00637133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000000" w:themeColor="text1"/>
        </w:rPr>
      </w:pPr>
    </w:p>
    <w:p w14:paraId="14CC9950" w14:textId="52275D5E" w:rsidR="0065631E" w:rsidRPr="00487C69" w:rsidRDefault="00D36E73" w:rsidP="00487C69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</w:rPr>
        <w:t>NOTE: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Here</w:t>
      </w:r>
      <w:r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F1B8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Clinch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River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populations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  <w:i/>
          <w:iCs/>
        </w:rPr>
        <w:t>A.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5631E"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="00BF1B81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F1B81" w:rsidRPr="00487C69">
        <w:rPr>
          <w:rFonts w:asciiTheme="minorHAnsi" w:hAnsiTheme="minorHAnsi" w:cstheme="minorHAnsi"/>
        </w:rPr>
        <w:t>targeted</w:t>
      </w:r>
      <w:r w:rsidR="0065631E" w:rsidRPr="00487C69">
        <w:rPr>
          <w:rFonts w:asciiTheme="minorHAnsi" w:hAnsiTheme="minorHAnsi" w:cstheme="minorHAnsi"/>
          <w:i/>
          <w:iCs/>
        </w:rPr>
        <w:t>.</w:t>
      </w:r>
    </w:p>
    <w:p w14:paraId="05F9BC0A" w14:textId="77777777" w:rsidR="001E23AC" w:rsidRPr="00487C69" w:rsidRDefault="001E23AC" w:rsidP="00487C69">
      <w:pPr>
        <w:contextualSpacing/>
        <w:rPr>
          <w:rFonts w:asciiTheme="minorHAnsi" w:hAnsiTheme="minorHAnsi" w:cstheme="minorHAnsi"/>
        </w:rPr>
      </w:pPr>
    </w:p>
    <w:p w14:paraId="58AF7212" w14:textId="7E9E4D33" w:rsidR="001E23AC" w:rsidRPr="00487C69" w:rsidRDefault="001E23AC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Search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download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multiple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regions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list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Step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1.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NCBI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(National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Center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Biotechnology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Information),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BOLD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(Barcode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Life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EMBL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(European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Molecular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Biology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Laboratory)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DDBJ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Bank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Japan)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NCBI,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EMBL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DDBJ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share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information.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5DB7FD58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767F0CE1" w14:textId="63F538E7" w:rsidR="001E23AC" w:rsidRPr="00487C69" w:rsidRDefault="00D36E73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U</w:t>
      </w:r>
      <w:r w:rsidR="001E23AC" w:rsidRPr="00487C69">
        <w:rPr>
          <w:rFonts w:asciiTheme="minorHAnsi" w:hAnsiTheme="minorHAnsi" w:cstheme="minorHAnsi"/>
          <w:highlight w:val="yellow"/>
        </w:rPr>
        <w:t>sing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NCBI’s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Nucleotide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Database,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search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target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organism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(</w:t>
      </w:r>
      <w:r w:rsidR="00637133" w:rsidRPr="00487C69">
        <w:rPr>
          <w:rFonts w:asciiTheme="minorHAnsi" w:hAnsiTheme="minorHAnsi" w:cstheme="minorHAnsi"/>
          <w:highlight w:val="yellow"/>
        </w:rPr>
        <w:t>e.g.,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4E1494" w:rsidRPr="00487C69">
        <w:rPr>
          <w:rFonts w:asciiTheme="minorHAnsi" w:hAnsiTheme="minorHAnsi" w:cstheme="minorHAnsi"/>
          <w:i/>
          <w:iCs/>
          <w:highlight w:val="yellow"/>
        </w:rPr>
        <w:t>Actinonaias</w:t>
      </w:r>
      <w:proofErr w:type="spellEnd"/>
      <w:r w:rsidR="00487C69" w:rsidRPr="00487C69">
        <w:rPr>
          <w:rFonts w:asciiTheme="minorHAnsi" w:hAnsiTheme="minorHAnsi" w:cstheme="minorHAnsi"/>
          <w:i/>
          <w:iCs/>
          <w:highlight w:val="yellow"/>
        </w:rPr>
        <w:t xml:space="preserve"> </w:t>
      </w:r>
      <w:proofErr w:type="spellStart"/>
      <w:r w:rsidR="004E1494" w:rsidRPr="00487C69">
        <w:rPr>
          <w:rFonts w:asciiTheme="minorHAnsi" w:hAnsiTheme="minorHAnsi" w:cstheme="minorHAnsi"/>
          <w:i/>
          <w:iCs/>
          <w:highlight w:val="yellow"/>
        </w:rPr>
        <w:t>ligamentina</w:t>
      </w:r>
      <w:proofErr w:type="spellEnd"/>
      <w:r w:rsidR="001E23AC" w:rsidRPr="00487C69">
        <w:rPr>
          <w:rFonts w:asciiTheme="minorHAnsi" w:hAnsiTheme="minorHAnsi" w:cstheme="minorHAnsi"/>
          <w:highlight w:val="yellow"/>
        </w:rPr>
        <w:t>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region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(</w:t>
      </w:r>
      <w:r w:rsidR="00637133" w:rsidRPr="00487C69">
        <w:rPr>
          <w:rFonts w:asciiTheme="minorHAnsi" w:hAnsiTheme="minorHAnsi" w:cstheme="minorHAnsi"/>
          <w:highlight w:val="yellow"/>
        </w:rPr>
        <w:t>e.g.,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cytochrome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c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oxidase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I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(</w:t>
      </w:r>
      <w:r w:rsidR="00925DD8" w:rsidRPr="00487C69">
        <w:rPr>
          <w:rFonts w:asciiTheme="minorHAnsi" w:hAnsiTheme="minorHAnsi" w:cstheme="minorHAnsi"/>
          <w:highlight w:val="yellow"/>
        </w:rPr>
        <w:t>COI</w:t>
      </w:r>
      <w:r w:rsidR="00C52DBD" w:rsidRPr="00487C69">
        <w:rPr>
          <w:rFonts w:asciiTheme="minorHAnsi" w:hAnsiTheme="minorHAnsi" w:cstheme="minorHAnsi"/>
          <w:highlight w:val="yellow"/>
        </w:rPr>
        <w:t>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25DD8" w:rsidRPr="00487C69">
        <w:rPr>
          <w:rFonts w:asciiTheme="minorHAnsi" w:hAnsiTheme="minorHAnsi" w:cstheme="minorHAnsi"/>
          <w:highlight w:val="yellow"/>
        </w:rPr>
        <w:t>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25DD8" w:rsidRPr="00487C69">
        <w:rPr>
          <w:rFonts w:asciiTheme="minorHAnsi" w:hAnsiTheme="minorHAnsi" w:cstheme="minorHAnsi"/>
          <w:color w:val="202122"/>
          <w:highlight w:val="yellow"/>
          <w:shd w:val="clear" w:color="auto" w:fill="FFFFFF"/>
        </w:rPr>
        <w:t>NADH-dehydrogenase</w:t>
      </w:r>
      <w:r w:rsidR="00487C69" w:rsidRPr="00487C69">
        <w:rPr>
          <w:rFonts w:asciiTheme="minorHAnsi" w:hAnsiTheme="minorHAnsi" w:cstheme="minorHAnsi"/>
          <w:color w:val="202122"/>
          <w:highlight w:val="yellow"/>
          <w:shd w:val="clear" w:color="auto" w:fill="FFFFFF"/>
        </w:rPr>
        <w:t xml:space="preserve"> </w:t>
      </w:r>
      <w:r w:rsidR="00925DD8" w:rsidRPr="00487C69">
        <w:rPr>
          <w:rFonts w:asciiTheme="minorHAnsi" w:hAnsiTheme="minorHAnsi" w:cstheme="minorHAnsi"/>
          <w:color w:val="202122"/>
          <w:highlight w:val="yellow"/>
          <w:shd w:val="clear" w:color="auto" w:fill="FFFFFF"/>
        </w:rPr>
        <w:t>1</w:t>
      </w:r>
      <w:r w:rsidR="00487C69" w:rsidRPr="00487C69">
        <w:rPr>
          <w:rFonts w:asciiTheme="minorHAnsi" w:hAnsiTheme="minorHAnsi" w:cstheme="minorHAnsi"/>
          <w:color w:val="202122"/>
          <w:highlight w:val="yellow"/>
          <w:shd w:val="clear" w:color="auto" w:fill="FFFFFF"/>
        </w:rPr>
        <w:t xml:space="preserve"> </w:t>
      </w:r>
      <w:r w:rsidR="00925DD8" w:rsidRPr="00487C69">
        <w:rPr>
          <w:rFonts w:asciiTheme="minorHAnsi" w:hAnsiTheme="minorHAnsi" w:cstheme="minorHAnsi"/>
          <w:color w:val="202122"/>
          <w:highlight w:val="yellow"/>
          <w:shd w:val="clear" w:color="auto" w:fill="FFFFFF"/>
        </w:rPr>
        <w:t>(ND1)</w:t>
      </w:r>
      <w:r w:rsidR="00925DD8" w:rsidRPr="00487C69">
        <w:rPr>
          <w:rFonts w:asciiTheme="minorHAnsi" w:hAnsiTheme="minorHAnsi" w:cstheme="minorHAnsi"/>
          <w:highlight w:val="yellow"/>
        </w:rPr>
        <w:t>;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Example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search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string: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C52DBD" w:rsidRPr="00487C69">
        <w:rPr>
          <w:rFonts w:asciiTheme="minorHAnsi" w:hAnsiTheme="minorHAnsi" w:cstheme="minorHAnsi"/>
          <w:highlight w:val="yellow"/>
        </w:rPr>
        <w:t>Actinonaias</w:t>
      </w:r>
      <w:proofErr w:type="spellEnd"/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C52DBD" w:rsidRPr="00487C69">
        <w:rPr>
          <w:rFonts w:asciiTheme="minorHAnsi" w:hAnsiTheme="minorHAnsi" w:cstheme="minorHAnsi"/>
          <w:highlight w:val="yellow"/>
        </w:rPr>
        <w:t>ligamentina</w:t>
      </w:r>
      <w:proofErr w:type="spellEnd"/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25DD8" w:rsidRPr="00487C69">
        <w:rPr>
          <w:rFonts w:asciiTheme="minorHAnsi" w:hAnsiTheme="minorHAnsi" w:cstheme="minorHAnsi"/>
          <w:highlight w:val="yellow"/>
        </w:rPr>
        <w:t>ND1</w:t>
      </w:r>
      <w:r w:rsidR="00C52DBD" w:rsidRPr="00487C69">
        <w:rPr>
          <w:rFonts w:asciiTheme="minorHAnsi" w:hAnsiTheme="minorHAnsi" w:cstheme="minorHAnsi"/>
          <w:highlight w:val="yellow"/>
        </w:rPr>
        <w:t>)</w:t>
      </w:r>
    </w:p>
    <w:p w14:paraId="031E13DF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33ECF681" w14:textId="65F0F753" w:rsidR="001E23AC" w:rsidRPr="00487C69" w:rsidRDefault="001E23AC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Next,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select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match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637133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specifications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select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b/>
          <w:bCs/>
          <w:highlight w:val="yellow"/>
        </w:rPr>
        <w:t>S</w:t>
      </w:r>
      <w:r w:rsidRPr="00487C69">
        <w:rPr>
          <w:rFonts w:asciiTheme="minorHAnsi" w:hAnsiTheme="minorHAnsi" w:cstheme="minorHAnsi"/>
          <w:b/>
          <w:bCs/>
          <w:highlight w:val="yellow"/>
        </w:rPr>
        <w:t>end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b/>
          <w:bCs/>
          <w:highlight w:val="yellow"/>
        </w:rPr>
        <w:t>to</w:t>
      </w:r>
      <w:r w:rsidR="00637133" w:rsidRPr="00487C69">
        <w:rPr>
          <w:rFonts w:asciiTheme="minorHAnsi" w:hAnsiTheme="minorHAnsi" w:cstheme="minorHAnsi"/>
          <w:b/>
          <w:bCs/>
          <w:highlight w:val="yellow"/>
        </w:rPr>
        <w:t>.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Choose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Complete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record</w:t>
      </w:r>
      <w:r w:rsidR="003B7458" w:rsidRPr="00487C69">
        <w:rPr>
          <w:rFonts w:asciiTheme="minorHAnsi" w:hAnsiTheme="minorHAnsi" w:cstheme="minorHAnsi"/>
          <w:highlight w:val="yellow"/>
        </w:rPr>
        <w:t>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File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download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format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either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GenBank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FASTA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Create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File</w:t>
      </w:r>
      <w:r w:rsidRPr="00487C69">
        <w:rPr>
          <w:rFonts w:asciiTheme="minorHAnsi" w:hAnsiTheme="minorHAnsi" w:cstheme="minorHAnsi"/>
          <w:highlight w:val="yellow"/>
        </w:rPr>
        <w:t>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now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saved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637133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computer.</w:t>
      </w:r>
    </w:p>
    <w:p w14:paraId="24B977F4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7A3B81E3" w14:textId="5D6D66AD" w:rsidR="001E23AC" w:rsidRPr="00487C69" w:rsidRDefault="00D36E73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Repeat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steps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all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species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list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defined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Step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1.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Keep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each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region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separate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file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will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analyzed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separately.</w:t>
      </w:r>
    </w:p>
    <w:p w14:paraId="57F2CEC9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18F3CF76" w14:textId="61177677" w:rsidR="001E23AC" w:rsidRPr="00487C69" w:rsidRDefault="001E23AC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Download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relevant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large,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representative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proportion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identified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Step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Include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geographic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variants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possible.</w:t>
      </w:r>
    </w:p>
    <w:p w14:paraId="762D3F39" w14:textId="77777777" w:rsidR="00A8528C" w:rsidRPr="00487C69" w:rsidRDefault="00A8528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7419D902" w14:textId="67EC75E5" w:rsidR="00A8528C" w:rsidRPr="00487C69" w:rsidRDefault="00A8528C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</w:rPr>
        <w:t>Repeat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search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download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sympatric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taxonomic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group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identified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Step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r w:rsidR="00637133" w:rsidRPr="00487C69">
        <w:rPr>
          <w:rFonts w:asciiTheme="minorHAnsi" w:hAnsiTheme="minorHAnsi" w:cstheme="minorHAnsi"/>
        </w:rPr>
        <w:t>e.g.,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3308E" w:rsidRPr="00487C69">
        <w:rPr>
          <w:rFonts w:asciiTheme="minorHAnsi" w:hAnsiTheme="minorHAnsi" w:cstheme="minorHAnsi"/>
        </w:rPr>
        <w:t>mucket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3308E" w:rsidRPr="00487C69">
        <w:rPr>
          <w:rFonts w:asciiTheme="minorHAnsi" w:hAnsiTheme="minorHAnsi" w:cstheme="minorHAnsi"/>
        </w:rPr>
        <w:t>(</w:t>
      </w:r>
      <w:r w:rsidR="0053308E" w:rsidRPr="00487C69">
        <w:rPr>
          <w:rFonts w:asciiTheme="minorHAnsi" w:hAnsiTheme="minorHAnsi" w:cstheme="minorHAnsi"/>
          <w:i/>
          <w:iCs/>
        </w:rPr>
        <w:t>A.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53308E"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="0053308E" w:rsidRPr="00487C69">
        <w:rPr>
          <w:rFonts w:asciiTheme="minorHAnsi" w:hAnsiTheme="minorHAnsi" w:cstheme="minorHAnsi"/>
          <w:i/>
          <w:iCs/>
        </w:rPr>
        <w:t>)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r w:rsidRPr="00487C69">
        <w:rPr>
          <w:rFonts w:asciiTheme="minorHAnsi" w:hAnsiTheme="minorHAnsi" w:cstheme="minorHAnsi"/>
        </w:rPr>
        <w:t>download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other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freshwater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mussel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Family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Unionidae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occur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system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interest).</w:t>
      </w:r>
    </w:p>
    <w:p w14:paraId="74C68D0F" w14:textId="77777777" w:rsidR="00A566CF" w:rsidRPr="00487C69" w:rsidRDefault="00A566CF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  <w:color w:val="000000" w:themeColor="text1"/>
        </w:rPr>
      </w:pPr>
    </w:p>
    <w:p w14:paraId="36216F43" w14:textId="0B9B74C9" w:rsidR="001E23AC" w:rsidRPr="00487C69" w:rsidRDefault="001E23AC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Repeat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search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download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closely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but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allopatric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(geographically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separate)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listed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Step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F1B81" w:rsidRPr="00487C69">
        <w:rPr>
          <w:rFonts w:asciiTheme="minorHAnsi" w:hAnsiTheme="minorHAnsi" w:cstheme="minorHAnsi"/>
        </w:rPr>
        <w:t>1.</w:t>
      </w:r>
      <w:r w:rsidRPr="00487C69">
        <w:rPr>
          <w:rFonts w:asciiTheme="minorHAnsi" w:hAnsiTheme="minorHAnsi" w:cstheme="minorHAnsi"/>
        </w:rPr>
        <w:t>1.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4DCB6B68" w14:textId="77777777" w:rsidR="004E2984" w:rsidRPr="00487C69" w:rsidRDefault="004E2984" w:rsidP="00487C69">
      <w:pPr>
        <w:pStyle w:val="ListParagraph"/>
        <w:ind w:left="0"/>
        <w:rPr>
          <w:rFonts w:asciiTheme="minorHAnsi" w:eastAsiaTheme="minorEastAsia" w:hAnsiTheme="minorHAnsi" w:cstheme="minorHAnsi"/>
        </w:rPr>
      </w:pPr>
    </w:p>
    <w:p w14:paraId="565EC92D" w14:textId="21EA3F48" w:rsidR="001E23AC" w:rsidRPr="00487C69" w:rsidRDefault="001E23AC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NOTE: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color w:val="FF0000"/>
        </w:rPr>
        <w:tab/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(targets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non-targets)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available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public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Increase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local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reference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amplifying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taxonomically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specimens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in-house.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working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high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within-species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genetic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diversity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working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geographically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large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area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where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geographic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variants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expected,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gather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across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range.</w:t>
      </w:r>
    </w:p>
    <w:p w14:paraId="0D58BA1D" w14:textId="77777777" w:rsidR="001E23AC" w:rsidRPr="00487C69" w:rsidRDefault="001E23AC" w:rsidP="00487C69">
      <w:pPr>
        <w:contextualSpacing/>
        <w:rPr>
          <w:rFonts w:asciiTheme="minorHAnsi" w:hAnsiTheme="minorHAnsi" w:cstheme="minorHAnsi"/>
        </w:rPr>
      </w:pPr>
    </w:p>
    <w:p w14:paraId="1FE89A31" w14:textId="03EBBE88" w:rsidR="001E23AC" w:rsidRPr="00487C69" w:rsidRDefault="001E23AC" w:rsidP="00487C69">
      <w:pPr>
        <w:pStyle w:val="ListParagraph"/>
        <w:widowControl/>
        <w:numPr>
          <w:ilvl w:val="0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b/>
          <w:bCs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b/>
          <w:bCs/>
          <w:highlight w:val="yellow"/>
        </w:rPr>
        <w:t>Assay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design</w:t>
      </w:r>
    </w:p>
    <w:p w14:paraId="3970115C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1B56BBCF" w14:textId="6289E224" w:rsidR="001E23AC" w:rsidRPr="00487C69" w:rsidRDefault="001E23AC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Align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each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separately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using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alignment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software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can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found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various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genetic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editing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bioinformatic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programs.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alignment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each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different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95011"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95011" w:rsidRPr="00487C69">
        <w:rPr>
          <w:rFonts w:asciiTheme="minorHAnsi" w:hAnsiTheme="minorHAnsi" w:cstheme="minorHAnsi"/>
          <w:highlight w:val="yellow"/>
        </w:rPr>
        <w:t>regions</w:t>
      </w:r>
      <w:r w:rsidRPr="00487C69">
        <w:rPr>
          <w:rFonts w:asciiTheme="minorHAnsi" w:hAnsiTheme="minorHAnsi" w:cstheme="minorHAnsi"/>
          <w:highlight w:val="yellow"/>
        </w:rPr>
        <w:t>.</w:t>
      </w:r>
    </w:p>
    <w:p w14:paraId="535F8353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696FAF51" w14:textId="15B99DF1" w:rsidR="001E23AC" w:rsidRPr="00487C69" w:rsidRDefault="001E23AC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auto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instance,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using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487C69">
        <w:rPr>
          <w:rFonts w:asciiTheme="minorHAnsi" w:hAnsiTheme="minorHAnsi" w:cstheme="minorHAnsi"/>
          <w:highlight w:val="yellow"/>
        </w:rPr>
        <w:t>Geneious</w:t>
      </w:r>
      <w:proofErr w:type="spellEnd"/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software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shd w:val="clear" w:color="auto" w:fill="FFFFFF"/>
        </w:rPr>
        <w:t>(</w:t>
      </w:r>
      <w:hyperlink r:id="rId13" w:tgtFrame="_blank" w:history="1">
        <w:r w:rsidRPr="00487C69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https://www.geneious.com</w:t>
        </w:r>
      </w:hyperlink>
      <w:r w:rsidRPr="00487C69">
        <w:rPr>
          <w:rFonts w:asciiTheme="minorHAnsi" w:hAnsiTheme="minorHAnsi" w:cstheme="minorHAnsi"/>
          <w:color w:val="auto"/>
          <w:shd w:val="clear" w:color="auto" w:fill="FFFFFF"/>
        </w:rPr>
        <w:t>)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import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the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downloaded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sequence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files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into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the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program.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2511A6B6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7CA59C53" w14:textId="13EE0849" w:rsidR="001E23AC" w:rsidRPr="00487C69" w:rsidRDefault="001E23AC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Create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separate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folders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each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region.</w:t>
      </w:r>
    </w:p>
    <w:p w14:paraId="4A1DFCC7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786B1D8D" w14:textId="2FB4E627" w:rsidR="001E23AC" w:rsidRPr="00487C69" w:rsidRDefault="001E23AC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Within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folder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contains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4E2984" w:rsidRPr="00487C69">
        <w:rPr>
          <w:rFonts w:asciiTheme="minorHAnsi" w:hAnsiTheme="minorHAnsi" w:cstheme="minorHAnsi"/>
          <w:highlight w:val="yellow"/>
        </w:rPr>
        <w:t>f</w:t>
      </w:r>
      <w:r w:rsidRPr="00487C69">
        <w:rPr>
          <w:rFonts w:asciiTheme="minorHAnsi" w:hAnsiTheme="minorHAnsi" w:cstheme="minorHAnsi"/>
          <w:highlight w:val="yellow"/>
        </w:rPr>
        <w:t>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region,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select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sequences.</w:t>
      </w:r>
    </w:p>
    <w:p w14:paraId="1AFD6C37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40599EBD" w14:textId="78FC27E5" w:rsidR="001E23AC" w:rsidRPr="00487C69" w:rsidRDefault="00487C69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Use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Multiple</w:t>
      </w:r>
      <w:r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alignment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tool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to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create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nucleotide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alignment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selected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sequences.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There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may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be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several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options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type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alignment,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using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1E23AC" w:rsidRPr="00487C69">
        <w:rPr>
          <w:rFonts w:asciiTheme="minorHAnsi" w:hAnsiTheme="minorHAnsi" w:cstheme="minorHAnsi"/>
          <w:b/>
          <w:bCs/>
          <w:highlight w:val="yellow"/>
        </w:rPr>
        <w:t>Geneious</w:t>
      </w:r>
      <w:proofErr w:type="spellEnd"/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MUSCLE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alignments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E2984" w:rsidRPr="00487C69">
        <w:rPr>
          <w:rFonts w:asciiTheme="minorHAnsi" w:hAnsiTheme="minorHAnsi" w:cstheme="minorHAnsi"/>
          <w:highlight w:val="yellow"/>
        </w:rPr>
        <w:t>default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parameters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works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well.</w:t>
      </w:r>
    </w:p>
    <w:p w14:paraId="492B7D85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247B2E63" w14:textId="4126E27B" w:rsidR="001E23AC" w:rsidRPr="00487C69" w:rsidRDefault="00487C69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Choose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promising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regions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assay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design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through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visualization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aligned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sequence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data.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region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that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has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lot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sequence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data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available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species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interest,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is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highly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divergent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among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species,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shows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low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within-species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variation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is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good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candidate.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This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will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increase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likelihood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that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primers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probes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designed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will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be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able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to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discriminate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target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from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non-target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species,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while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also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ensuring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075A73" w:rsidRPr="00487C69">
        <w:rPr>
          <w:rFonts w:asciiTheme="minorHAnsi" w:hAnsiTheme="minorHAnsi" w:cstheme="minorHAnsi"/>
          <w:highlight w:val="yellow"/>
        </w:rPr>
        <w:t>intraspecific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variants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will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amplify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with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assay.</w:t>
      </w:r>
      <w:r w:rsidRPr="00487C69">
        <w:rPr>
          <w:rFonts w:asciiTheme="minorHAnsi" w:hAnsiTheme="minorHAnsi" w:cstheme="minorHAnsi"/>
        </w:rPr>
        <w:t xml:space="preserve"> </w:t>
      </w:r>
    </w:p>
    <w:bookmarkEnd w:id="2"/>
    <w:p w14:paraId="24AF41FD" w14:textId="77777777" w:rsidR="001E23AC" w:rsidRPr="00487C69" w:rsidRDefault="001E23AC" w:rsidP="00487C69">
      <w:pPr>
        <w:contextualSpacing/>
        <w:rPr>
          <w:rFonts w:asciiTheme="minorHAnsi" w:hAnsiTheme="minorHAnsi" w:cstheme="minorHAnsi"/>
        </w:rPr>
      </w:pPr>
    </w:p>
    <w:p w14:paraId="72835F53" w14:textId="28567FA2" w:rsidR="001E23AC" w:rsidRPr="00487C69" w:rsidRDefault="00324E77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Design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assay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probe</w:t>
      </w:r>
      <w:r w:rsidR="001E23AC" w:rsidRPr="00487C69">
        <w:rPr>
          <w:rFonts w:asciiTheme="minorHAnsi" w:hAnsiTheme="minorHAnsi" w:cstheme="minorHAnsi"/>
          <w:highlight w:val="yellow"/>
        </w:rPr>
        <w:t>.</w:t>
      </w:r>
    </w:p>
    <w:p w14:paraId="34ECD9E1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7D6F67C6" w14:textId="031CDFC5" w:rsidR="001E23AC" w:rsidRPr="00487C69" w:rsidRDefault="001E23AC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lastRenderedPageBreak/>
        <w:t>Use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qPCR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assay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design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software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follow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instructions.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IDT’s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324E77" w:rsidRPr="00487C69">
        <w:rPr>
          <w:rFonts w:asciiTheme="minorHAnsi" w:hAnsiTheme="minorHAnsi" w:cstheme="minorHAnsi"/>
          <w:highlight w:val="yellow"/>
        </w:rPr>
        <w:t>PrimerQuest</w:t>
      </w:r>
      <w:proofErr w:type="spellEnd"/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Tool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A566CF" w:rsidRPr="00487C69">
        <w:rPr>
          <w:rFonts w:asciiTheme="minorHAnsi" w:hAnsiTheme="minorHAnsi" w:cstheme="minorHAnsi"/>
          <w:highlight w:val="yellow"/>
        </w:rPr>
        <w:t>(</w:t>
      </w:r>
      <w:hyperlink r:id="rId14" w:history="1">
        <w:r w:rsidR="00A566CF" w:rsidRPr="00487C69">
          <w:rPr>
            <w:rStyle w:val="Hyperlink"/>
            <w:rFonts w:asciiTheme="minorHAnsi" w:hAnsiTheme="minorHAnsi" w:cstheme="minorHAnsi"/>
            <w:color w:val="auto"/>
            <w:highlight w:val="yellow"/>
            <w:u w:val="none"/>
          </w:rPr>
          <w:t>https://www.idtdna.com/</w:t>
        </w:r>
      </w:hyperlink>
      <w:r w:rsidR="00A566CF" w:rsidRPr="00487C69">
        <w:rPr>
          <w:rFonts w:asciiTheme="minorHAnsi" w:hAnsiTheme="minorHAnsi" w:cstheme="minorHAnsi"/>
          <w:color w:val="auto"/>
          <w:highlight w:val="yellow"/>
        </w:rPr>
        <w:t>)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design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5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sets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qPCR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assays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BF1B81" w:rsidRPr="00487C69">
        <w:rPr>
          <w:rFonts w:asciiTheme="minorHAnsi" w:hAnsiTheme="minorHAnsi" w:cstheme="minorHAnsi"/>
          <w:highlight w:val="yellow"/>
        </w:rPr>
        <w:t>was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BF1B81" w:rsidRPr="00487C69">
        <w:rPr>
          <w:rFonts w:asciiTheme="minorHAnsi" w:hAnsiTheme="minorHAnsi" w:cstheme="minorHAnsi"/>
          <w:highlight w:val="yellow"/>
        </w:rPr>
        <w:t>used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BF1B81" w:rsidRPr="00487C69">
        <w:rPr>
          <w:rFonts w:asciiTheme="minorHAnsi" w:hAnsiTheme="minorHAnsi" w:cstheme="minorHAnsi"/>
          <w:highlight w:val="yellow"/>
        </w:rPr>
        <w:t>here</w:t>
      </w:r>
      <w:r w:rsidR="00324E77" w:rsidRPr="00487C69">
        <w:rPr>
          <w:rFonts w:asciiTheme="minorHAnsi" w:hAnsiTheme="minorHAnsi" w:cstheme="minorHAnsi"/>
          <w:highlight w:val="yellow"/>
        </w:rPr>
        <w:t>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0BB4F235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49767AE9" w14:textId="36E9A40B" w:rsidR="00324E77" w:rsidRPr="00487C69" w:rsidRDefault="00324E77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Paste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selected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step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637133" w:rsidRPr="00487C69">
        <w:rPr>
          <w:rFonts w:asciiTheme="minorHAnsi" w:hAnsiTheme="minorHAnsi" w:cstheme="minorHAnsi"/>
          <w:highlight w:val="yellow"/>
        </w:rPr>
        <w:t>2</w:t>
      </w:r>
      <w:r w:rsidRPr="00487C69">
        <w:rPr>
          <w:rFonts w:asciiTheme="minorHAnsi" w:hAnsiTheme="minorHAnsi" w:cstheme="minorHAnsi"/>
          <w:highlight w:val="yellow"/>
        </w:rPr>
        <w:t>.2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entry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box.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alignment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created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spaces,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delete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those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sequence.</w:t>
      </w:r>
    </w:p>
    <w:p w14:paraId="153A8C38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61562A43" w14:textId="3A49A0BB" w:rsidR="00324E77" w:rsidRPr="00487C69" w:rsidRDefault="00324E77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Select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qPCR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2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Primers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+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Probe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Choose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Your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Design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option.</w:t>
      </w:r>
    </w:p>
    <w:p w14:paraId="641909D4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41A04294" w14:textId="55F9EDBA" w:rsidR="00324E77" w:rsidRPr="00487C69" w:rsidRDefault="00324E77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Download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recommended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assays.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7784F1F9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2D73331F" w14:textId="26EC8624" w:rsidR="00324E77" w:rsidRPr="00487C69" w:rsidRDefault="00324E77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Copy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forward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first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assay,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search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</w:t>
      </w:r>
      <w:r w:rsidR="00A566CF" w:rsidRPr="00487C69">
        <w:rPr>
          <w:rFonts w:asciiTheme="minorHAnsi" w:hAnsiTheme="minorHAnsi" w:cstheme="minorHAnsi"/>
          <w:highlight w:val="yellow"/>
        </w:rPr>
        <w:t>e</w:t>
      </w:r>
      <w:r w:rsidRPr="00487C69">
        <w:rPr>
          <w:rFonts w:asciiTheme="minorHAnsi" w:hAnsiTheme="minorHAnsi" w:cstheme="minorHAnsi"/>
          <w:highlight w:val="yellow"/>
        </w:rPr>
        <w:t>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alignment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created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step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BF1B81" w:rsidRPr="00487C69">
        <w:rPr>
          <w:rFonts w:asciiTheme="minorHAnsi" w:hAnsiTheme="minorHAnsi" w:cstheme="minorHAnsi"/>
          <w:highlight w:val="yellow"/>
        </w:rPr>
        <w:t>2</w:t>
      </w:r>
      <w:r w:rsidRPr="00487C69">
        <w:rPr>
          <w:rFonts w:asciiTheme="minorHAnsi" w:hAnsiTheme="minorHAnsi" w:cstheme="minorHAnsi"/>
          <w:highlight w:val="yellow"/>
        </w:rPr>
        <w:t>.1.4.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using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487C69">
        <w:rPr>
          <w:rFonts w:asciiTheme="minorHAnsi" w:hAnsiTheme="minorHAnsi" w:cstheme="minorHAnsi"/>
          <w:highlight w:val="yellow"/>
        </w:rPr>
        <w:t>Geneious</w:t>
      </w:r>
      <w:proofErr w:type="spellEnd"/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use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Annotate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and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Predict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tool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add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alignment.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combinations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</w:t>
      </w:r>
      <w:r w:rsidRPr="00487C69">
        <w:rPr>
          <w:rFonts w:asciiTheme="minorHAnsi" w:hAnsiTheme="minorHAnsi" w:cstheme="minorHAnsi"/>
          <w:b/>
          <w:bCs/>
          <w:highlight w:val="yellow"/>
        </w:rPr>
        <w:t>Figure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2</w:t>
      </w:r>
      <w:r w:rsidRPr="00487C69">
        <w:rPr>
          <w:rFonts w:asciiTheme="minorHAnsi" w:hAnsiTheme="minorHAnsi" w:cstheme="minorHAnsi"/>
          <w:highlight w:val="yellow"/>
        </w:rPr>
        <w:t>).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4B2DBF6E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7E623E17" w14:textId="38AF8213" w:rsidR="00324E77" w:rsidRPr="00487C69" w:rsidRDefault="00324E77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Inspect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regions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alignment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variation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within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target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well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within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co-occurring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species.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bookmarkStart w:id="4" w:name="_Hlk50895296"/>
    </w:p>
    <w:p w14:paraId="621EA1B0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03A1591B" w14:textId="7B25EF45" w:rsidR="00324E77" w:rsidRPr="00487C69" w:rsidRDefault="00324E77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intraspecific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genetic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variation,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search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75A73" w:rsidRPr="00487C69">
        <w:rPr>
          <w:rFonts w:asciiTheme="minorHAnsi" w:hAnsiTheme="minorHAnsi" w:cstheme="minorHAnsi"/>
        </w:rPr>
        <w:t>where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75A73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75A73"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75A73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75A73"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do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fall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within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regions</w:t>
      </w:r>
      <w:bookmarkEnd w:id="4"/>
      <w:r w:rsidR="00075A73" w:rsidRPr="00487C69">
        <w:rPr>
          <w:rFonts w:asciiTheme="minorHAnsi" w:hAnsiTheme="minorHAnsi" w:cstheme="minorHAnsi"/>
        </w:rPr>
        <w:t>.</w:t>
      </w:r>
    </w:p>
    <w:p w14:paraId="7483AC8E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4500DFA1" w14:textId="0FD1F4DC" w:rsidR="00324E77" w:rsidRPr="00487C69" w:rsidRDefault="00324E77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prevent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search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mismatches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Choose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mismatches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further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validation</w:t>
      </w:r>
      <w:r w:rsidR="00E35B93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35B93" w:rsidRPr="00487C69">
        <w:rPr>
          <w:rFonts w:asciiTheme="minorHAnsi" w:hAnsiTheme="minorHAnsi" w:cstheme="minorHAnsi"/>
        </w:rPr>
        <w:t>Currier</w:t>
      </w:r>
      <w:r w:rsidR="00487C69" w:rsidRPr="00487C69">
        <w:rPr>
          <w:rFonts w:asciiTheme="minorHAnsi" w:hAnsiTheme="minorHAnsi" w:cstheme="minorHAnsi"/>
        </w:rPr>
        <w:t xml:space="preserve"> et al. </w:t>
      </w:r>
      <w:r w:rsidR="00E35B93" w:rsidRPr="00487C69">
        <w:rPr>
          <w:rFonts w:asciiTheme="minorHAnsi" w:hAnsiTheme="minorHAnsi" w:cstheme="minorHAnsi"/>
        </w:rPr>
        <w:t>(2018)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35B93" w:rsidRPr="00487C69">
        <w:rPr>
          <w:rFonts w:asciiTheme="minorHAnsi" w:hAnsiTheme="minorHAnsi" w:cstheme="minorHAnsi"/>
        </w:rPr>
        <w:t>suggest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35B93" w:rsidRPr="00487C69">
        <w:rPr>
          <w:rFonts w:asciiTheme="minorHAnsi" w:hAnsiTheme="minorHAnsi" w:cstheme="minorHAnsi"/>
        </w:rPr>
        <w:t>choos</w:t>
      </w:r>
      <w:r w:rsidR="001B1556" w:rsidRPr="00487C69">
        <w:rPr>
          <w:rFonts w:asciiTheme="minorHAnsi" w:hAnsiTheme="minorHAnsi" w:cstheme="minorHAnsi"/>
        </w:rPr>
        <w:t>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least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two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three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35B93" w:rsidRPr="00487C69">
        <w:rPr>
          <w:rFonts w:asciiTheme="minorHAnsi" w:hAnsiTheme="minorHAnsi" w:cstheme="minorHAnsi"/>
        </w:rPr>
        <w:t>regions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two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</w:t>
      </w:r>
      <w:r w:rsidR="00E35B93" w:rsidRPr="00487C69">
        <w:rPr>
          <w:rFonts w:asciiTheme="minorHAnsi" w:hAnsiTheme="minorHAnsi" w:cstheme="minorHAnsi"/>
        </w:rPr>
        <w:t>ving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least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two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mismatches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However,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keep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mismatches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contribute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less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specificity</w:t>
      </w:r>
      <w:r w:rsidRPr="00487C69">
        <w:rPr>
          <w:rFonts w:asciiTheme="minorHAnsi" w:hAnsiTheme="minorHAnsi" w:cstheme="minorHAnsi"/>
          <w:vertAlign w:val="superscript"/>
        </w:rPr>
        <w:t>10</w:t>
      </w:r>
      <w:r w:rsidRPr="00487C69">
        <w:rPr>
          <w:rFonts w:asciiTheme="minorHAnsi" w:hAnsiTheme="minorHAnsi" w:cstheme="minorHAnsi"/>
        </w:rPr>
        <w:t>.</w:t>
      </w:r>
    </w:p>
    <w:p w14:paraId="042410E6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6BE17888" w14:textId="199C379A" w:rsidR="00324E77" w:rsidRPr="00487C69" w:rsidRDefault="00637133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NOTE: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Differences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within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3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base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pairs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3’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end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each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increase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sp</w:t>
      </w:r>
      <w:r w:rsidR="00A566CF" w:rsidRPr="00487C69">
        <w:rPr>
          <w:rFonts w:asciiTheme="minorHAnsi" w:hAnsiTheme="minorHAnsi" w:cstheme="minorHAnsi"/>
        </w:rPr>
        <w:t>e</w:t>
      </w:r>
      <w:r w:rsidR="00324E77" w:rsidRPr="00487C69">
        <w:rPr>
          <w:rFonts w:asciiTheme="minorHAnsi" w:hAnsiTheme="minorHAnsi" w:cstheme="minorHAnsi"/>
        </w:rPr>
        <w:t>cific</w:t>
      </w:r>
      <w:r w:rsidR="00A566CF" w:rsidRPr="00487C69">
        <w:rPr>
          <w:rFonts w:asciiTheme="minorHAnsi" w:hAnsiTheme="minorHAnsi" w:cstheme="minorHAnsi"/>
        </w:rPr>
        <w:t>i</w:t>
      </w:r>
      <w:r w:rsidR="00324E77" w:rsidRPr="00487C69">
        <w:rPr>
          <w:rFonts w:asciiTheme="minorHAnsi" w:hAnsiTheme="minorHAnsi" w:cstheme="minorHAnsi"/>
        </w:rPr>
        <w:t>ty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better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than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differences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5’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end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primers</w:t>
      </w:r>
      <w:r w:rsidR="00324E77" w:rsidRPr="00487C69">
        <w:rPr>
          <w:rFonts w:asciiTheme="minorHAnsi" w:hAnsiTheme="minorHAnsi" w:cstheme="minorHAnsi"/>
          <w:noProof/>
          <w:vertAlign w:val="superscript"/>
        </w:rPr>
        <w:t>10</w:t>
      </w:r>
      <w:r w:rsidR="00324E77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35ED0B5F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0B72F458" w14:textId="135EEBF6" w:rsidR="006378B5" w:rsidRPr="00487C69" w:rsidRDefault="00637133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Consider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following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</w:t>
      </w:r>
      <w:r w:rsidR="00A566CF" w:rsidRPr="00487C69">
        <w:rPr>
          <w:rFonts w:asciiTheme="minorHAnsi" w:hAnsiTheme="minorHAnsi" w:cstheme="minorHAnsi"/>
        </w:rPr>
        <w:t>mportant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p</w:t>
      </w:r>
      <w:r w:rsidR="006378B5" w:rsidRPr="00487C69">
        <w:rPr>
          <w:rFonts w:asciiTheme="minorHAnsi" w:hAnsiTheme="minorHAnsi" w:cstheme="minorHAnsi"/>
        </w:rPr>
        <w:t>arameters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design</w:t>
      </w:r>
      <w:r w:rsidRPr="00487C69">
        <w:rPr>
          <w:rFonts w:asciiTheme="minorHAnsi" w:hAnsiTheme="minorHAnsi" w:cstheme="minorHAnsi"/>
        </w:rPr>
        <w:t>.</w:t>
      </w:r>
    </w:p>
    <w:p w14:paraId="5414832C" w14:textId="77777777" w:rsidR="006378B5" w:rsidRPr="00487C69" w:rsidRDefault="006378B5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31F91975" w14:textId="5785550E" w:rsidR="006378B5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Determine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</w:t>
      </w:r>
      <w:r w:rsidR="006378B5" w:rsidRPr="00487C69">
        <w:rPr>
          <w:rFonts w:asciiTheme="minorHAnsi" w:hAnsiTheme="minorHAnsi" w:cstheme="minorHAnsi"/>
          <w:color w:val="auto"/>
        </w:rPr>
        <w:t>emperature</w:t>
      </w:r>
      <w:r w:rsidRPr="00487C69">
        <w:rPr>
          <w:rFonts w:asciiTheme="minorHAnsi" w:hAnsiTheme="minorHAnsi" w:cstheme="minorHAnsi"/>
          <w:color w:val="auto"/>
        </w:rPr>
        <w:t>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Ideally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melting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temperature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(Tm)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should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between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60-64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°C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within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2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°C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each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other,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Tm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probe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should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6-8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degrees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higher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Tm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primers.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Set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annealing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temperature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(Ta)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qPCR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reaction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5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°C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below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melting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temperature,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around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55-60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°C</w:t>
      </w:r>
      <w:r w:rsidR="006378B5" w:rsidRPr="00487C69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6378B5" w:rsidRPr="00487C69">
        <w:rPr>
          <w:rFonts w:asciiTheme="minorHAnsi" w:hAnsiTheme="minorHAnsi" w:cstheme="minorHAnsi"/>
          <w:color w:val="auto"/>
        </w:rPr>
        <w:t>.</w:t>
      </w:r>
    </w:p>
    <w:p w14:paraId="6A75A3C1" w14:textId="77777777" w:rsidR="001822BE" w:rsidRPr="00487C69" w:rsidRDefault="001822BE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auto"/>
        </w:rPr>
      </w:pPr>
    </w:p>
    <w:p w14:paraId="3C527B9D" w14:textId="3BE2B067" w:rsidR="006378B5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Determine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</w:rPr>
        <w:t>GC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content: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Choose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between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35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–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65%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GC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content,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avoid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regions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with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4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more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consecutive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Gs.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Having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1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2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Gs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Cs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5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last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bases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62B44" w:rsidRPr="00487C69">
        <w:rPr>
          <w:rFonts w:asciiTheme="minorHAnsi" w:hAnsiTheme="minorHAnsi" w:cstheme="minorHAnsi"/>
          <w:color w:val="auto"/>
        </w:rPr>
        <w:t>3</w:t>
      </w:r>
      <w:r w:rsidR="001B1556" w:rsidRPr="00487C69">
        <w:rPr>
          <w:rFonts w:asciiTheme="minorHAnsi" w:hAnsiTheme="minorHAnsi" w:cstheme="minorHAnsi"/>
          <w:color w:val="auto"/>
        </w:rPr>
        <w:t>’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end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primer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(GC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clamp)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might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increase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specificity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as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it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would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help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primer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make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stronger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bond</w:t>
      </w:r>
      <w:r w:rsidR="009C174F" w:rsidRPr="00487C69">
        <w:rPr>
          <w:rFonts w:asciiTheme="minorHAnsi" w:hAnsiTheme="minorHAnsi" w:cstheme="minorHAnsi"/>
          <w:color w:val="auto"/>
          <w:vertAlign w:val="superscript"/>
        </w:rPr>
        <w:t>12</w:t>
      </w:r>
      <w:r w:rsidR="009C174F" w:rsidRPr="00487C69">
        <w:rPr>
          <w:rFonts w:asciiTheme="minorHAnsi" w:hAnsiTheme="minorHAnsi" w:cstheme="minorHAnsi"/>
          <w:color w:val="auto"/>
        </w:rPr>
        <w:t>.</w:t>
      </w:r>
    </w:p>
    <w:p w14:paraId="28F1515C" w14:textId="77777777" w:rsidR="001822BE" w:rsidRPr="00487C69" w:rsidRDefault="001822BE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auto"/>
        </w:rPr>
      </w:pPr>
    </w:p>
    <w:p w14:paraId="435D1545" w14:textId="46022B83" w:rsidR="006378B5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Determine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h</w:t>
      </w:r>
      <w:r w:rsidR="006378B5" w:rsidRPr="00487C69">
        <w:rPr>
          <w:rFonts w:asciiTheme="minorHAnsi" w:hAnsiTheme="minorHAnsi" w:cstheme="minorHAnsi"/>
          <w:color w:val="auto"/>
        </w:rPr>
        <w:t>airpin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dimer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structures</w:t>
      </w:r>
      <w:r w:rsidRPr="00487C69">
        <w:rPr>
          <w:rFonts w:asciiTheme="minorHAnsi" w:hAnsiTheme="minorHAnsi" w:cstheme="minorHAnsi"/>
          <w:color w:val="auto"/>
        </w:rPr>
        <w:t>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Test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probe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predicted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hairpin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structures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dimers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using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oligonucleotide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analyzing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program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(</w:t>
      </w:r>
      <w:r w:rsidRPr="00487C69">
        <w:rPr>
          <w:rFonts w:asciiTheme="minorHAnsi" w:hAnsiTheme="minorHAnsi" w:cstheme="minorHAnsi"/>
          <w:color w:val="auto"/>
        </w:rPr>
        <w:t>e.g.,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6378B5" w:rsidRPr="00487C69">
        <w:rPr>
          <w:rFonts w:asciiTheme="minorHAnsi" w:hAnsiTheme="minorHAnsi" w:cstheme="minorHAnsi"/>
          <w:color w:val="auto"/>
        </w:rPr>
        <w:t>OligoAnalyzer</w:t>
      </w:r>
      <w:proofErr w:type="spellEnd"/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-</w:t>
      </w:r>
      <w:r w:rsidR="006378B5" w:rsidRPr="00487C69">
        <w:rPr>
          <w:rFonts w:asciiTheme="minorHAnsi" w:hAnsiTheme="minorHAnsi" w:cstheme="minorHAnsi"/>
          <w:color w:val="auto"/>
        </w:rPr>
        <w:lastRenderedPageBreak/>
        <w:t>IDT</w:t>
      </w:r>
      <w:r w:rsidR="006378B5" w:rsidRPr="00487C69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9C174F" w:rsidRPr="00487C69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6378B5" w:rsidRPr="00487C69">
        <w:rPr>
          <w:rFonts w:asciiTheme="minorHAnsi" w:hAnsiTheme="minorHAnsi" w:cstheme="minorHAnsi"/>
          <w:color w:val="auto"/>
        </w:rPr>
        <w:t>;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Style w:val="Hyperlink"/>
          <w:rFonts w:asciiTheme="minorHAnsi" w:hAnsiTheme="minorHAnsi" w:cstheme="minorHAnsi"/>
          <w:color w:val="auto"/>
          <w:u w:val="none"/>
        </w:rPr>
        <w:t>OligoCalculator</w:t>
      </w:r>
      <w:r w:rsidR="006378B5" w:rsidRPr="00487C69">
        <w:rPr>
          <w:rStyle w:val="Hyperlink"/>
          <w:rFonts w:asciiTheme="minorHAnsi" w:hAnsiTheme="minorHAnsi" w:cstheme="minorHAnsi"/>
          <w:noProof/>
          <w:color w:val="auto"/>
          <w:u w:val="none"/>
          <w:vertAlign w:val="superscript"/>
        </w:rPr>
        <w:t>1</w:t>
      </w:r>
      <w:r w:rsidR="009C174F" w:rsidRPr="00487C69">
        <w:rPr>
          <w:rStyle w:val="Hyperlink"/>
          <w:rFonts w:asciiTheme="minorHAnsi" w:hAnsiTheme="minorHAnsi" w:cstheme="minorHAnsi"/>
          <w:noProof/>
          <w:color w:val="auto"/>
          <w:u w:val="none"/>
          <w:vertAlign w:val="superscript"/>
        </w:rPr>
        <w:t>4</w:t>
      </w:r>
      <w:r w:rsidR="006378B5" w:rsidRPr="00487C69">
        <w:rPr>
          <w:rFonts w:asciiTheme="minorHAnsi" w:hAnsiTheme="minorHAnsi" w:cstheme="minorHAnsi"/>
          <w:color w:val="auto"/>
        </w:rPr>
        <w:t>).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structures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can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cause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non-target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amplification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lower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efficiency.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Avoid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assays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which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are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predicted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form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these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structures.</w:t>
      </w:r>
    </w:p>
    <w:p w14:paraId="0DDBBD6A" w14:textId="77777777" w:rsidR="001822BE" w:rsidRPr="00487C69" w:rsidRDefault="001822BE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auto"/>
        </w:rPr>
      </w:pPr>
    </w:p>
    <w:p w14:paraId="4BB2EEE0" w14:textId="549C52DA" w:rsidR="006378B5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bookmarkStart w:id="5" w:name="_Hlk50661944"/>
      <w:bookmarkStart w:id="6" w:name="_Hlk50626630"/>
      <w:r w:rsidRPr="00487C69">
        <w:rPr>
          <w:rFonts w:asciiTheme="minorHAnsi" w:hAnsiTheme="minorHAnsi" w:cstheme="minorHAnsi"/>
          <w:color w:val="auto"/>
        </w:rPr>
        <w:t>Determine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</w:t>
      </w:r>
      <w:r w:rsidR="006378B5" w:rsidRPr="00487C69">
        <w:rPr>
          <w:rFonts w:asciiTheme="minorHAnsi" w:hAnsiTheme="minorHAnsi" w:cstheme="minorHAnsi"/>
        </w:rPr>
        <w:t>rimer</w:t>
      </w:r>
      <w:r w:rsidR="00487C69" w:rsidRPr="00487C69">
        <w:rPr>
          <w:rFonts w:asciiTheme="minorHAnsi" w:hAnsiTheme="minorHAnsi" w:cstheme="minorHAnsi"/>
        </w:rPr>
        <w:t xml:space="preserve"> l</w:t>
      </w:r>
      <w:r w:rsidR="006378B5" w:rsidRPr="00487C69">
        <w:rPr>
          <w:rFonts w:asciiTheme="minorHAnsi" w:hAnsiTheme="minorHAnsi" w:cstheme="minorHAnsi"/>
        </w:rPr>
        <w:t>ength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Aim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between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18-2</w:t>
      </w:r>
      <w:r w:rsidR="00223835" w:rsidRPr="00487C69">
        <w:rPr>
          <w:rFonts w:asciiTheme="minorHAnsi" w:hAnsiTheme="minorHAnsi" w:cstheme="minorHAnsi"/>
        </w:rPr>
        <w:t>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bases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length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length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between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20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–</w:t>
      </w:r>
      <w:r w:rsidR="00223835" w:rsidRPr="00487C69">
        <w:rPr>
          <w:rFonts w:asciiTheme="minorHAnsi" w:hAnsiTheme="minorHAnsi" w:cstheme="minorHAnsi"/>
        </w:rPr>
        <w:t>25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bases.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Longer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probes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may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have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lower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efficiency.</w:t>
      </w:r>
      <w:bookmarkEnd w:id="5"/>
    </w:p>
    <w:bookmarkEnd w:id="6"/>
    <w:p w14:paraId="192EF8A5" w14:textId="77777777" w:rsidR="006378B5" w:rsidRPr="00487C69" w:rsidRDefault="006378B5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  <w:color w:val="auto"/>
        </w:rPr>
      </w:pPr>
    </w:p>
    <w:p w14:paraId="00C122B4" w14:textId="337CD7B7" w:rsidR="006378B5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  <w:color w:val="auto"/>
        </w:rPr>
        <w:t>Determine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6378B5" w:rsidRPr="00487C69">
        <w:rPr>
          <w:rFonts w:asciiTheme="minorHAnsi" w:hAnsiTheme="minorHAnsi" w:cstheme="minorHAnsi"/>
          <w:color w:val="auto"/>
        </w:rPr>
        <w:t>mplicon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l</w:t>
      </w:r>
      <w:r w:rsidR="006378B5" w:rsidRPr="00487C69">
        <w:rPr>
          <w:rFonts w:asciiTheme="minorHAnsi" w:hAnsiTheme="minorHAnsi" w:cstheme="minorHAnsi"/>
          <w:color w:val="auto"/>
        </w:rPr>
        <w:t>ength</w:t>
      </w:r>
      <w:r w:rsidRPr="00487C69">
        <w:rPr>
          <w:rFonts w:asciiTheme="minorHAnsi" w:hAnsiTheme="minorHAnsi" w:cstheme="minorHAnsi"/>
          <w:color w:val="auto"/>
        </w:rPr>
        <w:t>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should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between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approximately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100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250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base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pairs.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This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range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is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generally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short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enough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high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efficiency,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but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long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enough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ease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verification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Sanger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sequencing</w:t>
      </w:r>
      <w:r w:rsidR="00487C69" w:rsidRPr="00487C69">
        <w:rPr>
          <w:rFonts w:asciiTheme="minorHAnsi" w:hAnsiTheme="minorHAnsi" w:cstheme="minorHAnsi"/>
          <w:noProof/>
          <w:vertAlign w:val="superscript"/>
        </w:rPr>
        <w:t xml:space="preserve"> </w:t>
      </w:r>
      <w:r w:rsidR="006378B5" w:rsidRPr="00487C69">
        <w:rPr>
          <w:rFonts w:asciiTheme="minorHAnsi" w:hAnsiTheme="minorHAnsi" w:cstheme="minorHAnsi"/>
          <w:noProof/>
          <w:vertAlign w:val="superscript"/>
        </w:rPr>
        <w:t>4,1</w:t>
      </w:r>
      <w:r w:rsidR="009C174F" w:rsidRPr="00487C69">
        <w:rPr>
          <w:rFonts w:asciiTheme="minorHAnsi" w:hAnsiTheme="minorHAnsi" w:cstheme="minorHAnsi"/>
          <w:noProof/>
          <w:vertAlign w:val="superscript"/>
        </w:rPr>
        <w:t>5</w:t>
      </w:r>
      <w:r w:rsidR="006378B5" w:rsidRPr="00487C69">
        <w:rPr>
          <w:rFonts w:asciiTheme="minorHAnsi" w:hAnsiTheme="minorHAnsi" w:cstheme="minorHAnsi"/>
        </w:rPr>
        <w:t>.</w:t>
      </w:r>
    </w:p>
    <w:p w14:paraId="04E13D40" w14:textId="77777777" w:rsidR="006378B5" w:rsidRPr="00487C69" w:rsidRDefault="006378B5" w:rsidP="00487C69">
      <w:pPr>
        <w:pStyle w:val="ListParagraph"/>
        <w:ind w:left="0"/>
        <w:rPr>
          <w:rFonts w:asciiTheme="minorHAnsi" w:eastAsiaTheme="minorEastAsia" w:hAnsiTheme="minorHAnsi" w:cstheme="minorHAnsi"/>
          <w:color w:val="000000" w:themeColor="text1"/>
        </w:rPr>
      </w:pPr>
    </w:p>
    <w:p w14:paraId="4FF761BE" w14:textId="7122AAC0" w:rsidR="006378B5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</w:rPr>
      </w:pPr>
      <w:bookmarkStart w:id="7" w:name="_Hlk50640472"/>
      <w:r w:rsidRPr="00487C69">
        <w:rPr>
          <w:rFonts w:asciiTheme="minorHAnsi" w:hAnsiTheme="minorHAnsi" w:cstheme="minorHAnsi"/>
          <w:color w:val="auto"/>
        </w:rPr>
        <w:t>Determine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robes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Make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sure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probes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do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not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have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a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G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base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at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5’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end,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because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it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could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dampen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signal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from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green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yellow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dyes</w:t>
      </w:r>
      <w:r w:rsidR="00C32272" w:rsidRPr="00487C69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11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We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designed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double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quenched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probes,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with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IDT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3IABkFQ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ZEN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quenchers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FAM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or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HEX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fluorophores.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</w:p>
    <w:p w14:paraId="606D9747" w14:textId="77777777" w:rsidR="006378B5" w:rsidRPr="00487C69" w:rsidRDefault="006378B5" w:rsidP="00487C69">
      <w:pPr>
        <w:pStyle w:val="ListParagraph"/>
        <w:ind w:left="0"/>
        <w:rPr>
          <w:rFonts w:asciiTheme="minorHAnsi" w:eastAsiaTheme="minorEastAsia" w:hAnsiTheme="minorHAnsi" w:cstheme="minorHAnsi"/>
          <w:color w:val="000000" w:themeColor="text1"/>
        </w:rPr>
      </w:pPr>
    </w:p>
    <w:p w14:paraId="67517627" w14:textId="1F988C71" w:rsidR="006378B5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  <w:color w:val="auto"/>
        </w:rPr>
        <w:t>Determine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robe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Tm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Melting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temperature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of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probe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should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be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6-8°C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higher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than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primers.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Lower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temperatures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decrease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binding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success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of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probe.</w:t>
      </w:r>
    </w:p>
    <w:p w14:paraId="20FBF6A8" w14:textId="77777777" w:rsidR="006378B5" w:rsidRPr="00487C69" w:rsidRDefault="006378B5" w:rsidP="00487C69">
      <w:pPr>
        <w:contextualSpacing/>
        <w:rPr>
          <w:rFonts w:asciiTheme="minorHAnsi" w:eastAsiaTheme="minorEastAsia" w:hAnsiTheme="minorHAnsi" w:cstheme="minorHAnsi"/>
          <w:color w:val="000000" w:themeColor="text1"/>
        </w:rPr>
      </w:pPr>
    </w:p>
    <w:p w14:paraId="66B931D6" w14:textId="4ABFB5BF" w:rsidR="00D30446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  <w:color w:val="auto"/>
        </w:rPr>
        <w:t>Determine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robe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length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location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probe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should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be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between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20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25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bp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in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length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ideally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located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close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to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primer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binding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site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on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same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strand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without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overlapping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it.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</w:p>
    <w:p w14:paraId="72ABAA52" w14:textId="77777777" w:rsidR="00C6406C" w:rsidRPr="00487C69" w:rsidRDefault="00C6406C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  <w:color w:val="000000" w:themeColor="text1"/>
        </w:rPr>
      </w:pPr>
    </w:p>
    <w:p w14:paraId="717FD59A" w14:textId="6D116567" w:rsidR="00CF1B8A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  <w:color w:val="auto"/>
        </w:rPr>
        <w:t>Determine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MGB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probes: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TaqMan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MGB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C6406C" w:rsidRPr="00487C69">
        <w:rPr>
          <w:rFonts w:asciiTheme="minorHAnsi" w:eastAsiaTheme="minorEastAsia" w:hAnsiTheme="minorHAnsi" w:cstheme="minorHAnsi"/>
          <w:color w:val="000000" w:themeColor="text1"/>
        </w:rPr>
        <w:t>(minor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C6406C" w:rsidRPr="00487C69">
        <w:rPr>
          <w:rFonts w:asciiTheme="minorHAnsi" w:eastAsiaTheme="minorEastAsia" w:hAnsiTheme="minorHAnsi" w:cstheme="minorHAnsi"/>
          <w:color w:val="000000" w:themeColor="text1"/>
        </w:rPr>
        <w:t>groove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C6406C" w:rsidRPr="00487C69">
        <w:rPr>
          <w:rFonts w:asciiTheme="minorHAnsi" w:eastAsiaTheme="minorEastAsia" w:hAnsiTheme="minorHAnsi" w:cstheme="minorHAnsi"/>
          <w:color w:val="000000" w:themeColor="text1"/>
        </w:rPr>
        <w:t>binder)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probes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are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C6406C" w:rsidRPr="00487C69">
        <w:rPr>
          <w:rFonts w:asciiTheme="minorHAnsi" w:eastAsiaTheme="minorEastAsia" w:hAnsiTheme="minorHAnsi" w:cstheme="minorHAnsi"/>
          <w:color w:val="000000" w:themeColor="text1"/>
        </w:rPr>
        <w:t>often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used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for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eDNA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studies.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8124FF" w:rsidRPr="00487C69">
        <w:rPr>
          <w:rFonts w:asciiTheme="minorHAnsi" w:eastAsiaTheme="minorEastAsia" w:hAnsiTheme="minorHAnsi" w:cstheme="minorHAnsi"/>
          <w:color w:val="000000" w:themeColor="text1"/>
        </w:rPr>
        <w:t>However,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8124FF" w:rsidRPr="00487C69">
        <w:rPr>
          <w:rFonts w:asciiTheme="minorHAnsi" w:eastAsiaTheme="minorEastAsia" w:hAnsiTheme="minorHAnsi" w:cstheme="minorHAnsi"/>
          <w:color w:val="000000" w:themeColor="text1"/>
        </w:rPr>
        <w:t>b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ecause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these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probes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are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very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short,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they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can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bind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to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non-targets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even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with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C138E3" w:rsidRPr="00487C69">
        <w:rPr>
          <w:rFonts w:asciiTheme="minorHAnsi" w:eastAsiaTheme="minorEastAsia" w:hAnsiTheme="minorHAnsi" w:cstheme="minorHAnsi"/>
          <w:color w:val="000000" w:themeColor="text1"/>
        </w:rPr>
        <w:t>a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2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or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3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base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pair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mismatch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10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bookmarkEnd w:id="7"/>
    </w:p>
    <w:p w14:paraId="48C1DF34" w14:textId="77777777" w:rsidR="00CF1B8A" w:rsidRPr="00487C69" w:rsidRDefault="00CF1B8A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</w:rPr>
      </w:pPr>
    </w:p>
    <w:p w14:paraId="673E9428" w14:textId="193DE9D2" w:rsidR="009C03C2" w:rsidRPr="00487C69" w:rsidRDefault="009C03C2" w:rsidP="00487C69">
      <w:pPr>
        <w:pStyle w:val="ListParagraph"/>
        <w:widowControl/>
        <w:numPr>
          <w:ilvl w:val="0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b/>
          <w:bCs/>
          <w:highlight w:val="yellow"/>
        </w:rPr>
        <w:t>Assay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screening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and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optimization</w:t>
      </w:r>
    </w:p>
    <w:p w14:paraId="66C6AF7A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7885BC3" w14:textId="3E03B038" w:rsidR="00C138E3" w:rsidRPr="00487C69" w:rsidRDefault="00487C69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 xml:space="preserve"> In silico </w:t>
      </w:r>
      <w:r w:rsidR="009C03C2" w:rsidRPr="00487C69">
        <w:rPr>
          <w:rFonts w:asciiTheme="minorHAnsi" w:hAnsiTheme="minorHAnsi" w:cstheme="minorHAnsi"/>
          <w:highlight w:val="yellow"/>
        </w:rPr>
        <w:t>assay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development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testing.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Before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ordering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primer-probe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sets,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assess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specificity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(potential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non-target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amplification)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by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testing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primer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amplification</w:t>
      </w:r>
      <w:r w:rsidRPr="00487C69">
        <w:rPr>
          <w:rFonts w:asciiTheme="minorHAnsi" w:hAnsiTheme="minorHAnsi" w:cstheme="minorHAnsi"/>
          <w:highlight w:val="yellow"/>
        </w:rPr>
        <w:t xml:space="preserve"> in silico</w:t>
      </w:r>
      <w:r w:rsidR="009C03C2" w:rsidRPr="00487C69">
        <w:rPr>
          <w:rFonts w:asciiTheme="minorHAnsi" w:hAnsiTheme="minorHAnsi" w:cstheme="minorHAnsi"/>
          <w:i/>
          <w:iCs/>
          <w:highlight w:val="yellow"/>
        </w:rPr>
        <w:t>.</w:t>
      </w:r>
      <w:r w:rsidRPr="00487C69">
        <w:rPr>
          <w:rFonts w:asciiTheme="minorHAnsi" w:hAnsiTheme="minorHAnsi" w:cstheme="minorHAnsi"/>
          <w:i/>
          <w:iCs/>
          <w:highlight w:val="yellow"/>
        </w:rPr>
        <w:t xml:space="preserve"> </w:t>
      </w:r>
    </w:p>
    <w:p w14:paraId="7CBD0894" w14:textId="582D31A8" w:rsidR="00E03DC4" w:rsidRPr="00487C69" w:rsidRDefault="00E03DC4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04B61EDE" w14:textId="73CE2DB2" w:rsidR="00E03DC4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Test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through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NCBI’s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Primer-Blast</w:t>
      </w:r>
      <w:r w:rsidRPr="00487C69">
        <w:rPr>
          <w:rFonts w:asciiTheme="minorHAnsi" w:hAnsiTheme="minorHAnsi" w:cstheme="minorHAnsi"/>
          <w:noProof/>
          <w:highlight w:val="yellow"/>
          <w:vertAlign w:val="superscript"/>
        </w:rPr>
        <w:t>1</w:t>
      </w:r>
      <w:r w:rsidR="009C174F" w:rsidRPr="00487C69">
        <w:rPr>
          <w:rFonts w:asciiTheme="minorHAnsi" w:hAnsiTheme="minorHAnsi" w:cstheme="minorHAnsi"/>
          <w:noProof/>
          <w:highlight w:val="yellow"/>
          <w:vertAlign w:val="superscript"/>
        </w:rPr>
        <w:t>6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similar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programs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can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identify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potential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non-targets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NCBI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nt/nr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database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might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amplify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with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assay.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If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using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Primer-Blast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paste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primers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b/>
          <w:bCs/>
          <w:highlight w:val="yellow"/>
        </w:rPr>
        <w:t>Use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b/>
          <w:bCs/>
          <w:highlight w:val="yellow"/>
        </w:rPr>
        <w:t>my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b/>
          <w:bCs/>
          <w:highlight w:val="yellow"/>
        </w:rPr>
        <w:t>own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b/>
          <w:bCs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box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under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parameters.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Pair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Specificity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Checking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Parameters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options,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select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b/>
          <w:bCs/>
          <w:highlight w:val="yellow"/>
        </w:rPr>
        <w:t>nr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Database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type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Order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organism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interest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(</w:t>
      </w:r>
      <w:r w:rsidR="00637133" w:rsidRPr="00487C69">
        <w:rPr>
          <w:rFonts w:asciiTheme="minorHAnsi" w:hAnsiTheme="minorHAnsi" w:cstheme="minorHAnsi"/>
          <w:highlight w:val="yellow"/>
        </w:rPr>
        <w:t>e.g.,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“</w:t>
      </w:r>
      <w:proofErr w:type="spellStart"/>
      <w:r w:rsidR="00E03DC4" w:rsidRPr="00487C69">
        <w:rPr>
          <w:rFonts w:asciiTheme="minorHAnsi" w:hAnsiTheme="minorHAnsi" w:cstheme="minorHAnsi"/>
          <w:highlight w:val="yellow"/>
        </w:rPr>
        <w:t>Unionida</w:t>
      </w:r>
      <w:proofErr w:type="spellEnd"/>
      <w:r w:rsidR="00E03DC4" w:rsidRPr="00487C69">
        <w:rPr>
          <w:rFonts w:asciiTheme="minorHAnsi" w:hAnsiTheme="minorHAnsi" w:cstheme="minorHAnsi"/>
          <w:highlight w:val="yellow"/>
        </w:rPr>
        <w:t>”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“</w:t>
      </w:r>
      <w:proofErr w:type="spellStart"/>
      <w:r w:rsidR="00E03DC4" w:rsidRPr="00487C69">
        <w:rPr>
          <w:rFonts w:asciiTheme="minorHAnsi" w:hAnsiTheme="minorHAnsi" w:cstheme="minorHAnsi"/>
          <w:highlight w:val="yellow"/>
        </w:rPr>
        <w:t>Unionoida</w:t>
      </w:r>
      <w:proofErr w:type="spellEnd"/>
      <w:r w:rsidR="00E03DC4" w:rsidRPr="00487C69">
        <w:rPr>
          <w:rFonts w:asciiTheme="minorHAnsi" w:hAnsiTheme="minorHAnsi" w:cstheme="minorHAnsi"/>
          <w:highlight w:val="yellow"/>
        </w:rPr>
        <w:t>”)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Organism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box.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2B0837F4" w14:textId="77777777" w:rsidR="00C138E3" w:rsidRPr="00487C69" w:rsidRDefault="00C138E3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4F1A999B" w14:textId="30C6A82E" w:rsidR="00C138E3" w:rsidRPr="00487C69" w:rsidRDefault="00E03DC4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Continue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assess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primer/probe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sets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visually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data.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718AC356" w14:textId="77777777" w:rsidR="00D5773A" w:rsidRPr="00487C69" w:rsidRDefault="00D5773A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561FEA26" w14:textId="67E9512F" w:rsidR="00E03DC4" w:rsidRPr="00487C69" w:rsidRDefault="00E03DC4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proofErr w:type="gramStart"/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order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proofErr w:type="gramEnd"/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assess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probes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same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time</w:t>
      </w:r>
      <w:r w:rsidR="00487C69" w:rsidRPr="00487C69">
        <w:rPr>
          <w:rFonts w:asciiTheme="minorHAnsi" w:hAnsiTheme="minorHAnsi" w:cstheme="minorHAnsi"/>
          <w:highlight w:val="yellow"/>
        </w:rPr>
        <w:t xml:space="preserve"> in silico</w:t>
      </w:r>
      <w:r w:rsidRPr="00487C69">
        <w:rPr>
          <w:rFonts w:asciiTheme="minorHAnsi" w:hAnsiTheme="minorHAnsi" w:cstheme="minorHAnsi"/>
          <w:highlight w:val="yellow"/>
        </w:rPr>
        <w:t>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create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text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string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forward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12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N’s,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probe,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12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N’s,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reverse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complement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reverse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within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12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pairs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use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number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N’s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corresponding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number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pairs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between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probe.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7C0EA9C9" w14:textId="77777777" w:rsidR="00C138E3" w:rsidRPr="00487C69" w:rsidRDefault="00C138E3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0E075608" w14:textId="6EC92DAE" w:rsidR="00C138E3" w:rsidRPr="00487C69" w:rsidRDefault="00E03DC4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  <w:highlight w:val="yellow"/>
        </w:rPr>
        <w:lastRenderedPageBreak/>
        <w:t>Use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NCBI’s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Nucleotide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Blast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search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</w:t>
      </w:r>
      <w:proofErr w:type="spellStart"/>
      <w:r w:rsidRPr="00487C69">
        <w:rPr>
          <w:rFonts w:asciiTheme="minorHAnsi" w:hAnsiTheme="minorHAnsi" w:cstheme="minorHAnsi"/>
          <w:highlight w:val="yellow"/>
        </w:rPr>
        <w:t>Blastn</w:t>
      </w:r>
      <w:proofErr w:type="spellEnd"/>
      <w:r w:rsidRPr="00487C69">
        <w:rPr>
          <w:rFonts w:asciiTheme="minorHAnsi" w:hAnsiTheme="minorHAnsi" w:cstheme="minorHAnsi"/>
          <w:highlight w:val="yellow"/>
        </w:rPr>
        <w:t>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search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against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database</w:t>
      </w:r>
      <w:r w:rsidRPr="00487C69">
        <w:rPr>
          <w:rFonts w:asciiTheme="minorHAnsi" w:hAnsiTheme="minorHAnsi" w:cstheme="minorHAnsi"/>
          <w:noProof/>
          <w:highlight w:val="yellow"/>
          <w:vertAlign w:val="superscript"/>
        </w:rPr>
        <w:t>17</w:t>
      </w:r>
      <w:r w:rsidRPr="00487C69">
        <w:rPr>
          <w:rFonts w:asciiTheme="minorHAnsi" w:hAnsiTheme="minorHAnsi" w:cstheme="minorHAnsi"/>
          <w:highlight w:val="yellow"/>
        </w:rPr>
        <w:t>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Use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Taxonomy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tab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look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non-target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with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few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mismatches;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should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tested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laboratory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during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assay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optimization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6C913681" w14:textId="77777777" w:rsidR="00C138E3" w:rsidRPr="00487C69" w:rsidRDefault="00C138E3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2189652A" w14:textId="4F81FE0A" w:rsidR="009C03C2" w:rsidRPr="00487C69" w:rsidRDefault="009C03C2" w:rsidP="00487C69">
      <w:pPr>
        <w:pStyle w:val="ListParagraph"/>
        <w:ind w:left="0"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NOTE:</w:t>
      </w:r>
      <w:r w:rsidR="00487C69" w:rsidRPr="00487C69">
        <w:rPr>
          <w:rFonts w:asciiTheme="minorHAnsi" w:hAnsiTheme="minorHAnsi" w:cstheme="minorHAnsi"/>
        </w:rPr>
        <w:t xml:space="preserve"> In silico </w:t>
      </w:r>
      <w:r w:rsidRPr="00487C69">
        <w:rPr>
          <w:rFonts w:asciiTheme="minorHAnsi" w:hAnsiTheme="minorHAnsi" w:cstheme="minorHAnsi"/>
        </w:rPr>
        <w:t>testing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helps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rule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out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but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potentially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must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empirically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r w:rsidR="00487C69" w:rsidRPr="00487C69">
        <w:rPr>
          <w:rFonts w:asciiTheme="minorHAnsi" w:hAnsiTheme="minorHAnsi" w:cstheme="minorHAnsi"/>
        </w:rPr>
        <w:t>in vitro</w:t>
      </w:r>
      <w:r w:rsidRPr="00487C69">
        <w:rPr>
          <w:rFonts w:asciiTheme="minorHAnsi" w:hAnsiTheme="minorHAnsi" w:cstheme="minorHAnsi"/>
        </w:rPr>
        <w:t>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genetic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still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bind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even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deemed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unlikely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D1B78" w:rsidRPr="00487C69">
        <w:rPr>
          <w:rFonts w:asciiTheme="minorHAnsi" w:hAnsiTheme="minorHAnsi" w:cstheme="minorHAnsi"/>
        </w:rPr>
        <w:t>by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D1B78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software.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2EFAB85A" w14:textId="77777777" w:rsidR="009C03C2" w:rsidRPr="00487C69" w:rsidRDefault="009C03C2" w:rsidP="00487C69">
      <w:pPr>
        <w:contextualSpacing/>
        <w:rPr>
          <w:rFonts w:asciiTheme="minorHAnsi" w:hAnsiTheme="minorHAnsi" w:cstheme="minorHAnsi"/>
        </w:rPr>
      </w:pPr>
    </w:p>
    <w:p w14:paraId="637F2218" w14:textId="770CB414" w:rsidR="009C03C2" w:rsidRPr="00487C69" w:rsidRDefault="009C03C2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Choose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three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6670E5" w:rsidRPr="00487C69">
        <w:rPr>
          <w:rFonts w:asciiTheme="minorHAnsi" w:hAnsiTheme="minorHAnsi" w:cstheme="minorHAnsi"/>
        </w:rPr>
        <w:t>/</w:t>
      </w:r>
      <w:r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combinations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lab.</w:t>
      </w:r>
    </w:p>
    <w:p w14:paraId="1F4BE4E9" w14:textId="77777777" w:rsidR="009C03C2" w:rsidRPr="00487C69" w:rsidRDefault="009C03C2" w:rsidP="00487C69">
      <w:pPr>
        <w:contextualSpacing/>
        <w:rPr>
          <w:rFonts w:asciiTheme="minorHAnsi" w:hAnsiTheme="minorHAnsi" w:cstheme="minorHAnsi"/>
        </w:rPr>
      </w:pPr>
    </w:p>
    <w:p w14:paraId="3D999197" w14:textId="13564B94" w:rsidR="009C03C2" w:rsidRPr="00487C69" w:rsidRDefault="009C03C2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Order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primers,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gramStart"/>
      <w:r w:rsidRPr="00487C69">
        <w:rPr>
          <w:rFonts w:asciiTheme="minorHAnsi" w:hAnsiTheme="minorHAnsi" w:cstheme="minorHAnsi"/>
        </w:rPr>
        <w:t>probes</w:t>
      </w:r>
      <w:proofErr w:type="gram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synthetic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standard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additional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M13-tailed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amplicon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sequencing.</w:t>
      </w:r>
    </w:p>
    <w:p w14:paraId="47732A9E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2836C44B" w14:textId="7AF3DA1C" w:rsidR="009C03C2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Order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synthetic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oligonucleotide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primers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probes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from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company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makes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oligos.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Probes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labelled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fluorescent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dye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quencher.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Different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fluorophores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should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selected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need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multiplexed,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check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your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qPCR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instrument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list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which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fluorophores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instrument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detect.</w:t>
      </w:r>
    </w:p>
    <w:p w14:paraId="5815435E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42C649FC" w14:textId="69E5F126" w:rsidR="009C03C2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Design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order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M13-tailed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primers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verification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qPCR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Sanger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sequencing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adding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M13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Forward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(-20)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sequence,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GTA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AAA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CGA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CGG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CCA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GT,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5’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forward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primer,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M13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Reverse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(-27)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sequence,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CAG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GAA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ACA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GCT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ATG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AC,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5’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reverse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primer.</w:t>
      </w:r>
    </w:p>
    <w:p w14:paraId="4C112469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48AE9E25" w14:textId="3F83FAA1" w:rsidR="009C03C2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b/>
          <w:bCs/>
        </w:rPr>
      </w:pP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synthetic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standard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contains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sequence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(including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primer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regions)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known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concentration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copies/</w:t>
      </w:r>
      <w:r w:rsidR="00C138E3" w:rsidRPr="00487C69">
        <w:rPr>
          <w:rFonts w:asciiTheme="minorHAnsi" w:eastAsia="Calibri" w:hAnsiTheme="minorHAnsi" w:cstheme="minorHAnsi"/>
        </w:rPr>
        <w:t>µ</w:t>
      </w:r>
      <w:r w:rsidR="006B73BE" w:rsidRPr="00487C69">
        <w:rPr>
          <w:rFonts w:asciiTheme="minorHAnsi" w:eastAsia="Calibri" w:hAnsiTheme="minorHAnsi" w:cstheme="minorHAnsi"/>
        </w:rPr>
        <w:t>L</w:t>
      </w:r>
      <w:r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37133" w:rsidRPr="00487C69">
        <w:rPr>
          <w:rFonts w:asciiTheme="minorHAnsi" w:eastAsia="Calibri" w:hAnsiTheme="minorHAnsi" w:cstheme="minorHAnsi"/>
        </w:rPr>
        <w:t>Quantify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37133" w:rsidRPr="00487C69">
        <w:rPr>
          <w:rFonts w:asciiTheme="minorHAnsi" w:eastAsia="Calibri" w:hAnsiTheme="minorHAnsi" w:cstheme="minorHAnsi"/>
        </w:rPr>
        <w:t>u</w:t>
      </w:r>
      <w:r w:rsidRPr="00487C69">
        <w:rPr>
          <w:rFonts w:asciiTheme="minorHAnsi" w:eastAsia="Calibri" w:hAnsiTheme="minorHAnsi" w:cstheme="minorHAnsi"/>
        </w:rPr>
        <w:t>nknown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samples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based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268F8" w:rsidRPr="00487C69">
        <w:rPr>
          <w:rFonts w:asciiTheme="minorHAnsi" w:eastAsia="Calibri" w:hAnsiTheme="minorHAnsi" w:cstheme="minorHAnsi"/>
        </w:rPr>
        <w:t>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curve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made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known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concentrations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standard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CD1B78" w:rsidRPr="00487C69">
        <w:rPr>
          <w:rFonts w:asciiTheme="minorHAnsi" w:eastAsia="Calibri" w:hAnsiTheme="minorHAnsi" w:cstheme="minorHAnsi"/>
        </w:rPr>
        <w:t>(</w:t>
      </w:r>
      <w:r w:rsidR="00637133" w:rsidRPr="00487C69">
        <w:rPr>
          <w:rFonts w:asciiTheme="minorHAnsi" w:eastAsia="Calibri" w:hAnsiTheme="minorHAnsi" w:cstheme="minorHAnsi"/>
        </w:rPr>
        <w:t>i.e.,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CD1B78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CD1B78" w:rsidRPr="00487C69">
        <w:rPr>
          <w:rFonts w:asciiTheme="minorHAnsi" w:eastAsia="Calibri" w:hAnsiTheme="minorHAnsi" w:cstheme="minorHAnsi"/>
        </w:rPr>
        <w:t>standard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CD1B78" w:rsidRPr="00487C69">
        <w:rPr>
          <w:rFonts w:asciiTheme="minorHAnsi" w:eastAsia="Calibri" w:hAnsiTheme="minorHAnsi" w:cstheme="minorHAnsi"/>
        </w:rPr>
        <w:t>curve)</w:t>
      </w:r>
      <w:r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37133" w:rsidRPr="00487C69">
        <w:rPr>
          <w:rFonts w:asciiTheme="minorHAnsi" w:eastAsia="Calibri" w:hAnsiTheme="minorHAnsi" w:cstheme="minorHAnsi"/>
        </w:rPr>
        <w:t>Acquire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37133" w:rsidRPr="00487C69">
        <w:rPr>
          <w:rFonts w:asciiTheme="minorHAnsi" w:eastAsia="Calibri" w:hAnsiTheme="minorHAnsi" w:cstheme="minorHAnsi"/>
        </w:rPr>
        <w:t>t</w:t>
      </w:r>
      <w:r w:rsidRPr="00487C69">
        <w:rPr>
          <w:rFonts w:asciiTheme="minorHAnsi" w:eastAsia="Calibri" w:hAnsiTheme="minorHAnsi" w:cstheme="minorHAnsi"/>
        </w:rPr>
        <w:t>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synthetic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standard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from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company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manufactures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primers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probe.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Follow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manufacturer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recommendations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resuspension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storage.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Dilute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standards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buffer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tRNA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carrier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using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proofErr w:type="gramStart"/>
      <w:r w:rsidRPr="00487C69">
        <w:rPr>
          <w:rFonts w:asciiTheme="minorHAnsi" w:eastAsia="Calibri" w:hAnsiTheme="minorHAnsi" w:cstheme="minorHAnsi"/>
        </w:rPr>
        <w:t>low-retention</w:t>
      </w:r>
      <w:proofErr w:type="gramEnd"/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plasticware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reduce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hydrolysis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binding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surfaces.</w:t>
      </w:r>
    </w:p>
    <w:p w14:paraId="6DF5CEA6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b/>
          <w:bCs/>
        </w:rPr>
      </w:pPr>
    </w:p>
    <w:p w14:paraId="0A05B503" w14:textId="21926933" w:rsidR="009C03C2" w:rsidRPr="00487C69" w:rsidRDefault="00C138E3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</w:rPr>
      </w:pPr>
      <w:r w:rsidRPr="00487C69">
        <w:rPr>
          <w:rFonts w:asciiTheme="minorHAnsi" w:eastAsiaTheme="minorEastAsia" w:hAnsiTheme="minorHAnsi" w:cstheme="minorHAnsi"/>
        </w:rPr>
        <w:t>NOTE</w:t>
      </w:r>
      <w:r w:rsidR="009C03C2" w:rsidRPr="00487C69">
        <w:rPr>
          <w:rFonts w:asciiTheme="minorHAnsi" w:eastAsiaTheme="minorEastAsia" w:hAnsiTheme="minorHAnsi" w:cstheme="minorHAnsi"/>
        </w:rPr>
        <w:t>: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6670E5" w:rsidRPr="00487C69">
        <w:rPr>
          <w:rFonts w:asciiTheme="minorHAnsi" w:eastAsiaTheme="minorEastAsia" w:hAnsiTheme="minorHAnsi" w:cstheme="minorHAnsi"/>
        </w:rPr>
        <w:t>I</w:t>
      </w:r>
      <w:r w:rsidR="009C03C2" w:rsidRPr="00487C69">
        <w:rPr>
          <w:rFonts w:asciiTheme="minorHAnsi" w:eastAsiaTheme="minorEastAsia" w:hAnsiTheme="minorHAnsi" w:cstheme="minorHAnsi"/>
        </w:rPr>
        <w:t>f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standard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curve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does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not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perform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well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(poor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PCR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efficiency</w:t>
      </w:r>
      <w:r w:rsidR="00CD1B78" w:rsidRPr="00487C69">
        <w:rPr>
          <w:rFonts w:asciiTheme="minorHAnsi" w:eastAsiaTheme="minorEastAsia" w:hAnsiTheme="minorHAnsi" w:cstheme="minorHAnsi"/>
        </w:rPr>
        <w:t>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CD1B78" w:rsidRPr="00487C69">
        <w:rPr>
          <w:rFonts w:asciiTheme="minorHAnsi" w:eastAsiaTheme="minorEastAsia" w:hAnsiTheme="minorHAnsi" w:cstheme="minorHAnsi"/>
        </w:rPr>
        <w:t>see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CD1B78" w:rsidRPr="00487C69">
        <w:rPr>
          <w:rFonts w:asciiTheme="minorHAnsi" w:eastAsiaTheme="minorEastAsia" w:hAnsiTheme="minorHAnsi" w:cstheme="minorHAnsi"/>
        </w:rPr>
        <w:t>step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3</w:t>
      </w:r>
      <w:r w:rsidR="00CD1B78" w:rsidRPr="00487C69">
        <w:rPr>
          <w:rFonts w:asciiTheme="minorHAnsi" w:eastAsiaTheme="minorEastAsia" w:hAnsiTheme="minorHAnsi" w:cstheme="minorHAnsi"/>
        </w:rPr>
        <w:t>.4.2</w:t>
      </w:r>
      <w:r w:rsidR="009C03C2" w:rsidRPr="00487C69">
        <w:rPr>
          <w:rFonts w:asciiTheme="minorHAnsi" w:eastAsiaTheme="minorEastAsia" w:hAnsiTheme="minorHAnsi" w:cstheme="minorHAnsi"/>
        </w:rPr>
        <w:t>),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try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re-suspending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standard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in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water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or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Tris-HC</w:t>
      </w:r>
      <w:r w:rsidR="00487C69" w:rsidRPr="00487C69">
        <w:rPr>
          <w:rFonts w:asciiTheme="minorHAnsi" w:eastAsiaTheme="minorEastAsia" w:hAnsiTheme="minorHAnsi" w:cstheme="minorHAnsi"/>
        </w:rPr>
        <w:t>l</w:t>
      </w:r>
      <w:r w:rsidR="009C03C2" w:rsidRPr="00487C69">
        <w:rPr>
          <w:rFonts w:asciiTheme="minorHAnsi" w:eastAsiaTheme="minorEastAsia" w:hAnsiTheme="minorHAnsi" w:cstheme="minorHAnsi"/>
        </w:rPr>
        <w:t>.</w:t>
      </w:r>
    </w:p>
    <w:p w14:paraId="17FDED90" w14:textId="77777777" w:rsidR="009C03C2" w:rsidRPr="00487C69" w:rsidRDefault="009C03C2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</w:rPr>
      </w:pPr>
    </w:p>
    <w:p w14:paraId="014A4572" w14:textId="6FF0D3CC" w:rsidR="00637133" w:rsidRPr="00487C69" w:rsidRDefault="00637133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b/>
          <w:bCs/>
        </w:rPr>
      </w:pPr>
      <w:r w:rsidRPr="00487C69">
        <w:rPr>
          <w:rFonts w:asciiTheme="minorHAnsi" w:eastAsia="Calibri" w:hAnsiTheme="minorHAnsi" w:cstheme="minorHAnsi"/>
        </w:rPr>
        <w:t>Suspend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</w:t>
      </w:r>
      <w:r w:rsidR="009C03C2" w:rsidRPr="00487C69">
        <w:rPr>
          <w:rFonts w:asciiTheme="minorHAnsi" w:eastAsia="Calibri" w:hAnsiTheme="minorHAnsi" w:cstheme="minorHAnsi"/>
        </w:rPr>
        <w:t>rimers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probes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nuclease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free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water,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Tris-HCl,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TE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buffer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convenient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concentrations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use</w:t>
      </w:r>
      <w:r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G</w:t>
      </w:r>
      <w:r w:rsidR="009C03C2" w:rsidRPr="00487C69">
        <w:rPr>
          <w:rFonts w:asciiTheme="minorHAnsi" w:eastAsia="Calibri" w:hAnsiTheme="minorHAnsi" w:cstheme="minorHAnsi"/>
        </w:rPr>
        <w:t>enerally</w:t>
      </w:r>
      <w:r w:rsidRPr="00487C69">
        <w:rPr>
          <w:rFonts w:asciiTheme="minorHAnsi" w:eastAsia="Calibri" w:hAnsiTheme="minorHAnsi" w:cstheme="minorHAnsi"/>
        </w:rPr>
        <w:t>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dilute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working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stocks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20-fold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master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mix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achieve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optimized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final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concentration.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S</w:t>
      </w:r>
      <w:r w:rsidRPr="00487C69">
        <w:rPr>
          <w:rFonts w:asciiTheme="minorHAnsi" w:eastAsia="Calibri" w:hAnsiTheme="minorHAnsi" w:cstheme="minorHAnsi"/>
        </w:rPr>
        <w:t>tore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</w:t>
      </w:r>
      <w:r w:rsidR="009C03C2" w:rsidRPr="00487C69">
        <w:rPr>
          <w:rFonts w:asciiTheme="minorHAnsi" w:eastAsia="Calibri" w:hAnsiTheme="minorHAnsi" w:cstheme="minorHAnsi"/>
        </w:rPr>
        <w:t>uspended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oligos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constant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-20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°C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not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use.</w:t>
      </w:r>
      <w:r w:rsidR="009C03C2" w:rsidRPr="00487C69">
        <w:rPr>
          <w:rFonts w:asciiTheme="minorHAnsi" w:eastAsia="Calibri" w:hAnsiTheme="minorHAnsi" w:cstheme="minorHAnsi"/>
        </w:rPr>
        <w:tab/>
      </w:r>
      <w:r w:rsidR="009C03C2" w:rsidRPr="00487C69">
        <w:rPr>
          <w:rFonts w:asciiTheme="minorHAnsi" w:eastAsia="Calibri" w:hAnsiTheme="minorHAnsi" w:cstheme="minorHAnsi"/>
        </w:rPr>
        <w:tab/>
      </w:r>
      <w:r w:rsidR="009C03C2" w:rsidRPr="00487C69">
        <w:rPr>
          <w:rFonts w:asciiTheme="minorHAnsi" w:eastAsia="Calibri" w:hAnsiTheme="minorHAnsi" w:cstheme="minorHAnsi"/>
        </w:rPr>
        <w:tab/>
      </w:r>
      <w:r w:rsidR="009C03C2" w:rsidRPr="00487C69">
        <w:rPr>
          <w:rFonts w:asciiTheme="minorHAnsi" w:eastAsia="Calibri" w:hAnsiTheme="minorHAnsi" w:cstheme="minorHAnsi"/>
        </w:rPr>
        <w:tab/>
      </w:r>
      <w:r w:rsidR="009C03C2" w:rsidRPr="00487C69">
        <w:rPr>
          <w:rFonts w:asciiTheme="minorHAnsi" w:eastAsia="Calibri" w:hAnsiTheme="minorHAnsi" w:cstheme="minorHAnsi"/>
        </w:rPr>
        <w:tab/>
      </w:r>
    </w:p>
    <w:p w14:paraId="038F6D01" w14:textId="7DF02862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/>
          <w:bCs/>
        </w:rPr>
      </w:pPr>
      <w:r w:rsidRPr="00487C69">
        <w:rPr>
          <w:rFonts w:asciiTheme="minorHAnsi" w:eastAsia="Calibri" w:hAnsiTheme="minorHAnsi" w:cstheme="minorHAnsi"/>
        </w:rPr>
        <w:tab/>
      </w:r>
      <w:r w:rsidRPr="00487C69">
        <w:rPr>
          <w:rFonts w:asciiTheme="minorHAnsi" w:eastAsia="Calibri" w:hAnsiTheme="minorHAnsi" w:cstheme="minorHAnsi"/>
        </w:rPr>
        <w:tab/>
      </w:r>
    </w:p>
    <w:p w14:paraId="305581FA" w14:textId="26AA8F27" w:rsidR="009C03C2" w:rsidRPr="00487C69" w:rsidRDefault="00487C69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highlight w:val="yellow"/>
        </w:rPr>
      </w:pPr>
      <w:bookmarkStart w:id="8" w:name="_Hlk50642334"/>
      <w:r w:rsidRPr="00487C69">
        <w:rPr>
          <w:rFonts w:asciiTheme="minorHAnsi" w:hAnsiTheme="minorHAnsi" w:cstheme="minorHAnsi"/>
          <w:highlight w:val="yellow"/>
        </w:rPr>
        <w:t xml:space="preserve">In vitro </w:t>
      </w:r>
      <w:r w:rsidR="009C03C2" w:rsidRPr="00487C69">
        <w:rPr>
          <w:rFonts w:asciiTheme="minorHAnsi" w:hAnsiTheme="minorHAnsi" w:cstheme="minorHAnsi"/>
          <w:highlight w:val="yellow"/>
        </w:rPr>
        <w:t>(in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lab)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assay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optimization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testing.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Reject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assays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that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have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poor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efficiency,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cross-react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with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co-occurring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species,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have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poor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sensitivity</w:t>
      </w:r>
      <w:r w:rsidR="009C03C2" w:rsidRPr="00487C69">
        <w:rPr>
          <w:rFonts w:asciiTheme="minorHAnsi" w:hAnsiTheme="minorHAnsi" w:cstheme="minorHAnsi"/>
          <w:noProof/>
          <w:highlight w:val="yellow"/>
          <w:vertAlign w:val="superscript"/>
        </w:rPr>
        <w:t>1</w:t>
      </w:r>
      <w:r w:rsidR="009C174F" w:rsidRPr="00487C69">
        <w:rPr>
          <w:rFonts w:asciiTheme="minorHAnsi" w:hAnsiTheme="minorHAnsi" w:cstheme="minorHAnsi"/>
          <w:noProof/>
          <w:highlight w:val="yellow"/>
          <w:vertAlign w:val="superscript"/>
        </w:rPr>
        <w:t>8</w:t>
      </w:r>
      <w:r w:rsidR="009C03C2" w:rsidRPr="00487C69">
        <w:rPr>
          <w:rFonts w:asciiTheme="minorHAnsi" w:hAnsiTheme="minorHAnsi" w:cstheme="minorHAnsi"/>
          <w:highlight w:val="yellow"/>
        </w:rPr>
        <w:t>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Include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use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internal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positive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control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(IPC)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during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assay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development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as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well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as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when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running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actual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samples</w:t>
      </w:r>
      <w:r w:rsidR="009C03C2" w:rsidRPr="00487C69">
        <w:rPr>
          <w:rFonts w:asciiTheme="minorHAnsi" w:hAnsiTheme="minorHAnsi" w:cstheme="minorHAnsi"/>
          <w:highlight w:val="yellow"/>
        </w:rPr>
        <w:t>.</w:t>
      </w:r>
    </w:p>
    <w:p w14:paraId="5B6819A7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highlight w:val="yellow"/>
        </w:rPr>
      </w:pPr>
    </w:p>
    <w:p w14:paraId="43AD0099" w14:textId="63E83282" w:rsidR="009C03C2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b/>
          <w:bCs/>
        </w:rPr>
      </w:pPr>
      <w:r w:rsidRPr="00487C69">
        <w:rPr>
          <w:rFonts w:asciiTheme="minorHAnsi" w:hAnsiTheme="minorHAnsi" w:cstheme="minorHAnsi"/>
        </w:rPr>
        <w:lastRenderedPageBreak/>
        <w:t>First,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optimal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temperature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>/</w:t>
      </w:r>
      <w:r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concentration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values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parameters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optimized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efficiency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(Step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138E3"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>.4.2),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cross-reactivity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(Step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138E3"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>.4.3)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s</w:t>
      </w:r>
      <w:r w:rsidRPr="00487C69">
        <w:rPr>
          <w:rFonts w:asciiTheme="minorHAnsi" w:hAnsiTheme="minorHAnsi" w:cstheme="minorHAnsi"/>
        </w:rPr>
        <w:t>ensitivity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(Step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138E3"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>.4.4)</w:t>
      </w:r>
      <w:r w:rsidR="00B020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proceed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test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multiplexed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IPC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(Step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138E3"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>.4.5)</w:t>
      </w:r>
      <w:r w:rsidR="009C174F" w:rsidRPr="00487C69">
        <w:rPr>
          <w:rFonts w:asciiTheme="minorHAnsi" w:hAnsiTheme="minorHAnsi" w:cstheme="minorHAnsi"/>
        </w:rPr>
        <w:t>.</w:t>
      </w:r>
    </w:p>
    <w:p w14:paraId="6ED1F2E7" w14:textId="77777777" w:rsidR="002268F8" w:rsidRPr="00487C69" w:rsidRDefault="002268F8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b/>
          <w:bCs/>
        </w:rPr>
      </w:pPr>
    </w:p>
    <w:p w14:paraId="5EFCBAC2" w14:textId="68FADE64" w:rsidR="009C03C2" w:rsidRPr="00487C69" w:rsidRDefault="009C03C2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b/>
          <w:bCs/>
        </w:rPr>
      </w:pPr>
      <w:r w:rsidRPr="00487C69">
        <w:rPr>
          <w:rFonts w:asciiTheme="minorHAnsi" w:hAnsiTheme="minorHAnsi" w:cstheme="minorHAnsi"/>
        </w:rPr>
        <w:t>Test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optimum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annealing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temperature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(Ta)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temperature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gradient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centered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5</w:t>
      </w:r>
      <w:r w:rsidRPr="00487C69">
        <w:rPr>
          <w:rFonts w:asciiTheme="minorHAnsi" w:eastAsia="Calibri" w:hAnsiTheme="minorHAnsi" w:cstheme="minorHAnsi"/>
        </w:rPr>
        <w:t>°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below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predicted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average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Tm.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209581C4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b/>
          <w:bCs/>
        </w:rPr>
      </w:pPr>
    </w:p>
    <w:p w14:paraId="229FF527" w14:textId="492BB279" w:rsidR="009C03C2" w:rsidRPr="00487C69" w:rsidRDefault="009C03C2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Test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optimum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concentrations.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138E3" w:rsidRPr="00487C69">
        <w:rPr>
          <w:rFonts w:asciiTheme="minorHAnsi" w:hAnsiTheme="minorHAnsi" w:cstheme="minorHAnsi"/>
        </w:rPr>
        <w:t>Typically</w:t>
      </w:r>
      <w:r w:rsidR="006B73BE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200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nM</w:t>
      </w:r>
      <w:proofErr w:type="spellEnd"/>
      <w:r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400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nM</w:t>
      </w:r>
      <w:proofErr w:type="spellEnd"/>
      <w:r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800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nM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concentrations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75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D30446" w:rsidRPr="00487C69">
        <w:rPr>
          <w:rFonts w:asciiTheme="minorHAnsi" w:hAnsiTheme="minorHAnsi" w:cstheme="minorHAnsi"/>
        </w:rPr>
        <w:t>nM</w:t>
      </w:r>
      <w:proofErr w:type="spellEnd"/>
      <w:r w:rsidR="00D30446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125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D30446" w:rsidRPr="00487C69">
        <w:rPr>
          <w:rFonts w:asciiTheme="minorHAnsi" w:hAnsiTheme="minorHAnsi" w:cstheme="minorHAnsi"/>
        </w:rPr>
        <w:t>nM</w:t>
      </w:r>
      <w:proofErr w:type="spellEnd"/>
      <w:r w:rsidR="00D30446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200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D30446" w:rsidRPr="00487C69">
        <w:rPr>
          <w:rFonts w:asciiTheme="minorHAnsi" w:hAnsiTheme="minorHAnsi" w:cstheme="minorHAnsi"/>
        </w:rPr>
        <w:t>nM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concentrations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B73BE"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B73BE" w:rsidRPr="00487C69">
        <w:rPr>
          <w:rFonts w:asciiTheme="minorHAnsi" w:hAnsiTheme="minorHAnsi" w:cstheme="minorHAnsi"/>
        </w:rPr>
        <w:t>tested</w:t>
      </w:r>
      <w:r w:rsidR="00D30446" w:rsidRPr="00487C69">
        <w:rPr>
          <w:rFonts w:asciiTheme="minorHAnsi" w:hAnsiTheme="minorHAnsi" w:cstheme="minorHAnsi"/>
        </w:rPr>
        <w:t>.</w:t>
      </w:r>
    </w:p>
    <w:bookmarkEnd w:id="8"/>
    <w:p w14:paraId="6D8C8E71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44416482" w14:textId="0B31F613" w:rsidR="009C03C2" w:rsidRPr="00487C69" w:rsidRDefault="00637133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hyperlink r:id="rId15" w:history="1"/>
      <w:hyperlink r:id="rId16" w:history="1"/>
      <w:r w:rsidR="009C03C2" w:rsidRPr="00487C69">
        <w:rPr>
          <w:rFonts w:asciiTheme="minorHAnsi" w:hAnsiTheme="minorHAnsi" w:cstheme="minorHAnsi"/>
          <w:highlight w:val="yellow"/>
        </w:rPr>
        <w:t>Create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curve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determine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efficiency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linear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range.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Test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least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six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10-fold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dilutions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synthetic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DNA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containing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target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sequence,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approximately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10</w:t>
      </w:r>
      <w:r w:rsidR="009C03C2" w:rsidRPr="00487C69">
        <w:rPr>
          <w:rFonts w:asciiTheme="minorHAnsi" w:hAnsiTheme="minorHAnsi" w:cstheme="minorHAnsi"/>
          <w:highlight w:val="yellow"/>
          <w:vertAlign w:val="superscript"/>
        </w:rPr>
        <w:t>0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copies/reaction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10</w:t>
      </w:r>
      <w:r w:rsidR="009C03C2" w:rsidRPr="00487C69">
        <w:rPr>
          <w:rFonts w:asciiTheme="minorHAnsi" w:hAnsiTheme="minorHAnsi" w:cstheme="minorHAnsi"/>
          <w:highlight w:val="yellow"/>
          <w:vertAlign w:val="superscript"/>
        </w:rPr>
        <w:t>6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copies/reaction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(</w:t>
      </w:r>
      <w:r w:rsidR="009C03C2" w:rsidRPr="00487C69">
        <w:rPr>
          <w:rFonts w:asciiTheme="minorHAnsi" w:hAnsiTheme="minorHAnsi" w:cstheme="minorHAnsi"/>
          <w:b/>
          <w:bCs/>
          <w:highlight w:val="yellow"/>
        </w:rPr>
        <w:t>Figure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b/>
          <w:bCs/>
          <w:highlight w:val="yellow"/>
        </w:rPr>
        <w:t>3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b/>
          <w:bCs/>
          <w:highlight w:val="yellow"/>
        </w:rPr>
        <w:t>a</w:t>
      </w:r>
      <w:r w:rsidR="009C03C2" w:rsidRPr="00487C69">
        <w:rPr>
          <w:rFonts w:asciiTheme="minorHAnsi" w:hAnsiTheme="minorHAnsi" w:cstheme="minorHAnsi"/>
          <w:highlight w:val="yellow"/>
        </w:rPr>
        <w:t>).</w:t>
      </w:r>
    </w:p>
    <w:p w14:paraId="1BB9B8F4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3EF9276E" w14:textId="58FD2BC7" w:rsidR="009C03C2" w:rsidRPr="00487C69" w:rsidRDefault="009C03C2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Use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qPCR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software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plot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487C69">
        <w:rPr>
          <w:rFonts w:asciiTheme="minorHAnsi" w:hAnsiTheme="minorHAnsi" w:cstheme="minorHAnsi"/>
          <w:highlight w:val="yellow"/>
        </w:rPr>
        <w:t>Cq</w:t>
      </w:r>
      <w:proofErr w:type="spellEnd"/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value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each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y-axis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log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10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initial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concentration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copies/reaction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x-axis.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qPCR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software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should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automatically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run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linear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regression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</w:t>
      </w:r>
      <w:r w:rsidRPr="00487C69">
        <w:rPr>
          <w:rFonts w:asciiTheme="minorHAnsi" w:hAnsiTheme="minorHAnsi" w:cstheme="minorHAnsi"/>
          <w:b/>
          <w:bCs/>
          <w:highlight w:val="yellow"/>
        </w:rPr>
        <w:t>Figure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3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b</w:t>
      </w:r>
      <w:r w:rsidRPr="00487C69">
        <w:rPr>
          <w:rFonts w:asciiTheme="minorHAnsi" w:hAnsiTheme="minorHAnsi" w:cstheme="minorHAnsi"/>
          <w:highlight w:val="yellow"/>
        </w:rPr>
        <w:t>).</w:t>
      </w:r>
    </w:p>
    <w:p w14:paraId="776A890A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4D183BEB" w14:textId="0290F940" w:rsidR="009C03C2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Calculate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efficiency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slope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regression,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=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-1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+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10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  <w:vertAlign w:val="superscript"/>
        </w:rPr>
        <w:t>(-1/slope)</w:t>
      </w:r>
      <w:r w:rsidR="009C03C2" w:rsidRPr="00487C69">
        <w:rPr>
          <w:rFonts w:asciiTheme="minorHAnsi" w:hAnsiTheme="minorHAnsi" w:cstheme="minorHAnsi"/>
          <w:highlight w:val="yellow"/>
        </w:rPr>
        <w:t>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example,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slope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-3.4,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E=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-1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+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10</w:t>
      </w:r>
      <w:r w:rsidR="009C03C2" w:rsidRPr="00487C69">
        <w:rPr>
          <w:rFonts w:asciiTheme="minorHAnsi" w:hAnsiTheme="minorHAnsi" w:cstheme="minorHAnsi"/>
          <w:vertAlign w:val="superscript"/>
        </w:rPr>
        <w:t>(0.29)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=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0.97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97%.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Also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check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</w:t>
      </w:r>
      <w:r w:rsidR="009C03C2" w:rsidRPr="00487C69">
        <w:rPr>
          <w:rFonts w:asciiTheme="minorHAnsi" w:hAnsiTheme="minorHAnsi" w:cstheme="minorHAnsi"/>
          <w:vertAlign w:val="superscript"/>
        </w:rPr>
        <w:t>2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values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which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indicate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how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well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standard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replicates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fit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curve.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software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should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automatically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calculate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well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(</w:t>
      </w:r>
      <w:r w:rsidR="009C03C2" w:rsidRPr="00487C69">
        <w:rPr>
          <w:rFonts w:asciiTheme="minorHAnsi" w:hAnsiTheme="minorHAnsi" w:cstheme="minorHAnsi"/>
          <w:b/>
          <w:bCs/>
        </w:rPr>
        <w:t>Figure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9C03C2" w:rsidRPr="00487C69">
        <w:rPr>
          <w:rFonts w:asciiTheme="minorHAnsi" w:hAnsiTheme="minorHAnsi" w:cstheme="minorHAnsi"/>
          <w:b/>
          <w:bCs/>
        </w:rPr>
        <w:t>3b</w:t>
      </w:r>
      <w:r w:rsidR="009C03C2" w:rsidRPr="00487C69">
        <w:rPr>
          <w:rFonts w:asciiTheme="minorHAnsi" w:hAnsiTheme="minorHAnsi" w:cstheme="minorHAnsi"/>
        </w:rPr>
        <w:t>).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Aim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efficiency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values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100%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(±10%)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</w:t>
      </w:r>
      <w:r w:rsidR="009C03C2" w:rsidRPr="00487C69">
        <w:rPr>
          <w:rFonts w:asciiTheme="minorHAnsi" w:hAnsiTheme="minorHAnsi" w:cstheme="minorHAnsi"/>
          <w:vertAlign w:val="superscript"/>
        </w:rPr>
        <w:t>2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values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≥0.98</w:t>
      </w:r>
      <w:r w:rsidR="009C03C2" w:rsidRPr="00487C69">
        <w:rPr>
          <w:rFonts w:asciiTheme="minorHAnsi" w:hAnsiTheme="minorHAnsi" w:cstheme="minorHAnsi"/>
          <w:noProof/>
          <w:vertAlign w:val="superscript"/>
        </w:rPr>
        <w:t>9,1</w:t>
      </w:r>
      <w:r w:rsidR="009C174F" w:rsidRPr="00487C69">
        <w:rPr>
          <w:rFonts w:asciiTheme="minorHAnsi" w:hAnsiTheme="minorHAnsi" w:cstheme="minorHAnsi"/>
          <w:noProof/>
          <w:vertAlign w:val="superscript"/>
        </w:rPr>
        <w:t>5</w:t>
      </w:r>
      <w:r w:rsidR="009C03C2" w:rsidRPr="00487C69">
        <w:rPr>
          <w:rFonts w:asciiTheme="minorHAnsi" w:hAnsiTheme="minorHAnsi" w:cstheme="minorHAnsi"/>
          <w:noProof/>
          <w:vertAlign w:val="superscript"/>
        </w:rPr>
        <w:t>,1</w:t>
      </w:r>
      <w:r w:rsidR="009C174F" w:rsidRPr="00487C69">
        <w:rPr>
          <w:rFonts w:asciiTheme="minorHAnsi" w:hAnsiTheme="minorHAnsi" w:cstheme="minorHAnsi"/>
          <w:noProof/>
          <w:vertAlign w:val="superscript"/>
        </w:rPr>
        <w:t>9</w:t>
      </w:r>
      <w:r w:rsidR="009C03C2" w:rsidRPr="00487C69">
        <w:rPr>
          <w:rFonts w:asciiTheme="minorHAnsi" w:hAnsiTheme="minorHAnsi" w:cstheme="minorHAnsi"/>
          <w:noProof/>
          <w:vertAlign w:val="superscript"/>
        </w:rPr>
        <w:t>-2</w:t>
      </w:r>
      <w:r w:rsidR="009C174F" w:rsidRPr="00487C69">
        <w:rPr>
          <w:rFonts w:asciiTheme="minorHAnsi" w:hAnsiTheme="minorHAnsi" w:cstheme="minorHAnsi"/>
          <w:noProof/>
          <w:vertAlign w:val="superscript"/>
        </w:rPr>
        <w:t>2</w:t>
      </w:r>
      <w:r w:rsidR="009C03C2" w:rsidRPr="00487C69">
        <w:rPr>
          <w:rFonts w:asciiTheme="minorHAnsi" w:hAnsiTheme="minorHAnsi" w:cstheme="minorHAnsi"/>
        </w:rPr>
        <w:t>.</w:t>
      </w:r>
    </w:p>
    <w:p w14:paraId="35BF86CE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0FA35DE9" w14:textId="44D4F104" w:rsidR="009C03C2" w:rsidRPr="00487C69" w:rsidRDefault="009C03C2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Visually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inspect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curve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bias,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deviations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regression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consistent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direction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poor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curve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performance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measured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efficiency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</w:t>
      </w:r>
      <w:r w:rsidRPr="00487C69">
        <w:rPr>
          <w:rFonts w:asciiTheme="minorHAnsi" w:hAnsiTheme="minorHAnsi" w:cstheme="minorHAnsi"/>
          <w:highlight w:val="yellow"/>
          <w:vertAlign w:val="superscript"/>
        </w:rPr>
        <w:t>2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values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</w:t>
      </w:r>
      <w:r w:rsidRPr="00487C69">
        <w:rPr>
          <w:rFonts w:asciiTheme="minorHAnsi" w:hAnsiTheme="minorHAnsi" w:cstheme="minorHAnsi"/>
          <w:b/>
          <w:bCs/>
          <w:highlight w:val="yellow"/>
        </w:rPr>
        <w:t>Figure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3</w:t>
      </w:r>
      <w:proofErr w:type="gramStart"/>
      <w:r w:rsidRPr="00487C69">
        <w:rPr>
          <w:rFonts w:asciiTheme="minorHAnsi" w:hAnsiTheme="minorHAnsi" w:cstheme="minorHAnsi"/>
          <w:b/>
          <w:bCs/>
          <w:highlight w:val="yellow"/>
        </w:rPr>
        <w:t>c</w:t>
      </w:r>
      <w:r w:rsidR="00637133" w:rsidRPr="00487C69">
        <w:rPr>
          <w:rFonts w:asciiTheme="minorHAnsi" w:hAnsiTheme="minorHAnsi" w:cstheme="minorHAnsi"/>
          <w:b/>
          <w:bCs/>
          <w:highlight w:val="yellow"/>
        </w:rPr>
        <w:t>,</w:t>
      </w:r>
      <w:r w:rsidRPr="00487C69">
        <w:rPr>
          <w:rFonts w:asciiTheme="minorHAnsi" w:hAnsiTheme="minorHAnsi" w:cstheme="minorHAnsi"/>
          <w:b/>
          <w:bCs/>
          <w:highlight w:val="yellow"/>
        </w:rPr>
        <w:t>d</w:t>
      </w:r>
      <w:proofErr w:type="gramEnd"/>
      <w:r w:rsidRPr="00487C69">
        <w:rPr>
          <w:rFonts w:asciiTheme="minorHAnsi" w:hAnsiTheme="minorHAnsi" w:cstheme="minorHAnsi"/>
          <w:highlight w:val="yellow"/>
        </w:rPr>
        <w:t>).</w:t>
      </w:r>
    </w:p>
    <w:p w14:paraId="09567BA7" w14:textId="77777777" w:rsidR="009C03C2" w:rsidRPr="00487C69" w:rsidRDefault="009C03C2" w:rsidP="00487C69">
      <w:pPr>
        <w:pStyle w:val="ListParagraph"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55D27E7F" w14:textId="446CE43D" w:rsidR="009C03C2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Specificity: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Asse</w:t>
      </w:r>
      <w:r w:rsidR="00637133" w:rsidRPr="00487C69">
        <w:rPr>
          <w:rFonts w:asciiTheme="minorHAnsi" w:hAnsiTheme="minorHAnsi" w:cstheme="minorHAnsi"/>
          <w:highlight w:val="yellow"/>
        </w:rPr>
        <w:t>s</w:t>
      </w:r>
      <w:r w:rsidR="00D5773A" w:rsidRPr="00487C69">
        <w:rPr>
          <w:rFonts w:asciiTheme="minorHAnsi" w:hAnsiTheme="minorHAnsi" w:cstheme="minorHAnsi"/>
          <w:highlight w:val="yellow"/>
        </w:rPr>
        <w:t>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c</w:t>
      </w:r>
      <w:r w:rsidRPr="00487C69">
        <w:rPr>
          <w:rFonts w:asciiTheme="minorHAnsi" w:hAnsiTheme="minorHAnsi" w:cstheme="minorHAnsi"/>
          <w:highlight w:val="yellow"/>
        </w:rPr>
        <w:t>ross-reactivity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with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non-target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decrease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chance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false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positives.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</w:rPr>
        <w:t>Where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result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costly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management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decisions,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133" w:rsidRPr="00487C69">
        <w:rPr>
          <w:rFonts w:asciiTheme="minorHAnsi" w:hAnsiTheme="minorHAnsi" w:cstheme="minorHAnsi"/>
        </w:rPr>
        <w:t>verify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positive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amplicon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sequencing.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074BBD42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highlight w:val="yellow"/>
        </w:rPr>
      </w:pPr>
    </w:p>
    <w:p w14:paraId="76E27B1C" w14:textId="137DD1B1" w:rsidR="009C03C2" w:rsidRPr="00487C69" w:rsidRDefault="009C03C2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Non-targets: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Run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against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0202F" w:rsidRPr="00487C69">
        <w:rPr>
          <w:rFonts w:asciiTheme="minorHAnsi" w:hAnsiTheme="minorHAnsi" w:cstheme="minorHAnsi"/>
        </w:rPr>
        <w:t>genomic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extractions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taxonomically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specimens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geographically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co-occurring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species;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highest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priority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against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closely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related,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co-occurring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Use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similar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total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concentrations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both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samples.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concentration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chosen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should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yield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07F50"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07F50"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07F50"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07F50"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near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middle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linear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range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standard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curve.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should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observed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4C5FD48A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5EAF8502" w14:textId="7C8C0D0D" w:rsidR="009175BB" w:rsidRPr="00487C69" w:rsidRDefault="009175BB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observed,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clean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product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identity.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uncommon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observe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contamination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tissue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thus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stage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should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sequencing.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Reamplify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cleaned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amplicons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from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specificity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tests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using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M-13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tailed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primers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sequence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with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M-13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primers.</w:t>
      </w:r>
    </w:p>
    <w:p w14:paraId="7554196E" w14:textId="108A17FD" w:rsidR="00D30446" w:rsidRPr="00487C69" w:rsidRDefault="00D30446" w:rsidP="00487C69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lastRenderedPageBreak/>
        <w:tab/>
      </w:r>
    </w:p>
    <w:p w14:paraId="31BF7451" w14:textId="1721CA51" w:rsidR="00D30446" w:rsidRPr="00487C69" w:rsidRDefault="00D30446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post-PCR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lab,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transfer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qPCR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products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sequenced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fresh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tubes.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Remove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residual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primers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reaction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components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with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clean-up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kit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133" w:rsidRPr="00487C69">
        <w:rPr>
          <w:rFonts w:asciiTheme="minorHAnsi" w:hAnsiTheme="minorHAnsi" w:cstheme="minorHAnsi"/>
          <w:color w:val="auto"/>
        </w:rPr>
        <w:t>(e.g.,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87C69">
        <w:rPr>
          <w:rFonts w:asciiTheme="minorHAnsi" w:hAnsiTheme="minorHAnsi" w:cstheme="minorHAnsi"/>
          <w:color w:val="auto"/>
        </w:rPr>
        <w:t>MinElute</w:t>
      </w:r>
      <w:proofErr w:type="spellEnd"/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Purification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Kit).</w:t>
      </w:r>
    </w:p>
    <w:p w14:paraId="4F7FD23D" w14:textId="77777777" w:rsidR="00D44A63" w:rsidRPr="00487C69" w:rsidRDefault="00D44A63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18DE2876" w14:textId="3DAEE79D" w:rsidR="00D30446" w:rsidRPr="00487C69" w:rsidRDefault="00D30446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Make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1:100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dilutions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elutions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amplify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1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B73BE" w:rsidRPr="00487C69">
        <w:rPr>
          <w:rFonts w:asciiTheme="minorHAnsi" w:hAnsiTheme="minorHAnsi" w:cstheme="minorHAnsi"/>
          <w:color w:val="auto"/>
        </w:rPr>
        <w:t>µL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each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30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cycles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50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B73BE" w:rsidRPr="00487C69">
        <w:rPr>
          <w:rFonts w:asciiTheme="minorHAnsi" w:hAnsiTheme="minorHAnsi" w:cstheme="minorHAnsi"/>
          <w:color w:val="auto"/>
        </w:rPr>
        <w:t>µL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reaction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with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M13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tailed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primers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B73BE" w:rsidRPr="00487C69">
        <w:rPr>
          <w:rFonts w:asciiTheme="minorHAnsi" w:hAnsiTheme="minorHAnsi" w:cstheme="minorHAnsi"/>
          <w:color w:val="auto"/>
        </w:rPr>
        <w:t>high-fidelity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polymerase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B73BE" w:rsidRPr="00487C69">
        <w:rPr>
          <w:rFonts w:asciiTheme="minorHAnsi" w:hAnsiTheme="minorHAnsi" w:cstheme="minorHAnsi"/>
          <w:color w:val="auto"/>
        </w:rPr>
        <w:t>(</w:t>
      </w:r>
      <w:r w:rsidR="00637133" w:rsidRPr="00487C69">
        <w:rPr>
          <w:rFonts w:asciiTheme="minorHAnsi" w:hAnsiTheme="minorHAnsi" w:cstheme="minorHAnsi"/>
          <w:color w:val="auto"/>
        </w:rPr>
        <w:t>e.g.,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Phusion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High-Fidelity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DNA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Polymerase).</w:t>
      </w:r>
    </w:p>
    <w:p w14:paraId="47333CC9" w14:textId="77777777" w:rsidR="00D44A63" w:rsidRPr="00487C69" w:rsidRDefault="00D44A63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1DC2F2F6" w14:textId="5815E691" w:rsidR="00D30446" w:rsidRPr="00487C69" w:rsidRDefault="00D30446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Run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10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B73BE" w:rsidRPr="00487C69">
        <w:rPr>
          <w:rFonts w:asciiTheme="minorHAnsi" w:hAnsiTheme="minorHAnsi" w:cstheme="minorHAnsi"/>
          <w:color w:val="auto"/>
        </w:rPr>
        <w:t>µL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each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reaction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1%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agarose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gel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check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single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expected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size.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no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observed,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increase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number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cycles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amount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sample.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multiple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bands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observed,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gel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purify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expected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size.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</w:p>
    <w:p w14:paraId="669F1C80" w14:textId="77777777" w:rsidR="00D44A63" w:rsidRPr="00487C69" w:rsidRDefault="00D44A63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5AEF94C4" w14:textId="3A2B1F3A" w:rsidR="00D30446" w:rsidRPr="00487C69" w:rsidRDefault="00D30446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Remove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residual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primers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reaction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components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with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clean-up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kit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above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measure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DNA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concentrations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elutions.</w:t>
      </w:r>
    </w:p>
    <w:p w14:paraId="34165B22" w14:textId="77777777" w:rsidR="00D44A63" w:rsidRPr="00487C69" w:rsidRDefault="00D44A63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342B1565" w14:textId="56E6A12B" w:rsidR="00D30446" w:rsidRPr="00487C69" w:rsidRDefault="00D30446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Set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up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sequencing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reactions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with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M13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primers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according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instructions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sequencing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facility.</w:t>
      </w:r>
    </w:p>
    <w:p w14:paraId="1E1462A2" w14:textId="73E096A2" w:rsidR="00D30446" w:rsidRPr="00487C69" w:rsidRDefault="00D30446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  <w:color w:val="auto"/>
        </w:rPr>
      </w:pPr>
    </w:p>
    <w:p w14:paraId="542B759E" w14:textId="24FAEF04" w:rsidR="009C03C2" w:rsidRPr="00487C69" w:rsidRDefault="006B73BE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</w:rPr>
      </w:pPr>
      <w:r w:rsidRPr="00487C69">
        <w:rPr>
          <w:rFonts w:asciiTheme="minorHAnsi" w:eastAsiaTheme="minorEastAsia" w:hAnsiTheme="minorHAnsi" w:cstheme="minorHAnsi"/>
        </w:rPr>
        <w:t>NOTE</w:t>
      </w:r>
      <w:r w:rsidR="00D30446" w:rsidRPr="00487C69">
        <w:rPr>
          <w:rFonts w:asciiTheme="minorHAnsi" w:eastAsiaTheme="minorEastAsia" w:hAnsiTheme="minorHAnsi" w:cstheme="minorHAnsi"/>
        </w:rPr>
        <w:t>: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Never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open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amplified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samples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qPCR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lab.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Prepare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samples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sequencing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lab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dedicated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post-PCR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samples</w:t>
      </w:r>
    </w:p>
    <w:p w14:paraId="224C18A6" w14:textId="77777777" w:rsidR="009C03C2" w:rsidRPr="00487C69" w:rsidRDefault="009C03C2" w:rsidP="00487C69">
      <w:pPr>
        <w:contextualSpacing/>
        <w:rPr>
          <w:rFonts w:asciiTheme="minorHAnsi" w:hAnsiTheme="minorHAnsi" w:cstheme="minorHAnsi"/>
        </w:rPr>
      </w:pPr>
    </w:p>
    <w:p w14:paraId="5C5A6182" w14:textId="08E08866" w:rsidR="009C03C2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Sensitivity: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Sensitivity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B0202F" w:rsidRPr="00487C69">
        <w:rPr>
          <w:rFonts w:asciiTheme="minorHAnsi" w:hAnsiTheme="minorHAnsi" w:cstheme="minorHAnsi"/>
          <w:highlight w:val="yellow"/>
        </w:rPr>
        <w:t>affects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chance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false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negatives,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failures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detect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target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DNA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when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present.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Asses</w:t>
      </w:r>
      <w:r w:rsidR="00637133" w:rsidRPr="00487C69">
        <w:rPr>
          <w:rFonts w:asciiTheme="minorHAnsi" w:hAnsiTheme="minorHAnsi" w:cstheme="minorHAnsi"/>
          <w:highlight w:val="yellow"/>
        </w:rPr>
        <w:t>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l</w:t>
      </w:r>
      <w:r w:rsidRPr="00487C69">
        <w:rPr>
          <w:rFonts w:asciiTheme="minorHAnsi" w:hAnsiTheme="minorHAnsi" w:cstheme="minorHAnsi"/>
          <w:highlight w:val="yellow"/>
        </w:rPr>
        <w:t>imit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detection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(LOD)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limit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quantification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(LOQ)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each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assay</w:t>
      </w:r>
      <w:r w:rsidR="00D30446" w:rsidRPr="00487C69">
        <w:rPr>
          <w:rFonts w:asciiTheme="minorHAnsi" w:hAnsiTheme="minorHAnsi" w:cstheme="minorHAnsi"/>
          <w:highlight w:val="yellow"/>
        </w:rPr>
        <w:t>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Finally</w:t>
      </w:r>
      <w:r w:rsidR="006B73BE" w:rsidRPr="00487C69">
        <w:rPr>
          <w:rFonts w:asciiTheme="minorHAnsi" w:hAnsiTheme="minorHAnsi" w:cstheme="minorHAnsi"/>
          <w:highlight w:val="yellow"/>
        </w:rPr>
        <w:t>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includ</w:t>
      </w:r>
      <w:r w:rsidR="00D5773A" w:rsidRPr="00487C69">
        <w:rPr>
          <w:rFonts w:asciiTheme="minorHAnsi" w:hAnsiTheme="minorHAnsi" w:cstheme="minorHAnsi"/>
          <w:highlight w:val="yellow"/>
        </w:rPr>
        <w:t>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an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internal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positive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control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assess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PCR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inhibition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samples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necessary.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Multiplex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test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t</w:t>
      </w:r>
      <w:r w:rsidR="00D30446" w:rsidRPr="00487C69">
        <w:rPr>
          <w:rFonts w:asciiTheme="minorHAnsi" w:hAnsiTheme="minorHAnsi" w:cstheme="minorHAnsi"/>
          <w:highlight w:val="yellow"/>
        </w:rPr>
        <w:t>his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IPC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assay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with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designed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assay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ensure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two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assays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do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not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interfere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with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one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another.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125BA3D4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60A8A932" w14:textId="69E15B03" w:rsidR="009C03C2" w:rsidRPr="00487C69" w:rsidRDefault="00487C69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LOD: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Make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six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4-fold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serial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dilutions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synthetic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DNA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standard,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with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8-24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replicates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per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standard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dilution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(</w:t>
      </w:r>
      <w:r w:rsidR="009C03C2" w:rsidRPr="00487C69">
        <w:rPr>
          <w:rFonts w:asciiTheme="minorHAnsi" w:hAnsiTheme="minorHAnsi" w:cstheme="minorHAnsi"/>
          <w:b/>
          <w:bCs/>
          <w:highlight w:val="yellow"/>
        </w:rPr>
        <w:t>Figure</w:t>
      </w:r>
      <w:r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b/>
          <w:bCs/>
          <w:highlight w:val="yellow"/>
        </w:rPr>
        <w:t>4</w:t>
      </w:r>
      <w:r w:rsidR="009C03C2" w:rsidRPr="00487C69">
        <w:rPr>
          <w:rFonts w:asciiTheme="minorHAnsi" w:hAnsiTheme="minorHAnsi" w:cstheme="minorHAnsi"/>
          <w:highlight w:val="yellow"/>
        </w:rPr>
        <w:t>).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Calculate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lowest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initial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concentration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with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95</w:t>
      </w:r>
      <w:r w:rsidR="00637133" w:rsidRPr="00487C69">
        <w:rPr>
          <w:rFonts w:asciiTheme="minorHAnsi" w:hAnsiTheme="minorHAnsi" w:cstheme="minorHAnsi"/>
          <w:highlight w:val="yellow"/>
        </w:rPr>
        <w:t>%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detection.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LOD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LOQ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plots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can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be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generated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with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LOD/LOQ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calculator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script</w:t>
      </w:r>
      <w:r w:rsidR="009C03C2" w:rsidRPr="00487C69">
        <w:rPr>
          <w:rFonts w:asciiTheme="minorHAnsi" w:hAnsiTheme="minorHAnsi" w:cstheme="minorHAnsi"/>
          <w:noProof/>
          <w:highlight w:val="yellow"/>
          <w:vertAlign w:val="superscript"/>
        </w:rPr>
        <w:t>5</w:t>
      </w:r>
      <w:r w:rsidR="009C03C2" w:rsidRPr="00487C69">
        <w:rPr>
          <w:rFonts w:asciiTheme="minorHAnsi" w:hAnsiTheme="minorHAnsi" w:cstheme="minorHAnsi"/>
          <w:highlight w:val="yellow"/>
        </w:rPr>
        <w:t>.</w:t>
      </w:r>
    </w:p>
    <w:p w14:paraId="114B71CD" w14:textId="77777777" w:rsidR="00637133" w:rsidRPr="00487C69" w:rsidRDefault="00637133" w:rsidP="00487C69">
      <w:pPr>
        <w:contextualSpacing/>
        <w:rPr>
          <w:rFonts w:asciiTheme="minorHAnsi" w:eastAsiaTheme="minorEastAsia" w:hAnsiTheme="minorHAnsi" w:cstheme="minorHAnsi"/>
        </w:rPr>
      </w:pPr>
    </w:p>
    <w:p w14:paraId="17E64C2C" w14:textId="01652101" w:rsidR="006B73BE" w:rsidRPr="00487C69" w:rsidRDefault="006B73BE" w:rsidP="00487C69">
      <w:pPr>
        <w:contextualSpacing/>
        <w:rPr>
          <w:rFonts w:asciiTheme="minorHAnsi" w:eastAsiaTheme="minorEastAsia" w:hAnsiTheme="minorHAnsi" w:cstheme="minorHAnsi"/>
        </w:rPr>
      </w:pPr>
      <w:r w:rsidRPr="00487C69">
        <w:rPr>
          <w:rFonts w:asciiTheme="minorHAnsi" w:eastAsiaTheme="minorEastAsia" w:hAnsiTheme="minorHAnsi" w:cstheme="minorHAnsi"/>
        </w:rPr>
        <w:t>NOTE</w:t>
      </w:r>
      <w:r w:rsidR="009C03C2" w:rsidRPr="00487C69">
        <w:rPr>
          <w:rFonts w:asciiTheme="minorHAnsi" w:eastAsiaTheme="minorEastAsia" w:hAnsiTheme="minorHAnsi" w:cstheme="minorHAnsi"/>
        </w:rPr>
        <w:t>: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Data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below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LOD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should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not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be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censored.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Because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of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specificity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of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PCR,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there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is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no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lower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limit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for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true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positives.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LOD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is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highest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concentration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C34361" w:rsidRPr="00487C69">
        <w:rPr>
          <w:rFonts w:asciiTheme="minorHAnsi" w:eastAsiaTheme="minorEastAsia" w:hAnsiTheme="minorHAnsi" w:cstheme="minorHAnsi"/>
        </w:rPr>
        <w:t>below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which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false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negatives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may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be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expected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to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occur.</w:t>
      </w:r>
    </w:p>
    <w:p w14:paraId="064E26D0" w14:textId="77777777" w:rsidR="006B73BE" w:rsidRPr="00487C69" w:rsidRDefault="006B73BE" w:rsidP="00487C69">
      <w:pPr>
        <w:contextualSpacing/>
        <w:rPr>
          <w:rFonts w:asciiTheme="minorHAnsi" w:eastAsiaTheme="minorEastAsia" w:hAnsiTheme="minorHAnsi" w:cstheme="minorHAnsi"/>
        </w:rPr>
      </w:pPr>
    </w:p>
    <w:p w14:paraId="79BD9DFC" w14:textId="4AE349BB" w:rsidR="009C03C2" w:rsidRPr="00487C69" w:rsidRDefault="009C03C2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LOQ: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same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dilution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series,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calculate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lowest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initial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DNA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concentration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quantifiable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with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coefficient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variation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(CV)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below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35%.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0105D88A" w14:textId="77777777" w:rsidR="00B0202F" w:rsidRPr="00487C69" w:rsidRDefault="00B0202F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highlight w:val="yellow"/>
        </w:rPr>
      </w:pPr>
    </w:p>
    <w:p w14:paraId="3E7D0096" w14:textId="6AD84C5E" w:rsidR="009C03C2" w:rsidRPr="00487C69" w:rsidRDefault="006B73BE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NOTE</w:t>
      </w:r>
      <w:r w:rsidR="009C03C2" w:rsidRPr="00487C69">
        <w:rPr>
          <w:rFonts w:asciiTheme="minorHAnsi" w:hAnsiTheme="minorHAnsi" w:cstheme="minorHAnsi"/>
        </w:rPr>
        <w:t>: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LOD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LOQ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should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reported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copies/reaction</w:t>
      </w:r>
      <w:r w:rsidR="00487C69" w:rsidRPr="00487C69">
        <w:rPr>
          <w:rFonts w:asciiTheme="minorHAnsi" w:hAnsiTheme="minorHAnsi" w:cstheme="minorHAnsi"/>
        </w:rPr>
        <w:t xml:space="preserve">. </w:t>
      </w:r>
      <w:r w:rsidR="009C03C2" w:rsidRPr="00487C69">
        <w:rPr>
          <w:rFonts w:asciiTheme="minorHAnsi" w:hAnsiTheme="minorHAnsi" w:cstheme="minorHAnsi"/>
        </w:rPr>
        <w:t>When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validated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amplify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below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LOQ,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results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should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reported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as</w:t>
      </w:r>
      <w:r w:rsidR="00637133" w:rsidRPr="00487C69">
        <w:rPr>
          <w:rFonts w:asciiTheme="minorHAnsi" w:hAnsiTheme="minorHAnsi" w:cstheme="minorHAnsi"/>
        </w:rPr>
        <w:t>%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detections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rather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concentrations,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because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exact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concentration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cannot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measured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confidence</w:t>
      </w:r>
      <w:r w:rsidR="009C03C2" w:rsidRPr="00487C69">
        <w:rPr>
          <w:rFonts w:asciiTheme="minorHAnsi" w:hAnsiTheme="minorHAnsi" w:cstheme="minorHAnsi"/>
          <w:noProof/>
          <w:vertAlign w:val="superscript"/>
        </w:rPr>
        <w:t>5</w:t>
      </w:r>
      <w:r w:rsidR="009C03C2" w:rsidRPr="00487C69">
        <w:rPr>
          <w:rFonts w:asciiTheme="minorHAnsi" w:hAnsiTheme="minorHAnsi" w:cstheme="minorHAnsi"/>
        </w:rPr>
        <w:t>.</w:t>
      </w:r>
      <w:r w:rsidR="009C03C2" w:rsidRPr="00487C69">
        <w:rPr>
          <w:rFonts w:asciiTheme="minorHAnsi" w:hAnsiTheme="minorHAnsi" w:cstheme="minorHAnsi"/>
        </w:rPr>
        <w:tab/>
      </w:r>
      <w:r w:rsidR="009C03C2" w:rsidRPr="00487C69">
        <w:rPr>
          <w:rFonts w:asciiTheme="minorHAnsi" w:hAnsiTheme="minorHAnsi" w:cstheme="minorHAnsi"/>
        </w:rPr>
        <w:tab/>
      </w:r>
    </w:p>
    <w:p w14:paraId="5C8C5E72" w14:textId="0496B97B" w:rsidR="009C03C2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lastRenderedPageBreak/>
        <w:t>Use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internal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positive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control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(IPC)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test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PCR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inhibition</w:t>
      </w:r>
      <w:r w:rsidR="006B73BE" w:rsidRPr="00487C69">
        <w:rPr>
          <w:rFonts w:asciiTheme="minorHAnsi" w:hAnsiTheme="minorHAnsi" w:cstheme="minorHAnsi"/>
          <w:highlight w:val="yellow"/>
        </w:rPr>
        <w:t>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which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can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lead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decrease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sensitivity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false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negatives.</w:t>
      </w:r>
    </w:p>
    <w:p w14:paraId="10102118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55D25BDA" w14:textId="2BF711E8" w:rsidR="009C03C2" w:rsidRPr="00487C69" w:rsidRDefault="009C03C2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IPC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multiplexed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73F7C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different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reporter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dye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IPC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consists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short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synthetic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unrelated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taxa,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incorporated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master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mix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low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concentration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approximately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10</w:t>
      </w:r>
      <w:r w:rsidRPr="00487C69">
        <w:rPr>
          <w:rFonts w:asciiTheme="minorHAnsi" w:hAnsiTheme="minorHAnsi" w:cstheme="minorHAnsi"/>
          <w:vertAlign w:val="superscript"/>
        </w:rPr>
        <w:t>2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copies/reaction,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along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it.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lower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concentration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necessary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avoid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competition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polymerase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nucleotides</w:t>
      </w:r>
      <w:r w:rsidRPr="00487C69">
        <w:rPr>
          <w:rFonts w:asciiTheme="minorHAnsi" w:hAnsiTheme="minorHAnsi" w:cstheme="minorHAnsi"/>
          <w:noProof/>
          <w:vertAlign w:val="superscript"/>
        </w:rPr>
        <w:t>2</w:t>
      </w:r>
      <w:r w:rsidR="009C174F" w:rsidRPr="00487C69">
        <w:rPr>
          <w:rFonts w:asciiTheme="minorHAnsi" w:hAnsiTheme="minorHAnsi" w:cstheme="minorHAnsi"/>
          <w:noProof/>
          <w:vertAlign w:val="superscript"/>
        </w:rPr>
        <w:t>3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021A94A3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50C4EDE8" w14:textId="6CAD045B" w:rsidR="009C03C2" w:rsidRPr="00487C69" w:rsidRDefault="00487C69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Compare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proofErr w:type="spellStart"/>
      <w:r w:rsidR="009C03C2" w:rsidRPr="00487C69">
        <w:rPr>
          <w:rFonts w:asciiTheme="minorHAnsi" w:eastAsia="Calibri" w:hAnsiTheme="minorHAnsi" w:cstheme="minorHAnsi"/>
          <w:color w:val="auto"/>
        </w:rPr>
        <w:t>Cq</w:t>
      </w:r>
      <w:proofErr w:type="spellEnd"/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value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of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sample’s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IPC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template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to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that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of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no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template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control.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this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no</w:t>
      </w:r>
      <w:r w:rsidR="006B73BE" w:rsidRPr="00487C69">
        <w:rPr>
          <w:rFonts w:asciiTheme="minorHAnsi" w:eastAsia="Calibri" w:hAnsiTheme="minorHAnsi" w:cstheme="minorHAnsi"/>
          <w:color w:val="auto"/>
        </w:rPr>
        <w:t>-</w:t>
      </w:r>
      <w:r w:rsidR="009C03C2" w:rsidRPr="00487C69">
        <w:rPr>
          <w:rFonts w:asciiTheme="minorHAnsi" w:eastAsia="Calibri" w:hAnsiTheme="minorHAnsi" w:cstheme="minorHAnsi"/>
          <w:color w:val="auto"/>
        </w:rPr>
        <w:t>template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control,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only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DNA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input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that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of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IPC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template.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IPC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template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this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reaction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should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amplify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expected.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If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IPC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template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sample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amplifies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2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or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more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cycles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different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from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that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of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IPC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template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NTC,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eDNA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sample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inhibited.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Sample</w:t>
      </w:r>
      <w:r w:rsidR="00065456" w:rsidRPr="00487C69">
        <w:rPr>
          <w:rFonts w:asciiTheme="minorHAnsi" w:eastAsia="Calibri" w:hAnsiTheme="minorHAnsi" w:cstheme="minorHAnsi"/>
          <w:color w:val="auto"/>
        </w:rPr>
        <w:t>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that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do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show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inhibition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can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be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diluted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1:10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and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re-tested.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If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sample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remains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inhibited,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that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sample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should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be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removed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from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analysis.</w:t>
      </w:r>
    </w:p>
    <w:p w14:paraId="6FDF291D" w14:textId="77777777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</w:p>
    <w:p w14:paraId="5F391ECA" w14:textId="22DBFB25" w:rsidR="00402C49" w:rsidRPr="00487C69" w:rsidRDefault="00487C69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 xml:space="preserve">In situ </w:t>
      </w:r>
      <w:r w:rsidR="00402C49" w:rsidRPr="00487C69">
        <w:rPr>
          <w:rFonts w:asciiTheme="minorHAnsi" w:hAnsiTheme="minorHAnsi" w:cstheme="minorHAnsi"/>
          <w:highlight w:val="yellow"/>
        </w:rPr>
        <w:t>assay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development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testing</w:t>
      </w:r>
    </w:p>
    <w:p w14:paraId="2D5F22E5" w14:textId="77777777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</w:p>
    <w:p w14:paraId="35CA7A2B" w14:textId="24337C0B" w:rsidR="00402C49" w:rsidRPr="00487C69" w:rsidRDefault="00402C49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lab: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access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organism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lab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sympatric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73F7C"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73F7C" w:rsidRPr="00487C69">
        <w:rPr>
          <w:rFonts w:asciiTheme="minorHAnsi" w:hAnsiTheme="minorHAnsi" w:cstheme="minorHAnsi"/>
        </w:rPr>
        <w:t>available</w:t>
      </w:r>
      <w:r w:rsidRPr="00487C69">
        <w:rPr>
          <w:rFonts w:asciiTheme="minorHAnsi" w:hAnsiTheme="minorHAnsi" w:cstheme="minorHAnsi"/>
        </w:rPr>
        <w:t>;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take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enclosures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species;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process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against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products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above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intended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M-13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tailed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primers.</w:t>
      </w:r>
    </w:p>
    <w:p w14:paraId="33BD8855" w14:textId="77777777" w:rsidR="00CF1B8A" w:rsidRPr="00487C69" w:rsidRDefault="00CF1B8A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</w:rPr>
      </w:pPr>
    </w:p>
    <w:p w14:paraId="0923EE03" w14:textId="2BC154E2" w:rsidR="00402C49" w:rsidRPr="00487C69" w:rsidRDefault="00402C49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field:</w:t>
      </w:r>
    </w:p>
    <w:p w14:paraId="426EA75B" w14:textId="77777777" w:rsidR="00CF1B8A" w:rsidRPr="00487C69" w:rsidRDefault="00CF1B8A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000000" w:themeColor="text1"/>
        </w:rPr>
      </w:pPr>
    </w:p>
    <w:p w14:paraId="2A1725BA" w14:textId="6890EAAE" w:rsidR="00402C49" w:rsidRPr="00487C69" w:rsidRDefault="00402C49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Identify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sites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where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organism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known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occur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known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occur.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preferable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some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measure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abundance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each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site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where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occurs.</w:t>
      </w:r>
    </w:p>
    <w:p w14:paraId="69FC33C0" w14:textId="77777777" w:rsidR="00040C18" w:rsidRPr="00487C69" w:rsidRDefault="00040C18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</w:rPr>
      </w:pPr>
    </w:p>
    <w:p w14:paraId="38EA6AC0" w14:textId="004C5267" w:rsidR="00040C18" w:rsidRPr="00487C69" w:rsidRDefault="00040C18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eastAsiaTheme="minorEastAsia" w:hAnsiTheme="minorHAnsi" w:cstheme="minorHAnsi"/>
        </w:rPr>
        <w:t>Decide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what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sample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volumes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and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sample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collection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methods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(</w:t>
      </w:r>
      <w:r w:rsidR="00637133" w:rsidRPr="00487C69">
        <w:rPr>
          <w:rFonts w:asciiTheme="minorHAnsi" w:eastAsiaTheme="minorEastAsia" w:hAnsiTheme="minorHAnsi" w:cstheme="minorHAnsi"/>
        </w:rPr>
        <w:t>e.g.,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filtration,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centrifugation,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etc.)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will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be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used.</w:t>
      </w:r>
    </w:p>
    <w:p w14:paraId="59D30A0C" w14:textId="77777777" w:rsidR="00040C18" w:rsidRPr="00487C69" w:rsidRDefault="00040C18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3F17AFA2" w14:textId="493EAC0E" w:rsidR="00402C49" w:rsidRPr="00487C69" w:rsidRDefault="00040C18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Include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blank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negative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control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each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site,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clean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brought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site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collected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prepared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equipment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protocols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sampling</w:t>
      </w:r>
      <w:r w:rsidRPr="00487C69">
        <w:rPr>
          <w:rFonts w:asciiTheme="minorHAnsi" w:hAnsiTheme="minorHAnsi" w:cstheme="minorHAnsi"/>
          <w:vertAlign w:val="superscript"/>
        </w:rPr>
        <w:t>2</w:t>
      </w:r>
      <w:r w:rsidR="009C174F" w:rsidRPr="00487C69">
        <w:rPr>
          <w:rFonts w:asciiTheme="minorHAnsi" w:hAnsiTheme="minorHAnsi" w:cstheme="minorHAnsi"/>
          <w:vertAlign w:val="superscript"/>
        </w:rPr>
        <w:t>4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purpose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blank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detect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contamination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sampling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equipment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gear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brought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site.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Take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blank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before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processing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samples.</w:t>
      </w:r>
    </w:p>
    <w:p w14:paraId="7A319663" w14:textId="77777777" w:rsidR="00040C18" w:rsidRPr="00487C69" w:rsidRDefault="00040C18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5B634C90" w14:textId="022E4EA1" w:rsidR="00040C18" w:rsidRPr="00487C69" w:rsidRDefault="00040C18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Take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multiple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water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samples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site,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preferably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3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sites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each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type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(presence,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absence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target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species).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61A4095D" w14:textId="77777777" w:rsidR="00330EDD" w:rsidRPr="00487C69" w:rsidRDefault="00330EDD" w:rsidP="00487C69">
      <w:pPr>
        <w:pStyle w:val="ListParagraph"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7BF3CD9B" w14:textId="28D3E8F5" w:rsidR="00330EDD" w:rsidRPr="00487C69" w:rsidRDefault="00330EDD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eastAsiaTheme="minorEastAsia" w:hAnsiTheme="minorHAnsi" w:cstheme="minorHAnsi"/>
          <w:highlight w:val="yellow"/>
        </w:rPr>
        <w:t>Back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487C69">
        <w:rPr>
          <w:rFonts w:asciiTheme="minorHAnsi" w:eastAsiaTheme="minorEastAsia" w:hAnsiTheme="minorHAnsi" w:cstheme="minorHAnsi"/>
          <w:highlight w:val="yellow"/>
        </w:rPr>
        <w:t>in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487C69">
        <w:rPr>
          <w:rFonts w:asciiTheme="minorHAnsi" w:eastAsiaTheme="minorEastAsia" w:hAnsiTheme="minorHAnsi" w:cstheme="minorHAnsi"/>
          <w:highlight w:val="yellow"/>
        </w:rPr>
        <w:t>the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487C69">
        <w:rPr>
          <w:rFonts w:asciiTheme="minorHAnsi" w:eastAsiaTheme="minorEastAsia" w:hAnsiTheme="minorHAnsi" w:cstheme="minorHAnsi"/>
          <w:highlight w:val="yellow"/>
        </w:rPr>
        <w:t>lab,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proofErr w:type="gramStart"/>
      <w:r w:rsidRPr="00487C69">
        <w:rPr>
          <w:rFonts w:asciiTheme="minorHAnsi" w:eastAsiaTheme="minorEastAsia" w:hAnsiTheme="minorHAnsi" w:cstheme="minorHAnsi"/>
          <w:highlight w:val="yellow"/>
        </w:rPr>
        <w:t>process</w:t>
      </w:r>
      <w:proofErr w:type="gramEnd"/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487C69">
        <w:rPr>
          <w:rFonts w:asciiTheme="minorHAnsi" w:eastAsiaTheme="minorEastAsia" w:hAnsiTheme="minorHAnsi" w:cstheme="minorHAnsi"/>
          <w:highlight w:val="yellow"/>
        </w:rPr>
        <w:t>and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487C69">
        <w:rPr>
          <w:rFonts w:asciiTheme="minorHAnsi" w:eastAsiaTheme="minorEastAsia" w:hAnsiTheme="minorHAnsi" w:cstheme="minorHAnsi"/>
          <w:highlight w:val="yellow"/>
        </w:rPr>
        <w:t>extract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487C69">
        <w:rPr>
          <w:rFonts w:asciiTheme="minorHAnsi" w:eastAsiaTheme="minorEastAsia" w:hAnsiTheme="minorHAnsi" w:cstheme="minorHAnsi"/>
          <w:highlight w:val="yellow"/>
        </w:rPr>
        <w:t>samples.</w:t>
      </w:r>
    </w:p>
    <w:p w14:paraId="26D738A6" w14:textId="77777777" w:rsidR="00CF1B8A" w:rsidRPr="00487C69" w:rsidRDefault="00CF1B8A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  <w:highlight w:val="yellow"/>
        </w:rPr>
      </w:pPr>
    </w:p>
    <w:p w14:paraId="29A5093B" w14:textId="7F3E56A2" w:rsidR="00402C49" w:rsidRPr="00487C69" w:rsidRDefault="00487C69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  <w:highlight w:val="yellow"/>
        </w:rPr>
        <w:lastRenderedPageBreak/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Run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assay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using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plate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set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up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proofErr w:type="gramStart"/>
      <w:r w:rsidR="00402C49" w:rsidRPr="00487C69">
        <w:rPr>
          <w:rFonts w:asciiTheme="minorHAnsi" w:hAnsiTheme="minorHAnsi" w:cstheme="minorHAnsi"/>
          <w:highlight w:val="yellow"/>
        </w:rPr>
        <w:t>similar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to</w:t>
      </w:r>
      <w:proofErr w:type="gramEnd"/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b/>
          <w:bCs/>
          <w:highlight w:val="yellow"/>
        </w:rPr>
        <w:t>Figure</w:t>
      </w:r>
      <w:r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b/>
          <w:bCs/>
          <w:highlight w:val="yellow"/>
        </w:rPr>
        <w:t>5</w:t>
      </w:r>
      <w:r w:rsidR="002866EF" w:rsidRPr="00487C69">
        <w:rPr>
          <w:rFonts w:asciiTheme="minorHAnsi" w:hAnsiTheme="minorHAnsi" w:cstheme="minorHAnsi"/>
          <w:b/>
          <w:bCs/>
          <w:highlight w:val="yellow"/>
        </w:rPr>
        <w:t>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compare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eDNA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concentration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detection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frequency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with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known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site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differences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in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occurrence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abundance.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Confirm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all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detections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by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sequencing</w:t>
      </w:r>
      <w:r w:rsidR="00402C49" w:rsidRPr="00487C69">
        <w:rPr>
          <w:rFonts w:asciiTheme="minorHAnsi" w:hAnsiTheme="minorHAnsi" w:cstheme="minorHAnsi"/>
          <w:noProof/>
          <w:highlight w:val="yellow"/>
          <w:vertAlign w:val="superscript"/>
        </w:rPr>
        <w:t>2</w:t>
      </w:r>
      <w:r w:rsidR="009C174F" w:rsidRPr="00487C69">
        <w:rPr>
          <w:rFonts w:asciiTheme="minorHAnsi" w:hAnsiTheme="minorHAnsi" w:cstheme="minorHAnsi"/>
          <w:noProof/>
          <w:highlight w:val="yellow"/>
          <w:vertAlign w:val="superscript"/>
        </w:rPr>
        <w:t>4</w:t>
      </w:r>
      <w:r w:rsidR="004862CA" w:rsidRPr="00487C69">
        <w:rPr>
          <w:rFonts w:asciiTheme="minorHAnsi" w:hAnsiTheme="minorHAnsi" w:cstheme="minorHAnsi"/>
          <w:noProof/>
          <w:highlight w:val="yellow"/>
          <w:vertAlign w:val="superscript"/>
        </w:rPr>
        <w:t>,</w:t>
      </w:r>
      <w:r w:rsidR="00A97936" w:rsidRPr="00487C69">
        <w:rPr>
          <w:rFonts w:asciiTheme="minorHAnsi" w:hAnsiTheme="minorHAnsi" w:cstheme="minorHAnsi"/>
          <w:noProof/>
          <w:highlight w:val="yellow"/>
          <w:vertAlign w:val="superscript"/>
        </w:rPr>
        <w:t>25</w:t>
      </w:r>
      <w:r w:rsidR="00402C49" w:rsidRPr="00487C69">
        <w:rPr>
          <w:rFonts w:asciiTheme="minorHAnsi" w:hAnsiTheme="minorHAnsi" w:cstheme="minorHAnsi"/>
          <w:highlight w:val="yellow"/>
        </w:rPr>
        <w:t>.</w:t>
      </w:r>
    </w:p>
    <w:bookmarkEnd w:id="3"/>
    <w:p w14:paraId="3B5FD681" w14:textId="77777777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</w:p>
    <w:p w14:paraId="66B4E3EF" w14:textId="3E844606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N</w:t>
      </w:r>
      <w:r w:rsidR="0065631E" w:rsidRPr="00487C69">
        <w:rPr>
          <w:rFonts w:asciiTheme="minorHAnsi" w:hAnsiTheme="minorHAnsi" w:cstheme="minorHAnsi"/>
        </w:rPr>
        <w:t>OTE</w:t>
      </w:r>
      <w:r w:rsidRPr="00487C69">
        <w:rPr>
          <w:rFonts w:asciiTheme="minorHAnsi" w:hAnsiTheme="minorHAnsi" w:cstheme="minorHAnsi"/>
        </w:rPr>
        <w:t>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above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would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validate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through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4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Thalinger</w:t>
      </w:r>
      <w:proofErr w:type="spellEnd"/>
      <w:r w:rsidR="00487C69" w:rsidRPr="00487C69">
        <w:rPr>
          <w:rFonts w:asciiTheme="minorHAnsi" w:hAnsiTheme="minorHAnsi" w:cstheme="minorHAnsi"/>
        </w:rPr>
        <w:t xml:space="preserve"> et al.</w:t>
      </w:r>
      <w:r w:rsidRPr="00487C69">
        <w:rPr>
          <w:rFonts w:asciiTheme="minorHAnsi" w:hAnsiTheme="minorHAnsi" w:cstheme="minorHAnsi"/>
        </w:rPr>
        <w:t>’s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(see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preprint)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scale</w:t>
      </w:r>
      <w:r w:rsidRPr="00487C69">
        <w:rPr>
          <w:rFonts w:asciiTheme="minorHAnsi" w:hAnsiTheme="minorHAnsi" w:cstheme="minorHAnsi"/>
          <w:noProof/>
          <w:vertAlign w:val="superscript"/>
        </w:rPr>
        <w:t>6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(optimization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assay’s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technical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performance)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begin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gather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supporting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validation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5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incorporates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probability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modeling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ecology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studies.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feel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beyond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scope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basic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development,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but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encourage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applications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lab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vetted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improve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interpretation.</w:t>
      </w:r>
    </w:p>
    <w:p w14:paraId="44993632" w14:textId="77777777" w:rsidR="00402C49" w:rsidRPr="00487C69" w:rsidRDefault="00402C49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/>
        </w:rPr>
      </w:pPr>
    </w:p>
    <w:p w14:paraId="44C0E4FF" w14:textId="6333E13A" w:rsidR="00402C49" w:rsidRPr="00487C69" w:rsidRDefault="00402C49" w:rsidP="00487C6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</w:rPr>
      </w:pPr>
      <w:r w:rsidRPr="00487C69">
        <w:rPr>
          <w:rFonts w:asciiTheme="minorHAnsi" w:hAnsiTheme="minorHAnsi" w:cstheme="minorHAnsi"/>
          <w:b/>
        </w:rPr>
        <w:t>REPRESENTATIVE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RESULTS:</w:t>
      </w:r>
      <w:r w:rsidR="00487C69" w:rsidRPr="00487C69">
        <w:rPr>
          <w:rFonts w:asciiTheme="minorHAnsi" w:hAnsiTheme="minorHAnsi" w:cstheme="minorHAnsi"/>
          <w:b/>
        </w:rPr>
        <w:t xml:space="preserve"> </w:t>
      </w:r>
    </w:p>
    <w:p w14:paraId="0E438B7B" w14:textId="6FC9D0AA" w:rsidR="00402C49" w:rsidRPr="00487C69" w:rsidRDefault="00402C49" w:rsidP="00487C69">
      <w:pPr>
        <w:shd w:val="clear" w:color="auto" w:fill="FFFFFF"/>
        <w:contextualSpacing/>
        <w:textAlignment w:val="baseline"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species-specific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F593B" w:rsidRPr="00487C69">
        <w:rPr>
          <w:rFonts w:asciiTheme="minorHAnsi" w:hAnsiTheme="minorHAnsi" w:cstheme="minorHAnsi"/>
        </w:rPr>
        <w:t>mucket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r w:rsidR="000F593B" w:rsidRPr="00487C69">
        <w:rPr>
          <w:rFonts w:asciiTheme="minorHAnsi" w:hAnsiTheme="minorHAnsi" w:cstheme="minorHAnsi"/>
          <w:i/>
          <w:iCs/>
        </w:rPr>
        <w:t>A.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0F593B"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Pr="00487C69">
        <w:rPr>
          <w:rFonts w:asciiTheme="minorHAnsi" w:hAnsiTheme="minorHAnsi" w:cstheme="minorHAnsi"/>
        </w:rPr>
        <w:t>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available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Unionidae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Clinch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river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downloaded.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Closely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C06BDE" w:rsidRPr="00487C69">
        <w:rPr>
          <w:rFonts w:asciiTheme="minorHAnsi" w:hAnsiTheme="minorHAnsi" w:cstheme="minorHAnsi"/>
          <w:i/>
          <w:iCs/>
        </w:rPr>
        <w:t>Lampsilis</w:t>
      </w:r>
      <w:proofErr w:type="spellEnd"/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C06BDE" w:rsidRPr="00487C69">
        <w:rPr>
          <w:rFonts w:asciiTheme="minorHAnsi" w:hAnsiTheme="minorHAnsi" w:cstheme="minorHAnsi"/>
          <w:i/>
          <w:iCs/>
        </w:rPr>
        <w:t>siliquoidea</w:t>
      </w:r>
      <w:proofErr w:type="spellEnd"/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also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included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reference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even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though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found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river.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river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system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found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GenBank,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additional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house.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aligned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Geneious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software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(IDT)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software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multiple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added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alignment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visual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assessment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r w:rsidRPr="00487C69">
        <w:rPr>
          <w:rFonts w:asciiTheme="minorHAnsi" w:hAnsiTheme="minorHAnsi" w:cstheme="minorHAnsi"/>
          <w:b/>
          <w:bCs/>
        </w:rPr>
        <w:t>Figure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2</w:t>
      </w:r>
      <w:r w:rsidRPr="00487C69">
        <w:rPr>
          <w:rFonts w:asciiTheme="minorHAnsi" w:hAnsiTheme="minorHAnsi" w:cstheme="minorHAnsi"/>
        </w:rPr>
        <w:t>).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tested</w:t>
      </w:r>
      <w:r w:rsidR="00487C69" w:rsidRPr="00487C69">
        <w:rPr>
          <w:rFonts w:asciiTheme="minorHAnsi" w:hAnsiTheme="minorHAnsi" w:cstheme="minorHAnsi"/>
        </w:rPr>
        <w:t xml:space="preserve"> in silico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Primer-Blast,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after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which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ordered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further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testing</w:t>
      </w:r>
      <w:r w:rsidR="00487C69" w:rsidRPr="00487C69">
        <w:rPr>
          <w:rFonts w:asciiTheme="minorHAnsi" w:hAnsiTheme="minorHAnsi" w:cstheme="minorHAnsi"/>
        </w:rPr>
        <w:t xml:space="preserve"> in vitro</w:t>
      </w:r>
      <w:r w:rsidRPr="00487C69">
        <w:rPr>
          <w:rFonts w:asciiTheme="minorHAnsi" w:hAnsiTheme="minorHAnsi" w:cstheme="minorHAnsi"/>
          <w:i/>
          <w:iCs/>
        </w:rPr>
        <w:t>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lab,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extractions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62D70" w:rsidRPr="00487C69">
        <w:rPr>
          <w:rFonts w:asciiTheme="minorHAnsi" w:hAnsiTheme="minorHAnsi" w:cstheme="minorHAnsi"/>
        </w:rPr>
        <w:t>2</w:t>
      </w:r>
      <w:r w:rsidR="00AD6830" w:rsidRPr="00487C69">
        <w:rPr>
          <w:rFonts w:asciiTheme="minorHAnsi" w:hAnsiTheme="minorHAnsi" w:cstheme="minorHAnsi"/>
        </w:rPr>
        <w:t>7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available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specificity.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(A.lig.1)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successfully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06BDE" w:rsidRPr="00487C69">
        <w:rPr>
          <w:rFonts w:asciiTheme="minorHAnsi" w:hAnsiTheme="minorHAnsi" w:cstheme="minorHAnsi"/>
        </w:rPr>
        <w:t>(</w:t>
      </w:r>
      <w:r w:rsidR="00C06BDE" w:rsidRPr="00487C69">
        <w:rPr>
          <w:rFonts w:asciiTheme="minorHAnsi" w:hAnsiTheme="minorHAnsi" w:cstheme="minorHAnsi"/>
          <w:b/>
          <w:bCs/>
        </w:rPr>
        <w:t>Table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C06BDE" w:rsidRPr="00487C69">
        <w:rPr>
          <w:rFonts w:asciiTheme="minorHAnsi" w:hAnsiTheme="minorHAnsi" w:cstheme="minorHAnsi"/>
          <w:b/>
          <w:bCs/>
        </w:rPr>
        <w:t>1</w:t>
      </w:r>
      <w:r w:rsidR="00FA3DCE" w:rsidRPr="00487C69">
        <w:rPr>
          <w:rFonts w:asciiTheme="minorHAnsi" w:hAnsiTheme="minorHAnsi" w:cstheme="minorHAnsi"/>
        </w:rPr>
        <w:t>;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06BDE" w:rsidRPr="00487C69">
        <w:rPr>
          <w:rFonts w:asciiTheme="minorHAnsi" w:hAnsiTheme="minorHAnsi" w:cstheme="minorHAnsi"/>
          <w:b/>
          <w:bCs/>
        </w:rPr>
        <w:t>Table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C06BDE" w:rsidRPr="00487C69">
        <w:rPr>
          <w:rFonts w:asciiTheme="minorHAnsi" w:hAnsiTheme="minorHAnsi" w:cstheme="minorHAnsi"/>
          <w:b/>
          <w:bCs/>
        </w:rPr>
        <w:t>2</w:t>
      </w:r>
      <w:r w:rsidR="00C06BDE" w:rsidRPr="00487C69">
        <w:rPr>
          <w:rFonts w:asciiTheme="minorHAnsi" w:hAnsiTheme="minorHAnsi" w:cstheme="minorHAnsi"/>
        </w:rPr>
        <w:t>)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moved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forward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further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testing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efficiency,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LOD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LOQ.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It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has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amplicon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length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121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base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pairs</w:t>
      </w:r>
      <w:r w:rsidR="00813231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  <w:b/>
          <w:bCs/>
        </w:rPr>
        <w:t>Table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FA3DCE" w:rsidRPr="00487C69">
        <w:rPr>
          <w:rFonts w:asciiTheme="minorHAnsi" w:hAnsiTheme="minorHAnsi" w:cstheme="minorHAnsi"/>
          <w:b/>
          <w:bCs/>
        </w:rPr>
        <w:t>3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shows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used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  <w:i/>
          <w:iCs/>
        </w:rPr>
        <w:t>A.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FA3DCE"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synthetic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standard</w:t>
      </w:r>
      <w:r w:rsidR="0037632C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Figures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3a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3b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show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results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successful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good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efficiency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</w:t>
      </w:r>
      <w:r w:rsidRPr="00487C69">
        <w:rPr>
          <w:rFonts w:asciiTheme="minorHAnsi" w:hAnsiTheme="minorHAnsi" w:cstheme="minorHAnsi"/>
          <w:vertAlign w:val="superscript"/>
        </w:rPr>
        <w:t>2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values.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Figures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3c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3d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show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whose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standard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curve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E160D" w:rsidRPr="00487C69">
        <w:rPr>
          <w:rFonts w:asciiTheme="minorHAnsi" w:hAnsiTheme="minorHAnsi" w:cstheme="minorHAnsi"/>
        </w:rPr>
        <w:t>efficiency;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discarded.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LOQ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selected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85687" w:rsidRPr="00487C69">
        <w:rPr>
          <w:rFonts w:asciiTheme="minorHAnsi" w:hAnsiTheme="minorHAnsi" w:cstheme="minorHAnsi"/>
        </w:rPr>
        <w:t>(A.lig.1)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12DB3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12DB3" w:rsidRPr="00487C69">
        <w:rPr>
          <w:rFonts w:asciiTheme="minorHAnsi" w:hAnsiTheme="minorHAnsi" w:cstheme="minorHAnsi"/>
        </w:rPr>
        <w:t>both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found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12DB3" w:rsidRPr="00487C69">
        <w:rPr>
          <w:rFonts w:asciiTheme="minorHAnsi" w:hAnsiTheme="minorHAnsi" w:cstheme="minorHAnsi"/>
        </w:rPr>
        <w:t>5.00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copies</w:t>
      </w:r>
      <w:r w:rsidR="00487C69" w:rsidRPr="00487C69">
        <w:rPr>
          <w:rFonts w:asciiTheme="minorHAnsi" w:hAnsiTheme="minorHAnsi" w:cstheme="minorHAnsi"/>
        </w:rPr>
        <w:t>/</w:t>
      </w:r>
      <w:r w:rsidRPr="00487C69">
        <w:rPr>
          <w:rFonts w:asciiTheme="minorHAnsi" w:hAnsiTheme="minorHAnsi" w:cstheme="minorHAnsi"/>
        </w:rPr>
        <w:t>reaction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discrete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method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described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Klymus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</w:t>
      </w:r>
      <w:r w:rsidRPr="00487C69">
        <w:rPr>
          <w:rFonts w:asciiTheme="minorHAnsi" w:hAnsiTheme="minorHAnsi" w:cstheme="minorHAnsi"/>
          <w:noProof/>
          <w:vertAlign w:val="superscript"/>
        </w:rPr>
        <w:t>5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IPC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multiplexed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r w:rsidR="00536FD9" w:rsidRPr="00487C69">
        <w:rPr>
          <w:rFonts w:asciiTheme="minorHAnsi" w:hAnsiTheme="minorHAnsi" w:cstheme="minorHAnsi"/>
          <w:b/>
          <w:bCs/>
        </w:rPr>
        <w:t>Table</w:t>
      </w:r>
      <w:r w:rsidR="0037632C" w:rsidRPr="00487C69">
        <w:rPr>
          <w:rFonts w:asciiTheme="minorHAnsi" w:hAnsiTheme="minorHAnsi" w:cstheme="minorHAnsi"/>
          <w:b/>
          <w:bCs/>
        </w:rPr>
        <w:t>s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536FD9" w:rsidRPr="00487C69">
        <w:rPr>
          <w:rFonts w:asciiTheme="minorHAnsi" w:hAnsiTheme="minorHAnsi" w:cstheme="minorHAnsi"/>
          <w:b/>
          <w:bCs/>
        </w:rPr>
        <w:t>3</w:t>
      </w:r>
      <w:r w:rsidR="0037632C" w:rsidRPr="00487C69">
        <w:rPr>
          <w:rFonts w:asciiTheme="minorHAnsi" w:hAnsiTheme="minorHAnsi" w:cstheme="minorHAnsi"/>
          <w:b/>
          <w:bCs/>
        </w:rPr>
        <w:t>-6</w:t>
      </w:r>
      <w:r w:rsidRPr="00487C69">
        <w:rPr>
          <w:rFonts w:asciiTheme="minorHAnsi" w:hAnsiTheme="minorHAnsi" w:cstheme="minorHAnsi"/>
        </w:rPr>
        <w:t>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did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affect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F593B" w:rsidRPr="00487C69">
        <w:rPr>
          <w:rFonts w:asciiTheme="minorHAnsi" w:hAnsiTheme="minorHAnsi" w:cstheme="minorHAnsi"/>
          <w:i/>
          <w:iCs/>
        </w:rPr>
        <w:t>A.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0F593B"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assay’s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standard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curve.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IPC</w:t>
      </w:r>
      <w:r w:rsidR="00487C69" w:rsidRPr="00487C69">
        <w:rPr>
          <w:rFonts w:asciiTheme="minorHAnsi" w:hAnsiTheme="minorHAnsi" w:cstheme="minorHAnsi"/>
        </w:rPr>
        <w:t xml:space="preserve"> we use </w:t>
      </w:r>
      <w:r w:rsidR="00FA77D1"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fragment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mouse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FA77D1" w:rsidRPr="00487C69">
        <w:rPr>
          <w:rFonts w:asciiTheme="minorHAnsi" w:hAnsiTheme="minorHAnsi" w:cstheme="minorHAnsi"/>
        </w:rPr>
        <w:t>HemT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transcript.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predesigned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by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IDT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another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E160D" w:rsidRPr="00487C69">
        <w:rPr>
          <w:rFonts w:asciiTheme="minorHAnsi" w:hAnsiTheme="minorHAnsi" w:cstheme="minorHAnsi"/>
        </w:rPr>
        <w:t>application,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but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we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modified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its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use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IPC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our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lab’s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applications.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504AB397" w14:textId="77777777" w:rsidR="00402C49" w:rsidRPr="00487C69" w:rsidRDefault="00402C49" w:rsidP="00487C6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</w:rPr>
      </w:pPr>
    </w:p>
    <w:p w14:paraId="4A3189F1" w14:textId="685B210E" w:rsidR="00FB6906" w:rsidRPr="00487C69" w:rsidRDefault="00FB6906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theme="minorHAnsi"/>
        </w:rPr>
      </w:pP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successful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qPCR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run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meet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certain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criteria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each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measure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performance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(</w:t>
      </w:r>
      <w:r w:rsidR="00637133" w:rsidRPr="00487C69">
        <w:rPr>
          <w:rStyle w:val="normaltextrun"/>
          <w:rFonts w:asciiTheme="minorHAnsi" w:hAnsiTheme="minorHAnsi" w:cstheme="minorHAnsi"/>
        </w:rPr>
        <w:t>i.e.,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curve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amplification,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genomic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DNA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positive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control,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template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control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internal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positive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control).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target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assay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have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exponential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curves.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These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curves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reach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point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plateau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allowed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run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enough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cycles.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This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indicative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fluorescent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probe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completely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consumed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during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reaction,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fluorescence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levels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reaching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maximum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limit.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Later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amplifying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reach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plateau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40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cycles.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positive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controls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(genomic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DNA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IPC)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have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same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pattern.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Unknowns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amplify,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but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unknowns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also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have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exponential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pattern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endpoint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plateau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(</w:t>
      </w:r>
      <w:r w:rsidRPr="00487C69">
        <w:rPr>
          <w:rStyle w:val="normaltextrun"/>
          <w:rFonts w:asciiTheme="minorHAnsi" w:hAnsiTheme="minorHAnsi" w:cstheme="minorHAnsi"/>
          <w:b/>
          <w:bCs/>
        </w:rPr>
        <w:t>Figure</w:t>
      </w:r>
      <w:r w:rsidR="00487C69" w:rsidRPr="00487C69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</w:rPr>
        <w:t>5</w:t>
      </w:r>
      <w:r w:rsidRPr="00487C69">
        <w:rPr>
          <w:rStyle w:val="normaltextrun"/>
          <w:rFonts w:asciiTheme="minorHAnsi" w:hAnsiTheme="minorHAnsi" w:cstheme="minorHAnsi"/>
        </w:rPr>
        <w:t>).</w:t>
      </w:r>
    </w:p>
    <w:p w14:paraId="7CF40135" w14:textId="77777777" w:rsidR="000E0AFE" w:rsidRPr="00487C69" w:rsidRDefault="000E0AFE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37DF4CF5" w14:textId="1173F7D6" w:rsidR="000E0AFE" w:rsidRPr="00487C69" w:rsidRDefault="000E0AFE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quality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qPCR,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dilutions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evenly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spaced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of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approximately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every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3.3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cycles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for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each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10-fold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difference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in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concentration</w:t>
      </w:r>
      <w:r w:rsidRPr="00487C69">
        <w:rPr>
          <w:rStyle w:val="normaltextrun"/>
          <w:rFonts w:asciiTheme="minorHAnsi" w:hAnsiTheme="minorHAnsi" w:cstheme="minorHAnsi"/>
        </w:rPr>
        <w:t>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Each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replicate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dilution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tightly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grouped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manner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having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nearly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same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(represented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by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the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</w:t>
      </w:r>
      <w:r w:rsidRPr="00487C69">
        <w:rPr>
          <w:rStyle w:val="normaltextrun"/>
          <w:rFonts w:asciiTheme="minorHAnsi" w:hAnsiTheme="minorHAnsi" w:cstheme="minorHAnsi"/>
          <w:vertAlign w:val="superscript"/>
        </w:rPr>
        <w:t>2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values)</w:t>
      </w:r>
      <w:r w:rsidRPr="00487C69">
        <w:rPr>
          <w:rStyle w:val="normaltextrun"/>
          <w:rFonts w:asciiTheme="minorHAnsi" w:hAnsiTheme="minorHAnsi" w:cstheme="minorHAnsi"/>
        </w:rPr>
        <w:t>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All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lastRenderedPageBreak/>
        <w:t>standard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dilutions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exhibit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(</w:t>
      </w:r>
      <w:r w:rsidRPr="00487C69">
        <w:rPr>
          <w:rStyle w:val="normaltextrun"/>
          <w:rFonts w:asciiTheme="minorHAnsi" w:hAnsiTheme="minorHAnsi" w:cstheme="minorHAnsi"/>
          <w:b/>
          <w:bCs/>
        </w:rPr>
        <w:t>Figure</w:t>
      </w:r>
      <w:r w:rsidR="00487C69" w:rsidRPr="00487C69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</w:rPr>
        <w:t>3a</w:t>
      </w:r>
      <w:r w:rsidRPr="00487C69">
        <w:rPr>
          <w:rStyle w:val="normaltextrun"/>
          <w:rFonts w:asciiTheme="minorHAnsi" w:hAnsiTheme="minorHAnsi" w:cstheme="minorHAnsi"/>
        </w:rPr>
        <w:t>).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poor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qPCR,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exhibit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non-exponential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shape,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uneven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variation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values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between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dilutions,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come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endpoint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plateau,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some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dilutions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all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(</w:t>
      </w:r>
      <w:r w:rsidRPr="00487C69">
        <w:rPr>
          <w:rStyle w:val="normaltextrun"/>
          <w:rFonts w:asciiTheme="minorHAnsi" w:hAnsiTheme="minorHAnsi" w:cstheme="minorHAnsi"/>
          <w:b/>
          <w:bCs/>
        </w:rPr>
        <w:t>Figure</w:t>
      </w:r>
      <w:r w:rsidR="00487C69" w:rsidRPr="00487C69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</w:rPr>
        <w:t>3d</w:t>
      </w:r>
      <w:r w:rsidRPr="00487C69">
        <w:rPr>
          <w:rStyle w:val="normaltextrun"/>
          <w:rFonts w:asciiTheme="minorHAnsi" w:hAnsiTheme="minorHAnsi" w:cstheme="minorHAnsi"/>
        </w:rPr>
        <w:t>).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</w:p>
    <w:p w14:paraId="0C9832D7" w14:textId="3849C9AD" w:rsidR="000E0AFE" w:rsidRPr="00487C69" w:rsidRDefault="00487C69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  <w:r w:rsidRPr="00487C69">
        <w:rPr>
          <w:rStyle w:val="eop"/>
          <w:rFonts w:asciiTheme="minorHAnsi" w:hAnsiTheme="minorHAnsi" w:cstheme="minorHAnsi"/>
        </w:rPr>
        <w:t xml:space="preserve"> </w:t>
      </w:r>
    </w:p>
    <w:p w14:paraId="45E321CB" w14:textId="5A751B82" w:rsidR="000E0AFE" w:rsidRPr="00487C69" w:rsidRDefault="000E0AFE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important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parameters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curve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are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efficiency,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</w:t>
      </w:r>
      <w:r w:rsidRPr="00487C69">
        <w:rPr>
          <w:rStyle w:val="normaltextrun"/>
          <w:rFonts w:asciiTheme="minorHAnsi" w:hAnsiTheme="minorHAnsi" w:cstheme="minorHAnsi"/>
          <w:vertAlign w:val="superscript"/>
        </w:rPr>
        <w:t>2</w:t>
      </w:r>
      <w:r w:rsidRPr="00487C69">
        <w:rPr>
          <w:rStyle w:val="normaltextrun"/>
          <w:rFonts w:asciiTheme="minorHAnsi" w:hAnsiTheme="minorHAnsi" w:cstheme="minorHAnsi"/>
        </w:rPr>
        <w:t>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slope,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y-intercept.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Efficiency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fall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between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90%-110%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ideal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values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near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100%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</w:t>
      </w:r>
      <w:r w:rsidRPr="00487C69">
        <w:rPr>
          <w:rStyle w:val="normaltextrun"/>
          <w:rFonts w:asciiTheme="minorHAnsi" w:hAnsiTheme="minorHAnsi" w:cstheme="minorHAnsi"/>
          <w:vertAlign w:val="superscript"/>
        </w:rPr>
        <w:t>2</w:t>
      </w:r>
      <w:r w:rsidR="00487C69" w:rsidRPr="00487C69">
        <w:rPr>
          <w:rStyle w:val="normaltextrun"/>
          <w:rFonts w:asciiTheme="minorHAnsi" w:hAnsiTheme="minorHAnsi" w:cstheme="minorHAnsi"/>
          <w:vertAlign w:val="superscript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values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above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0.98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ideal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results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approaching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1.0</w:t>
      </w:r>
      <w:r w:rsidRPr="00487C69">
        <w:rPr>
          <w:rStyle w:val="normaltextrun"/>
          <w:rFonts w:asciiTheme="minorHAnsi" w:hAnsiTheme="minorHAnsi" w:cstheme="minorHAnsi"/>
          <w:noProof/>
          <w:vertAlign w:val="superscript"/>
        </w:rPr>
        <w:t>1</w:t>
      </w:r>
      <w:r w:rsidR="009C174F" w:rsidRPr="00487C69">
        <w:rPr>
          <w:rStyle w:val="normaltextrun"/>
          <w:rFonts w:asciiTheme="minorHAnsi" w:hAnsiTheme="minorHAnsi" w:cstheme="minorHAnsi"/>
          <w:noProof/>
          <w:vertAlign w:val="superscript"/>
        </w:rPr>
        <w:t>5</w:t>
      </w:r>
      <w:r w:rsidRPr="00487C69">
        <w:rPr>
          <w:rStyle w:val="normaltextrun"/>
          <w:rFonts w:asciiTheme="minorHAnsi" w:hAnsiTheme="minorHAnsi" w:cstheme="minorHAnsi"/>
          <w:noProof/>
          <w:vertAlign w:val="superscript"/>
        </w:rPr>
        <w:t>,2</w:t>
      </w:r>
      <w:r w:rsidR="009C174F" w:rsidRPr="00487C69">
        <w:rPr>
          <w:rStyle w:val="normaltextrun"/>
          <w:rFonts w:asciiTheme="minorHAnsi" w:hAnsiTheme="minorHAnsi" w:cstheme="minorHAnsi"/>
          <w:noProof/>
          <w:vertAlign w:val="superscript"/>
        </w:rPr>
        <w:t>2</w:t>
      </w:r>
      <w:r w:rsidRPr="00487C69">
        <w:rPr>
          <w:rStyle w:val="normaltextrun"/>
          <w:rFonts w:asciiTheme="minorHAnsi" w:hAnsiTheme="minorHAnsi" w:cstheme="minorHAnsi"/>
        </w:rPr>
        <w:t>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Slope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values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between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FB6906" w:rsidRPr="00487C69">
        <w:rPr>
          <w:rStyle w:val="normaltextrun"/>
          <w:rFonts w:asciiTheme="minorHAnsi" w:hAnsiTheme="minorHAnsi" w:cstheme="minorHAnsi"/>
        </w:rPr>
        <w:t>-</w:t>
      </w:r>
      <w:r w:rsidRPr="00487C69">
        <w:rPr>
          <w:rStyle w:val="normaltextrun"/>
          <w:rFonts w:asciiTheme="minorHAnsi" w:hAnsiTheme="minorHAnsi" w:cstheme="minorHAnsi"/>
        </w:rPr>
        <w:t>3.2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FB6906" w:rsidRPr="00487C69">
        <w:rPr>
          <w:rStyle w:val="normaltextrun"/>
          <w:rFonts w:asciiTheme="minorHAnsi" w:hAnsiTheme="minorHAnsi" w:cstheme="minorHAnsi"/>
        </w:rPr>
        <w:t>-</w:t>
      </w:r>
      <w:r w:rsidRPr="00487C69">
        <w:rPr>
          <w:rStyle w:val="normaltextrun"/>
          <w:rFonts w:asciiTheme="minorHAnsi" w:hAnsiTheme="minorHAnsi" w:cstheme="minorHAnsi"/>
        </w:rPr>
        <w:t>3.5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ideal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results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near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-3.3</w:t>
      </w:r>
      <w:r w:rsidRPr="00487C69">
        <w:rPr>
          <w:rStyle w:val="normaltextrun"/>
          <w:rFonts w:asciiTheme="minorHAnsi" w:hAnsiTheme="minorHAnsi" w:cstheme="minorHAnsi"/>
          <w:noProof/>
          <w:vertAlign w:val="superscript"/>
        </w:rPr>
        <w:t>2</w:t>
      </w:r>
      <w:r w:rsidR="009C174F" w:rsidRPr="00487C69">
        <w:rPr>
          <w:rStyle w:val="normaltextrun"/>
          <w:rFonts w:asciiTheme="minorHAnsi" w:hAnsiTheme="minorHAnsi" w:cstheme="minorHAnsi"/>
          <w:noProof/>
          <w:vertAlign w:val="superscript"/>
        </w:rPr>
        <w:t>2</w:t>
      </w:r>
      <w:r w:rsidRPr="00487C69">
        <w:rPr>
          <w:rStyle w:val="normaltextrun"/>
          <w:rFonts w:asciiTheme="minorHAnsi" w:hAnsiTheme="minorHAnsi" w:cstheme="minorHAnsi"/>
        </w:rPr>
        <w:t>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y</w:t>
      </w:r>
      <w:r w:rsidR="00FB6906" w:rsidRPr="00487C69">
        <w:rPr>
          <w:rStyle w:val="normaltextrun"/>
          <w:rFonts w:asciiTheme="minorHAnsi" w:hAnsiTheme="minorHAnsi" w:cstheme="minorHAnsi"/>
        </w:rPr>
        <w:t>-</w:t>
      </w:r>
      <w:r w:rsidRPr="00487C69">
        <w:rPr>
          <w:rStyle w:val="normaltextrun"/>
          <w:rFonts w:asciiTheme="minorHAnsi" w:hAnsiTheme="minorHAnsi" w:cstheme="minorHAnsi"/>
        </w:rPr>
        <w:t>intercept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values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fall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between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34-41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ideal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results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having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37.0.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y-intercept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predicted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normaltextrun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reaction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1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copy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target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sequence,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smallest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unit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that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measured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single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qPCR.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Unknowns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normaltextrun"/>
          <w:rFonts w:asciiTheme="minorHAnsi" w:hAnsiTheme="minorHAnsi" w:cstheme="minorHAnsi"/>
        </w:rPr>
        <w:t>Cq’s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greater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y-intercept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are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likely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inhibited.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Running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greater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40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cycles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PCR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necessary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detect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target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case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inhibition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inefficient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primer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set,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however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quantification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possible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under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these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circumstances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additional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negative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controls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without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target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sequence</w:t>
      </w:r>
      <w:r w:rsidR="00FB6906" w:rsidRPr="00487C69">
        <w:rPr>
          <w:rStyle w:val="normaltextrun"/>
          <w:rFonts w:asciiTheme="minorHAnsi" w:hAnsiTheme="minorHAnsi" w:cstheme="minorHAnsi"/>
        </w:rPr>
        <w:t>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but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containing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total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DNA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similar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unknowns</w:t>
      </w:r>
      <w:r w:rsidR="00FB6906" w:rsidRPr="00487C69">
        <w:rPr>
          <w:rStyle w:val="normaltextrun"/>
          <w:rFonts w:asciiTheme="minorHAnsi" w:hAnsiTheme="minorHAnsi" w:cstheme="minorHAnsi"/>
        </w:rPr>
        <w:t>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run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rule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out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from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non-specific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sources.</w:t>
      </w:r>
    </w:p>
    <w:p w14:paraId="2ED88F07" w14:textId="77777777" w:rsidR="00CF1B8A" w:rsidRPr="00487C69" w:rsidRDefault="00CF1B8A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44F3D842" w14:textId="68CB55E6" w:rsidR="00402C49" w:rsidRPr="00487C69" w:rsidRDefault="00402C49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487C69">
        <w:rPr>
          <w:rStyle w:val="normaltextrun"/>
          <w:rFonts w:asciiTheme="minorHAnsi" w:hAnsiTheme="minorHAnsi" w:cstheme="minorHAnsi"/>
        </w:rPr>
        <w:t>IPC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unknown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samples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compared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results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negative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template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control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IPC,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there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competition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reagents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inhibitors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FA3983" w:rsidRPr="00487C69">
        <w:rPr>
          <w:rStyle w:val="normaltextrun"/>
          <w:rFonts w:asciiTheme="minorHAnsi" w:hAnsiTheme="minorHAnsi" w:cstheme="minorHAnsi"/>
        </w:rPr>
        <w:t>are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present.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Unknowns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IPC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having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2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cycles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greater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average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value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NTC,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FA3983" w:rsidRPr="00487C69">
        <w:rPr>
          <w:rStyle w:val="normaltextrun"/>
          <w:rFonts w:asciiTheme="minorHAnsi" w:hAnsiTheme="minorHAnsi" w:cstheme="minorHAnsi"/>
        </w:rPr>
        <w:t>that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considered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inhibited.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inhibitors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are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present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samples,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all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IPC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have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tight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grouping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plot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values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near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same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NTC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(</w:t>
      </w:r>
      <w:r w:rsidRPr="00487C69">
        <w:rPr>
          <w:rStyle w:val="normaltextrun"/>
          <w:rFonts w:asciiTheme="minorHAnsi" w:hAnsiTheme="minorHAnsi" w:cstheme="minorHAnsi"/>
          <w:b/>
          <w:bCs/>
        </w:rPr>
        <w:t>Figure</w:t>
      </w:r>
      <w:r w:rsidR="00487C69" w:rsidRPr="00487C69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</w:rPr>
        <w:t>6</w:t>
      </w:r>
      <w:r w:rsidRPr="00487C69">
        <w:rPr>
          <w:rStyle w:val="normaltextrun"/>
          <w:rFonts w:asciiTheme="minorHAnsi" w:hAnsiTheme="minorHAnsi" w:cstheme="minorHAnsi"/>
        </w:rPr>
        <w:t>).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</w:p>
    <w:p w14:paraId="2C12EE76" w14:textId="77777777" w:rsidR="007F2059" w:rsidRPr="00487C69" w:rsidRDefault="007F2059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2C17FBED" w14:textId="0A1A7E55" w:rsidR="007F2059" w:rsidRPr="00487C69" w:rsidRDefault="007F2059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Finally,</w:t>
      </w:r>
      <w:r w:rsidR="00487C69" w:rsidRPr="00487C69">
        <w:rPr>
          <w:rFonts w:asciiTheme="minorHAnsi" w:hAnsiTheme="minorHAnsi" w:cstheme="minorHAnsi"/>
        </w:rPr>
        <w:t xml:space="preserve"> in situ </w:t>
      </w:r>
      <w:r w:rsidRPr="00487C69">
        <w:rPr>
          <w:rFonts w:asciiTheme="minorHAnsi" w:hAnsiTheme="minorHAnsi" w:cstheme="minorHAnsi"/>
        </w:rPr>
        <w:t>testing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occurred.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Twenty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Clinch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R</w:t>
      </w:r>
      <w:r w:rsidRPr="00487C69">
        <w:rPr>
          <w:rFonts w:asciiTheme="minorHAnsi" w:hAnsiTheme="minorHAnsi" w:cstheme="minorHAnsi"/>
        </w:rPr>
        <w:t>iver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three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blank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sample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D371A" w:rsidRPr="00487C69">
        <w:rPr>
          <w:rFonts w:asciiTheme="minorHAnsi" w:hAnsiTheme="minorHAnsi" w:cstheme="minorHAnsi"/>
        </w:rPr>
        <w:t>filtered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between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September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25-26,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2019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500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meters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mussel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known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  <w:iCs/>
        </w:rPr>
        <w:t>A.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Approximately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B6906" w:rsidRPr="00487C69">
        <w:rPr>
          <w:rFonts w:asciiTheme="minorHAnsi" w:hAnsiTheme="minorHAnsi" w:cstheme="minorHAnsi"/>
        </w:rPr>
        <w:t>four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1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filtered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per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sampling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location.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Location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sites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included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bottom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mussel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stream,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bottom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mussel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near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shore,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100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downstream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stream,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500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downstream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stream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500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downstream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near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shore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32347" w:rsidRPr="00487C69">
        <w:rPr>
          <w:rFonts w:asciiTheme="minorHAnsi" w:hAnsiTheme="minorHAnsi" w:cstheme="minorHAnsi"/>
        </w:rPr>
        <w:t>(</w:t>
      </w:r>
      <w:r w:rsidR="00932347" w:rsidRPr="00487C69">
        <w:rPr>
          <w:rFonts w:asciiTheme="minorHAnsi" w:hAnsiTheme="minorHAnsi" w:cstheme="minorHAnsi"/>
          <w:b/>
          <w:bCs/>
        </w:rPr>
        <w:t>Figure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932347" w:rsidRPr="00487C69">
        <w:rPr>
          <w:rFonts w:asciiTheme="minorHAnsi" w:hAnsiTheme="minorHAnsi" w:cstheme="minorHAnsi"/>
          <w:b/>
          <w:bCs/>
        </w:rPr>
        <w:t>7</w:t>
      </w:r>
      <w:r w:rsidR="00932347" w:rsidRPr="00487C69">
        <w:rPr>
          <w:rFonts w:asciiTheme="minorHAnsi" w:hAnsiTheme="minorHAnsi" w:cstheme="minorHAnsi"/>
        </w:rPr>
        <w:t>).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Back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lab</w:t>
      </w:r>
      <w:r w:rsidR="00FB6906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each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filter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cut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half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extracted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only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half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filter</w:t>
      </w:r>
      <w:r w:rsidR="00F272F5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remaining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filter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half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each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sample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stored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-80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°C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freezer.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run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A.lig.1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multiplexed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IPC.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23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samples,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five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found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inhibited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IPC.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diluted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1:10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dilutions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re-run.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Nine</w:t>
      </w:r>
      <w:r w:rsidR="00FC73DB" w:rsidRPr="00487C69">
        <w:rPr>
          <w:rFonts w:asciiTheme="minorHAnsi" w:hAnsiTheme="minorHAnsi" w:cstheme="minorHAnsi"/>
        </w:rPr>
        <w:t>teen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20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19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samples</w:t>
      </w:r>
      <w:r w:rsidR="009376C1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five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above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assay’s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LOD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376C1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376C1" w:rsidRPr="00487C69">
        <w:rPr>
          <w:rFonts w:asciiTheme="minorHAnsi" w:hAnsiTheme="minorHAnsi" w:cstheme="minorHAnsi"/>
        </w:rPr>
        <w:t>LOQ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copies/reaction</w:t>
      </w:r>
      <w:r w:rsidR="009376C1" w:rsidRPr="00487C69">
        <w:rPr>
          <w:rFonts w:asciiTheme="minorHAnsi" w:hAnsiTheme="minorHAnsi" w:cstheme="minorHAnsi"/>
        </w:rPr>
        <w:t>;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376C1" w:rsidRPr="00487C69">
        <w:rPr>
          <w:rFonts w:asciiTheme="minorHAnsi" w:hAnsiTheme="minorHAnsi" w:cstheme="minorHAnsi"/>
        </w:rPr>
        <w:t>meaning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most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had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but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where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false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negative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results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F6BD8" w:rsidRPr="00487C69">
        <w:rPr>
          <w:rFonts w:asciiTheme="minorHAnsi" w:hAnsiTheme="minorHAnsi" w:cstheme="minorHAnsi"/>
        </w:rPr>
        <w:t>likely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F6BD8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F6BD8" w:rsidRPr="00487C69">
        <w:rPr>
          <w:rFonts w:asciiTheme="minorHAnsi" w:hAnsiTheme="minorHAnsi" w:cstheme="minorHAnsi"/>
        </w:rPr>
        <w:t>occur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</w:t>
      </w:r>
      <w:r w:rsidR="00C34361" w:rsidRPr="00487C69">
        <w:rPr>
          <w:rFonts w:asciiTheme="minorHAnsi" w:hAnsiTheme="minorHAnsi" w:cstheme="minorHAnsi"/>
        </w:rPr>
        <w:t>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could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confidently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quantify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copy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number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those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1</w:t>
      </w:r>
      <w:r w:rsidR="005232B1" w:rsidRPr="00487C69">
        <w:rPr>
          <w:rFonts w:asciiTheme="minorHAnsi" w:hAnsiTheme="minorHAnsi" w:cstheme="minorHAnsi"/>
        </w:rPr>
        <w:t>4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samples</w:t>
      </w:r>
      <w:r w:rsidR="00C34361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Nevertheless,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75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100%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four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biological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site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replicates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amplified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each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sampling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location</w:t>
      </w:r>
      <w:r w:rsidR="008B64A5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Two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35514" w:rsidRPr="00487C69">
        <w:rPr>
          <w:rFonts w:asciiTheme="minorHAnsi" w:hAnsiTheme="minorHAnsi" w:cstheme="minorHAnsi"/>
        </w:rPr>
        <w:t>three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blanks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negative</w:t>
      </w:r>
      <w:r w:rsidR="005232B1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while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one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blank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did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show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amplification</w:t>
      </w:r>
      <w:r w:rsidR="00FB6906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emphasizing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importance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clean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technique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field</w:t>
      </w:r>
      <w:r w:rsidR="008B64A5" w:rsidRPr="00487C69">
        <w:rPr>
          <w:rFonts w:asciiTheme="minorHAnsi" w:hAnsiTheme="minorHAnsi" w:cstheme="minorHAnsi"/>
        </w:rPr>
        <w:t>.</w:t>
      </w:r>
    </w:p>
    <w:p w14:paraId="1573BADD" w14:textId="3A23A149" w:rsidR="00E73F7C" w:rsidRPr="00487C69" w:rsidRDefault="00E73F7C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06360DA3" w14:textId="7EDCAC85" w:rsidR="00E73F7C" w:rsidRPr="00487C69" w:rsidRDefault="00E73F7C" w:rsidP="00487C69">
      <w:pPr>
        <w:contextualSpacing/>
        <w:rPr>
          <w:rFonts w:asciiTheme="minorHAnsi" w:hAnsiTheme="minorHAnsi" w:cstheme="minorHAnsi"/>
          <w:i/>
          <w:color w:val="808080"/>
        </w:rPr>
      </w:pPr>
      <w:bookmarkStart w:id="9" w:name="Figure_Legends"/>
      <w:r w:rsidRPr="00487C69">
        <w:rPr>
          <w:rFonts w:asciiTheme="minorHAnsi" w:hAnsiTheme="minorHAnsi" w:cstheme="minorHAnsi"/>
          <w:b/>
        </w:rPr>
        <w:t>FIGURE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AND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</w:rPr>
        <w:t>TABLE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LEGENDS</w:t>
      </w:r>
      <w:bookmarkEnd w:id="9"/>
      <w:r w:rsidRPr="00487C69">
        <w:rPr>
          <w:rFonts w:asciiTheme="minorHAnsi" w:hAnsiTheme="minorHAnsi" w:cstheme="minorHAnsi"/>
          <w:b/>
        </w:rPr>
        <w:t>:</w:t>
      </w:r>
      <w:r w:rsidR="00487C69" w:rsidRPr="00487C69">
        <w:rPr>
          <w:rFonts w:asciiTheme="minorHAnsi" w:hAnsiTheme="minorHAnsi" w:cstheme="minorHAnsi"/>
          <w:i/>
          <w:color w:val="808080"/>
        </w:rPr>
        <w:t xml:space="preserve"> </w:t>
      </w:r>
    </w:p>
    <w:p w14:paraId="62B5D531" w14:textId="77777777" w:rsidR="00E73F7C" w:rsidRPr="00487C69" w:rsidRDefault="00E73F7C" w:rsidP="00487C69">
      <w:pPr>
        <w:contextualSpacing/>
        <w:rPr>
          <w:rFonts w:asciiTheme="minorHAnsi" w:hAnsiTheme="minorHAnsi" w:cstheme="minorHAnsi"/>
          <w:i/>
          <w:color w:val="auto"/>
        </w:rPr>
      </w:pPr>
    </w:p>
    <w:p w14:paraId="4E71B539" w14:textId="66F7D1C0" w:rsidR="00FB6906" w:rsidRPr="00487C69" w:rsidRDefault="00FB6906" w:rsidP="00487C69">
      <w:pPr>
        <w:contextualSpacing/>
        <w:rPr>
          <w:rFonts w:asciiTheme="minorHAnsi" w:hAnsiTheme="minorHAnsi" w:cstheme="minorHAnsi"/>
          <w:b/>
        </w:rPr>
      </w:pPr>
      <w:bookmarkStart w:id="10" w:name="_Hlk51586434"/>
      <w:r w:rsidRPr="00487C69">
        <w:rPr>
          <w:rFonts w:asciiTheme="minorHAnsi" w:hAnsiTheme="minorHAnsi" w:cstheme="minorHAnsi"/>
          <w:b/>
        </w:rPr>
        <w:t>Figure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1.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Workflow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for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mitochondrial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DNA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sequence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database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construction.</w:t>
      </w:r>
      <w:r w:rsidR="00487C69" w:rsidRPr="00487C69">
        <w:rPr>
          <w:rFonts w:asciiTheme="minorHAnsi" w:hAnsiTheme="minorHAnsi" w:cstheme="minorHAnsi"/>
          <w:b/>
        </w:rPr>
        <w:t xml:space="preserve"> </w:t>
      </w:r>
    </w:p>
    <w:p w14:paraId="7B422EAF" w14:textId="77777777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</w:p>
    <w:p w14:paraId="3505EDC1" w14:textId="26787B48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  <w:r w:rsidRPr="00487C69">
        <w:rPr>
          <w:rFonts w:asciiTheme="minorHAnsi" w:hAnsiTheme="minorHAnsi" w:cstheme="minorHAnsi"/>
          <w:b/>
        </w:rPr>
        <w:t>Figure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2.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Sequence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alignments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for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Clinch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river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mussel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species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with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prospective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primers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and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probes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for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  <w:i/>
          <w:iCs/>
        </w:rPr>
        <w:t>A.</w:t>
      </w:r>
      <w:r w:rsidR="00487C69" w:rsidRPr="00487C69">
        <w:rPr>
          <w:rFonts w:asciiTheme="minorHAnsi" w:hAnsiTheme="minorHAnsi" w:cstheme="minorHAnsi"/>
          <w:b/>
          <w:i/>
          <w:iCs/>
        </w:rPr>
        <w:t xml:space="preserve"> </w:t>
      </w:r>
      <w:proofErr w:type="spellStart"/>
      <w:r w:rsidRPr="00487C69">
        <w:rPr>
          <w:rFonts w:asciiTheme="minorHAnsi" w:hAnsiTheme="minorHAnsi" w:cstheme="minorHAnsi"/>
          <w:b/>
          <w:i/>
          <w:iCs/>
        </w:rPr>
        <w:t>ligamentina</w:t>
      </w:r>
      <w:proofErr w:type="spellEnd"/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ND1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assay.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Forward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primers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dark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green,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probe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reverse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primer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light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green.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</w:p>
    <w:p w14:paraId="3F7EDA75" w14:textId="77777777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</w:p>
    <w:p w14:paraId="2D6A1144" w14:textId="1E20E26A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  <w:r w:rsidRPr="00487C69">
        <w:rPr>
          <w:rFonts w:asciiTheme="minorHAnsi" w:hAnsiTheme="minorHAnsi" w:cstheme="minorHAnsi"/>
          <w:b/>
        </w:rPr>
        <w:t>Figure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3</w:t>
      </w:r>
      <w:r w:rsidR="00E35CFF" w:rsidRPr="00487C69">
        <w:rPr>
          <w:rFonts w:asciiTheme="minorHAnsi" w:hAnsiTheme="minorHAnsi" w:cstheme="minorHAnsi"/>
          <w:b/>
        </w:rPr>
        <w:t>.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Standard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curve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and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linear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regression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examples.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a</w:t>
      </w:r>
      <w:r w:rsidR="00E35CFF" w:rsidRPr="00487C69">
        <w:rPr>
          <w:rFonts w:asciiTheme="minorHAnsi" w:hAnsiTheme="minorHAnsi" w:cstheme="minorHAnsi"/>
          <w:bCs/>
        </w:rPr>
        <w:t>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Example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acceptable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curve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derived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from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amplification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replicate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six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dilutions.</w:t>
      </w:r>
      <w:r w:rsidR="00487C69" w:rsidRPr="00487C69">
        <w:rPr>
          <w:rFonts w:asciiTheme="minorHAnsi" w:hAnsiTheme="minorHAnsi" w:cstheme="minorHAnsi"/>
          <w:bCs/>
          <w:color w:val="E3008C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A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10-fold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standard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dilution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series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with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highest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concentration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standard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on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left,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with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decrease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concentration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moving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to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right.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flat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line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crossing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all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traces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is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threshold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for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cycle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at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quantitation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(</w:t>
      </w:r>
      <w:proofErr w:type="spellStart"/>
      <w:r w:rsidRPr="00487C69">
        <w:rPr>
          <w:rStyle w:val="spellingerror"/>
          <w:rFonts w:asciiTheme="minorHAnsi" w:hAnsiTheme="minorHAnsi" w:cstheme="minorHAnsi"/>
          <w:bCs/>
          <w:color w:val="auto"/>
          <w:shd w:val="clear" w:color="auto" w:fill="FFFFFF"/>
        </w:rPr>
        <w:t>Cq</w:t>
      </w:r>
      <w:proofErr w:type="spellEnd"/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).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Where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each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trace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crosses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this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threshold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is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where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  <w:bCs/>
          <w:color w:val="auto"/>
          <w:shd w:val="clear" w:color="auto" w:fill="FFFFFF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is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determined.</w:t>
      </w:r>
      <w:r w:rsidR="00487C69" w:rsidRPr="00487C69">
        <w:rPr>
          <w:rStyle w:val="eop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b</w:t>
      </w:r>
      <w:r w:rsidR="00E35CFF" w:rsidRPr="00487C69">
        <w:rPr>
          <w:rFonts w:asciiTheme="minorHAnsi" w:hAnsiTheme="minorHAnsi" w:cstheme="minorHAnsi"/>
          <w:bCs/>
        </w:rPr>
        <w:t>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Linear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regression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made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from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replicates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F</w:t>
      </w:r>
      <w:r w:rsidRPr="00487C69">
        <w:rPr>
          <w:rFonts w:asciiTheme="minorHAnsi" w:hAnsiTheme="minorHAnsi" w:cstheme="minorHAnsi"/>
          <w:bCs/>
        </w:rPr>
        <w:t>igure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3a.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Replicates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dilutions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are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plotted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circles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unknowns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(samples)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are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plotted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with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x’s.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efficiency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98.9%,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</w:t>
      </w:r>
      <w:r w:rsidRPr="00487C69">
        <w:rPr>
          <w:rFonts w:asciiTheme="minorHAnsi" w:hAnsiTheme="minorHAnsi" w:cstheme="minorHAnsi"/>
          <w:bCs/>
          <w:vertAlign w:val="superscript"/>
        </w:rPr>
        <w:t>2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approaching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1.0,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slope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-3.349.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/>
        </w:rPr>
        <w:t>c</w:t>
      </w:r>
      <w:r w:rsidR="00E35CFF" w:rsidRPr="00487C69">
        <w:rPr>
          <w:rFonts w:asciiTheme="minorHAnsi" w:hAnsiTheme="minorHAnsi" w:cstheme="minorHAnsi"/>
          <w:bCs/>
        </w:rPr>
        <w:t>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Example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poor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curve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derived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from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amplification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replicate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dilutions.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d</w:t>
      </w:r>
      <w:r w:rsidR="00E35CFF" w:rsidRPr="00487C69">
        <w:rPr>
          <w:rFonts w:asciiTheme="minorHAnsi" w:hAnsiTheme="minorHAnsi" w:cstheme="minorHAnsi"/>
          <w:bCs/>
        </w:rPr>
        <w:t>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linear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regression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forming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curve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for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replicates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amplified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example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3c.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Note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poor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efficiency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</w:t>
      </w:r>
      <w:r w:rsidRPr="00487C69">
        <w:rPr>
          <w:rFonts w:asciiTheme="minorHAnsi" w:hAnsiTheme="minorHAnsi" w:cstheme="minorHAnsi"/>
          <w:bCs/>
          <w:vertAlign w:val="superscript"/>
        </w:rPr>
        <w:t>2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values.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Also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note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that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only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4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6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amplified.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after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repeat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runs,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curve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does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not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improve,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problem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may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be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with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poor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primer</w:t>
      </w:r>
      <w:r w:rsidR="00487C69" w:rsidRPr="00487C69">
        <w:rPr>
          <w:rFonts w:asciiTheme="minorHAnsi" w:hAnsiTheme="minorHAnsi" w:cstheme="minorHAnsi"/>
          <w:bCs/>
        </w:rPr>
        <w:t>/</w:t>
      </w:r>
      <w:r w:rsidRPr="00487C69">
        <w:rPr>
          <w:rFonts w:asciiTheme="minorHAnsi" w:hAnsiTheme="minorHAnsi" w:cstheme="minorHAnsi"/>
          <w:bCs/>
        </w:rPr>
        <w:t>probe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set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that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does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not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amplify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target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DNA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expected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which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case,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this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assay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should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not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be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considered.</w:t>
      </w:r>
    </w:p>
    <w:p w14:paraId="59251AA8" w14:textId="77777777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</w:p>
    <w:p w14:paraId="7F7C8305" w14:textId="2A230CCF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  <w:r w:rsidRPr="00487C69">
        <w:rPr>
          <w:rFonts w:asciiTheme="minorHAnsi" w:hAnsiTheme="minorHAnsi" w:cstheme="minorHAnsi"/>
          <w:b/>
        </w:rPr>
        <w:t>Figure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4.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Examples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of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plate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setups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for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LOD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and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LOQ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standard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qPCR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runs.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used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curve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are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blue,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concentration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decreases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from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dark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to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light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blue.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DNA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positive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control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green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non-template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control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(NTC)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yellow.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Experimental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concentrations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grey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showing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24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replicates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for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each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dilution.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dilution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series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was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plated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across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three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plates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(a,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b,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c),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each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with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curve,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positive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control</w:t>
      </w:r>
      <w:r w:rsidR="00E35CFF" w:rsidRPr="00487C69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NTC.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</w:p>
    <w:p w14:paraId="66BB5332" w14:textId="77777777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</w:p>
    <w:p w14:paraId="3B739316" w14:textId="5509D0C0" w:rsidR="00FB6906" w:rsidRPr="00487C69" w:rsidRDefault="00FB6906" w:rsidP="00487C69">
      <w:pPr>
        <w:contextualSpacing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Figure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5.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Plate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setup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and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="00E35CFF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mplification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traces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from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qPCR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run.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Plate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setup,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standards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shown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blue,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darker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color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E35CFF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indicating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highest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concentration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standard.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DNA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positive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control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green,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negative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template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controls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yellow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(NTC),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sample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targets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grey.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B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traces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from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qPCR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run.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Standards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shown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blue,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DNA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positive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control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green,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negative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template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controls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yellow,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unknowns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red.</w:t>
      </w:r>
    </w:p>
    <w:p w14:paraId="5BDE7860" w14:textId="77777777" w:rsidR="00FB6906" w:rsidRPr="00487C69" w:rsidRDefault="00FB6906" w:rsidP="00487C69">
      <w:pPr>
        <w:contextualSpacing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14:paraId="00BCDC5C" w14:textId="3A580526" w:rsidR="00FB6906" w:rsidRPr="00487C69" w:rsidRDefault="00FB6906" w:rsidP="00487C69">
      <w:pPr>
        <w:contextualSpacing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Figure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6.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traces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for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Internal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Positive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Control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(IPC).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IPC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traces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for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all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unknown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samples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magenta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IPC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from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NTCs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shown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orange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with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triangles.</w:t>
      </w:r>
    </w:p>
    <w:p w14:paraId="685E74F5" w14:textId="77777777" w:rsidR="00FB6906" w:rsidRPr="00487C69" w:rsidRDefault="00FB6906" w:rsidP="00487C69">
      <w:pPr>
        <w:contextualSpacing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14:paraId="7A86930C" w14:textId="3535FBE2" w:rsidR="00FB6906" w:rsidRPr="00487C69" w:rsidRDefault="00FB6906" w:rsidP="00487C69">
      <w:pPr>
        <w:contextualSpacing/>
        <w:rPr>
          <w:rFonts w:asciiTheme="minorHAnsi" w:hAnsiTheme="minorHAnsi" w:cstheme="minorHAnsi"/>
          <w:iCs/>
          <w:color w:val="auto"/>
        </w:rPr>
      </w:pP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Figure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7.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Map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showing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eDNA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collection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sites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mussel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bed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Clinch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River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along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Virginia/Tennessee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border.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Samples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were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collected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at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Wallen’s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Bend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at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bottom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bed,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100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downstream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bed</w:t>
      </w:r>
      <w:r w:rsidR="00E35CFF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500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downstream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bed.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Sites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were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either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collected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middle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stream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(in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stream)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or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roughly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1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–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2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meters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from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shoreline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(shore).</w:t>
      </w:r>
    </w:p>
    <w:p w14:paraId="2DD914DE" w14:textId="77777777" w:rsidR="00FB6906" w:rsidRPr="00487C69" w:rsidRDefault="00FB6906" w:rsidP="00487C69">
      <w:pPr>
        <w:contextualSpacing/>
        <w:rPr>
          <w:rFonts w:asciiTheme="minorHAnsi" w:hAnsiTheme="minorHAnsi" w:cstheme="minorHAnsi"/>
          <w:iCs/>
          <w:color w:val="auto"/>
        </w:rPr>
      </w:pPr>
    </w:p>
    <w:p w14:paraId="74C0B4BB" w14:textId="658B705A" w:rsidR="00E73F7C" w:rsidRPr="00487C69" w:rsidRDefault="00E73F7C" w:rsidP="00487C69">
      <w:pPr>
        <w:contextualSpacing/>
        <w:rPr>
          <w:rFonts w:asciiTheme="minorHAnsi" w:hAnsiTheme="minorHAnsi" w:cstheme="minorHAnsi"/>
          <w:b/>
          <w:bCs/>
          <w:iCs/>
          <w:color w:val="auto"/>
        </w:rPr>
      </w:pPr>
      <w:r w:rsidRPr="00487C69">
        <w:rPr>
          <w:rFonts w:asciiTheme="minorHAnsi" w:hAnsiTheme="minorHAnsi" w:cstheme="minorHAnsi"/>
          <w:b/>
          <w:bCs/>
          <w:iCs/>
          <w:color w:val="auto"/>
        </w:rPr>
        <w:t>Table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1.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designed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/>
          <w:color w:val="auto"/>
        </w:rPr>
        <w:t>A.</w:t>
      </w:r>
      <w:r w:rsidR="00487C69" w:rsidRPr="00487C69">
        <w:rPr>
          <w:rFonts w:asciiTheme="minorHAnsi" w:hAnsiTheme="minorHAnsi" w:cstheme="minorHAnsi"/>
          <w:b/>
          <w:bCs/>
          <w:i/>
          <w:color w:val="auto"/>
        </w:rPr>
        <w:t xml:space="preserve"> </w:t>
      </w:r>
      <w:proofErr w:type="spellStart"/>
      <w:r w:rsidRPr="00487C69">
        <w:rPr>
          <w:rFonts w:asciiTheme="minorHAnsi" w:hAnsiTheme="minorHAnsi" w:cstheme="minorHAnsi"/>
          <w:b/>
          <w:bCs/>
          <w:i/>
          <w:color w:val="auto"/>
        </w:rPr>
        <w:t>ligamentina</w:t>
      </w:r>
      <w:proofErr w:type="spellEnd"/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qPCR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assay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(A.lig.1)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including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sequences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for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forward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and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reverse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primers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and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probe.</w:t>
      </w:r>
    </w:p>
    <w:bookmarkEnd w:id="10"/>
    <w:p w14:paraId="1FE25469" w14:textId="77777777" w:rsidR="00E73F7C" w:rsidRPr="00487C69" w:rsidRDefault="00E73F7C" w:rsidP="00487C69">
      <w:pPr>
        <w:contextualSpacing/>
        <w:rPr>
          <w:rFonts w:asciiTheme="minorHAnsi" w:hAnsiTheme="minorHAnsi" w:cstheme="minorHAnsi"/>
          <w:iCs/>
          <w:color w:val="auto"/>
        </w:rPr>
      </w:pPr>
    </w:p>
    <w:p w14:paraId="48CCF7F7" w14:textId="61A06A48" w:rsidR="00E73F7C" w:rsidRPr="00487C69" w:rsidRDefault="00E73F7C" w:rsidP="00487C69">
      <w:pPr>
        <w:contextualSpacing/>
        <w:rPr>
          <w:rFonts w:asciiTheme="minorHAnsi" w:hAnsiTheme="minorHAnsi" w:cstheme="minorHAnsi"/>
          <w:iCs/>
          <w:color w:val="auto"/>
        </w:rPr>
      </w:pPr>
      <w:bookmarkStart w:id="11" w:name="_Hlk51586483"/>
      <w:r w:rsidRPr="00487C69">
        <w:rPr>
          <w:rFonts w:asciiTheme="minorHAnsi" w:hAnsiTheme="minorHAnsi" w:cstheme="minorHAnsi"/>
          <w:b/>
          <w:bCs/>
          <w:iCs/>
          <w:color w:val="auto"/>
        </w:rPr>
        <w:t>Table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2.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A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list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of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species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used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for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="00487C69" w:rsidRPr="00487C69">
        <w:rPr>
          <w:rFonts w:asciiTheme="minorHAnsi" w:hAnsiTheme="minorHAnsi" w:cstheme="minorHAnsi"/>
          <w:b/>
          <w:bCs/>
          <w:color w:val="auto"/>
        </w:rPr>
        <w:t>in vitro</w:t>
      </w:r>
      <w:r w:rsidR="00487C69" w:rsidRPr="00487C69">
        <w:rPr>
          <w:rFonts w:asciiTheme="minorHAnsi" w:hAnsiTheme="minorHAnsi" w:cstheme="minorHAnsi"/>
          <w:b/>
          <w:bCs/>
          <w:i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specificity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testing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of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A.lig.1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assay.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assay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amplified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genomic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DNA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of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target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(</w:t>
      </w:r>
      <w:r w:rsidRPr="00487C69">
        <w:rPr>
          <w:rFonts w:asciiTheme="minorHAnsi" w:hAnsiTheme="minorHAnsi" w:cstheme="minorHAnsi"/>
          <w:i/>
          <w:color w:val="auto"/>
        </w:rPr>
        <w:t>A.</w:t>
      </w:r>
      <w:r w:rsidR="00487C69" w:rsidRPr="00487C69">
        <w:rPr>
          <w:rFonts w:asciiTheme="minorHAnsi" w:hAnsiTheme="minorHAnsi" w:cstheme="minorHAnsi"/>
          <w:i/>
          <w:color w:val="auto"/>
        </w:rPr>
        <w:t xml:space="preserve"> </w:t>
      </w:r>
      <w:proofErr w:type="spellStart"/>
      <w:r w:rsidRPr="00487C69">
        <w:rPr>
          <w:rFonts w:asciiTheme="minorHAnsi" w:hAnsiTheme="minorHAnsi" w:cstheme="minorHAnsi"/>
          <w:i/>
          <w:color w:val="auto"/>
        </w:rPr>
        <w:t>ligamentina</w:t>
      </w:r>
      <w:proofErr w:type="spellEnd"/>
      <w:r w:rsidRPr="00487C69">
        <w:rPr>
          <w:rFonts w:asciiTheme="minorHAnsi" w:hAnsiTheme="minorHAnsi" w:cstheme="minorHAnsi"/>
          <w:iCs/>
          <w:color w:val="auto"/>
        </w:rPr>
        <w:t>)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and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did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not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amplify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any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of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non-target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lastRenderedPageBreak/>
        <w:t>species.</w:t>
      </w:r>
    </w:p>
    <w:p w14:paraId="7A51A4EE" w14:textId="77777777" w:rsidR="00E73F7C" w:rsidRPr="00487C69" w:rsidRDefault="00E73F7C" w:rsidP="00487C69">
      <w:pPr>
        <w:contextualSpacing/>
        <w:rPr>
          <w:rFonts w:asciiTheme="minorHAnsi" w:hAnsiTheme="minorHAnsi" w:cstheme="minorHAnsi"/>
          <w:iCs/>
          <w:color w:val="auto"/>
        </w:rPr>
      </w:pPr>
    </w:p>
    <w:p w14:paraId="29313560" w14:textId="623F15E0" w:rsidR="00E73F7C" w:rsidRPr="00487C69" w:rsidRDefault="00E73F7C" w:rsidP="00487C69">
      <w:pPr>
        <w:contextualSpacing/>
        <w:rPr>
          <w:rFonts w:asciiTheme="minorHAnsi" w:hAnsiTheme="minorHAnsi" w:cstheme="minorHAnsi"/>
          <w:iCs/>
          <w:color w:val="auto"/>
        </w:rPr>
      </w:pPr>
      <w:r w:rsidRPr="00487C69">
        <w:rPr>
          <w:rFonts w:asciiTheme="minorHAnsi" w:hAnsiTheme="minorHAnsi" w:cstheme="minorHAnsi"/>
          <w:b/>
          <w:bCs/>
          <w:iCs/>
          <w:color w:val="auto"/>
        </w:rPr>
        <w:t>Table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3: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Sequence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(5’-3’)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of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proofErr w:type="spellStart"/>
      <w:r w:rsidRPr="00487C69">
        <w:rPr>
          <w:rFonts w:asciiTheme="minorHAnsi" w:hAnsiTheme="minorHAnsi" w:cstheme="minorHAnsi"/>
          <w:b/>
          <w:bCs/>
          <w:i/>
          <w:iCs/>
        </w:rPr>
        <w:t>Actinonaias</w:t>
      </w:r>
      <w:proofErr w:type="spellEnd"/>
      <w:r w:rsidR="00487C69" w:rsidRPr="00487C69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487C69">
        <w:rPr>
          <w:rFonts w:asciiTheme="minorHAnsi" w:hAnsiTheme="minorHAnsi" w:cstheme="minorHAnsi"/>
          <w:b/>
          <w:bCs/>
          <w:i/>
          <w:iCs/>
        </w:rPr>
        <w:t>ligamentina</w:t>
      </w:r>
      <w:proofErr w:type="spellEnd"/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standard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and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the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IPC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template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(Hem-T)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used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for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this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assay.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forward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reverse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bold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italics,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underlined.</w:t>
      </w:r>
    </w:p>
    <w:bookmarkEnd w:id="11"/>
    <w:p w14:paraId="5FD9618A" w14:textId="77777777" w:rsidR="00E73F7C" w:rsidRPr="00487C69" w:rsidRDefault="00E73F7C" w:rsidP="00487C69">
      <w:pPr>
        <w:pStyle w:val="EndNoteBibliography"/>
        <w:contextualSpacing/>
        <w:rPr>
          <w:rFonts w:asciiTheme="minorHAnsi" w:hAnsiTheme="minorHAnsi" w:cstheme="minorHAnsi"/>
        </w:rPr>
      </w:pPr>
    </w:p>
    <w:p w14:paraId="317FD7C8" w14:textId="4C273537" w:rsidR="00E73F7C" w:rsidRPr="00487C69" w:rsidRDefault="00E73F7C" w:rsidP="00487C69">
      <w:pPr>
        <w:contextualSpacing/>
        <w:rPr>
          <w:rFonts w:asciiTheme="minorHAnsi" w:hAnsiTheme="minorHAnsi" w:cstheme="minorHAnsi"/>
          <w:b/>
          <w:bCs/>
          <w:iCs/>
          <w:color w:val="auto"/>
        </w:rPr>
      </w:pPr>
      <w:r w:rsidRPr="00487C69">
        <w:rPr>
          <w:rFonts w:asciiTheme="minorHAnsi" w:hAnsiTheme="minorHAnsi" w:cstheme="minorHAnsi"/>
          <w:b/>
          <w:bCs/>
        </w:rPr>
        <w:t>Table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4: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Internal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Positive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Control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(IPC)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assay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including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sequences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for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forward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and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reverse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primers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and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probe.</w:t>
      </w:r>
    </w:p>
    <w:p w14:paraId="1085D5AC" w14:textId="77777777" w:rsidR="00E73F7C" w:rsidRPr="00487C69" w:rsidRDefault="00E73F7C" w:rsidP="00487C69">
      <w:pPr>
        <w:pStyle w:val="EndNoteBibliography"/>
        <w:contextualSpacing/>
        <w:rPr>
          <w:rFonts w:asciiTheme="minorHAnsi" w:hAnsiTheme="minorHAnsi" w:cstheme="minorHAnsi"/>
        </w:rPr>
      </w:pPr>
    </w:p>
    <w:p w14:paraId="7962DBEE" w14:textId="688D0C5A" w:rsidR="00E73F7C" w:rsidRPr="00487C69" w:rsidRDefault="00E73F7C" w:rsidP="00487C69">
      <w:pPr>
        <w:contextualSpacing/>
        <w:rPr>
          <w:rFonts w:asciiTheme="minorHAnsi" w:hAnsiTheme="minorHAnsi" w:cstheme="minorHAnsi"/>
          <w:b/>
          <w:bCs/>
        </w:rPr>
      </w:pPr>
      <w:r w:rsidRPr="00487C69">
        <w:rPr>
          <w:rFonts w:asciiTheme="minorHAnsi" w:hAnsiTheme="minorHAnsi" w:cstheme="minorHAnsi"/>
          <w:b/>
          <w:bCs/>
        </w:rPr>
        <w:t>Table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5: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The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PCR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mix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used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for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the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A.lig.1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assay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multiplexed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with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the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IPC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assay.</w:t>
      </w:r>
    </w:p>
    <w:p w14:paraId="609C3F5B" w14:textId="77777777" w:rsidR="00E73F7C" w:rsidRPr="00487C69" w:rsidRDefault="00E73F7C" w:rsidP="00487C69">
      <w:pPr>
        <w:pStyle w:val="EndNoteBibliography"/>
        <w:contextualSpacing/>
        <w:rPr>
          <w:rFonts w:asciiTheme="minorHAnsi" w:hAnsiTheme="minorHAnsi" w:cstheme="minorHAnsi"/>
        </w:rPr>
      </w:pPr>
    </w:p>
    <w:p w14:paraId="03EF2D70" w14:textId="461BE5CD" w:rsidR="00E73F7C" w:rsidRPr="00487C69" w:rsidRDefault="00E73F7C" w:rsidP="00487C69">
      <w:pPr>
        <w:pStyle w:val="EndNoteBibliography"/>
        <w:contextualSpacing/>
        <w:rPr>
          <w:rFonts w:asciiTheme="minorHAnsi" w:hAnsiTheme="minorHAnsi" w:cstheme="minorHAnsi"/>
          <w:b/>
          <w:bCs/>
        </w:rPr>
      </w:pPr>
      <w:r w:rsidRPr="00487C69">
        <w:rPr>
          <w:rFonts w:asciiTheme="minorHAnsi" w:hAnsiTheme="minorHAnsi" w:cstheme="minorHAnsi"/>
          <w:b/>
          <w:bCs/>
        </w:rPr>
        <w:t>Table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6: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Reaction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conditions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for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the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A.lig.1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assay.</w:t>
      </w:r>
    </w:p>
    <w:p w14:paraId="518C695B" w14:textId="77777777" w:rsidR="008B64A5" w:rsidRPr="00487C69" w:rsidRDefault="008B64A5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43125779" w14:textId="0736F2C9" w:rsidR="00402C49" w:rsidRPr="00487C69" w:rsidRDefault="00402C49" w:rsidP="00487C69">
      <w:pPr>
        <w:contextualSpacing/>
        <w:rPr>
          <w:rFonts w:asciiTheme="minorHAnsi" w:hAnsiTheme="minorHAnsi" w:cstheme="minorHAnsi"/>
          <w:bCs/>
          <w:color w:val="808080"/>
        </w:rPr>
      </w:pPr>
      <w:r w:rsidRPr="00487C69">
        <w:rPr>
          <w:rFonts w:asciiTheme="minorHAnsi" w:hAnsiTheme="minorHAnsi" w:cstheme="minorHAnsi"/>
          <w:b/>
        </w:rPr>
        <w:t>DISCUSSION</w:t>
      </w:r>
      <w:r w:rsidRPr="00487C69">
        <w:rPr>
          <w:rFonts w:asciiTheme="minorHAnsi" w:hAnsiTheme="minorHAnsi" w:cstheme="minorHAnsi"/>
          <w:b/>
          <w:bCs/>
        </w:rPr>
        <w:t>:</w:t>
      </w:r>
    </w:p>
    <w:p w14:paraId="31B2972C" w14:textId="1B98E41F" w:rsidR="00402C49" w:rsidRPr="00487C69" w:rsidRDefault="00402C49" w:rsidP="00487C69">
      <w:pPr>
        <w:contextualSpacing/>
        <w:rPr>
          <w:rFonts w:asciiTheme="minorHAnsi" w:eastAsia="Calibri" w:hAnsiTheme="minorHAnsi" w:cstheme="minorHAnsi"/>
          <w:color w:val="auto"/>
        </w:rPr>
      </w:pP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study,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defining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question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addressed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first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step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eDNA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depends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upon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scope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study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6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bookmarkStart w:id="12" w:name="_Hlk50744157"/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instance,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goal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research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survey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detect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few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272D50" w:rsidRPr="00487C69">
        <w:rPr>
          <w:rFonts w:asciiTheme="minorHAnsi" w:eastAsia="Calibri" w:hAnsiTheme="minorHAnsi" w:cstheme="minorHAnsi"/>
          <w:color w:val="auto"/>
        </w:rPr>
        <w:t>targeted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37632C" w:rsidRPr="00487C69">
        <w:rPr>
          <w:rFonts w:asciiTheme="minorHAnsi" w:eastAsia="Calibri" w:hAnsiTheme="minorHAnsi" w:cstheme="minorHAnsi"/>
          <w:color w:val="auto"/>
        </w:rPr>
        <w:t>probe-based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best.</w:t>
      </w:r>
      <w:bookmarkEnd w:id="12"/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If,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however,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goal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assess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larger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suite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assemblage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high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throughput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metabarcoding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better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suited.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determined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which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approach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take,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pilot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study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including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testing</w:t>
      </w:r>
      <w:r w:rsidR="004C1A39"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optimization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recommended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4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starts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described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b/>
          <w:bCs/>
          <w:color w:val="auto"/>
        </w:rPr>
        <w:t>Figure</w:t>
      </w:r>
      <w:r w:rsidR="00487C69" w:rsidRPr="00487C69">
        <w:rPr>
          <w:rFonts w:asciiTheme="minorHAnsi" w:eastAsia="Calibri" w:hAnsiTheme="minorHAnsi" w:cstheme="minorHAnsi"/>
          <w:b/>
          <w:bCs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b/>
          <w:bCs/>
          <w:color w:val="auto"/>
        </w:rPr>
        <w:t>1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basis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understanding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how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well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performs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terms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specificity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geographic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range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might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applied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6,10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encouraged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specific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geographic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area</w:t>
      </w:r>
      <w:r w:rsidR="004C1A39"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enabling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better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cross-reactivity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against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other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that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area,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4C1A39"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aware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limitations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has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extending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other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where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target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occur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4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complete</w:t>
      </w:r>
      <w:r w:rsidR="004C1A39"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downloaded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from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public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genetic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databases.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Since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databases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incomplete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7</w:t>
      </w:r>
      <w:r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should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many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possible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house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complete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local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reference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database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that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Prioritize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co-occurring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closely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species,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most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likely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non-targets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amplify.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Focusing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same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genus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family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target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good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place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start.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Comparisons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closely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help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identify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regions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unique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species.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can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help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inform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how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may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perform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other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systems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locations.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Mitochondrial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regions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usual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choice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development</w:t>
      </w:r>
      <w:r w:rsidR="00FA3983"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because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more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sequence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information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from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wider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variety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available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mitochondrial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genes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that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have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been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used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barcode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life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projects,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because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mitochondrial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DNA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present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much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greater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concentration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copies/cell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than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nuclear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DNA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4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,2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8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,2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9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Multiple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95011" w:rsidRPr="00487C69">
        <w:rPr>
          <w:rFonts w:asciiTheme="minorHAnsi" w:eastAsia="Calibri" w:hAnsiTheme="minorHAnsi" w:cstheme="minorHAnsi"/>
          <w:color w:val="auto"/>
        </w:rPr>
        <w:t>gene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95011" w:rsidRPr="00487C69">
        <w:rPr>
          <w:rFonts w:asciiTheme="minorHAnsi" w:eastAsia="Calibri" w:hAnsiTheme="minorHAnsi" w:cstheme="minorHAnsi"/>
          <w:color w:val="auto"/>
        </w:rPr>
        <w:t>regions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should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assessed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further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development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coverage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varies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among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taxa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genetic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repository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databases.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After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local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database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reference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created,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combination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manual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visualization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aligned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computer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software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programs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primer/probe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assays.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should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not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rely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strictly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software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determine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which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important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verify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visually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alignments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where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primers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probes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sit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targets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non-targets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get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better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understanding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how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might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act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PCR.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Finally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screening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optimization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includes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three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levels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(</w:t>
      </w:r>
      <w:r w:rsidR="00487C69" w:rsidRPr="00487C69">
        <w:rPr>
          <w:rFonts w:asciiTheme="minorHAnsi" w:eastAsia="Calibri" w:hAnsiTheme="minorHAnsi" w:cstheme="minorHAnsi"/>
          <w:color w:val="auto"/>
        </w:rPr>
        <w:t>in silico</w:t>
      </w:r>
      <w:r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in vitro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in situ</w:t>
      </w:r>
      <w:r w:rsidRPr="00487C69">
        <w:rPr>
          <w:rFonts w:asciiTheme="minorHAnsi" w:eastAsia="Calibri" w:hAnsiTheme="minorHAnsi" w:cstheme="minorHAnsi"/>
          <w:color w:val="auto"/>
        </w:rPr>
        <w:t>)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6,7,2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4</w:t>
      </w:r>
      <w:r w:rsidR="000F593B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,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25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In silico </w:t>
      </w:r>
      <w:r w:rsidRPr="00487C69">
        <w:rPr>
          <w:rFonts w:asciiTheme="minorHAnsi" w:eastAsia="Calibri" w:hAnsiTheme="minorHAnsi" w:cstheme="minorHAnsi"/>
          <w:color w:val="auto"/>
        </w:rPr>
        <w:t>design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important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producing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short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good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chance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lastRenderedPageBreak/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success,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but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empirical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(</w:t>
      </w:r>
      <w:r w:rsidR="00487C69" w:rsidRPr="00487C69">
        <w:rPr>
          <w:rFonts w:asciiTheme="minorHAnsi" w:eastAsia="Calibri" w:hAnsiTheme="minorHAnsi" w:cstheme="minorHAnsi"/>
          <w:color w:val="auto"/>
        </w:rPr>
        <w:t>in vitro</w:t>
      </w:r>
      <w:r w:rsidRPr="00487C69">
        <w:rPr>
          <w:rFonts w:asciiTheme="minorHAnsi" w:eastAsia="Calibri" w:hAnsiTheme="minorHAnsi" w:cstheme="minorHAnsi"/>
          <w:color w:val="auto"/>
        </w:rPr>
        <w:t>)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crucial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selecting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actual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performance.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In vitro </w:t>
      </w:r>
      <w:r w:rsidRPr="00487C69">
        <w:rPr>
          <w:rFonts w:asciiTheme="minorHAnsi" w:eastAsia="Calibri" w:hAnsiTheme="minorHAnsi" w:cstheme="minorHAnsi"/>
          <w:color w:val="auto"/>
        </w:rPr>
        <w:t>optimization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include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measuring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reaction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efficienc</w:t>
      </w:r>
      <w:r w:rsidR="00A97936" w:rsidRPr="00487C69">
        <w:rPr>
          <w:rFonts w:asciiTheme="minorHAnsi" w:eastAsia="Calibri" w:hAnsiTheme="minorHAnsi" w:cstheme="minorHAnsi"/>
          <w:color w:val="auto"/>
        </w:rPr>
        <w:t>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defining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assay’s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sensitivity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specificity.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</w:t>
      </w:r>
      <w:r w:rsidR="00231925" w:rsidRPr="00487C69">
        <w:rPr>
          <w:rFonts w:asciiTheme="minorHAnsi" w:eastAsia="Calibri" w:hAnsiTheme="minorHAnsi" w:cstheme="minorHAnsi"/>
          <w:color w:val="auto"/>
        </w:rPr>
        <w:t>imits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231925"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231925" w:rsidRPr="00487C69">
        <w:rPr>
          <w:rFonts w:asciiTheme="minorHAnsi" w:eastAsia="Calibri" w:hAnsiTheme="minorHAnsi" w:cstheme="minorHAnsi"/>
          <w:color w:val="auto"/>
        </w:rPr>
        <w:t>detection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231925"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231925" w:rsidRPr="00487C69">
        <w:rPr>
          <w:rFonts w:asciiTheme="minorHAnsi" w:eastAsia="Calibri" w:hAnsiTheme="minorHAnsi" w:cstheme="minorHAnsi"/>
          <w:color w:val="auto"/>
        </w:rPr>
        <w:t>quantification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two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parameters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often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overlooked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development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but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important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interpretation.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running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multiple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replicates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standard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curves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LOQ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easily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measured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1,5,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30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Few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studies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discuss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results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respect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assay’s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LOQ,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but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Sengupta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(2019)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incorporate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their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assay’s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LOQ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their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interpretation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graphics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clearer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understanding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their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results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3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1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Internal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positive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controls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should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multiplexed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well.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Without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PCR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inhibition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samples,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false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negatives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proofErr w:type="gramStart"/>
      <w:r w:rsidRPr="00487C69">
        <w:rPr>
          <w:rFonts w:asciiTheme="minorHAnsi" w:eastAsia="Calibri" w:hAnsiTheme="minorHAnsi" w:cstheme="minorHAnsi"/>
          <w:color w:val="auto"/>
        </w:rPr>
        <w:t>may</w:t>
      </w:r>
      <w:proofErr w:type="gramEnd"/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occur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4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,3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propose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multiplexed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IPC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target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easiest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method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PCR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inhibition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testing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3</w:t>
      </w:r>
      <w:r w:rsidR="00FA3983" w:rsidRPr="00487C69">
        <w:rPr>
          <w:rFonts w:asciiTheme="minorHAnsi" w:eastAsia="Calibri" w:hAnsiTheme="minorHAnsi" w:cstheme="minorHAnsi"/>
          <w:noProof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Finally,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in situ </w:t>
      </w:r>
      <w:r w:rsidR="00FA3983" w:rsidRPr="00487C69">
        <w:rPr>
          <w:rFonts w:asciiTheme="minorHAnsi" w:eastAsia="Calibri" w:hAnsiTheme="minorHAnsi" w:cstheme="minorHAnsi"/>
          <w:color w:val="auto"/>
        </w:rPr>
        <w:t>testing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from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field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lab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collected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samples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4C1A39"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necessary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ensure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target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amplification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occurs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environmental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samples</w:t>
      </w:r>
      <w:r w:rsidR="00FA3983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4</w:t>
      </w:r>
      <w:r w:rsidR="00FA3983" w:rsidRPr="00487C69">
        <w:rPr>
          <w:rFonts w:asciiTheme="minorHAnsi" w:eastAsia="Calibri" w:hAnsiTheme="minorHAnsi" w:cstheme="minorHAnsi"/>
          <w:color w:val="auto"/>
        </w:rPr>
        <w:t>.</w:t>
      </w:r>
    </w:p>
    <w:p w14:paraId="2B5E4123" w14:textId="77777777" w:rsidR="00402C49" w:rsidRPr="00487C69" w:rsidRDefault="00402C49" w:rsidP="00487C6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9F5A07F" w14:textId="1D6B751C" w:rsidR="00402C49" w:rsidRPr="00487C69" w:rsidRDefault="00402C49" w:rsidP="00487C69">
      <w:pPr>
        <w:contextualSpacing/>
        <w:rPr>
          <w:rFonts w:asciiTheme="minorHAnsi" w:hAnsiTheme="minorHAnsi" w:cstheme="minorHAnsi"/>
          <w:color w:val="auto"/>
        </w:rPr>
      </w:pPr>
      <w:r w:rsidRPr="00487C69">
        <w:rPr>
          <w:rFonts w:asciiTheme="minorHAnsi" w:eastAsiaTheme="minorEastAsia" w:hAnsiTheme="minorHAnsi" w:cstheme="minorHAnsi"/>
          <w:color w:val="auto"/>
        </w:rPr>
        <w:t>Limitations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exist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for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use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species-specific,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probe-based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qPCR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assays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with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eDNA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samples.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For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instance</w:t>
      </w:r>
      <w:r w:rsidR="003C19CF" w:rsidRPr="00487C69">
        <w:rPr>
          <w:rFonts w:asciiTheme="minorHAnsi" w:eastAsiaTheme="minorEastAsia" w:hAnsiTheme="minorHAnsi" w:cstheme="minorHAnsi"/>
          <w:color w:val="auto"/>
        </w:rPr>
        <w:t>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</w:t>
      </w:r>
      <w:r w:rsidRPr="00487C69">
        <w:rPr>
          <w:rFonts w:asciiTheme="minorHAnsi" w:eastAsiaTheme="minorEastAsia" w:hAnsiTheme="minorHAnsi" w:cstheme="minorHAnsi"/>
          <w:color w:val="auto"/>
        </w:rPr>
        <w:t>esign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multiple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assays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testing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may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limited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sequence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availability,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compromise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may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necessary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aspects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assay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performance.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These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choices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must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guided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goals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study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must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reported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with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results</w:t>
      </w:r>
      <w:r w:rsidRPr="00487C69">
        <w:rPr>
          <w:rFonts w:asciiTheme="minorHAnsi" w:eastAsiaTheme="minorEastAsia" w:hAnsiTheme="minorHAnsi" w:cstheme="minorHAnsi"/>
          <w:noProof/>
          <w:color w:val="auto"/>
          <w:vertAlign w:val="superscript"/>
        </w:rPr>
        <w:t>2</w:t>
      </w:r>
      <w:r w:rsidR="00A97936" w:rsidRPr="00487C69">
        <w:rPr>
          <w:rFonts w:asciiTheme="minorHAnsi" w:eastAsiaTheme="minorEastAsia" w:hAnsiTheme="minorHAnsi" w:cstheme="minorHAnsi"/>
          <w:noProof/>
          <w:color w:val="auto"/>
          <w:vertAlign w:val="superscript"/>
        </w:rPr>
        <w:t>6</w:t>
      </w:r>
      <w:r w:rsidRPr="00487C69">
        <w:rPr>
          <w:rFonts w:asciiTheme="minorHAnsi" w:eastAsiaTheme="minorEastAsia" w:hAnsiTheme="minorHAnsi" w:cstheme="minorHAnsi"/>
          <w:color w:val="auto"/>
        </w:rPr>
        <w:t>.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For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example,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goal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detection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rare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species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few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positives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are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expected,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assay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with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imperfect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specificity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(</w:t>
      </w:r>
      <w:r w:rsidR="00637133" w:rsidRPr="00487C69">
        <w:rPr>
          <w:rFonts w:asciiTheme="minorHAnsi" w:eastAsiaTheme="minorEastAsia" w:hAnsiTheme="minorHAnsi" w:cstheme="minorHAnsi"/>
          <w:color w:val="auto"/>
        </w:rPr>
        <w:t>i.e.,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amplification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non-target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species)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could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used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all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detections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will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verified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sequencing.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goal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monitoring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geographic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range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species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eDNA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concentration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data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not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needed,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assay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with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imperfect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efficiency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could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used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data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reported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only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percent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detection.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Furthermore,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unless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all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potential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conspecifics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tested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lab,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which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rarely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possible,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cannot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know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assay’s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true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specificity.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instance,</w:t>
      </w:r>
      <w:r w:rsidR="00487C69" w:rsidRPr="00487C69">
        <w:rPr>
          <w:rFonts w:asciiTheme="minorHAnsi" w:hAnsiTheme="minorHAnsi" w:cstheme="minorHAnsi"/>
          <w:color w:val="auto"/>
        </w:rPr>
        <w:t xml:space="preserve"> the </w:t>
      </w:r>
      <w:r w:rsidR="007F510C" w:rsidRPr="00487C69">
        <w:rPr>
          <w:rFonts w:asciiTheme="minorHAnsi" w:hAnsiTheme="minorHAnsi" w:cstheme="minorHAnsi"/>
          <w:color w:val="auto"/>
        </w:rPr>
        <w:t>assay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was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designed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tested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against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several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freshwater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mussel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species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Clinch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River</w:t>
      </w:r>
      <w:r w:rsidR="00AD3853" w:rsidRPr="00487C69">
        <w:rPr>
          <w:rFonts w:asciiTheme="minorHAnsi" w:hAnsiTheme="minorHAnsi" w:cstheme="minorHAnsi"/>
          <w:color w:val="auto"/>
        </w:rPr>
        <w:t>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use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this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assay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AD3853" w:rsidRPr="00487C69">
        <w:rPr>
          <w:rFonts w:asciiTheme="minorHAnsi" w:hAnsiTheme="minorHAnsi" w:cstheme="minorHAnsi"/>
          <w:color w:val="auto"/>
        </w:rPr>
        <w:t>different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AD3853" w:rsidRPr="00487C69">
        <w:rPr>
          <w:rFonts w:asciiTheme="minorHAnsi" w:hAnsiTheme="minorHAnsi" w:cstheme="minorHAnsi"/>
          <w:color w:val="auto"/>
        </w:rPr>
        <w:t>river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AD3853" w:rsidRPr="00487C69">
        <w:rPr>
          <w:rFonts w:asciiTheme="minorHAnsi" w:hAnsiTheme="minorHAnsi" w:cstheme="minorHAnsi"/>
          <w:color w:val="auto"/>
        </w:rPr>
        <w:t>system</w:t>
      </w:r>
      <w:r w:rsidR="007F510C" w:rsidRPr="00487C69">
        <w:rPr>
          <w:rFonts w:asciiTheme="minorHAnsi" w:hAnsiTheme="minorHAnsi" w:cstheme="minorHAnsi"/>
          <w:color w:val="auto"/>
        </w:rPr>
        <w:t>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we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need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test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it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against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suite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species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new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location.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Genetic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variation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within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species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population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that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3C19CF" w:rsidRPr="00487C69">
        <w:rPr>
          <w:rFonts w:asciiTheme="minorHAnsi" w:hAnsiTheme="minorHAnsi" w:cstheme="minorHAnsi"/>
          <w:color w:val="auto"/>
        </w:rPr>
        <w:t>is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3C19CF" w:rsidRPr="00487C69">
        <w:rPr>
          <w:rFonts w:asciiTheme="minorHAnsi" w:hAnsiTheme="minorHAnsi" w:cstheme="minorHAnsi"/>
          <w:color w:val="auto"/>
        </w:rPr>
        <w:t>not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tested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during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assay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development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might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also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affect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specificity.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Finally,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even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assay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has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been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verified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have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high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technical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performance;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conditions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change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when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working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field.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Non-assay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related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conditions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such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water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flow,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pH,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animal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behavior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change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E84FCC" w:rsidRPr="00487C69">
        <w:rPr>
          <w:rFonts w:asciiTheme="minorHAnsi" w:hAnsiTheme="minorHAnsi" w:cstheme="minorHAnsi"/>
          <w:color w:val="auto"/>
        </w:rPr>
        <w:t>eDNA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3C19CF" w:rsidRPr="00487C69">
        <w:rPr>
          <w:rFonts w:asciiTheme="minorHAnsi" w:hAnsiTheme="minorHAnsi" w:cstheme="minorHAnsi"/>
          <w:color w:val="auto"/>
        </w:rPr>
        <w:t>detectabilit</w:t>
      </w:r>
      <w:r w:rsidR="00E84FCC" w:rsidRPr="00487C69">
        <w:rPr>
          <w:rFonts w:asciiTheme="minorHAnsi" w:hAnsiTheme="minorHAnsi" w:cstheme="minorHAnsi"/>
          <w:color w:val="auto"/>
        </w:rPr>
        <w:t>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as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can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use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different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eDNA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collection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extraction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protocols.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Understanding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how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parameters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influence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eDNA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detection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will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aided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using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well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optimized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described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assays.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</w:p>
    <w:p w14:paraId="3F1B1E99" w14:textId="77777777" w:rsidR="00402C49" w:rsidRPr="00487C69" w:rsidRDefault="00402C49" w:rsidP="00487C69">
      <w:pPr>
        <w:contextualSpacing/>
        <w:rPr>
          <w:rFonts w:asciiTheme="minorHAnsi" w:eastAsia="Calibri" w:hAnsiTheme="minorHAnsi" w:cstheme="minorHAnsi"/>
          <w:color w:val="auto"/>
        </w:rPr>
      </w:pPr>
    </w:p>
    <w:p w14:paraId="0E71B418" w14:textId="6EE3E718" w:rsidR="00402C49" w:rsidRPr="00487C69" w:rsidRDefault="00402C49" w:rsidP="00487C69">
      <w:pPr>
        <w:contextualSpacing/>
        <w:rPr>
          <w:rFonts w:asciiTheme="minorHAnsi" w:eastAsia="Calibri" w:hAnsiTheme="minorHAnsi" w:cstheme="minorHAnsi"/>
          <w:color w:val="auto"/>
        </w:rPr>
      </w:pP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field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eDNA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maturing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beyond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stage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exploratory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analysis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increasing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standardization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methods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techniques.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developments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improve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our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understanding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eDNA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techniques,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abilities</w:t>
      </w:r>
      <w:r w:rsidR="004C1A39"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limitations.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optimization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process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outline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above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improves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assay’s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sensitivity,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specificity</w:t>
      </w:r>
      <w:r w:rsidR="004C1A39"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reproducibility.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proofErr w:type="gramStart"/>
      <w:r w:rsidRPr="00487C69">
        <w:rPr>
          <w:rFonts w:asciiTheme="minorHAnsi" w:eastAsia="Calibri" w:hAnsiTheme="minorHAnsi" w:cstheme="minorHAnsi"/>
          <w:color w:val="auto"/>
        </w:rPr>
        <w:t>ultimate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goal</w:t>
      </w:r>
      <w:proofErr w:type="gramEnd"/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refinement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standardization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eDNA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methods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improve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researchers</w:t>
      </w:r>
      <w:r w:rsidR="004C1A39" w:rsidRPr="00487C69">
        <w:rPr>
          <w:rFonts w:asciiTheme="minorHAnsi" w:eastAsia="Calibri" w:hAnsiTheme="minorHAnsi" w:cstheme="minorHAnsi"/>
          <w:color w:val="auto"/>
        </w:rPr>
        <w:t>’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abilities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make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inferences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based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eDNA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well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increase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end-user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stake-holder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confidence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results.</w:t>
      </w:r>
    </w:p>
    <w:p w14:paraId="3B16AE66" w14:textId="77777777" w:rsidR="00402C49" w:rsidRPr="00487C69" w:rsidRDefault="00402C49" w:rsidP="00487C69">
      <w:pPr>
        <w:contextualSpacing/>
        <w:rPr>
          <w:rFonts w:asciiTheme="minorHAnsi" w:hAnsiTheme="minorHAnsi" w:cstheme="minorHAnsi"/>
          <w:color w:val="auto"/>
        </w:rPr>
      </w:pPr>
    </w:p>
    <w:p w14:paraId="136DE0C2" w14:textId="72E94E73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  <w:b/>
          <w:bCs/>
        </w:rPr>
        <w:t>ACKNOWLEDGMENTS: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795437C8" w14:textId="47CEFBF2" w:rsidR="00402C49" w:rsidRPr="00487C69" w:rsidRDefault="00402C49" w:rsidP="00487C69">
      <w:pPr>
        <w:contextualSpacing/>
        <w:rPr>
          <w:rFonts w:asciiTheme="minorHAnsi" w:hAnsiTheme="minorHAnsi" w:cstheme="minorHAnsi"/>
          <w:color w:val="222222"/>
          <w:shd w:val="clear" w:color="auto" w:fill="FFFFFF"/>
        </w:rPr>
      </w:pPr>
      <w:r w:rsidRPr="00487C69">
        <w:rPr>
          <w:rFonts w:asciiTheme="minorHAnsi" w:hAnsiTheme="minorHAnsi" w:cstheme="minorHAnsi"/>
          <w:color w:val="222222"/>
          <w:shd w:val="clear" w:color="auto" w:fill="FFFFFF"/>
        </w:rPr>
        <w:t>We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thank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285451" w:rsidRPr="00487C69">
        <w:rPr>
          <w:rFonts w:asciiTheme="minorHAnsi" w:hAnsiTheme="minorHAnsi" w:cstheme="minorHAnsi"/>
          <w:color w:val="222222"/>
          <w:shd w:val="clear" w:color="auto" w:fill="FFFFFF"/>
        </w:rPr>
        <w:t>Alvi</w:t>
      </w:r>
      <w:proofErr w:type="spellEnd"/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285451" w:rsidRPr="00487C69">
        <w:rPr>
          <w:rFonts w:asciiTheme="minorHAnsi" w:hAnsiTheme="minorHAnsi" w:cstheme="minorHAnsi"/>
          <w:color w:val="222222"/>
          <w:shd w:val="clear" w:color="auto" w:fill="FFFFFF"/>
        </w:rPr>
        <w:t>Wadud</w:t>
      </w:r>
      <w:proofErr w:type="spellEnd"/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285451" w:rsidRPr="00487C69">
        <w:rPr>
          <w:rFonts w:asciiTheme="minorHAnsi" w:hAnsiTheme="minorHAnsi" w:cstheme="minorHAnsi"/>
          <w:color w:val="222222"/>
          <w:shd w:val="clear" w:color="auto" w:fill="FFFFFF"/>
        </w:rPr>
        <w:t>and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Trudi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Frost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who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helped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in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primer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development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and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testing.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Funding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for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assay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design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reported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in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this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study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was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provided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by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SERDP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program.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Any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use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of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trade,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product,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or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firm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names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is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for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descriptive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purposes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only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and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does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not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imply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endorsement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by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lastRenderedPageBreak/>
        <w:t>United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States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Government.</w:t>
      </w:r>
    </w:p>
    <w:p w14:paraId="2EECF489" w14:textId="77777777" w:rsidR="00402C49" w:rsidRPr="00487C69" w:rsidRDefault="00402C49" w:rsidP="00487C69">
      <w:pPr>
        <w:contextualSpacing/>
        <w:rPr>
          <w:rFonts w:asciiTheme="minorHAnsi" w:hAnsiTheme="minorHAnsi" w:cstheme="minorHAnsi"/>
          <w:b/>
        </w:rPr>
      </w:pPr>
    </w:p>
    <w:p w14:paraId="536DEF6E" w14:textId="3A414F62" w:rsidR="00402C49" w:rsidRPr="00487C69" w:rsidRDefault="00402C49" w:rsidP="00487C69">
      <w:pPr>
        <w:contextualSpacing/>
        <w:rPr>
          <w:rFonts w:asciiTheme="minorHAnsi" w:hAnsiTheme="minorHAnsi" w:cstheme="minorHAnsi"/>
          <w:b/>
          <w:highlight w:val="green"/>
        </w:rPr>
      </w:pPr>
      <w:r w:rsidRPr="00487C69">
        <w:rPr>
          <w:rFonts w:asciiTheme="minorHAnsi" w:hAnsiTheme="minorHAnsi" w:cstheme="minorHAnsi"/>
          <w:b/>
        </w:rPr>
        <w:t>DISCLOSURES:</w:t>
      </w:r>
      <w:r w:rsidR="00487C69" w:rsidRPr="00487C69">
        <w:rPr>
          <w:rFonts w:asciiTheme="minorHAnsi" w:hAnsiTheme="minorHAnsi" w:cstheme="minorHAnsi"/>
          <w:b/>
        </w:rPr>
        <w:t xml:space="preserve"> </w:t>
      </w:r>
    </w:p>
    <w:p w14:paraId="3B8729A0" w14:textId="0980F98F" w:rsidR="00402C49" w:rsidRPr="00487C69" w:rsidRDefault="00402C49" w:rsidP="00487C69">
      <w:pPr>
        <w:pStyle w:val="MDPI63AuthorContributions"/>
        <w:spacing w:before="0" w:line="240" w:lineRule="auto"/>
        <w:contextualSpacing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authors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declare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no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conflict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of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interest.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funding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sponsors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had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no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role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design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of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study</w:t>
      </w:r>
      <w:r w:rsidR="004C1A3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;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collection,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analyses,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or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interpretation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of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data;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writing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of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manuscript</w:t>
      </w:r>
      <w:r w:rsidR="004C1A3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;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or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decision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to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publish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results.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2F6FB9F7" w14:textId="77777777" w:rsidR="00402C49" w:rsidRPr="00487C69" w:rsidRDefault="00402C49" w:rsidP="00487C69">
      <w:pPr>
        <w:contextualSpacing/>
        <w:rPr>
          <w:rFonts w:asciiTheme="minorHAnsi" w:hAnsiTheme="minorHAnsi" w:cstheme="minorHAnsi"/>
          <w:color w:val="808080" w:themeColor="background1" w:themeShade="80"/>
          <w:shd w:val="clear" w:color="auto" w:fill="FFFFFF"/>
        </w:rPr>
      </w:pPr>
    </w:p>
    <w:p w14:paraId="2141E068" w14:textId="06326422" w:rsidR="00402C49" w:rsidRPr="00487C69" w:rsidRDefault="00402C49" w:rsidP="00487C69">
      <w:pPr>
        <w:autoSpaceDE/>
        <w:autoSpaceDN/>
        <w:adjustRightInd/>
        <w:contextualSpacing/>
        <w:rPr>
          <w:rFonts w:asciiTheme="minorHAnsi" w:eastAsia="Calibri" w:hAnsiTheme="minorHAnsi" w:cstheme="minorHAnsi"/>
          <w:b/>
          <w:color w:val="auto"/>
        </w:rPr>
      </w:pPr>
      <w:bookmarkStart w:id="13" w:name="References"/>
      <w:r w:rsidRPr="00487C69">
        <w:rPr>
          <w:rFonts w:asciiTheme="minorHAnsi" w:hAnsiTheme="minorHAnsi" w:cstheme="minorHAnsi"/>
          <w:b/>
          <w:bCs/>
        </w:rPr>
        <w:t>REFERENCES</w:t>
      </w:r>
      <w:bookmarkEnd w:id="13"/>
      <w:r w:rsidRPr="00487C69">
        <w:rPr>
          <w:rFonts w:asciiTheme="minorHAnsi" w:hAnsiTheme="minorHAnsi" w:cstheme="minorHAnsi"/>
          <w:b/>
          <w:bCs/>
        </w:rPr>
        <w:t>:</w:t>
      </w:r>
    </w:p>
    <w:p w14:paraId="774AC1D5" w14:textId="26C0C59E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Pr="00487C69">
        <w:rPr>
          <w:rFonts w:asciiTheme="minorHAnsi" w:hAnsiTheme="minorHAnsi" w:cstheme="minorHAnsi"/>
        </w:rPr>
        <w:tab/>
        <w:t>Kubista,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real-time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polymerase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chain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reaction.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Mol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Aspects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Med.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27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(2-3),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95-125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2006).</w:t>
      </w:r>
    </w:p>
    <w:p w14:paraId="09FAF03C" w14:textId="4BEE3CF4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Pr="00487C69">
        <w:rPr>
          <w:rFonts w:asciiTheme="minorHAnsi" w:hAnsiTheme="minorHAnsi" w:cstheme="minorHAnsi"/>
        </w:rPr>
        <w:tab/>
        <w:t>Higuchi,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</w:t>
      </w:r>
      <w:r w:rsidR="007530B0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Walsh,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Griffith,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Simultaneous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Biotechnology.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10</w:t>
      </w:r>
      <w:r w:rsidR="00487C69" w:rsidRPr="00487C69">
        <w:rPr>
          <w:rFonts w:asciiTheme="minorHAnsi" w:hAnsiTheme="minorHAnsi" w:cstheme="minorHAnsi"/>
        </w:rPr>
        <w:t xml:space="preserve">, </w:t>
      </w:r>
      <w:r w:rsidRPr="00487C69">
        <w:rPr>
          <w:rFonts w:asciiTheme="minorHAnsi" w:hAnsiTheme="minorHAnsi" w:cstheme="minorHAnsi"/>
        </w:rPr>
        <w:t>5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(1992).</w:t>
      </w:r>
    </w:p>
    <w:p w14:paraId="7ADED7FA" w14:textId="194B3AB6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ab/>
        <w:t>Mauvisseau,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Influence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accuracy,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repeatability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probability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reliability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species-specific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based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approaches.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 w:rsidRPr="00487C69">
        <w:rPr>
          <w:rFonts w:asciiTheme="minorHAnsi" w:hAnsiTheme="minorHAnsi" w:cstheme="minorHAnsi"/>
          <w:i/>
        </w:rPr>
        <w:t>Scientific Reports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9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(1),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580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2019).</w:t>
      </w:r>
    </w:p>
    <w:p w14:paraId="52109C23" w14:textId="1505A66F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4</w:t>
      </w:r>
      <w:r w:rsidRPr="00487C69">
        <w:rPr>
          <w:rFonts w:asciiTheme="minorHAnsi" w:hAnsiTheme="minorHAnsi" w:cstheme="minorHAnsi"/>
        </w:rPr>
        <w:tab/>
        <w:t>Hernandez,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60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invasive,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threatened,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exploited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freshwater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vertebrates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invertebrates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Eastern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Canada.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Environmental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DNA.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10.1002/edn3.89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2020).</w:t>
      </w:r>
    </w:p>
    <w:p w14:paraId="6242D08A" w14:textId="0A50E376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5</w:t>
      </w:r>
      <w:r w:rsidRPr="00487C69">
        <w:rPr>
          <w:rFonts w:asciiTheme="minorHAnsi" w:hAnsiTheme="minorHAnsi" w:cstheme="minorHAnsi"/>
        </w:rPr>
        <w:tab/>
        <w:t>Klymus,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Reporting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limits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quantification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Environmental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DNA.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10.1002/edn3.29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2019).</w:t>
      </w:r>
    </w:p>
    <w:p w14:paraId="38473891" w14:textId="25671B0A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6</w:t>
      </w:r>
      <w:r w:rsidRPr="00487C69">
        <w:rPr>
          <w:rFonts w:asciiTheme="minorHAnsi" w:hAnsiTheme="minorHAnsi" w:cstheme="minorHAnsi"/>
        </w:rPr>
        <w:tab/>
        <w:t>Thalinger,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validation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scale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determine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readiness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routine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monitoring.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bioRxiv.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10.1101/2020.04.27.063990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2020).</w:t>
      </w:r>
    </w:p>
    <w:p w14:paraId="1F51E4E0" w14:textId="0C6C363A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7</w:t>
      </w:r>
      <w:r w:rsidRPr="00487C69">
        <w:rPr>
          <w:rFonts w:asciiTheme="minorHAnsi" w:hAnsiTheme="minorHAnsi" w:cstheme="minorHAnsi"/>
        </w:rPr>
        <w:tab/>
        <w:t>Helbing,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Hobbs,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Standardization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Needs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Fish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Wildlife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Population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Assessments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Monitoring.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CSA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Group.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(2019).</w:t>
      </w:r>
    </w:p>
    <w:p w14:paraId="23C622D1" w14:textId="0AB48253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8</w:t>
      </w:r>
      <w:r w:rsidRPr="00487C69">
        <w:rPr>
          <w:rFonts w:asciiTheme="minorHAnsi" w:hAnsiTheme="minorHAnsi" w:cstheme="minorHAnsi"/>
        </w:rPr>
        <w:tab/>
        <w:t>Sepulveda,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Nelson,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Jerde,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Luikart,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Methods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Ready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Aquatic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Invasive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Management?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 w:rsidRPr="00487C69">
        <w:rPr>
          <w:rFonts w:asciiTheme="minorHAnsi" w:hAnsiTheme="minorHAnsi" w:cstheme="minorHAnsi"/>
          <w:i/>
        </w:rPr>
        <w:t>Trends in Ecology &amp; Evolution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10.1016/j.tree.2020.03.011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2020).</w:t>
      </w:r>
    </w:p>
    <w:p w14:paraId="033283AC" w14:textId="26167E3F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9</w:t>
      </w:r>
      <w:r w:rsidRPr="00487C69">
        <w:rPr>
          <w:rFonts w:asciiTheme="minorHAnsi" w:hAnsiTheme="minorHAnsi" w:cstheme="minorHAnsi"/>
        </w:rPr>
        <w:tab/>
        <w:t>Svec,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Tichopad,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Novosadova,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Pfaffl,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Kubista,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How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good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efficiency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estimate: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Recommendations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precise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robust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efficiency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assessments.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 w:rsidRPr="00487C69">
        <w:rPr>
          <w:rFonts w:asciiTheme="minorHAnsi" w:hAnsiTheme="minorHAnsi" w:cstheme="minorHAnsi"/>
          <w:i/>
        </w:rPr>
        <w:t>Biomolecular Detection and Quantification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3</w:t>
      </w:r>
      <w:r w:rsidR="00487C69" w:rsidRPr="00487C69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9-16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2015).</w:t>
      </w:r>
    </w:p>
    <w:p w14:paraId="43F2057F" w14:textId="6DB1D2A4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10</w:t>
      </w:r>
      <w:r w:rsidRPr="00487C69">
        <w:rPr>
          <w:rFonts w:asciiTheme="minorHAnsi" w:hAnsiTheme="minorHAnsi" w:cstheme="minorHAnsi"/>
        </w:rPr>
        <w:tab/>
        <w:t>Wilcox,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Robust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importance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specificity.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PLoS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One.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8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(3),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e59520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2013).</w:t>
      </w:r>
    </w:p>
    <w:p w14:paraId="36C9B2D4" w14:textId="1B9C0034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11</w:t>
      </w:r>
      <w:r w:rsidRPr="00487C69">
        <w:rPr>
          <w:rFonts w:asciiTheme="minorHAnsi" w:hAnsiTheme="minorHAnsi" w:cstheme="minorHAnsi"/>
        </w:rPr>
        <w:tab/>
      </w:r>
      <w:r w:rsidR="003579F9" w:rsidRPr="00487C69">
        <w:rPr>
          <w:rFonts w:asciiTheme="minorHAnsi" w:hAnsiTheme="minorHAnsi" w:cstheme="minorHAnsi"/>
        </w:rPr>
        <w:t>Prediger,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E.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How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probes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qPCR.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IDT.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(</w:t>
      </w:r>
      <w:hyperlink r:id="rId17" w:history="1">
        <w:r w:rsidR="007530B0" w:rsidRPr="00487C69">
          <w:rPr>
            <w:rStyle w:val="Hyperlink"/>
            <w:rFonts w:asciiTheme="minorHAnsi" w:hAnsiTheme="minorHAnsi" w:cstheme="minorHAnsi"/>
            <w:u w:val="none"/>
          </w:rPr>
          <w:t>https://www.idtdna.com/pages/education/decoded/article/designing-pcr-primers-and-probes)(2020</w:t>
        </w:r>
      </w:hyperlink>
      <w:r w:rsidR="003579F9" w:rsidRPr="00487C69">
        <w:rPr>
          <w:rFonts w:asciiTheme="minorHAnsi" w:hAnsiTheme="minorHAnsi" w:cstheme="minorHAnsi"/>
        </w:rPr>
        <w:t>).</w:t>
      </w:r>
    </w:p>
    <w:p w14:paraId="3C358DD2" w14:textId="5A6917C1" w:rsidR="007530B0" w:rsidRPr="00487C69" w:rsidRDefault="007530B0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  <w:color w:val="1C1D1E"/>
          <w:shd w:val="clear" w:color="auto" w:fill="FFFFFF"/>
        </w:rPr>
        <w:t>12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ab/>
        <w:t>Thornton,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B.</w:t>
      </w:r>
      <w:r w:rsidR="00B00B2F" w:rsidRPr="00487C69">
        <w:rPr>
          <w:rFonts w:asciiTheme="minorHAnsi" w:hAnsiTheme="minorHAnsi" w:cstheme="minorHAnsi"/>
          <w:color w:val="1C1D1E"/>
          <w:shd w:val="clear" w:color="auto" w:fill="FFFFFF"/>
        </w:rPr>
        <w:t>,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Basu,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C.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Real‐time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PCR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(qPCR)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primer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design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using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free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online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software.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="00487C69">
        <w:rPr>
          <w:rFonts w:asciiTheme="minorHAnsi" w:hAnsiTheme="minorHAnsi" w:cstheme="minorHAnsi"/>
          <w:i/>
          <w:iCs/>
          <w:color w:val="1C1D1E"/>
          <w:shd w:val="clear" w:color="auto" w:fill="FFFFFF"/>
        </w:rPr>
        <w:t>Biochemistry and Molecular Biology Education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.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b/>
          <w:bCs/>
          <w:color w:val="1C1D1E"/>
          <w:shd w:val="clear" w:color="auto" w:fill="FFFFFF"/>
        </w:rPr>
        <w:t>39</w:t>
      </w:r>
      <w:r w:rsidR="000010B0" w:rsidRPr="000010B0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  <w:b/>
          <w:bCs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145-154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2011).</w:t>
      </w:r>
    </w:p>
    <w:p w14:paraId="72DE49C0" w14:textId="7644FBDB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="009C174F"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ab/>
        <w:t>Owczarzy,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IDT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SciTools: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suite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analysis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nucleic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acid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oligomers.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>
        <w:rPr>
          <w:rFonts w:asciiTheme="minorHAnsi" w:hAnsiTheme="minorHAnsi" w:cstheme="minorHAnsi"/>
          <w:i/>
        </w:rPr>
        <w:t>Nucleic Acids Research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36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(Web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Server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issue),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W163-169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2008).</w:t>
      </w:r>
    </w:p>
    <w:p w14:paraId="54C049AD" w14:textId="03665682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="009C174F" w:rsidRPr="00487C69">
        <w:rPr>
          <w:rFonts w:asciiTheme="minorHAnsi" w:hAnsiTheme="minorHAnsi" w:cstheme="minorHAnsi"/>
        </w:rPr>
        <w:t>4</w:t>
      </w:r>
      <w:r w:rsidRPr="00487C69">
        <w:rPr>
          <w:rFonts w:asciiTheme="minorHAnsi" w:hAnsiTheme="minorHAnsi" w:cstheme="minorHAnsi"/>
        </w:rPr>
        <w:tab/>
        <w:t>Kibbe,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OligoCalc: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online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oligonucleotide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properties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calculator.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>
        <w:rPr>
          <w:rFonts w:asciiTheme="minorHAnsi" w:hAnsiTheme="minorHAnsi" w:cstheme="minorHAnsi"/>
          <w:i/>
        </w:rPr>
        <w:t>Nucleic Acids Research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35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(Web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Server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issue),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W43-46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2007).</w:t>
      </w:r>
    </w:p>
    <w:p w14:paraId="6FD766A9" w14:textId="20C5C54D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="009C174F" w:rsidRPr="00487C69">
        <w:rPr>
          <w:rFonts w:asciiTheme="minorHAnsi" w:hAnsiTheme="minorHAnsi" w:cstheme="minorHAnsi"/>
        </w:rPr>
        <w:t>5</w:t>
      </w:r>
      <w:r w:rsidRPr="00487C69">
        <w:rPr>
          <w:rFonts w:asciiTheme="minorHAnsi" w:hAnsiTheme="minorHAnsi" w:cstheme="minorHAnsi"/>
        </w:rPr>
        <w:tab/>
        <w:t>Taylor,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Ultimate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Experiment: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Producing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Publication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Quality,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Reproducible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First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Time.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>
        <w:rPr>
          <w:rFonts w:asciiTheme="minorHAnsi" w:hAnsiTheme="minorHAnsi" w:cstheme="minorHAnsi"/>
          <w:i/>
        </w:rPr>
        <w:t>Trends in Biotechnology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37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(7),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761-774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2019).</w:t>
      </w:r>
    </w:p>
    <w:p w14:paraId="358A420E" w14:textId="264EC003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="009C174F" w:rsidRPr="00487C69">
        <w:rPr>
          <w:rFonts w:asciiTheme="minorHAnsi" w:hAnsiTheme="minorHAnsi" w:cstheme="minorHAnsi"/>
        </w:rPr>
        <w:t>6</w:t>
      </w:r>
      <w:r w:rsidRPr="00487C69">
        <w:rPr>
          <w:rFonts w:asciiTheme="minorHAnsi" w:hAnsiTheme="minorHAnsi" w:cstheme="minorHAnsi"/>
        </w:rPr>
        <w:tab/>
        <w:t>Ye,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Primer-BLAST: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tool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target-specific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polymerase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chain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reaction.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BMC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Bioinformatics.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13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(134),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11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2012).</w:t>
      </w:r>
    </w:p>
    <w:p w14:paraId="1414D2DA" w14:textId="0D17B540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lastRenderedPageBreak/>
        <w:t>1</w:t>
      </w:r>
      <w:r w:rsidR="009C174F" w:rsidRPr="00487C69">
        <w:rPr>
          <w:rFonts w:asciiTheme="minorHAnsi" w:hAnsiTheme="minorHAnsi" w:cstheme="minorHAnsi"/>
        </w:rPr>
        <w:t>7</w:t>
      </w:r>
      <w:r w:rsidRPr="00487C69">
        <w:rPr>
          <w:rFonts w:asciiTheme="minorHAnsi" w:hAnsiTheme="minorHAnsi" w:cstheme="minorHAnsi"/>
        </w:rPr>
        <w:tab/>
        <w:t>Altschul,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Gish,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Miller,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Myers,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Lipman,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Basic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Local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Alignment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Search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Tool.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Journal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of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Molecular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Biology.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215</w:t>
      </w:r>
      <w:r w:rsidR="000010B0" w:rsidRPr="000010B0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403-410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1990).</w:t>
      </w:r>
    </w:p>
    <w:p w14:paraId="7DE9BEC5" w14:textId="1A92F7AC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="009C174F" w:rsidRPr="00487C69">
        <w:rPr>
          <w:rFonts w:asciiTheme="minorHAnsi" w:hAnsiTheme="minorHAnsi" w:cstheme="minorHAnsi"/>
        </w:rPr>
        <w:t>8</w:t>
      </w:r>
      <w:r w:rsidRPr="00487C69">
        <w:rPr>
          <w:rFonts w:asciiTheme="minorHAnsi" w:hAnsiTheme="minorHAnsi" w:cstheme="minorHAnsi"/>
        </w:rPr>
        <w:tab/>
        <w:t>Bustin,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MIQE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guidelines: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minimum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information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publication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quantitative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real-time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experiments.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>
        <w:rPr>
          <w:rFonts w:asciiTheme="minorHAnsi" w:hAnsiTheme="minorHAnsi" w:cstheme="minorHAnsi"/>
          <w:i/>
        </w:rPr>
        <w:t>Clinical Chemistry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55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(4),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611-622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2009).</w:t>
      </w:r>
    </w:p>
    <w:p w14:paraId="0B489A02" w14:textId="40126367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="009C174F" w:rsidRPr="00487C69">
        <w:rPr>
          <w:rFonts w:asciiTheme="minorHAnsi" w:hAnsiTheme="minorHAnsi" w:cstheme="minorHAnsi"/>
        </w:rPr>
        <w:t>9</w:t>
      </w:r>
      <w:r w:rsidRPr="00487C69">
        <w:rPr>
          <w:rFonts w:asciiTheme="minorHAnsi" w:hAnsiTheme="minorHAnsi" w:cstheme="minorHAnsi"/>
        </w:rPr>
        <w:tab/>
        <w:t>Bio-Rad.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Vol.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5279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Bio-Rad)</w:t>
      </w:r>
      <w:r w:rsidR="00487C69">
        <w:rPr>
          <w:rFonts w:asciiTheme="minorHAnsi" w:hAnsiTheme="minorHAnsi" w:cstheme="minorHAnsi"/>
        </w:rPr>
        <w:t xml:space="preserve"> (2020). </w:t>
      </w:r>
    </w:p>
    <w:p w14:paraId="7B48FDBD" w14:textId="5E9BA7F2" w:rsidR="00402C49" w:rsidRPr="00487C69" w:rsidRDefault="009C174F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20</w:t>
      </w:r>
      <w:r w:rsidR="00402C49" w:rsidRPr="00487C69">
        <w:rPr>
          <w:rFonts w:asciiTheme="minorHAnsi" w:hAnsiTheme="minorHAnsi" w:cstheme="minorHAnsi"/>
        </w:rPr>
        <w:tab/>
        <w:t>Bio-Rad.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Vol.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6894</w:t>
      </w:r>
      <w:r w:rsidR="00487C69" w:rsidRPr="00487C69">
        <w:rPr>
          <w:rFonts w:asciiTheme="minorHAnsi" w:hAnsiTheme="minorHAnsi" w:cstheme="minorHAnsi"/>
        </w:rPr>
        <w:t xml:space="preserve"> (ed Bio-Rad)</w:t>
      </w:r>
      <w:r w:rsidR="00487C69">
        <w:rPr>
          <w:rFonts w:asciiTheme="minorHAnsi" w:hAnsiTheme="minorHAnsi" w:cstheme="minorHAnsi"/>
        </w:rPr>
        <w:t xml:space="preserve"> (2020).</w:t>
      </w:r>
    </w:p>
    <w:p w14:paraId="3A3B32A6" w14:textId="1F0AEDF5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9C174F" w:rsidRPr="00487C69">
        <w:rPr>
          <w:rFonts w:asciiTheme="minorHAnsi" w:hAnsiTheme="minorHAnsi" w:cstheme="minorHAnsi"/>
        </w:rPr>
        <w:t>1</w:t>
      </w:r>
      <w:r w:rsidRPr="00487C69">
        <w:rPr>
          <w:rFonts w:asciiTheme="minorHAnsi" w:hAnsiTheme="minorHAnsi" w:cstheme="minorHAnsi"/>
        </w:rPr>
        <w:tab/>
        <w:t>Eurogentec.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Vol.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0708-V2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Eurogentec</w:t>
      </w:r>
      <w:r w:rsidR="00487C69" w:rsidRPr="00487C69">
        <w:rPr>
          <w:rFonts w:asciiTheme="minorHAnsi" w:hAnsiTheme="minorHAnsi" w:cstheme="minorHAnsi"/>
        </w:rPr>
        <w:t>)</w:t>
      </w:r>
      <w:r w:rsidR="00487C69">
        <w:rPr>
          <w:rFonts w:asciiTheme="minorHAnsi" w:hAnsiTheme="minorHAnsi" w:cstheme="minorHAnsi"/>
        </w:rPr>
        <w:t xml:space="preserve"> (2020).</w:t>
      </w:r>
    </w:p>
    <w:p w14:paraId="0C12CEDE" w14:textId="71EE2391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9C174F" w:rsidRPr="00487C69">
        <w:rPr>
          <w:rFonts w:asciiTheme="minorHAnsi" w:hAnsiTheme="minorHAnsi" w:cstheme="minorHAnsi"/>
        </w:rPr>
        <w:t>2</w:t>
      </w:r>
      <w:r w:rsidRPr="00487C69">
        <w:rPr>
          <w:rFonts w:asciiTheme="minorHAnsi" w:hAnsiTheme="minorHAnsi" w:cstheme="minorHAnsi"/>
        </w:rPr>
        <w:tab/>
        <w:t>Bustin,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Huggett,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revisited.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 w:rsidRPr="00487C69">
        <w:rPr>
          <w:rFonts w:asciiTheme="minorHAnsi" w:hAnsiTheme="minorHAnsi" w:cstheme="minorHAnsi"/>
          <w:i/>
        </w:rPr>
        <w:t>Biomolecular Detection and Quantification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14</w:t>
      </w:r>
      <w:r w:rsidR="000010B0" w:rsidRPr="000010B0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19-28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2017).</w:t>
      </w:r>
    </w:p>
    <w:p w14:paraId="4896D5D7" w14:textId="3272514F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9C174F"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ab/>
        <w:t>Hoorfar,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Practical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considerations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internal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controls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diagnostic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>
        <w:rPr>
          <w:rFonts w:asciiTheme="minorHAnsi" w:hAnsiTheme="minorHAnsi" w:cstheme="minorHAnsi"/>
          <w:i/>
        </w:rPr>
        <w:t>Journal of Clinical Microbiology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42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(5),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1863-1868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2004).</w:t>
      </w:r>
    </w:p>
    <w:p w14:paraId="5D9685FA" w14:textId="5696107A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9C174F" w:rsidRPr="00487C69">
        <w:rPr>
          <w:rFonts w:asciiTheme="minorHAnsi" w:hAnsiTheme="minorHAnsi" w:cstheme="minorHAnsi"/>
        </w:rPr>
        <w:t>4</w:t>
      </w:r>
      <w:r w:rsidRPr="00487C69">
        <w:rPr>
          <w:rFonts w:asciiTheme="minorHAnsi" w:hAnsiTheme="minorHAnsi" w:cstheme="minorHAnsi"/>
        </w:rPr>
        <w:tab/>
        <w:t>Goldberg,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Critical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considerations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application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methods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aquatic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Methods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in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Ecology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and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Evolution.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7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(11),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1299-1307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2016).</w:t>
      </w:r>
    </w:p>
    <w:p w14:paraId="6068DC9F" w14:textId="4A7B3BC8" w:rsidR="00A97936" w:rsidRPr="00487C69" w:rsidRDefault="00A97936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25</w:t>
      </w:r>
      <w:r w:rsidRPr="00487C69">
        <w:rPr>
          <w:rFonts w:asciiTheme="minorHAnsi" w:hAnsiTheme="minorHAnsi" w:cstheme="minorHAnsi"/>
        </w:rPr>
        <w:tab/>
        <w:t>Guan,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X.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(eDNA)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Invasive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Populations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Black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Carp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North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America.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Transactions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of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the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American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Fisheries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Society.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148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(6),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1043-1055,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doi:10.1002/tafs.10195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2019).</w:t>
      </w:r>
    </w:p>
    <w:p w14:paraId="729E9EBC" w14:textId="4F3E95E7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A97936" w:rsidRPr="00487C69">
        <w:rPr>
          <w:rFonts w:asciiTheme="minorHAnsi" w:hAnsiTheme="minorHAnsi" w:cstheme="minorHAnsi"/>
        </w:rPr>
        <w:t>6</w:t>
      </w:r>
      <w:r w:rsidRPr="00487C69">
        <w:rPr>
          <w:rFonts w:asciiTheme="minorHAnsi" w:hAnsiTheme="minorHAnsi" w:cstheme="minorHAnsi"/>
        </w:rPr>
        <w:tab/>
        <w:t>Mosher,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Successful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molecular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studies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require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clear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communication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among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diverse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research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partners.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Frontiers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in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Ecology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and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the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Environment.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18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(1),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43-51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2019).</w:t>
      </w:r>
    </w:p>
    <w:p w14:paraId="4A3C871C" w14:textId="769F0CEC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A97936" w:rsidRPr="00487C69">
        <w:rPr>
          <w:rFonts w:asciiTheme="minorHAnsi" w:hAnsiTheme="minorHAnsi" w:cstheme="minorHAnsi"/>
        </w:rPr>
        <w:t>7</w:t>
      </w:r>
      <w:r w:rsidRPr="00487C69">
        <w:rPr>
          <w:rFonts w:asciiTheme="minorHAnsi" w:hAnsiTheme="minorHAnsi" w:cstheme="minorHAnsi"/>
        </w:rPr>
        <w:tab/>
        <w:t>Kwonga,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Srivathsana,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Meier,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update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barcoding: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low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coverage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numerous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unidentified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Cladistics.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28</w:t>
      </w:r>
      <w:r w:rsidR="000010B0" w:rsidRPr="000010B0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6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2012).</w:t>
      </w:r>
    </w:p>
    <w:p w14:paraId="0F181DE8" w14:textId="52F90020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A97936" w:rsidRPr="00487C69">
        <w:rPr>
          <w:rFonts w:asciiTheme="minorHAnsi" w:hAnsiTheme="minorHAnsi" w:cstheme="minorHAnsi"/>
        </w:rPr>
        <w:t>8</w:t>
      </w:r>
      <w:r w:rsidRPr="00487C69">
        <w:rPr>
          <w:rFonts w:asciiTheme="minorHAnsi" w:hAnsiTheme="minorHAnsi" w:cstheme="minorHAnsi"/>
        </w:rPr>
        <w:tab/>
        <w:t>Rees,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REVIEW: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aquatic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animal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-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review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survey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tool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ecology.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Journal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of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Applied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Ecology.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51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(5),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1450-1459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2014).</w:t>
      </w:r>
    </w:p>
    <w:p w14:paraId="2B4013DE" w14:textId="15151B30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A97936" w:rsidRPr="00487C69">
        <w:rPr>
          <w:rFonts w:asciiTheme="minorHAnsi" w:hAnsiTheme="minorHAnsi" w:cstheme="minorHAnsi"/>
        </w:rPr>
        <w:t>9</w:t>
      </w:r>
      <w:r w:rsidRPr="00487C69">
        <w:rPr>
          <w:rFonts w:asciiTheme="minorHAnsi" w:hAnsiTheme="minorHAnsi" w:cstheme="minorHAnsi"/>
        </w:rPr>
        <w:tab/>
        <w:t>Evans,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Lamberti,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Freshwater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fisheries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assessment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method,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potential,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shortcomings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conservation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tool.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Fisheries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Research.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197</w:t>
      </w:r>
      <w:r w:rsidR="000010B0" w:rsidRPr="000010B0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60-66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2018).</w:t>
      </w:r>
    </w:p>
    <w:p w14:paraId="5446E32B" w14:textId="7126FBF1" w:rsidR="00402C49" w:rsidRPr="00487C69" w:rsidRDefault="00A97936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30</w:t>
      </w:r>
      <w:r w:rsidR="00402C49" w:rsidRPr="00487C69">
        <w:rPr>
          <w:rFonts w:asciiTheme="minorHAnsi" w:hAnsiTheme="minorHAnsi" w:cstheme="minorHAnsi"/>
        </w:rPr>
        <w:tab/>
        <w:t>Forootan,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="00402C49" w:rsidRPr="00487C69">
        <w:rPr>
          <w:rFonts w:asciiTheme="minorHAnsi" w:hAnsiTheme="minorHAnsi" w:cstheme="minorHAnsi"/>
        </w:rPr>
        <w:t>Methods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determine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limit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limit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quantification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quantitative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real-time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(qPCR).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 w:rsidRPr="00487C69">
        <w:rPr>
          <w:rFonts w:asciiTheme="minorHAnsi" w:hAnsiTheme="minorHAnsi" w:cstheme="minorHAnsi"/>
          <w:i/>
        </w:rPr>
        <w:t>Biomolecular Detection and Quantification</w:t>
      </w:r>
      <w:r w:rsidR="00402C49"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  <w:b/>
        </w:rPr>
        <w:t>12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1-6</w:t>
      </w:r>
      <w:r w:rsidR="00487C69" w:rsidRPr="00487C69">
        <w:rPr>
          <w:rFonts w:asciiTheme="minorHAnsi" w:hAnsiTheme="minorHAnsi" w:cstheme="minorHAnsi"/>
        </w:rPr>
        <w:t xml:space="preserve"> (</w:t>
      </w:r>
      <w:r w:rsidR="00402C49" w:rsidRPr="00487C69">
        <w:rPr>
          <w:rFonts w:asciiTheme="minorHAnsi" w:hAnsiTheme="minorHAnsi" w:cstheme="minorHAnsi"/>
        </w:rPr>
        <w:t>2017).</w:t>
      </w:r>
    </w:p>
    <w:p w14:paraId="3E85D950" w14:textId="332E0296" w:rsidR="00402C49" w:rsidRPr="00487C69" w:rsidRDefault="009C174F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3</w:t>
      </w:r>
      <w:r w:rsidR="00A97936" w:rsidRPr="00487C69">
        <w:rPr>
          <w:rFonts w:asciiTheme="minorHAnsi" w:hAnsiTheme="minorHAnsi" w:cstheme="minorHAnsi"/>
        </w:rPr>
        <w:t>1</w:t>
      </w:r>
      <w:r w:rsidR="00402C49" w:rsidRPr="00487C69">
        <w:rPr>
          <w:rFonts w:asciiTheme="minorHAnsi" w:hAnsiTheme="minorHAnsi" w:cstheme="minorHAnsi"/>
        </w:rPr>
        <w:tab/>
        <w:t>Sengupta,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M.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E.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="00402C49"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improved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surveillance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schistosomiasis.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010B0">
        <w:rPr>
          <w:rFonts w:asciiTheme="minorHAnsi" w:hAnsiTheme="minorHAnsi" w:cstheme="minorHAnsi"/>
          <w:i/>
        </w:rPr>
        <w:t>Proceedings of the National Academy of Sciences of the United States of America</w:t>
      </w:r>
      <w:r w:rsidR="00402C49"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  <w:b/>
        </w:rPr>
        <w:t>116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(18),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8931-8940</w:t>
      </w:r>
      <w:r w:rsidR="00487C69" w:rsidRPr="00487C69">
        <w:rPr>
          <w:rFonts w:asciiTheme="minorHAnsi" w:hAnsiTheme="minorHAnsi" w:cstheme="minorHAnsi"/>
        </w:rPr>
        <w:t xml:space="preserve"> (</w:t>
      </w:r>
      <w:r w:rsidR="00402C49" w:rsidRPr="00487C69">
        <w:rPr>
          <w:rFonts w:asciiTheme="minorHAnsi" w:hAnsiTheme="minorHAnsi" w:cstheme="minorHAnsi"/>
        </w:rPr>
        <w:t>2019).</w:t>
      </w:r>
    </w:p>
    <w:p w14:paraId="2FEEB319" w14:textId="2D236E19" w:rsidR="006E2D7E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3</w:t>
      </w:r>
      <w:r w:rsidR="00A97936" w:rsidRPr="00487C69">
        <w:rPr>
          <w:rFonts w:asciiTheme="minorHAnsi" w:hAnsiTheme="minorHAnsi" w:cstheme="minorHAnsi"/>
        </w:rPr>
        <w:t>2</w:t>
      </w:r>
      <w:r w:rsidRPr="00487C69">
        <w:rPr>
          <w:rFonts w:asciiTheme="minorHAnsi" w:hAnsiTheme="minorHAnsi" w:cstheme="minorHAnsi"/>
        </w:rPr>
        <w:tab/>
        <w:t>Klymus,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Richter,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Chapman,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Paukert,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Quantification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shedding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rates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invasive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bighead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carp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Hypophthalmichthys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nobilis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silver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carp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Hypophthalmichthys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molitrix.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Biological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Conservation.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183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77-84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2015).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5192058B" w14:textId="69EB97AF" w:rsidR="00610C43" w:rsidRPr="00487C69" w:rsidRDefault="00610C43" w:rsidP="00487C69">
      <w:pPr>
        <w:contextualSpacing/>
        <w:rPr>
          <w:rFonts w:asciiTheme="minorHAnsi" w:hAnsiTheme="minorHAnsi" w:cstheme="minorHAnsi"/>
        </w:rPr>
      </w:pPr>
    </w:p>
    <w:p w14:paraId="2A2AF037" w14:textId="604BB0DA" w:rsidR="00610C43" w:rsidRPr="00487C69" w:rsidRDefault="00610C43" w:rsidP="00487C69">
      <w:pPr>
        <w:pStyle w:val="EndNoteBibliography"/>
        <w:contextualSpacing/>
        <w:rPr>
          <w:rFonts w:asciiTheme="minorHAnsi" w:hAnsiTheme="minorHAnsi" w:cstheme="minorHAnsi"/>
        </w:rPr>
      </w:pPr>
    </w:p>
    <w:sectPr w:rsidR="00610C43" w:rsidRPr="00487C69" w:rsidSect="003579F9">
      <w:headerReference w:type="default" r:id="rId18"/>
      <w:footerReference w:type="default" r:id="rId19"/>
      <w:footerReference w:type="first" r:id="rId2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180C1" w14:textId="77777777" w:rsidR="00A64DC6" w:rsidRDefault="00A64DC6">
      <w:r>
        <w:separator/>
      </w:r>
    </w:p>
  </w:endnote>
  <w:endnote w:type="continuationSeparator" w:id="0">
    <w:p w14:paraId="73CF98BA" w14:textId="77777777" w:rsidR="00A64DC6" w:rsidRDefault="00A6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CA991" w14:textId="7A582424" w:rsidR="000010B0" w:rsidRDefault="000010B0">
    <w:pPr>
      <w:pStyle w:val="Footer"/>
    </w:pPr>
  </w:p>
  <w:p w14:paraId="20720E32" w14:textId="77777777" w:rsidR="000010B0" w:rsidRPr="00494F77" w:rsidRDefault="000010B0" w:rsidP="007B22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E1357" w14:textId="77777777" w:rsidR="000010B0" w:rsidRDefault="000010B0" w:rsidP="007B228B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C03F7" w14:textId="77777777" w:rsidR="00A64DC6" w:rsidRDefault="00A64DC6">
      <w:r>
        <w:separator/>
      </w:r>
    </w:p>
  </w:footnote>
  <w:footnote w:type="continuationSeparator" w:id="0">
    <w:p w14:paraId="6FA2B939" w14:textId="77777777" w:rsidR="00A64DC6" w:rsidRDefault="00A6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DE5B9" w14:textId="77777777" w:rsidR="000010B0" w:rsidRPr="006F06E4" w:rsidRDefault="000010B0" w:rsidP="007B228B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71ECD"/>
    <w:multiLevelType w:val="multilevel"/>
    <w:tmpl w:val="66A65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1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170" w:hanging="36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53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72E8E"/>
    <w:multiLevelType w:val="multilevel"/>
    <w:tmpl w:val="50CE6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23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08" w:hanging="36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53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31175"/>
    <w:multiLevelType w:val="multilevel"/>
    <w:tmpl w:val="6BC4D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1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170" w:hanging="36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53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3BE5DA7"/>
    <w:multiLevelType w:val="hybridMultilevel"/>
    <w:tmpl w:val="FFFFFFFF"/>
    <w:lvl w:ilvl="0" w:tplc="4B00C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29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08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4B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CF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84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B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4C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A3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21D2DA0"/>
    <w:multiLevelType w:val="multilevel"/>
    <w:tmpl w:val="74067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27DB6"/>
    <w:multiLevelType w:val="multilevel"/>
    <w:tmpl w:val="5492F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1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08" w:hanging="19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53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5936AE"/>
    <w:multiLevelType w:val="hybridMultilevel"/>
    <w:tmpl w:val="FFFFFFFF"/>
    <w:lvl w:ilvl="0" w:tplc="F244C846">
      <w:start w:val="1"/>
      <w:numFmt w:val="decimal"/>
      <w:lvlText w:val="%1."/>
      <w:lvlJc w:val="left"/>
      <w:pPr>
        <w:ind w:left="360" w:hanging="360"/>
      </w:pPr>
    </w:lvl>
    <w:lvl w:ilvl="1" w:tplc="DB6A294E">
      <w:start w:val="1"/>
      <w:numFmt w:val="lowerLetter"/>
      <w:lvlText w:val="%2."/>
      <w:lvlJc w:val="left"/>
      <w:pPr>
        <w:ind w:left="1080" w:hanging="360"/>
      </w:pPr>
    </w:lvl>
    <w:lvl w:ilvl="2" w:tplc="0ECAB5EC">
      <w:start w:val="1"/>
      <w:numFmt w:val="lowerRoman"/>
      <w:lvlText w:val="%3."/>
      <w:lvlJc w:val="right"/>
      <w:pPr>
        <w:ind w:left="1800" w:hanging="180"/>
      </w:pPr>
    </w:lvl>
    <w:lvl w:ilvl="3" w:tplc="C6F2BE9A">
      <w:start w:val="1"/>
      <w:numFmt w:val="decimal"/>
      <w:lvlText w:val="%4."/>
      <w:lvlJc w:val="left"/>
      <w:pPr>
        <w:ind w:left="2520" w:hanging="360"/>
      </w:pPr>
    </w:lvl>
    <w:lvl w:ilvl="4" w:tplc="9EDC07C6">
      <w:start w:val="1"/>
      <w:numFmt w:val="lowerLetter"/>
      <w:lvlText w:val="%5."/>
      <w:lvlJc w:val="left"/>
      <w:pPr>
        <w:ind w:left="3240" w:hanging="360"/>
      </w:pPr>
    </w:lvl>
    <w:lvl w:ilvl="5" w:tplc="79F05062">
      <w:start w:val="1"/>
      <w:numFmt w:val="lowerRoman"/>
      <w:lvlText w:val="%6."/>
      <w:lvlJc w:val="right"/>
      <w:pPr>
        <w:ind w:left="3960" w:hanging="180"/>
      </w:pPr>
    </w:lvl>
    <w:lvl w:ilvl="6" w:tplc="41026684">
      <w:start w:val="1"/>
      <w:numFmt w:val="decimal"/>
      <w:lvlText w:val="%7."/>
      <w:lvlJc w:val="left"/>
      <w:pPr>
        <w:ind w:left="4680" w:hanging="360"/>
      </w:pPr>
    </w:lvl>
    <w:lvl w:ilvl="7" w:tplc="3E361164">
      <w:start w:val="1"/>
      <w:numFmt w:val="lowerLetter"/>
      <w:lvlText w:val="%8."/>
      <w:lvlJc w:val="left"/>
      <w:pPr>
        <w:ind w:left="5400" w:hanging="360"/>
      </w:pPr>
    </w:lvl>
    <w:lvl w:ilvl="8" w:tplc="8C58B2DE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D7258FD"/>
    <w:multiLevelType w:val="multilevel"/>
    <w:tmpl w:val="852C5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1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08" w:hanging="36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53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35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6"/>
  </w:num>
  <w:num w:numId="4">
    <w:abstractNumId w:val="20"/>
  </w:num>
  <w:num w:numId="5">
    <w:abstractNumId w:val="12"/>
  </w:num>
  <w:num w:numId="6">
    <w:abstractNumId w:val="19"/>
  </w:num>
  <w:num w:numId="7">
    <w:abstractNumId w:val="1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3"/>
  </w:num>
  <w:num w:numId="13">
    <w:abstractNumId w:val="23"/>
  </w:num>
  <w:num w:numId="14">
    <w:abstractNumId w:val="32"/>
  </w:num>
  <w:num w:numId="15">
    <w:abstractNumId w:val="15"/>
  </w:num>
  <w:num w:numId="16">
    <w:abstractNumId w:val="11"/>
  </w:num>
  <w:num w:numId="17">
    <w:abstractNumId w:val="24"/>
  </w:num>
  <w:num w:numId="18">
    <w:abstractNumId w:val="16"/>
  </w:num>
  <w:num w:numId="19">
    <w:abstractNumId w:val="29"/>
  </w:num>
  <w:num w:numId="20">
    <w:abstractNumId w:val="5"/>
  </w:num>
  <w:num w:numId="21">
    <w:abstractNumId w:val="30"/>
  </w:num>
  <w:num w:numId="22">
    <w:abstractNumId w:val="27"/>
  </w:num>
  <w:num w:numId="23">
    <w:abstractNumId w:val="17"/>
  </w:num>
  <w:num w:numId="24">
    <w:abstractNumId w:val="33"/>
  </w:num>
  <w:num w:numId="25">
    <w:abstractNumId w:val="10"/>
  </w:num>
  <w:num w:numId="26">
    <w:abstractNumId w:val="2"/>
  </w:num>
  <w:num w:numId="27">
    <w:abstractNumId w:val="9"/>
  </w:num>
  <w:num w:numId="28">
    <w:abstractNumId w:val="35"/>
  </w:num>
  <w:num w:numId="29">
    <w:abstractNumId w:val="31"/>
  </w:num>
  <w:num w:numId="30">
    <w:abstractNumId w:val="4"/>
  </w:num>
  <w:num w:numId="31">
    <w:abstractNumId w:val="25"/>
  </w:num>
  <w:num w:numId="32">
    <w:abstractNumId w:val="18"/>
  </w:num>
  <w:num w:numId="33">
    <w:abstractNumId w:val="0"/>
  </w:num>
  <w:num w:numId="34">
    <w:abstractNumId w:val="28"/>
  </w:num>
  <w:num w:numId="35">
    <w:abstractNumId w:val="7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402C49"/>
    <w:rsid w:val="000010B0"/>
    <w:rsid w:val="00005385"/>
    <w:rsid w:val="00016BAC"/>
    <w:rsid w:val="00030E61"/>
    <w:rsid w:val="0003297C"/>
    <w:rsid w:val="00040C18"/>
    <w:rsid w:val="00044103"/>
    <w:rsid w:val="00065456"/>
    <w:rsid w:val="00075A73"/>
    <w:rsid w:val="000A44BB"/>
    <w:rsid w:val="000D2B55"/>
    <w:rsid w:val="000E0AFE"/>
    <w:rsid w:val="000F0BF8"/>
    <w:rsid w:val="000F593B"/>
    <w:rsid w:val="001113F5"/>
    <w:rsid w:val="00117B46"/>
    <w:rsid w:val="00151DB6"/>
    <w:rsid w:val="00162B44"/>
    <w:rsid w:val="00170773"/>
    <w:rsid w:val="0017118F"/>
    <w:rsid w:val="00174FE0"/>
    <w:rsid w:val="001822BE"/>
    <w:rsid w:val="001A6F22"/>
    <w:rsid w:val="001B0465"/>
    <w:rsid w:val="001B1556"/>
    <w:rsid w:val="001B7670"/>
    <w:rsid w:val="001E23AC"/>
    <w:rsid w:val="001E2C90"/>
    <w:rsid w:val="001F042B"/>
    <w:rsid w:val="001F7565"/>
    <w:rsid w:val="00211493"/>
    <w:rsid w:val="002141BC"/>
    <w:rsid w:val="00223835"/>
    <w:rsid w:val="0022489D"/>
    <w:rsid w:val="002268F8"/>
    <w:rsid w:val="00231925"/>
    <w:rsid w:val="00235514"/>
    <w:rsid w:val="002530C9"/>
    <w:rsid w:val="00261014"/>
    <w:rsid w:val="00267E7E"/>
    <w:rsid w:val="00272D50"/>
    <w:rsid w:val="00280F79"/>
    <w:rsid w:val="00285451"/>
    <w:rsid w:val="002866EF"/>
    <w:rsid w:val="002B2F05"/>
    <w:rsid w:val="002D371A"/>
    <w:rsid w:val="002D518A"/>
    <w:rsid w:val="002E67DF"/>
    <w:rsid w:val="002F7773"/>
    <w:rsid w:val="00313499"/>
    <w:rsid w:val="003158DB"/>
    <w:rsid w:val="00323ECE"/>
    <w:rsid w:val="00324E77"/>
    <w:rsid w:val="00330EDD"/>
    <w:rsid w:val="003425D7"/>
    <w:rsid w:val="00343CD0"/>
    <w:rsid w:val="003579F9"/>
    <w:rsid w:val="00361D4A"/>
    <w:rsid w:val="00366928"/>
    <w:rsid w:val="00373C89"/>
    <w:rsid w:val="0037632C"/>
    <w:rsid w:val="00381B49"/>
    <w:rsid w:val="003A3CE1"/>
    <w:rsid w:val="003A4126"/>
    <w:rsid w:val="003A5E82"/>
    <w:rsid w:val="003B7458"/>
    <w:rsid w:val="003C1901"/>
    <w:rsid w:val="003C19CF"/>
    <w:rsid w:val="003C2FA0"/>
    <w:rsid w:val="003C5073"/>
    <w:rsid w:val="003E1374"/>
    <w:rsid w:val="003E75B3"/>
    <w:rsid w:val="003F3CE8"/>
    <w:rsid w:val="003F6BD8"/>
    <w:rsid w:val="00402C49"/>
    <w:rsid w:val="004114F1"/>
    <w:rsid w:val="00412DB3"/>
    <w:rsid w:val="0041684D"/>
    <w:rsid w:val="00423158"/>
    <w:rsid w:val="00446C01"/>
    <w:rsid w:val="00473C76"/>
    <w:rsid w:val="004862CA"/>
    <w:rsid w:val="004866E8"/>
    <w:rsid w:val="00487C69"/>
    <w:rsid w:val="004A3CEF"/>
    <w:rsid w:val="004C1A39"/>
    <w:rsid w:val="004C39AE"/>
    <w:rsid w:val="004D09BA"/>
    <w:rsid w:val="004D31F0"/>
    <w:rsid w:val="004E1494"/>
    <w:rsid w:val="004E2984"/>
    <w:rsid w:val="00507F50"/>
    <w:rsid w:val="005160BB"/>
    <w:rsid w:val="00520F39"/>
    <w:rsid w:val="00521510"/>
    <w:rsid w:val="005232B1"/>
    <w:rsid w:val="00523F73"/>
    <w:rsid w:val="0053308E"/>
    <w:rsid w:val="005345EB"/>
    <w:rsid w:val="00536FD9"/>
    <w:rsid w:val="005429D4"/>
    <w:rsid w:val="005608D5"/>
    <w:rsid w:val="00580E46"/>
    <w:rsid w:val="00581FCD"/>
    <w:rsid w:val="0059070C"/>
    <w:rsid w:val="005A3EC6"/>
    <w:rsid w:val="005A7F07"/>
    <w:rsid w:val="005B68AE"/>
    <w:rsid w:val="005C21FA"/>
    <w:rsid w:val="005F6C07"/>
    <w:rsid w:val="00601805"/>
    <w:rsid w:val="00607AB8"/>
    <w:rsid w:val="00610C43"/>
    <w:rsid w:val="00615511"/>
    <w:rsid w:val="00615FBD"/>
    <w:rsid w:val="00625BA0"/>
    <w:rsid w:val="00637133"/>
    <w:rsid w:val="006378B5"/>
    <w:rsid w:val="0065631E"/>
    <w:rsid w:val="006670E5"/>
    <w:rsid w:val="00697EF8"/>
    <w:rsid w:val="006A45B3"/>
    <w:rsid w:val="006B1D8E"/>
    <w:rsid w:val="006B73BE"/>
    <w:rsid w:val="006E2D7E"/>
    <w:rsid w:val="006F59A2"/>
    <w:rsid w:val="00727B9B"/>
    <w:rsid w:val="00746205"/>
    <w:rsid w:val="007505CC"/>
    <w:rsid w:val="007530B0"/>
    <w:rsid w:val="00762654"/>
    <w:rsid w:val="00774000"/>
    <w:rsid w:val="00781B75"/>
    <w:rsid w:val="007B228B"/>
    <w:rsid w:val="007B3066"/>
    <w:rsid w:val="007C35E2"/>
    <w:rsid w:val="007F2059"/>
    <w:rsid w:val="007F510C"/>
    <w:rsid w:val="007F6A19"/>
    <w:rsid w:val="00811FA6"/>
    <w:rsid w:val="008124FF"/>
    <w:rsid w:val="00813231"/>
    <w:rsid w:val="00814877"/>
    <w:rsid w:val="00862C60"/>
    <w:rsid w:val="008724F6"/>
    <w:rsid w:val="00894B55"/>
    <w:rsid w:val="00895B51"/>
    <w:rsid w:val="00895D50"/>
    <w:rsid w:val="008B64A5"/>
    <w:rsid w:val="008B7CC5"/>
    <w:rsid w:val="008D3373"/>
    <w:rsid w:val="008D5539"/>
    <w:rsid w:val="00904F4B"/>
    <w:rsid w:val="00915278"/>
    <w:rsid w:val="009158A8"/>
    <w:rsid w:val="00916882"/>
    <w:rsid w:val="009175BB"/>
    <w:rsid w:val="00920264"/>
    <w:rsid w:val="00925DD8"/>
    <w:rsid w:val="00932347"/>
    <w:rsid w:val="009376C1"/>
    <w:rsid w:val="00960EEA"/>
    <w:rsid w:val="0097581A"/>
    <w:rsid w:val="00997E96"/>
    <w:rsid w:val="009C03C2"/>
    <w:rsid w:val="009C174F"/>
    <w:rsid w:val="009D5CCF"/>
    <w:rsid w:val="00A11B4B"/>
    <w:rsid w:val="00A566CF"/>
    <w:rsid w:val="00A64DC6"/>
    <w:rsid w:val="00A81E69"/>
    <w:rsid w:val="00A8528C"/>
    <w:rsid w:val="00A87E63"/>
    <w:rsid w:val="00A97936"/>
    <w:rsid w:val="00AA6FB2"/>
    <w:rsid w:val="00AB3F26"/>
    <w:rsid w:val="00AC18D8"/>
    <w:rsid w:val="00AD3853"/>
    <w:rsid w:val="00AD6830"/>
    <w:rsid w:val="00AE7D4B"/>
    <w:rsid w:val="00B00B2F"/>
    <w:rsid w:val="00B0202F"/>
    <w:rsid w:val="00B128C0"/>
    <w:rsid w:val="00B3064A"/>
    <w:rsid w:val="00B40914"/>
    <w:rsid w:val="00B62D70"/>
    <w:rsid w:val="00B64B21"/>
    <w:rsid w:val="00B773A8"/>
    <w:rsid w:val="00B85687"/>
    <w:rsid w:val="00BB7D73"/>
    <w:rsid w:val="00BE160D"/>
    <w:rsid w:val="00BE3987"/>
    <w:rsid w:val="00BF1B81"/>
    <w:rsid w:val="00C06BDE"/>
    <w:rsid w:val="00C077F6"/>
    <w:rsid w:val="00C138E3"/>
    <w:rsid w:val="00C143F1"/>
    <w:rsid w:val="00C26428"/>
    <w:rsid w:val="00C32272"/>
    <w:rsid w:val="00C34361"/>
    <w:rsid w:val="00C52DBD"/>
    <w:rsid w:val="00C624C5"/>
    <w:rsid w:val="00C6406C"/>
    <w:rsid w:val="00C67976"/>
    <w:rsid w:val="00C750E6"/>
    <w:rsid w:val="00CD015A"/>
    <w:rsid w:val="00CD1B78"/>
    <w:rsid w:val="00CD56CB"/>
    <w:rsid w:val="00CE1F3C"/>
    <w:rsid w:val="00CF1B8A"/>
    <w:rsid w:val="00D030E4"/>
    <w:rsid w:val="00D21654"/>
    <w:rsid w:val="00D30446"/>
    <w:rsid w:val="00D36E73"/>
    <w:rsid w:val="00D44A63"/>
    <w:rsid w:val="00D5773A"/>
    <w:rsid w:val="00D617A5"/>
    <w:rsid w:val="00D83D9A"/>
    <w:rsid w:val="00D9319F"/>
    <w:rsid w:val="00DA1914"/>
    <w:rsid w:val="00DA2990"/>
    <w:rsid w:val="00DD6BEB"/>
    <w:rsid w:val="00DF42BF"/>
    <w:rsid w:val="00E03DC4"/>
    <w:rsid w:val="00E26765"/>
    <w:rsid w:val="00E35B93"/>
    <w:rsid w:val="00E35CFF"/>
    <w:rsid w:val="00E7290C"/>
    <w:rsid w:val="00E739B2"/>
    <w:rsid w:val="00E73F7C"/>
    <w:rsid w:val="00E83A89"/>
    <w:rsid w:val="00E84FCC"/>
    <w:rsid w:val="00EA41F1"/>
    <w:rsid w:val="00EB3719"/>
    <w:rsid w:val="00EB540D"/>
    <w:rsid w:val="00EB7E89"/>
    <w:rsid w:val="00F0281E"/>
    <w:rsid w:val="00F272F5"/>
    <w:rsid w:val="00F328BB"/>
    <w:rsid w:val="00F42EDE"/>
    <w:rsid w:val="00F52F03"/>
    <w:rsid w:val="00F95011"/>
    <w:rsid w:val="00FA3983"/>
    <w:rsid w:val="00FA3DCE"/>
    <w:rsid w:val="00FA77D1"/>
    <w:rsid w:val="00FB6906"/>
    <w:rsid w:val="00FC73DB"/>
    <w:rsid w:val="00FD10B4"/>
    <w:rsid w:val="00FD241C"/>
    <w:rsid w:val="00FD7EE9"/>
    <w:rsid w:val="00FE08DC"/>
    <w:rsid w:val="184E0645"/>
    <w:rsid w:val="217E158C"/>
    <w:rsid w:val="2719E160"/>
    <w:rsid w:val="27D24C5D"/>
    <w:rsid w:val="287100C8"/>
    <w:rsid w:val="342B60FE"/>
    <w:rsid w:val="387ED393"/>
    <w:rsid w:val="3ABE3D09"/>
    <w:rsid w:val="3EAA61AE"/>
    <w:rsid w:val="412C0811"/>
    <w:rsid w:val="435E98BA"/>
    <w:rsid w:val="46A42426"/>
    <w:rsid w:val="522ECD35"/>
    <w:rsid w:val="5DC71F1A"/>
    <w:rsid w:val="613E7E50"/>
    <w:rsid w:val="641CA7A0"/>
    <w:rsid w:val="6F369694"/>
    <w:rsid w:val="7350E0F1"/>
    <w:rsid w:val="775B8495"/>
    <w:rsid w:val="7B08AF2E"/>
    <w:rsid w:val="7D7A8539"/>
    <w:rsid w:val="7D96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D0EA"/>
  <w15:chartTrackingRefBased/>
  <w15:docId w15:val="{CECC726D-AFEE-4E1F-A94D-63DEFE16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C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2C49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02C49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2C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02C49"/>
    <w:rPr>
      <w:rFonts w:ascii="Calibri" w:eastAsia="Times New Roman" w:hAnsi="Calibri" w:cs="Times New Roman"/>
      <w:b/>
      <w:bCs/>
      <w:color w:val="000000"/>
      <w:kern w:val="32"/>
      <w:sz w:val="28"/>
      <w:szCs w:val="32"/>
    </w:rPr>
  </w:style>
  <w:style w:type="character" w:customStyle="1" w:styleId="Heading2Char">
    <w:name w:val="Heading 2 Char"/>
    <w:link w:val="Heading2"/>
    <w:rsid w:val="00402C49"/>
    <w:rPr>
      <w:rFonts w:ascii="Calibri" w:eastAsia="Times New Roman" w:hAnsi="Calibri" w:cs="Times New Roman"/>
      <w:b/>
      <w:bCs/>
      <w:iCs/>
      <w:color w:val="00000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4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NormalWeb">
    <w:name w:val="Normal (Web)"/>
    <w:basedOn w:val="Normal"/>
    <w:rsid w:val="00402C49"/>
    <w:pPr>
      <w:spacing w:before="100" w:beforeAutospacing="1" w:after="100" w:afterAutospacing="1"/>
    </w:pPr>
  </w:style>
  <w:style w:type="character" w:styleId="Hyperlink">
    <w:name w:val="Hyperlink"/>
    <w:uiPriority w:val="99"/>
    <w:rsid w:val="00402C49"/>
    <w:rPr>
      <w:color w:val="0000FF"/>
      <w:u w:val="single"/>
    </w:rPr>
  </w:style>
  <w:style w:type="paragraph" w:styleId="Header">
    <w:name w:val="header"/>
    <w:basedOn w:val="Normal"/>
    <w:link w:val="HeaderChar"/>
    <w:rsid w:val="00402C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02C49"/>
    <w:rPr>
      <w:rFonts w:ascii="Calibri" w:eastAsia="Times New Roman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2C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2C49"/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rsid w:val="00402C49"/>
    <w:rPr>
      <w:sz w:val="18"/>
      <w:szCs w:val="18"/>
    </w:rPr>
  </w:style>
  <w:style w:type="paragraph" w:styleId="CommentText">
    <w:name w:val="annotation text"/>
    <w:basedOn w:val="Normal"/>
    <w:link w:val="CommentTextChar"/>
    <w:rsid w:val="00402C49"/>
  </w:style>
  <w:style w:type="character" w:customStyle="1" w:styleId="CommentTextChar">
    <w:name w:val="Comment Text Char"/>
    <w:link w:val="CommentText"/>
    <w:rsid w:val="00402C49"/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02C4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02C49"/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402C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402C49"/>
    <w:rPr>
      <w:rFonts w:ascii="Lucida Grande" w:eastAsia="Times New Roman" w:hAnsi="Lucida Grande" w:cs="Calibri"/>
      <w:color w:val="000000"/>
      <w:sz w:val="18"/>
      <w:szCs w:val="18"/>
    </w:rPr>
  </w:style>
  <w:style w:type="character" w:styleId="PageNumber">
    <w:name w:val="page number"/>
    <w:basedOn w:val="DefaultParagraphFont"/>
    <w:rsid w:val="00402C49"/>
  </w:style>
  <w:style w:type="character" w:styleId="FollowedHyperlink">
    <w:name w:val="FollowedHyperlink"/>
    <w:rsid w:val="00402C49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402C49"/>
  </w:style>
  <w:style w:type="character" w:styleId="IntenseEmphasis">
    <w:name w:val="Intense Emphasis"/>
    <w:qFormat/>
    <w:rsid w:val="00402C49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402C49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402C49"/>
    <w:rPr>
      <w:rFonts w:ascii="Calibri" w:eastAsia="Times New Roman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02C49"/>
    <w:pPr>
      <w:ind w:left="720"/>
      <w:contextualSpacing/>
    </w:pPr>
  </w:style>
  <w:style w:type="paragraph" w:styleId="Revision">
    <w:name w:val="Revision"/>
    <w:hidden/>
    <w:uiPriority w:val="99"/>
    <w:semiHidden/>
    <w:rsid w:val="00402C49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02C49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402C49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402C49"/>
    <w:rPr>
      <w:b/>
      <w:bCs/>
    </w:rPr>
  </w:style>
  <w:style w:type="character" w:styleId="Emphasis">
    <w:name w:val="Emphasis"/>
    <w:basedOn w:val="DefaultParagraphFont"/>
    <w:uiPriority w:val="20"/>
    <w:qFormat/>
    <w:rsid w:val="00402C49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402C49"/>
  </w:style>
  <w:style w:type="character" w:styleId="UnresolvedMention">
    <w:name w:val="Unresolved Mention"/>
    <w:basedOn w:val="DefaultParagraphFont"/>
    <w:uiPriority w:val="99"/>
    <w:semiHidden/>
    <w:unhideWhenUsed/>
    <w:rsid w:val="00402C49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402C49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02C49"/>
    <w:rPr>
      <w:rFonts w:ascii="Calibri" w:eastAsia="Times New Roman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02C4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02C49"/>
    <w:rPr>
      <w:rFonts w:ascii="Calibri" w:eastAsia="Times New Roman" w:hAnsi="Calibri" w:cs="Calibri"/>
      <w:noProof/>
      <w:color w:val="000000"/>
      <w:sz w:val="24"/>
      <w:szCs w:val="24"/>
    </w:rPr>
  </w:style>
  <w:style w:type="paragraph" w:customStyle="1" w:styleId="paragraph">
    <w:name w:val="paragraph"/>
    <w:basedOn w:val="Normal"/>
    <w:rsid w:val="00402C4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rsid w:val="00402C49"/>
  </w:style>
  <w:style w:type="character" w:customStyle="1" w:styleId="eop">
    <w:name w:val="eop"/>
    <w:basedOn w:val="DefaultParagraphFont"/>
    <w:rsid w:val="00402C49"/>
  </w:style>
  <w:style w:type="character" w:customStyle="1" w:styleId="spellingerror">
    <w:name w:val="spellingerror"/>
    <w:basedOn w:val="DefaultParagraphFont"/>
    <w:rsid w:val="00402C49"/>
  </w:style>
  <w:style w:type="paragraph" w:customStyle="1" w:styleId="MDPI63AuthorContributions">
    <w:name w:val="MDPI_6.3_AuthorContributions"/>
    <w:basedOn w:val="Normal"/>
    <w:qFormat/>
    <w:rsid w:val="00402C49"/>
    <w:pPr>
      <w:widowControl/>
      <w:autoSpaceDE/>
      <w:autoSpaceDN/>
      <w:snapToGrid w:val="0"/>
      <w:spacing w:before="120" w:line="200" w:lineRule="atLeast"/>
    </w:pPr>
    <w:rPr>
      <w:rFonts w:ascii="Palatino Linotype" w:eastAsia="SimSun" w:hAnsi="Palatino Linotype" w:cs="Times New Roman"/>
      <w:snapToGrid w:val="0"/>
      <w:color w:val="auto"/>
      <w:sz w:val="18"/>
      <w:szCs w:val="20"/>
      <w:lang w:bidi="en-US"/>
    </w:rPr>
  </w:style>
  <w:style w:type="paragraph" w:customStyle="1" w:styleId="MDPI62Acknowledgments">
    <w:name w:val="MDPI_6.2_Acknowledgments"/>
    <w:qFormat/>
    <w:rsid w:val="00402C49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eneious.com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kklymus@usgs.gov" TargetMode="External"/><Relationship Id="rId17" Type="http://schemas.openxmlformats.org/officeDocument/2006/relationships/hyperlink" Target="https://www.idtdna.com/pages/education/decoded/article/designing-pcr-primers-and-probes)(202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jove.com/science-education/10186/quantifying-environmental-microorganisms-and-viruses-using-qpc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richter@usgs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jove.com/science-education/5056/pcr-the-polymerase-chain-reaction" TargetMode="External"/><Relationship Id="rId10" Type="http://schemas.openxmlformats.org/officeDocument/2006/relationships/hyperlink" Target="mailto:druizramos@usgs.gov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dtdna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65E31606FB14FABAC83DD59F9E248" ma:contentTypeVersion="9" ma:contentTypeDescription="Create a new document." ma:contentTypeScope="" ma:versionID="4830c241014ff52fe5b2e221850042ca">
  <xsd:schema xmlns:xsd="http://www.w3.org/2001/XMLSchema" xmlns:xs="http://www.w3.org/2001/XMLSchema" xmlns:p="http://schemas.microsoft.com/office/2006/metadata/properties" xmlns:ns2="d0a534c1-7269-40c2-918d-afae38584fe4" xmlns:ns3="06bb7941-edc7-44ca-8145-310766ba37a4" targetNamespace="http://schemas.microsoft.com/office/2006/metadata/properties" ma:root="true" ma:fieldsID="568c110bc47f842423cc63d8e8044597" ns2:_="" ns3:_="">
    <xsd:import namespace="d0a534c1-7269-40c2-918d-afae38584fe4"/>
    <xsd:import namespace="06bb7941-edc7-44ca-8145-310766ba3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534c1-7269-40c2-918d-afae38584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b7941-edc7-44ca-8145-310766ba3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0FCBF-DC31-4A1E-AEE1-20B57EF4EF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3986C2-A40A-4A11-89B4-532D46E89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DA2CC-E310-44AD-9137-E44872B07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534c1-7269-40c2-918d-afae38584fe4"/>
    <ds:schemaRef ds:uri="06bb7941-edc7-44ca-8145-310766ba3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3009</TotalTime>
  <Pages>17</Pages>
  <Words>7368</Words>
  <Characters>41998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Klymus, Katy E</dc:creator>
  <cp:keywords/>
  <dc:description/>
  <cp:lastModifiedBy>Nam Nguyen</cp:lastModifiedBy>
  <cp:revision>60</cp:revision>
  <dcterms:created xsi:type="dcterms:W3CDTF">2020-09-17T15:09:00Z</dcterms:created>
  <dcterms:modified xsi:type="dcterms:W3CDTF">2020-10-09T00:25:00Z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0x0101004C265E31606FB14FABAC83DD59F9E248</vt:lpwstr>
  </property>
</Properties>
</file>