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35439A9" w:rsidR="007C6D2B" w:rsidRPr="006D7CFA" w:rsidRDefault="007C6D2B" w:rsidP="006D7CFA">
      <w:pPr>
        <w:contextualSpacing/>
        <w:jc w:val="both"/>
        <w:rPr>
          <w:color w:val="000000" w:themeColor="text1"/>
        </w:rPr>
      </w:pPr>
      <w:r w:rsidRPr="006D7CFA">
        <w:rPr>
          <w:b/>
          <w:bCs/>
          <w:color w:val="000000" w:themeColor="text1"/>
        </w:rPr>
        <w:t>TITLE:</w:t>
      </w:r>
      <w:r w:rsidRPr="006D7CFA">
        <w:rPr>
          <w:color w:val="000000" w:themeColor="text1"/>
        </w:rPr>
        <w:t xml:space="preserve"> </w:t>
      </w:r>
    </w:p>
    <w:p w14:paraId="20A1F4A3" w14:textId="6372206D" w:rsidR="007C6D2B" w:rsidRPr="006D7CFA" w:rsidRDefault="00997030" w:rsidP="006D7CFA">
      <w:pPr>
        <w:contextualSpacing/>
        <w:jc w:val="both"/>
        <w:rPr>
          <w:color w:val="000000" w:themeColor="text1"/>
        </w:rPr>
      </w:pPr>
      <w:r w:rsidRPr="006D7CFA">
        <w:rPr>
          <w:color w:val="000000" w:themeColor="text1"/>
        </w:rPr>
        <w:t xml:space="preserve">3D </w:t>
      </w:r>
      <w:r w:rsidR="007C6D2B" w:rsidRPr="006D7CFA">
        <w:rPr>
          <w:color w:val="000000" w:themeColor="text1"/>
        </w:rPr>
        <w:t xml:space="preserve">Culturing </w:t>
      </w:r>
      <w:r w:rsidRPr="006D7CFA">
        <w:rPr>
          <w:color w:val="000000" w:themeColor="text1"/>
        </w:rPr>
        <w:t xml:space="preserve">of </w:t>
      </w:r>
      <w:r w:rsidR="007C6D2B" w:rsidRPr="006D7CFA">
        <w:rPr>
          <w:color w:val="000000" w:themeColor="text1"/>
        </w:rPr>
        <w:t xml:space="preserve">organoids from </w:t>
      </w:r>
      <w:r w:rsidR="00AA2492" w:rsidRPr="006D7CFA">
        <w:rPr>
          <w:color w:val="000000" w:themeColor="text1"/>
        </w:rPr>
        <w:t xml:space="preserve">the intestinal villi </w:t>
      </w:r>
      <w:r w:rsidR="00F21B1D" w:rsidRPr="006D7CFA">
        <w:rPr>
          <w:color w:val="000000" w:themeColor="text1"/>
        </w:rPr>
        <w:t xml:space="preserve">epithelium </w:t>
      </w:r>
      <w:r w:rsidR="007C6D2B" w:rsidRPr="006D7CFA">
        <w:rPr>
          <w:color w:val="000000" w:themeColor="text1"/>
        </w:rPr>
        <w:t xml:space="preserve">undergoing dedifferentiation. </w:t>
      </w:r>
    </w:p>
    <w:p w14:paraId="2E300B21" w14:textId="77777777" w:rsidR="007C6D2B" w:rsidRPr="006D7CFA" w:rsidRDefault="007C6D2B" w:rsidP="006D7CFA">
      <w:pPr>
        <w:contextualSpacing/>
        <w:jc w:val="both"/>
        <w:rPr>
          <w:b/>
          <w:bCs/>
          <w:color w:val="000000" w:themeColor="text1"/>
        </w:rPr>
      </w:pPr>
    </w:p>
    <w:p w14:paraId="7EBD20F6" w14:textId="706E7FD2" w:rsidR="008070B4" w:rsidRPr="006D7CFA" w:rsidRDefault="007C6D2B" w:rsidP="006D7CFA">
      <w:pPr>
        <w:contextualSpacing/>
        <w:jc w:val="both"/>
        <w:rPr>
          <w:color w:val="000000" w:themeColor="text1"/>
        </w:rPr>
      </w:pPr>
      <w:r w:rsidRPr="006D7CFA">
        <w:rPr>
          <w:b/>
          <w:bCs/>
          <w:color w:val="000000" w:themeColor="text1"/>
        </w:rPr>
        <w:t xml:space="preserve">AUTHORS AND AFFILIATIONS: </w:t>
      </w:r>
    </w:p>
    <w:p w14:paraId="6BD81F9D" w14:textId="5E037420" w:rsidR="007C6D2B" w:rsidRPr="006D7CFA" w:rsidRDefault="007C6D2B" w:rsidP="006D7CFA">
      <w:pPr>
        <w:contextualSpacing/>
        <w:jc w:val="both"/>
        <w:rPr>
          <w:color w:val="000000" w:themeColor="text1"/>
        </w:rPr>
      </w:pPr>
      <w:r w:rsidRPr="006D7CFA">
        <w:rPr>
          <w:color w:val="000000" w:themeColor="text1"/>
        </w:rPr>
        <w:t>Christina Li</w:t>
      </w:r>
      <w:r w:rsidRPr="006D7CFA">
        <w:rPr>
          <w:color w:val="000000" w:themeColor="text1"/>
          <w:vertAlign w:val="superscript"/>
        </w:rPr>
        <w:t>1</w:t>
      </w:r>
      <w:r w:rsidRPr="006D7CFA">
        <w:rPr>
          <w:color w:val="000000" w:themeColor="text1"/>
        </w:rPr>
        <w:t xml:space="preserve">, </w:t>
      </w:r>
      <w:proofErr w:type="spellStart"/>
      <w:r w:rsidR="00A22537" w:rsidRPr="006D7CFA">
        <w:rPr>
          <w:color w:val="000000" w:themeColor="text1"/>
        </w:rPr>
        <w:t>Jeel</w:t>
      </w:r>
      <w:proofErr w:type="spellEnd"/>
      <w:r w:rsidR="00A22537" w:rsidRPr="006D7CFA">
        <w:rPr>
          <w:color w:val="000000" w:themeColor="text1"/>
        </w:rPr>
        <w:t xml:space="preserve"> Shah</w:t>
      </w:r>
      <w:r w:rsidR="00A22537" w:rsidRPr="006D7CFA">
        <w:rPr>
          <w:color w:val="000000" w:themeColor="text1"/>
          <w:vertAlign w:val="superscript"/>
        </w:rPr>
        <w:t>1</w:t>
      </w:r>
      <w:r w:rsidR="00A22537" w:rsidRPr="006D7CFA">
        <w:rPr>
          <w:color w:val="000000" w:themeColor="text1"/>
        </w:rPr>
        <w:t>,</w:t>
      </w:r>
      <w:r w:rsidR="003D11A3" w:rsidRPr="006D7CFA">
        <w:rPr>
          <w:color w:val="000000" w:themeColor="text1"/>
        </w:rPr>
        <w:t xml:space="preserve"> </w:t>
      </w:r>
      <w:r w:rsidR="00FE65C8" w:rsidRPr="006D7CFA">
        <w:rPr>
          <w:color w:val="000000" w:themeColor="text1"/>
        </w:rPr>
        <w:t>K</w:t>
      </w:r>
      <w:r w:rsidR="003D11A3" w:rsidRPr="006D7CFA">
        <w:rPr>
          <w:color w:val="000000" w:themeColor="text1"/>
        </w:rPr>
        <w:t>ylee Wrath</w:t>
      </w:r>
      <w:r w:rsidR="003D11A3" w:rsidRPr="006D7CFA">
        <w:rPr>
          <w:color w:val="000000" w:themeColor="text1"/>
          <w:vertAlign w:val="superscript"/>
        </w:rPr>
        <w:t>1</w:t>
      </w:r>
      <w:r w:rsidR="003D11A3" w:rsidRPr="006D7CFA">
        <w:rPr>
          <w:color w:val="000000" w:themeColor="text1"/>
        </w:rPr>
        <w:t>, Dahlia Matouba</w:t>
      </w:r>
      <w:r w:rsidR="003D11A3" w:rsidRPr="006D7CFA">
        <w:rPr>
          <w:color w:val="000000" w:themeColor="text1"/>
          <w:vertAlign w:val="superscript"/>
        </w:rPr>
        <w:t>1</w:t>
      </w:r>
      <w:r w:rsidR="003D11A3" w:rsidRPr="006D7CFA">
        <w:rPr>
          <w:color w:val="000000" w:themeColor="text1"/>
        </w:rPr>
        <w:t>, Connor Mills</w:t>
      </w:r>
      <w:r w:rsidR="003D11A3" w:rsidRPr="006D7CFA">
        <w:rPr>
          <w:color w:val="000000" w:themeColor="text1"/>
          <w:vertAlign w:val="superscript"/>
        </w:rPr>
        <w:t>1</w:t>
      </w:r>
      <w:r w:rsidR="003D11A3" w:rsidRPr="006D7CFA">
        <w:rPr>
          <w:color w:val="000000" w:themeColor="text1"/>
        </w:rPr>
        <w:t>, K</w:t>
      </w:r>
      <w:r w:rsidR="00FE65C8" w:rsidRPr="006D7CFA">
        <w:rPr>
          <w:color w:val="000000" w:themeColor="text1"/>
        </w:rPr>
        <w:t>ishore Punnath</w:t>
      </w:r>
      <w:r w:rsidR="000E1BE2" w:rsidRPr="006D7CFA">
        <w:rPr>
          <w:color w:val="000000" w:themeColor="text1"/>
          <w:vertAlign w:val="superscript"/>
        </w:rPr>
        <w:t>2</w:t>
      </w:r>
      <w:r w:rsidR="00FE65C8" w:rsidRPr="006D7CFA">
        <w:rPr>
          <w:color w:val="000000" w:themeColor="text1"/>
        </w:rPr>
        <w:t xml:space="preserve">, </w:t>
      </w:r>
      <w:r w:rsidRPr="006D7CFA">
        <w:rPr>
          <w:color w:val="000000" w:themeColor="text1"/>
        </w:rPr>
        <w:t>and Ansu Perekatt</w:t>
      </w:r>
      <w:r w:rsidRPr="006D7CFA">
        <w:rPr>
          <w:color w:val="000000" w:themeColor="text1"/>
          <w:vertAlign w:val="superscript"/>
        </w:rPr>
        <w:t>1</w:t>
      </w:r>
    </w:p>
    <w:p w14:paraId="5EE39D64" w14:textId="77777777" w:rsidR="008070B4" w:rsidRPr="006D7CFA" w:rsidRDefault="008070B4" w:rsidP="006D7CFA">
      <w:pPr>
        <w:contextualSpacing/>
        <w:jc w:val="both"/>
        <w:rPr>
          <w:color w:val="000000" w:themeColor="text1"/>
          <w:vertAlign w:val="superscript"/>
        </w:rPr>
      </w:pPr>
    </w:p>
    <w:p w14:paraId="20A84D47" w14:textId="7E064093" w:rsidR="007C6D2B" w:rsidRPr="006D7CFA" w:rsidRDefault="007C6D2B" w:rsidP="006D7CFA">
      <w:pPr>
        <w:numPr>
          <w:ilvl w:val="0"/>
          <w:numId w:val="1"/>
        </w:numPr>
        <w:tabs>
          <w:tab w:val="clear" w:pos="720"/>
        </w:tabs>
        <w:ind w:left="0" w:firstLine="0"/>
        <w:contextualSpacing/>
        <w:jc w:val="both"/>
        <w:rPr>
          <w:color w:val="000000" w:themeColor="text1"/>
        </w:rPr>
      </w:pPr>
      <w:r w:rsidRPr="006D7CFA">
        <w:rPr>
          <w:color w:val="000000" w:themeColor="text1"/>
        </w:rPr>
        <w:t>Department of Biology and Chemical Biology, Stevens Institute of Technology, Hoboken, NJ, USA</w:t>
      </w:r>
    </w:p>
    <w:p w14:paraId="50E84CB3" w14:textId="54A2A1DF" w:rsidR="000E1BE2" w:rsidRPr="006D7CFA" w:rsidRDefault="001C42FA" w:rsidP="006D7CFA">
      <w:pPr>
        <w:pStyle w:val="ListParagraph"/>
        <w:numPr>
          <w:ilvl w:val="0"/>
          <w:numId w:val="1"/>
        </w:numPr>
        <w:tabs>
          <w:tab w:val="clear" w:pos="720"/>
        </w:tabs>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shd w:val="clear" w:color="auto" w:fill="FFFFFF"/>
        </w:rPr>
        <w:t xml:space="preserve">Department of Pharmacology, Pennsylvania State University College of </w:t>
      </w:r>
      <w:r w:rsidR="00485608" w:rsidRPr="006D7CFA">
        <w:rPr>
          <w:rFonts w:ascii="Times New Roman" w:hAnsi="Times New Roman" w:cs="Times New Roman"/>
          <w:color w:val="000000" w:themeColor="text1"/>
          <w:shd w:val="clear" w:color="auto" w:fill="FFFFFF"/>
        </w:rPr>
        <w:t>Medicine, Hershey</w:t>
      </w:r>
      <w:r w:rsidRPr="006D7CFA">
        <w:rPr>
          <w:rFonts w:ascii="Times New Roman" w:hAnsi="Times New Roman" w:cs="Times New Roman"/>
          <w:color w:val="000000" w:themeColor="text1"/>
          <w:bdr w:val="none" w:sz="0" w:space="0" w:color="auto" w:frame="1"/>
          <w:shd w:val="clear" w:color="auto" w:fill="FFFFFF"/>
        </w:rPr>
        <w:t>, PA</w:t>
      </w:r>
      <w:r w:rsidRPr="006D7CFA">
        <w:rPr>
          <w:rFonts w:ascii="Times New Roman" w:hAnsi="Times New Roman" w:cs="Times New Roman"/>
          <w:color w:val="000000" w:themeColor="text1"/>
          <w:shd w:val="clear" w:color="auto" w:fill="FFFFFF"/>
        </w:rPr>
        <w:t>, USA</w:t>
      </w:r>
    </w:p>
    <w:p w14:paraId="33246B61" w14:textId="77777777" w:rsidR="001C42FA" w:rsidRPr="006D7CFA" w:rsidRDefault="001C42FA" w:rsidP="006D7CFA">
      <w:pPr>
        <w:contextualSpacing/>
        <w:jc w:val="both"/>
        <w:rPr>
          <w:color w:val="000000" w:themeColor="text1"/>
        </w:rPr>
      </w:pPr>
    </w:p>
    <w:p w14:paraId="3D558F3B" w14:textId="7AA679B0" w:rsidR="00FE65C8" w:rsidRPr="006D7CFA" w:rsidRDefault="007C6D2B" w:rsidP="006D7CFA">
      <w:pPr>
        <w:contextualSpacing/>
        <w:jc w:val="both"/>
        <w:rPr>
          <w:color w:val="000000" w:themeColor="text1"/>
        </w:rPr>
      </w:pPr>
      <w:r w:rsidRPr="006D7CFA">
        <w:rPr>
          <w:color w:val="000000" w:themeColor="text1"/>
        </w:rPr>
        <w:t>Christina Li (</w:t>
      </w:r>
      <w:hyperlink r:id="rId8" w:history="1">
        <w:r w:rsidR="00FE65C8" w:rsidRPr="006D7CFA">
          <w:rPr>
            <w:rStyle w:val="Hyperlink"/>
            <w:color w:val="000000" w:themeColor="text1"/>
            <w:u w:val="none"/>
          </w:rPr>
          <w:t>cli72@stevens.edu</w:t>
        </w:r>
      </w:hyperlink>
      <w:r w:rsidRPr="006D7CFA">
        <w:rPr>
          <w:color w:val="000000" w:themeColor="text1"/>
        </w:rPr>
        <w:t>)</w:t>
      </w:r>
      <w:r w:rsidR="00FE65C8" w:rsidRPr="006D7CFA">
        <w:rPr>
          <w:color w:val="000000" w:themeColor="text1"/>
        </w:rPr>
        <w:tab/>
      </w:r>
      <w:r w:rsidR="00FE65C8" w:rsidRPr="006D7CFA">
        <w:rPr>
          <w:color w:val="000000" w:themeColor="text1"/>
        </w:rPr>
        <w:tab/>
      </w:r>
    </w:p>
    <w:p w14:paraId="3A7EA26E" w14:textId="77777777" w:rsidR="003D11A3" w:rsidRPr="006D7CFA" w:rsidRDefault="003D11A3" w:rsidP="006D7CFA">
      <w:pPr>
        <w:contextualSpacing/>
        <w:jc w:val="both"/>
        <w:rPr>
          <w:color w:val="000000" w:themeColor="text1"/>
        </w:rPr>
      </w:pPr>
      <w:proofErr w:type="spellStart"/>
      <w:r w:rsidRPr="006D7CFA">
        <w:rPr>
          <w:color w:val="000000" w:themeColor="text1"/>
        </w:rPr>
        <w:t>Jeel</w:t>
      </w:r>
      <w:proofErr w:type="spellEnd"/>
      <w:r w:rsidRPr="006D7CFA">
        <w:rPr>
          <w:color w:val="000000" w:themeColor="text1"/>
        </w:rPr>
        <w:t xml:space="preserve"> Shah (</w:t>
      </w:r>
      <w:hyperlink r:id="rId9" w:history="1">
        <w:r w:rsidRPr="006D7CFA">
          <w:rPr>
            <w:rStyle w:val="Hyperlink"/>
            <w:color w:val="000000" w:themeColor="text1"/>
            <w:u w:val="none"/>
          </w:rPr>
          <w:t>jshah55@stevens.edu</w:t>
        </w:r>
      </w:hyperlink>
      <w:r w:rsidRPr="006D7CFA">
        <w:rPr>
          <w:color w:val="000000" w:themeColor="text1"/>
        </w:rPr>
        <w:t>)</w:t>
      </w:r>
    </w:p>
    <w:p w14:paraId="5ABE54D6" w14:textId="02E7F8CB" w:rsidR="003D11A3" w:rsidRPr="006D7CFA" w:rsidRDefault="003D11A3" w:rsidP="006D7CFA">
      <w:pPr>
        <w:contextualSpacing/>
        <w:jc w:val="both"/>
        <w:rPr>
          <w:color w:val="000000" w:themeColor="text1"/>
          <w:vertAlign w:val="superscript"/>
        </w:rPr>
      </w:pPr>
      <w:r w:rsidRPr="006D7CFA">
        <w:rPr>
          <w:color w:val="000000" w:themeColor="text1"/>
        </w:rPr>
        <w:t>Kylee Wrath</w:t>
      </w:r>
      <w:r w:rsidR="008101D0" w:rsidRPr="006D7CFA">
        <w:rPr>
          <w:color w:val="000000" w:themeColor="text1"/>
        </w:rPr>
        <w:t xml:space="preserve"> (kwrath@stevens.edu)</w:t>
      </w:r>
    </w:p>
    <w:p w14:paraId="104C59D7" w14:textId="77777777" w:rsidR="008101D0" w:rsidRPr="006D7CFA" w:rsidRDefault="008101D0" w:rsidP="006D7CFA">
      <w:pPr>
        <w:contextualSpacing/>
        <w:jc w:val="both"/>
        <w:rPr>
          <w:color w:val="000000" w:themeColor="text1"/>
          <w:vertAlign w:val="superscript"/>
        </w:rPr>
      </w:pPr>
      <w:r w:rsidRPr="006D7CFA">
        <w:rPr>
          <w:color w:val="000000" w:themeColor="text1"/>
        </w:rPr>
        <w:t xml:space="preserve">Dahlia </w:t>
      </w:r>
      <w:proofErr w:type="spellStart"/>
      <w:r w:rsidRPr="006D7CFA">
        <w:rPr>
          <w:color w:val="000000" w:themeColor="text1"/>
        </w:rPr>
        <w:t>Matouba</w:t>
      </w:r>
      <w:proofErr w:type="spellEnd"/>
      <w:r w:rsidRPr="006D7CFA">
        <w:rPr>
          <w:color w:val="000000" w:themeColor="text1"/>
        </w:rPr>
        <w:t xml:space="preserve"> (dmatouba@stevens.edu)</w:t>
      </w:r>
    </w:p>
    <w:p w14:paraId="52E1A1E3" w14:textId="77777777" w:rsidR="00D91E91" w:rsidRPr="006D7CFA" w:rsidRDefault="00D91E91" w:rsidP="006D7CFA">
      <w:pPr>
        <w:contextualSpacing/>
        <w:jc w:val="both"/>
        <w:rPr>
          <w:color w:val="000000" w:themeColor="text1"/>
          <w:vertAlign w:val="superscript"/>
        </w:rPr>
      </w:pPr>
      <w:r w:rsidRPr="006D7CFA">
        <w:rPr>
          <w:color w:val="000000" w:themeColor="text1"/>
        </w:rPr>
        <w:t>Connor Mills (cmills1@stevens.edu)</w:t>
      </w:r>
    </w:p>
    <w:p w14:paraId="14C99892" w14:textId="3F258C07" w:rsidR="003D11A3" w:rsidRPr="006D7CFA" w:rsidRDefault="003D11A3" w:rsidP="006D7CFA">
      <w:pPr>
        <w:contextualSpacing/>
        <w:jc w:val="both"/>
        <w:rPr>
          <w:color w:val="000000" w:themeColor="text1"/>
        </w:rPr>
      </w:pPr>
      <w:r w:rsidRPr="006D7CFA">
        <w:rPr>
          <w:color w:val="000000" w:themeColor="text1"/>
        </w:rPr>
        <w:t xml:space="preserve">Kishore </w:t>
      </w:r>
      <w:proofErr w:type="spellStart"/>
      <w:r w:rsidRPr="006D7CFA">
        <w:rPr>
          <w:color w:val="000000" w:themeColor="text1"/>
        </w:rPr>
        <w:t>Punnath</w:t>
      </w:r>
      <w:proofErr w:type="spellEnd"/>
      <w:r w:rsidRPr="006D7CFA">
        <w:rPr>
          <w:color w:val="000000" w:themeColor="text1"/>
        </w:rPr>
        <w:t xml:space="preserve"> </w:t>
      </w:r>
      <w:r w:rsidR="000546EA" w:rsidRPr="006D7CFA">
        <w:rPr>
          <w:color w:val="000000" w:themeColor="text1"/>
        </w:rPr>
        <w:t>(kpunnath@pennstatehealth.psu.edu)</w:t>
      </w:r>
    </w:p>
    <w:p w14:paraId="73E78B0B" w14:textId="77777777" w:rsidR="001C42FA" w:rsidRPr="006D7CFA" w:rsidRDefault="001C42FA" w:rsidP="006D7CFA">
      <w:pPr>
        <w:contextualSpacing/>
        <w:jc w:val="both"/>
        <w:rPr>
          <w:color w:val="000000" w:themeColor="text1"/>
        </w:rPr>
      </w:pPr>
    </w:p>
    <w:p w14:paraId="42E391AE" w14:textId="42625BF2" w:rsidR="00485608" w:rsidRPr="006D7CFA" w:rsidRDefault="007C6D2B" w:rsidP="006D7CFA">
      <w:pPr>
        <w:contextualSpacing/>
        <w:jc w:val="both"/>
        <w:rPr>
          <w:color w:val="000000" w:themeColor="text1"/>
        </w:rPr>
      </w:pPr>
      <w:r w:rsidRPr="006D7CFA">
        <w:rPr>
          <w:color w:val="000000" w:themeColor="text1"/>
        </w:rPr>
        <w:t xml:space="preserve">Corresponding author: </w:t>
      </w:r>
    </w:p>
    <w:p w14:paraId="60FCB589" w14:textId="6EA82014" w:rsidR="007C6D2B" w:rsidRPr="006D7CFA" w:rsidRDefault="007C6D2B" w:rsidP="006D7CFA">
      <w:pPr>
        <w:contextualSpacing/>
        <w:jc w:val="both"/>
        <w:rPr>
          <w:bCs/>
          <w:color w:val="000000" w:themeColor="text1"/>
        </w:rPr>
      </w:pPr>
      <w:r w:rsidRPr="006D7CFA">
        <w:rPr>
          <w:color w:val="000000" w:themeColor="text1"/>
        </w:rPr>
        <w:t xml:space="preserve">Ansu </w:t>
      </w:r>
      <w:proofErr w:type="spellStart"/>
      <w:r w:rsidRPr="006D7CFA">
        <w:rPr>
          <w:color w:val="000000" w:themeColor="text1"/>
        </w:rPr>
        <w:t>Perekatt</w:t>
      </w:r>
      <w:proofErr w:type="spellEnd"/>
      <w:r w:rsidRPr="006D7CFA">
        <w:rPr>
          <w:color w:val="000000" w:themeColor="text1"/>
        </w:rPr>
        <w:t xml:space="preserve"> (aperekat@stevens.edu)</w:t>
      </w:r>
    </w:p>
    <w:p w14:paraId="20B762A0" w14:textId="77777777" w:rsidR="001C42FA" w:rsidRPr="006D7CFA" w:rsidRDefault="001C42FA" w:rsidP="006D7CFA">
      <w:pPr>
        <w:contextualSpacing/>
        <w:jc w:val="both"/>
        <w:rPr>
          <w:b/>
          <w:bCs/>
          <w:color w:val="000000" w:themeColor="text1"/>
        </w:rPr>
      </w:pPr>
    </w:p>
    <w:p w14:paraId="71B79AC9" w14:textId="396632CB" w:rsidR="007C6D2B" w:rsidRPr="006D7CFA" w:rsidRDefault="007C6D2B" w:rsidP="006D7CFA">
      <w:pPr>
        <w:contextualSpacing/>
        <w:jc w:val="both"/>
        <w:rPr>
          <w:color w:val="000000" w:themeColor="text1"/>
        </w:rPr>
      </w:pPr>
      <w:r w:rsidRPr="006D7CFA">
        <w:rPr>
          <w:b/>
          <w:bCs/>
          <w:color w:val="000000" w:themeColor="text1"/>
        </w:rPr>
        <w:t>KEYWORDS:</w:t>
      </w:r>
      <w:r w:rsidRPr="006D7CFA">
        <w:rPr>
          <w:color w:val="000000" w:themeColor="text1"/>
        </w:rPr>
        <w:t xml:space="preserve"> </w:t>
      </w:r>
    </w:p>
    <w:p w14:paraId="6C0B0781" w14:textId="36E5DDBF" w:rsidR="007C6D2B" w:rsidRPr="006D7CFA" w:rsidRDefault="007C6D2B" w:rsidP="006D7CFA">
      <w:pPr>
        <w:contextualSpacing/>
        <w:jc w:val="both"/>
        <w:rPr>
          <w:color w:val="000000" w:themeColor="text1"/>
        </w:rPr>
      </w:pPr>
      <w:r w:rsidRPr="006D7CFA">
        <w:rPr>
          <w:color w:val="000000" w:themeColor="text1"/>
        </w:rPr>
        <w:t>Villi, organoids, intestinal epithelium, stem cell</w:t>
      </w:r>
      <w:r w:rsidR="00BE1A1C" w:rsidRPr="006D7CFA">
        <w:rPr>
          <w:color w:val="000000" w:themeColor="text1"/>
        </w:rPr>
        <w:t>s</w:t>
      </w:r>
      <w:r w:rsidRPr="006D7CFA">
        <w:rPr>
          <w:color w:val="000000" w:themeColor="text1"/>
        </w:rPr>
        <w:t xml:space="preserve">, dedifferentiation, cell fate </w:t>
      </w:r>
    </w:p>
    <w:p w14:paraId="604CC7BA" w14:textId="77777777" w:rsidR="007C6D2B" w:rsidRPr="006D7CFA" w:rsidRDefault="007C6D2B" w:rsidP="006D7CFA">
      <w:pPr>
        <w:contextualSpacing/>
        <w:jc w:val="both"/>
        <w:rPr>
          <w:color w:val="000000" w:themeColor="text1"/>
        </w:rPr>
      </w:pPr>
    </w:p>
    <w:p w14:paraId="628AC4B5" w14:textId="7FCC9B80" w:rsidR="007C6D2B" w:rsidRPr="006D7CFA" w:rsidRDefault="007C6D2B" w:rsidP="006D7CFA">
      <w:pPr>
        <w:contextualSpacing/>
        <w:jc w:val="both"/>
        <w:rPr>
          <w:color w:val="000000" w:themeColor="text1"/>
        </w:rPr>
      </w:pPr>
      <w:r w:rsidRPr="006D7CFA">
        <w:rPr>
          <w:b/>
          <w:bCs/>
          <w:color w:val="000000" w:themeColor="text1"/>
        </w:rPr>
        <w:t>SUMMARY:</w:t>
      </w:r>
      <w:r w:rsidRPr="006D7CFA">
        <w:rPr>
          <w:color w:val="000000" w:themeColor="text1"/>
        </w:rPr>
        <w:t xml:space="preserve"> </w:t>
      </w:r>
    </w:p>
    <w:p w14:paraId="04963293" w14:textId="65683016" w:rsidR="007C6D2B" w:rsidRPr="006D7CFA" w:rsidRDefault="007C6D2B" w:rsidP="006D7CFA">
      <w:pPr>
        <w:contextualSpacing/>
        <w:jc w:val="both"/>
        <w:rPr>
          <w:color w:val="000000" w:themeColor="text1"/>
        </w:rPr>
      </w:pPr>
      <w:r w:rsidRPr="006D7CFA">
        <w:rPr>
          <w:color w:val="000000" w:themeColor="text1"/>
        </w:rPr>
        <w:t xml:space="preserve">The procedure </w:t>
      </w:r>
      <w:r w:rsidR="004931EE" w:rsidRPr="006D7CFA">
        <w:rPr>
          <w:color w:val="000000" w:themeColor="text1"/>
        </w:rPr>
        <w:t>describes</w:t>
      </w:r>
      <w:r w:rsidRPr="006D7CFA">
        <w:rPr>
          <w:color w:val="000000" w:themeColor="text1"/>
        </w:rPr>
        <w:t xml:space="preserve"> isolation of the</w:t>
      </w:r>
      <w:r w:rsidR="003D11A3" w:rsidRPr="006D7CFA">
        <w:rPr>
          <w:color w:val="000000" w:themeColor="text1"/>
        </w:rPr>
        <w:t xml:space="preserve"> </w:t>
      </w:r>
      <w:r w:rsidRPr="006D7CFA">
        <w:rPr>
          <w:color w:val="000000" w:themeColor="text1"/>
        </w:rPr>
        <w:t xml:space="preserve">villi </w:t>
      </w:r>
      <w:r w:rsidR="003871B7" w:rsidRPr="006D7CFA">
        <w:rPr>
          <w:color w:val="000000" w:themeColor="text1"/>
        </w:rPr>
        <w:t xml:space="preserve">from the mouse intestinal epithelium undergoing dedifferentiation </w:t>
      </w:r>
      <w:r w:rsidR="004931EE" w:rsidRPr="006D7CFA">
        <w:rPr>
          <w:color w:val="000000" w:themeColor="text1"/>
        </w:rPr>
        <w:t xml:space="preserve">to determine their </w:t>
      </w:r>
      <w:r w:rsidRPr="006D7CFA">
        <w:rPr>
          <w:color w:val="000000" w:themeColor="text1"/>
        </w:rPr>
        <w:t>organoid forming potential</w:t>
      </w:r>
      <w:r w:rsidR="003871B7" w:rsidRPr="006D7CFA">
        <w:rPr>
          <w:color w:val="000000" w:themeColor="text1"/>
        </w:rPr>
        <w:t>.</w:t>
      </w:r>
    </w:p>
    <w:p w14:paraId="6164F17E" w14:textId="77777777" w:rsidR="007C6D2B" w:rsidRPr="006D7CFA" w:rsidRDefault="007C6D2B" w:rsidP="006D7CFA">
      <w:pPr>
        <w:contextualSpacing/>
        <w:jc w:val="both"/>
        <w:rPr>
          <w:b/>
          <w:bCs/>
          <w:color w:val="000000" w:themeColor="text1"/>
        </w:rPr>
      </w:pPr>
    </w:p>
    <w:p w14:paraId="506DBD35" w14:textId="3E37D3A8" w:rsidR="007C6D2B" w:rsidRPr="006D7CFA" w:rsidRDefault="007C6D2B" w:rsidP="006D7CFA">
      <w:pPr>
        <w:contextualSpacing/>
        <w:jc w:val="both"/>
        <w:rPr>
          <w:color w:val="000000" w:themeColor="text1"/>
        </w:rPr>
      </w:pPr>
      <w:r w:rsidRPr="006D7CFA">
        <w:rPr>
          <w:b/>
          <w:bCs/>
          <w:color w:val="000000" w:themeColor="text1"/>
        </w:rPr>
        <w:t>ABSTRACT:</w:t>
      </w:r>
    </w:p>
    <w:p w14:paraId="6CCA7478" w14:textId="3EAE359C" w:rsidR="0050090C" w:rsidRPr="006D7CFA" w:rsidRDefault="0050090C" w:rsidP="006D7CFA">
      <w:pPr>
        <w:contextualSpacing/>
        <w:jc w:val="both"/>
        <w:rPr>
          <w:color w:val="000000" w:themeColor="text1"/>
        </w:rPr>
      </w:pPr>
      <w:r w:rsidRPr="006D7CFA">
        <w:rPr>
          <w:color w:val="000000" w:themeColor="text1"/>
        </w:rPr>
        <w:t xml:space="preserve">Clonogenicity of organoids from the intestinal epithelium is attributed to the presence of stem cells therein. The mouse </w:t>
      </w:r>
      <w:r w:rsidR="00E4503D">
        <w:rPr>
          <w:color w:val="000000" w:themeColor="text1"/>
        </w:rPr>
        <w:t xml:space="preserve">small </w:t>
      </w:r>
      <w:r w:rsidRPr="006D7CFA">
        <w:rPr>
          <w:color w:val="000000" w:themeColor="text1"/>
        </w:rPr>
        <w:t xml:space="preserve">intestinal epithelium is compartmentalized into crypts and </w:t>
      </w:r>
      <w:r w:rsidR="00485608" w:rsidRPr="006D7CFA">
        <w:rPr>
          <w:color w:val="000000" w:themeColor="text1"/>
        </w:rPr>
        <w:t>villi</w:t>
      </w:r>
      <w:r w:rsidR="00E4503D">
        <w:rPr>
          <w:color w:val="000000" w:themeColor="text1"/>
        </w:rPr>
        <w:t>:</w:t>
      </w:r>
      <w:r w:rsidR="00485608" w:rsidRPr="006D7CFA">
        <w:rPr>
          <w:color w:val="000000" w:themeColor="text1"/>
        </w:rPr>
        <w:t xml:space="preserve"> th</w:t>
      </w:r>
      <w:r w:rsidRPr="006D7CFA">
        <w:rPr>
          <w:color w:val="000000" w:themeColor="text1"/>
        </w:rPr>
        <w:t xml:space="preserve">e stem and proliferating cells are confined to the crypts, whereas the villi </w:t>
      </w:r>
      <w:r w:rsidR="0028205D" w:rsidRPr="006D7CFA">
        <w:rPr>
          <w:color w:val="000000" w:themeColor="text1"/>
        </w:rPr>
        <w:t>epithelium contains</w:t>
      </w:r>
      <w:r w:rsidRPr="006D7CFA">
        <w:rPr>
          <w:color w:val="000000" w:themeColor="text1"/>
        </w:rPr>
        <w:t xml:space="preserve"> only differentiated cells. Hence, the normal intestinal crypts, but not the villi, can give rise to organoids in 3D cultures. The procedure described here is applicable only to villus epithelium undergoing dedifferentiation </w:t>
      </w:r>
      <w:r w:rsidR="00E4503D">
        <w:rPr>
          <w:color w:val="000000" w:themeColor="text1"/>
        </w:rPr>
        <w:t xml:space="preserve">leading </w:t>
      </w:r>
      <w:r w:rsidRPr="006D7CFA">
        <w:rPr>
          <w:color w:val="000000" w:themeColor="text1"/>
        </w:rPr>
        <w:t>to stemness</w:t>
      </w:r>
      <w:r w:rsidR="00E4503D">
        <w:rPr>
          <w:color w:val="000000" w:themeColor="text1"/>
        </w:rPr>
        <w:t>.</w:t>
      </w:r>
      <w:r w:rsidRPr="006D7CFA">
        <w:rPr>
          <w:color w:val="000000" w:themeColor="text1"/>
        </w:rPr>
        <w:t xml:space="preserve"> The method described us</w:t>
      </w:r>
      <w:r w:rsidR="00F21B1D" w:rsidRPr="006D7CFA">
        <w:rPr>
          <w:color w:val="000000" w:themeColor="text1"/>
        </w:rPr>
        <w:t>es</w:t>
      </w:r>
      <w:r w:rsidRPr="006D7CFA">
        <w:rPr>
          <w:color w:val="000000" w:themeColor="text1"/>
        </w:rPr>
        <w:t xml:space="preserve"> the Smad4-loss-of-function:</w:t>
      </w:r>
      <w:r w:rsidRPr="006D7CFA">
        <w:rPr>
          <w:rFonts w:eastAsia="Noto Sans Symbols"/>
          <w:color w:val="000000" w:themeColor="text1"/>
        </w:rPr>
        <w:t>β</w:t>
      </w:r>
      <w:r w:rsidRPr="006D7CFA">
        <w:rPr>
          <w:color w:val="000000" w:themeColor="text1"/>
        </w:rPr>
        <w:t>-catenin gain-of-function (</w:t>
      </w:r>
      <w:r w:rsidRPr="006D7CFA">
        <w:rPr>
          <w:color w:val="000000" w:themeColor="text1"/>
          <w:highlight w:val="white"/>
        </w:rPr>
        <w:t>Smad4</w:t>
      </w:r>
      <w:r w:rsidRPr="006D7CFA">
        <w:rPr>
          <w:color w:val="000000" w:themeColor="text1"/>
          <w:vertAlign w:val="superscript"/>
        </w:rPr>
        <w:t>KO</w:t>
      </w:r>
      <w:r w:rsidRPr="006D7CFA">
        <w:rPr>
          <w:color w:val="000000" w:themeColor="text1"/>
          <w:highlight w:val="white"/>
        </w:rPr>
        <w:t>:β-</w:t>
      </w:r>
      <w:proofErr w:type="spellStart"/>
      <w:r w:rsidRPr="006D7CFA">
        <w:rPr>
          <w:color w:val="000000" w:themeColor="text1"/>
          <w:highlight w:val="white"/>
        </w:rPr>
        <w:t>catenin</w:t>
      </w:r>
      <w:r w:rsidRPr="006D7CFA">
        <w:rPr>
          <w:color w:val="000000" w:themeColor="text1"/>
          <w:vertAlign w:val="superscript"/>
        </w:rPr>
        <w:t>GOF</w:t>
      </w:r>
      <w:proofErr w:type="spellEnd"/>
      <w:r w:rsidRPr="006D7CFA">
        <w:rPr>
          <w:color w:val="000000" w:themeColor="text1"/>
        </w:rPr>
        <w:t xml:space="preserve">) conditional mutant </w:t>
      </w:r>
      <w:proofErr w:type="spellStart"/>
      <w:r w:rsidRPr="006D7CFA">
        <w:rPr>
          <w:color w:val="000000" w:themeColor="text1"/>
        </w:rPr>
        <w:t>mouse</w:t>
      </w:r>
      <w:r w:rsidR="007C0BB9">
        <w:rPr>
          <w:color w:val="000000" w:themeColor="text1"/>
        </w:rPr>
        <w:t>.The</w:t>
      </w:r>
      <w:proofErr w:type="spellEnd"/>
      <w:r w:rsidR="007C0BB9">
        <w:rPr>
          <w:color w:val="000000" w:themeColor="text1"/>
        </w:rPr>
        <w:t xml:space="preserve"> </w:t>
      </w:r>
      <w:r w:rsidRPr="006D7CFA">
        <w:rPr>
          <w:color w:val="000000" w:themeColor="text1"/>
        </w:rPr>
        <w:t>mutation causes the intestinal villi to dedifferentiat</w:t>
      </w:r>
      <w:r w:rsidR="00E4503D">
        <w:rPr>
          <w:color w:val="000000" w:themeColor="text1"/>
        </w:rPr>
        <w:t>e</w:t>
      </w:r>
      <w:r w:rsidRPr="006D7CFA">
        <w:rPr>
          <w:color w:val="000000" w:themeColor="text1"/>
        </w:rPr>
        <w:t xml:space="preserve"> </w:t>
      </w:r>
      <w:r w:rsidR="00E4503D">
        <w:rPr>
          <w:color w:val="000000" w:themeColor="text1"/>
        </w:rPr>
        <w:t>and</w:t>
      </w:r>
      <w:r w:rsidR="00E4503D" w:rsidRPr="006D7CFA">
        <w:rPr>
          <w:color w:val="000000" w:themeColor="text1"/>
        </w:rPr>
        <w:t xml:space="preserve"> </w:t>
      </w:r>
      <w:r w:rsidRPr="006D7CFA">
        <w:rPr>
          <w:color w:val="000000" w:themeColor="text1"/>
        </w:rPr>
        <w:t xml:space="preserve">generate stem cells in the villi. </w:t>
      </w:r>
      <w:sdt>
        <w:sdtPr>
          <w:rPr>
            <w:color w:val="000000" w:themeColor="text1"/>
          </w:rPr>
          <w:tag w:val="goog_rdk_5"/>
          <w:id w:val="836880066"/>
        </w:sdtPr>
        <w:sdtEndPr/>
        <w:sdtContent/>
      </w:sdt>
      <w:r w:rsidRPr="006D7CFA">
        <w:rPr>
          <w:color w:val="000000" w:themeColor="text1"/>
        </w:rPr>
        <w:t>Intestinal villi undergoing dedifferentiation are scraped off the intestine using glass slides</w:t>
      </w:r>
      <w:r w:rsidR="0028205D" w:rsidRPr="006D7CFA">
        <w:rPr>
          <w:color w:val="000000" w:themeColor="text1"/>
        </w:rPr>
        <w:t xml:space="preserve">, </w:t>
      </w:r>
      <w:r w:rsidRPr="006D7CFA">
        <w:rPr>
          <w:color w:val="000000" w:themeColor="text1"/>
        </w:rPr>
        <w:t>placed in a 70</w:t>
      </w:r>
      <w:r w:rsidR="00485608" w:rsidRPr="006D7CFA">
        <w:rPr>
          <w:color w:val="000000" w:themeColor="text1"/>
        </w:rPr>
        <w:t xml:space="preserve"> µm</w:t>
      </w:r>
      <w:r w:rsidRPr="006D7CFA">
        <w:rPr>
          <w:color w:val="000000" w:themeColor="text1"/>
        </w:rPr>
        <w:t xml:space="preserve"> strainer and washed several times to filter out any loose cells or crypts prior to plating in BME-R1 matrix to determine their organoid-forming potential. Two main criteria were used to ensure that the resulting organoids </w:t>
      </w:r>
      <w:r w:rsidR="000F506E" w:rsidRPr="006D7CFA">
        <w:rPr>
          <w:color w:val="000000" w:themeColor="text1"/>
        </w:rPr>
        <w:t>were</w:t>
      </w:r>
      <w:r w:rsidRPr="006D7CFA">
        <w:rPr>
          <w:color w:val="000000" w:themeColor="text1"/>
        </w:rPr>
        <w:t xml:space="preserve"> developed from the dedifferentiating villus compartment and not from the crypts: 1) </w:t>
      </w:r>
      <w:sdt>
        <w:sdtPr>
          <w:rPr>
            <w:color w:val="000000" w:themeColor="text1"/>
          </w:rPr>
          <w:tag w:val="goog_rdk_8"/>
          <w:id w:val="1864552474"/>
        </w:sdtPr>
        <w:sdtEndPr/>
        <w:sdtContent>
          <w:r w:rsidRPr="006D7CFA">
            <w:rPr>
              <w:color w:val="000000" w:themeColor="text1"/>
            </w:rPr>
            <w:t xml:space="preserve">microscopically evaluating </w:t>
          </w:r>
        </w:sdtContent>
      </w:sdt>
      <w:r w:rsidRPr="006D7CFA">
        <w:rPr>
          <w:color w:val="000000" w:themeColor="text1"/>
        </w:rPr>
        <w:t xml:space="preserve">the </w:t>
      </w:r>
      <w:r w:rsidR="00E4503D" w:rsidRPr="006D7CFA">
        <w:rPr>
          <w:color w:val="000000" w:themeColor="text1"/>
        </w:rPr>
        <w:t xml:space="preserve">isolated </w:t>
      </w:r>
      <w:r w:rsidRPr="006D7CFA">
        <w:rPr>
          <w:color w:val="000000" w:themeColor="text1"/>
        </w:rPr>
        <w:t xml:space="preserve">villi to ensure absence of any tethered crypts, both before and after plating in the 3D matrix, and 2) monitoring the time course of organoid development from the villi. Organoid initiation from the villi occurs only two to five days after plating and </w:t>
      </w:r>
      <w:sdt>
        <w:sdtPr>
          <w:rPr>
            <w:color w:val="000000" w:themeColor="text1"/>
          </w:rPr>
          <w:tag w:val="goog_rdk_9"/>
          <w:id w:val="-308863593"/>
        </w:sdtPr>
        <w:sdtEndPr/>
        <w:sdtContent>
          <w:r w:rsidRPr="006D7CFA">
            <w:rPr>
              <w:color w:val="000000" w:themeColor="text1"/>
            </w:rPr>
            <w:t>appears</w:t>
          </w:r>
        </w:sdtContent>
      </w:sdt>
      <w:r w:rsidR="00734888" w:rsidRPr="006D7CFA">
        <w:rPr>
          <w:color w:val="000000" w:themeColor="text1"/>
        </w:rPr>
        <w:t xml:space="preserve"> </w:t>
      </w:r>
      <w:r w:rsidRPr="006D7CFA">
        <w:rPr>
          <w:color w:val="000000" w:themeColor="text1"/>
        </w:rPr>
        <w:t xml:space="preserve">irregularly shaped, whereas the crypt-derived organoids from the same </w:t>
      </w:r>
      <w:r w:rsidRPr="006D7CFA">
        <w:rPr>
          <w:color w:val="000000" w:themeColor="text1"/>
        </w:rPr>
        <w:lastRenderedPageBreak/>
        <w:t>intestinal epithelium are apparent within sixteen hours of plating and appear spherical. The limitation of the method, however, is that the number of organoids formed</w:t>
      </w:r>
      <w:r w:rsidR="000F506E" w:rsidRPr="006D7CFA">
        <w:rPr>
          <w:color w:val="000000" w:themeColor="text1"/>
        </w:rPr>
        <w:t>,</w:t>
      </w:r>
      <w:r w:rsidRPr="006D7CFA">
        <w:rPr>
          <w:color w:val="000000" w:themeColor="text1"/>
        </w:rPr>
        <w:t xml:space="preserve"> and the time required for organoid initiation from the villi vary depending on the degree of dedifferentiation</w:t>
      </w:r>
      <w:sdt>
        <w:sdtPr>
          <w:rPr>
            <w:color w:val="000000" w:themeColor="text1"/>
          </w:rPr>
          <w:tag w:val="goog_rdk_11"/>
          <w:id w:val="-231932386"/>
        </w:sdtPr>
        <w:sdtEndPr/>
        <w:sdtContent/>
      </w:sdt>
      <w:r w:rsidRPr="006D7CFA">
        <w:rPr>
          <w:color w:val="000000" w:themeColor="text1"/>
        </w:rPr>
        <w:t>. Hence, depending upon the specificity of the mutation</w:t>
      </w:r>
      <w:r w:rsidR="00734888" w:rsidRPr="006D7CFA">
        <w:rPr>
          <w:color w:val="000000" w:themeColor="text1"/>
        </w:rPr>
        <w:t xml:space="preserve"> </w:t>
      </w:r>
      <w:r w:rsidRPr="006D7CFA">
        <w:rPr>
          <w:color w:val="000000" w:themeColor="text1"/>
        </w:rPr>
        <w:t>or the insult causing the dedifferentiation, the optimal stage at which villi can be harvested to assay their organoid forming potential, must be determined empirically.</w:t>
      </w:r>
      <w:r w:rsidR="00E4503D" w:rsidRPr="006D7CFA" w:rsidDel="00E4503D">
        <w:rPr>
          <w:color w:val="000000" w:themeColor="text1"/>
        </w:rPr>
        <w:t xml:space="preserve"> </w:t>
      </w:r>
    </w:p>
    <w:p w14:paraId="2DE30739" w14:textId="77777777" w:rsidR="0050090C" w:rsidRPr="006D7CFA" w:rsidRDefault="0050090C" w:rsidP="006D7CFA">
      <w:pPr>
        <w:contextualSpacing/>
        <w:jc w:val="both"/>
        <w:rPr>
          <w:color w:val="000000" w:themeColor="text1"/>
        </w:rPr>
      </w:pPr>
    </w:p>
    <w:p w14:paraId="7998D146" w14:textId="77777777" w:rsidR="0050090C" w:rsidRPr="006D7CFA" w:rsidRDefault="0050090C" w:rsidP="006D7CFA">
      <w:pPr>
        <w:contextualSpacing/>
        <w:jc w:val="both"/>
        <w:rPr>
          <w:color w:val="000000" w:themeColor="text1"/>
        </w:rPr>
      </w:pPr>
      <w:r w:rsidRPr="006D7CFA">
        <w:rPr>
          <w:b/>
          <w:color w:val="000000" w:themeColor="text1"/>
        </w:rPr>
        <w:t>INTRODUCTION:</w:t>
      </w:r>
      <w:r w:rsidRPr="006D7CFA">
        <w:rPr>
          <w:color w:val="000000" w:themeColor="text1"/>
        </w:rPr>
        <w:t xml:space="preserve"> </w:t>
      </w:r>
    </w:p>
    <w:p w14:paraId="76A153C7" w14:textId="323BF85C" w:rsidR="0050090C" w:rsidRPr="006D7CFA" w:rsidRDefault="0050090C" w:rsidP="006D7CFA">
      <w:pPr>
        <w:contextualSpacing/>
        <w:jc w:val="both"/>
        <w:rPr>
          <w:color w:val="000000" w:themeColor="text1"/>
        </w:rPr>
      </w:pPr>
      <w:r w:rsidRPr="006D7CFA">
        <w:rPr>
          <w:color w:val="000000" w:themeColor="text1"/>
        </w:rPr>
        <w:t>The intestinal crypts</w:t>
      </w:r>
      <w:sdt>
        <w:sdtPr>
          <w:rPr>
            <w:color w:val="000000" w:themeColor="text1"/>
          </w:rPr>
          <w:tag w:val="goog_rdk_14"/>
          <w:id w:val="-1242567130"/>
        </w:sdtPr>
        <w:sdtEndPr/>
        <w:sdtContent>
          <w:r w:rsidRPr="006D7CFA">
            <w:rPr>
              <w:color w:val="000000" w:themeColor="text1"/>
            </w:rPr>
            <w:t>,</w:t>
          </w:r>
        </w:sdtContent>
      </w:sdt>
      <w:r w:rsidRPr="006D7CFA">
        <w:rPr>
          <w:color w:val="000000" w:themeColor="text1"/>
        </w:rPr>
        <w:t xml:space="preserve"> but not villi, form organoids when cultured in Matrigel or BME-R1 matrix. These organoids are self-organizing structures, often referred to as the “mini-gut”</w:t>
      </w:r>
      <w:sdt>
        <w:sdtPr>
          <w:rPr>
            <w:color w:val="000000" w:themeColor="text1"/>
          </w:rPr>
          <w:tag w:val="goog_rdk_16"/>
          <w:id w:val="1006718329"/>
        </w:sdtPr>
        <w:sdtEndPr/>
        <w:sdtContent>
          <w:r w:rsidRPr="006D7CFA">
            <w:rPr>
              <w:color w:val="000000" w:themeColor="text1"/>
            </w:rPr>
            <w:t>,</w:t>
          </w:r>
        </w:sdtContent>
      </w:sdt>
      <w:r w:rsidRPr="006D7CFA">
        <w:rPr>
          <w:color w:val="000000" w:themeColor="text1"/>
        </w:rPr>
        <w:t xml:space="preserve"> owing to the presence of the various differentiated lineages, progenitor, and stem cells present in the intestinal epithelium </w:t>
      </w:r>
      <w:r w:rsidRPr="006D7CFA">
        <w:rPr>
          <w:i/>
          <w:color w:val="000000" w:themeColor="text1"/>
        </w:rPr>
        <w:t>in vivo</w:t>
      </w:r>
      <w:r w:rsidRPr="006D7CFA">
        <w:rPr>
          <w:color w:val="000000" w:themeColor="text1"/>
        </w:rPr>
        <w:t>. The potential to form organoids from crypts is attributed to the presence of stem cells</w:t>
      </w:r>
      <w:r w:rsidR="00AA0EC9" w:rsidRPr="006D7CFA">
        <w:rPr>
          <w:noProof/>
          <w:color w:val="000000" w:themeColor="text1"/>
          <w:vertAlign w:val="superscript"/>
        </w:rPr>
        <w:t>1</w:t>
      </w:r>
      <w:r w:rsidR="00940194" w:rsidRPr="006D7CFA">
        <w:rPr>
          <w:color w:val="000000" w:themeColor="text1"/>
        </w:rPr>
        <w:t xml:space="preserve">. </w:t>
      </w:r>
      <w:r w:rsidRPr="006D7CFA">
        <w:rPr>
          <w:color w:val="000000" w:themeColor="text1"/>
        </w:rPr>
        <w:t>The intestinal villi on the other hand consist only of differentiated cells, and hence cannot form organoids. However, mutations</w:t>
      </w:r>
      <w:r w:rsidR="00AA0EC9" w:rsidRPr="006D7CFA">
        <w:rPr>
          <w:noProof/>
          <w:color w:val="000000" w:themeColor="text1"/>
          <w:vertAlign w:val="superscript"/>
        </w:rPr>
        <w:t>2</w:t>
      </w:r>
      <w:r w:rsidRPr="006D7CFA">
        <w:rPr>
          <w:color w:val="000000" w:themeColor="text1"/>
        </w:rPr>
        <w:t xml:space="preserve"> or conditions that permit dedifferentiation of the villus epithelium may lead to stem cells in the villi</w:t>
      </w:r>
      <w:r w:rsidR="00AA0EC9" w:rsidRPr="006D7CFA">
        <w:rPr>
          <w:noProof/>
          <w:color w:val="000000" w:themeColor="text1"/>
          <w:vertAlign w:val="superscript"/>
        </w:rPr>
        <w:t>2</w:t>
      </w:r>
      <w:r w:rsidR="00940194" w:rsidRPr="006D7CFA">
        <w:rPr>
          <w:color w:val="000000" w:themeColor="text1"/>
          <w:vertAlign w:val="superscript"/>
        </w:rPr>
        <w:t>,</w:t>
      </w:r>
      <w:r w:rsidR="00745D49" w:rsidRPr="006D7CFA">
        <w:rPr>
          <w:color w:val="000000" w:themeColor="text1"/>
        </w:rPr>
        <w:t xml:space="preserve"> </w:t>
      </w:r>
      <w:r w:rsidR="00AA0EC9" w:rsidRPr="006D7CFA">
        <w:rPr>
          <w:noProof/>
          <w:color w:val="000000" w:themeColor="text1"/>
          <w:vertAlign w:val="superscript"/>
        </w:rPr>
        <w:t>3</w:t>
      </w:r>
      <w:r w:rsidR="00AA0EC9" w:rsidRPr="006D7CFA">
        <w:rPr>
          <w:color w:val="000000" w:themeColor="text1"/>
        </w:rPr>
        <w:t xml:space="preserve">. </w:t>
      </w:r>
      <w:r w:rsidRPr="006D7CFA">
        <w:rPr>
          <w:color w:val="000000" w:themeColor="text1"/>
        </w:rPr>
        <w:t xml:space="preserve">This fate change resulting in stemness in the villi epithelium can be confirmed by plating the dedifferentiating villus epithelium in 3D matrix to determine their organoid-forming potential as an indicator of </w:t>
      </w:r>
      <w:r w:rsidRPr="006D7CFA">
        <w:rPr>
          <w:i/>
          <w:color w:val="000000" w:themeColor="text1"/>
        </w:rPr>
        <w:t>de-novo</w:t>
      </w:r>
      <w:r w:rsidRPr="006D7CFA">
        <w:rPr>
          <w:color w:val="000000" w:themeColor="text1"/>
        </w:rPr>
        <w:t xml:space="preserve"> stemness in the villus epithelium. </w:t>
      </w:r>
      <w:r w:rsidR="007965F5" w:rsidRPr="006D7CFA">
        <w:rPr>
          <w:color w:val="000000" w:themeColor="text1"/>
        </w:rPr>
        <w:t>Hence, t</w:t>
      </w:r>
      <w:r w:rsidRPr="006D7CFA">
        <w:rPr>
          <w:color w:val="000000" w:themeColor="text1"/>
        </w:rPr>
        <w:t>he critical aspect of this procedure is to ensure absence of crypt contamination.</w:t>
      </w:r>
    </w:p>
    <w:p w14:paraId="215C70A0" w14:textId="77777777" w:rsidR="008070B4" w:rsidRPr="006D7CFA" w:rsidRDefault="008070B4" w:rsidP="006D7CFA">
      <w:pPr>
        <w:contextualSpacing/>
        <w:jc w:val="both"/>
        <w:rPr>
          <w:color w:val="000000" w:themeColor="text1"/>
        </w:rPr>
      </w:pPr>
    </w:p>
    <w:p w14:paraId="2617E21F" w14:textId="0E10A1EA" w:rsidR="0050090C" w:rsidRPr="006D7CFA" w:rsidRDefault="0050090C" w:rsidP="006D7CFA">
      <w:pPr>
        <w:contextualSpacing/>
        <w:jc w:val="both"/>
        <w:rPr>
          <w:color w:val="000000" w:themeColor="text1"/>
        </w:rPr>
      </w:pPr>
      <w:r w:rsidRPr="006D7CFA">
        <w:rPr>
          <w:color w:val="000000" w:themeColor="text1"/>
        </w:rPr>
        <w:t xml:space="preserve">The </w:t>
      </w:r>
      <w:r w:rsidRPr="006D7CFA">
        <w:rPr>
          <w:color w:val="000000" w:themeColor="text1"/>
          <w:highlight w:val="white"/>
        </w:rPr>
        <w:t>Smad4</w:t>
      </w:r>
      <w:r w:rsidRPr="006D7CFA">
        <w:rPr>
          <w:color w:val="000000" w:themeColor="text1"/>
          <w:vertAlign w:val="superscript"/>
        </w:rPr>
        <w:t>KO</w:t>
      </w:r>
      <w:r w:rsidRPr="006D7CFA">
        <w:rPr>
          <w:color w:val="000000" w:themeColor="text1"/>
          <w:highlight w:val="white"/>
        </w:rPr>
        <w:t>:β-</w:t>
      </w:r>
      <w:proofErr w:type="spellStart"/>
      <w:r w:rsidRPr="006D7CFA">
        <w:rPr>
          <w:color w:val="000000" w:themeColor="text1"/>
          <w:highlight w:val="white"/>
        </w:rPr>
        <w:t>catenin</w:t>
      </w:r>
      <w:r w:rsidRPr="006D7CFA">
        <w:rPr>
          <w:color w:val="000000" w:themeColor="text1"/>
          <w:vertAlign w:val="superscript"/>
        </w:rPr>
        <w:t>GOF</w:t>
      </w:r>
      <w:proofErr w:type="spellEnd"/>
      <w:r w:rsidRPr="006D7CFA">
        <w:rPr>
          <w:color w:val="000000" w:themeColor="text1"/>
        </w:rPr>
        <w:t xml:space="preserve"> conditional mutation causes dedifferentiation in the intestinal epithelium</w:t>
      </w:r>
      <w:sdt>
        <w:sdtPr>
          <w:rPr>
            <w:color w:val="000000" w:themeColor="text1"/>
          </w:rPr>
          <w:tag w:val="goog_rdk_18"/>
          <w:id w:val="-341470138"/>
        </w:sdtPr>
        <w:sdtEndPr/>
        <w:sdtContent>
          <w:r w:rsidRPr="006D7CFA">
            <w:rPr>
              <w:color w:val="000000" w:themeColor="text1"/>
            </w:rPr>
            <w:t>,</w:t>
          </w:r>
        </w:sdtContent>
      </w:sdt>
      <w:r w:rsidRPr="006D7CFA">
        <w:rPr>
          <w:color w:val="000000" w:themeColor="text1"/>
        </w:rPr>
        <w:t xml:space="preserve"> marked by the expression of proliferation and stem cell markers in the villi, and eventually the formation of crypt-like structures in the villi</w:t>
      </w:r>
      <w:sdt>
        <w:sdtPr>
          <w:rPr>
            <w:color w:val="000000" w:themeColor="text1"/>
          </w:rPr>
          <w:tag w:val="goog_rdk_20"/>
          <w:id w:val="355478748"/>
        </w:sdtPr>
        <w:sdtEndPr/>
        <w:sdtContent>
          <w:r w:rsidRPr="006D7CFA">
            <w:rPr>
              <w:color w:val="000000" w:themeColor="text1"/>
            </w:rPr>
            <w:t>,</w:t>
          </w:r>
        </w:sdtContent>
      </w:sdt>
      <w:r w:rsidRPr="006D7CFA">
        <w:rPr>
          <w:color w:val="000000" w:themeColor="text1"/>
        </w:rPr>
        <w:t xml:space="preserve"> referred to as ectopic crypts</w:t>
      </w:r>
      <w:sdt>
        <w:sdtPr>
          <w:rPr>
            <w:color w:val="000000" w:themeColor="text1"/>
          </w:rPr>
          <w:tag w:val="goog_rdk_22"/>
          <w:id w:val="1229963721"/>
        </w:sdtPr>
        <w:sdtEndPr/>
        <w:sdtContent>
          <w:r w:rsidRPr="006D7CFA">
            <w:rPr>
              <w:color w:val="000000" w:themeColor="text1"/>
            </w:rPr>
            <w:t>.</w:t>
          </w:r>
        </w:sdtContent>
      </w:sdt>
      <w:r w:rsidRPr="006D7CFA">
        <w:rPr>
          <w:color w:val="000000" w:themeColor="text1"/>
        </w:rPr>
        <w:t xml:space="preserve"> The presence of stem cells </w:t>
      </w:r>
      <w:sdt>
        <w:sdtPr>
          <w:rPr>
            <w:color w:val="000000" w:themeColor="text1"/>
          </w:rPr>
          <w:tag w:val="goog_rdk_23"/>
          <w:id w:val="-1550222290"/>
        </w:sdtPr>
        <w:sdtEndPr/>
        <w:sdtContent>
          <w:r w:rsidRPr="006D7CFA">
            <w:rPr>
              <w:color w:val="000000" w:themeColor="text1"/>
            </w:rPr>
            <w:t>in</w:t>
          </w:r>
        </w:sdtContent>
      </w:sdt>
      <w:r w:rsidRPr="006D7CFA">
        <w:rPr>
          <w:color w:val="000000" w:themeColor="text1"/>
        </w:rPr>
        <w:t xml:space="preserve"> these dedifferentiated villi was determined by the expression of stem cell markers in the ectopic crypts (</w:t>
      </w:r>
      <w:r w:rsidRPr="006D7CFA">
        <w:rPr>
          <w:i/>
          <w:iCs/>
          <w:color w:val="000000" w:themeColor="text1"/>
        </w:rPr>
        <w:t>in vivo</w:t>
      </w:r>
      <w:r w:rsidRPr="006D7CFA">
        <w:rPr>
          <w:color w:val="000000" w:themeColor="text1"/>
        </w:rPr>
        <w:t xml:space="preserve">) and the ability of the mutant villi to form organoids when plated </w:t>
      </w:r>
      <w:sdt>
        <w:sdtPr>
          <w:rPr>
            <w:color w:val="000000" w:themeColor="text1"/>
          </w:rPr>
          <w:tag w:val="goog_rdk_25"/>
          <w:id w:val="1675838700"/>
        </w:sdtPr>
        <w:sdtEndPr/>
        <w:sdtContent>
          <w:r w:rsidRPr="006D7CFA">
            <w:rPr>
              <w:color w:val="000000" w:themeColor="text1"/>
            </w:rPr>
            <w:t xml:space="preserve">in </w:t>
          </w:r>
        </w:sdtContent>
      </w:sdt>
      <w:r w:rsidRPr="006D7CFA">
        <w:rPr>
          <w:color w:val="000000" w:themeColor="text1"/>
        </w:rPr>
        <w:t>Matrigel</w:t>
      </w:r>
      <w:r w:rsidR="00AA0EC9" w:rsidRPr="006D7CFA">
        <w:rPr>
          <w:noProof/>
          <w:color w:val="000000" w:themeColor="text1"/>
          <w:vertAlign w:val="superscript"/>
        </w:rPr>
        <w:t>3</w:t>
      </w:r>
      <w:r w:rsidR="005857C9" w:rsidRPr="006D7CFA">
        <w:rPr>
          <w:color w:val="000000" w:themeColor="text1"/>
        </w:rPr>
        <w:t xml:space="preserve">. </w:t>
      </w:r>
      <w:r w:rsidRPr="006D7CFA">
        <w:rPr>
          <w:color w:val="000000" w:themeColor="text1"/>
        </w:rPr>
        <w:t xml:space="preserve">The below mentioned procedure elaborates the methodology used to confirm the stemness of the dedifferentiating intestinal epithelium in the </w:t>
      </w:r>
      <w:r w:rsidRPr="006D7CFA">
        <w:rPr>
          <w:color w:val="000000" w:themeColor="text1"/>
          <w:highlight w:val="white"/>
        </w:rPr>
        <w:t>Smad4</w:t>
      </w:r>
      <w:r w:rsidRPr="006D7CFA">
        <w:rPr>
          <w:color w:val="000000" w:themeColor="text1"/>
          <w:vertAlign w:val="superscript"/>
        </w:rPr>
        <w:t>KO</w:t>
      </w:r>
      <w:r w:rsidRPr="006D7CFA">
        <w:rPr>
          <w:color w:val="000000" w:themeColor="text1"/>
          <w:highlight w:val="white"/>
        </w:rPr>
        <w:t>:β-</w:t>
      </w:r>
      <w:proofErr w:type="spellStart"/>
      <w:r w:rsidRPr="006D7CFA">
        <w:rPr>
          <w:color w:val="000000" w:themeColor="text1"/>
          <w:highlight w:val="white"/>
        </w:rPr>
        <w:t>catenin</w:t>
      </w:r>
      <w:r w:rsidRPr="006D7CFA">
        <w:rPr>
          <w:color w:val="000000" w:themeColor="text1"/>
          <w:vertAlign w:val="superscript"/>
        </w:rPr>
        <w:t>GOF</w:t>
      </w:r>
      <w:proofErr w:type="spellEnd"/>
      <w:r w:rsidR="008070B4" w:rsidRPr="006D7CFA">
        <w:rPr>
          <w:color w:val="000000" w:themeColor="text1"/>
        </w:rPr>
        <w:t xml:space="preserve"> </w:t>
      </w:r>
      <w:r w:rsidRPr="006D7CFA">
        <w:rPr>
          <w:color w:val="000000" w:themeColor="text1"/>
        </w:rPr>
        <w:t>mutant mice. A key feature of this methodology for isolating vill</w:t>
      </w:r>
      <w:r w:rsidR="00485608" w:rsidRPr="006D7CFA">
        <w:rPr>
          <w:color w:val="000000" w:themeColor="text1"/>
        </w:rPr>
        <w:t xml:space="preserve">i </w:t>
      </w:r>
      <w:r w:rsidRPr="006D7CFA">
        <w:rPr>
          <w:color w:val="000000" w:themeColor="text1"/>
        </w:rPr>
        <w:t>was the use of scraping of the intestinal lumen, as opposed to the EDTA chelation method</w:t>
      </w:r>
      <w:r w:rsidR="00AA0EC9" w:rsidRPr="006D7CFA">
        <w:rPr>
          <w:noProof/>
          <w:color w:val="000000" w:themeColor="text1"/>
          <w:vertAlign w:val="superscript"/>
        </w:rPr>
        <w:t>4</w:t>
      </w:r>
      <w:r w:rsidRPr="006D7CFA">
        <w:rPr>
          <w:color w:val="000000" w:themeColor="text1"/>
        </w:rPr>
        <w:t xml:space="preserve">. Unlike in the EDTA chelation method, villi isolation by scraping retains majority of the underlying </w:t>
      </w:r>
      <w:r w:rsidR="00734888" w:rsidRPr="006D7CFA">
        <w:rPr>
          <w:color w:val="000000" w:themeColor="text1"/>
        </w:rPr>
        <w:t>mesenchyme and</w:t>
      </w:r>
      <w:r w:rsidRPr="006D7CFA">
        <w:rPr>
          <w:color w:val="000000" w:themeColor="text1"/>
        </w:rPr>
        <w:t xml:space="preserve"> allows </w:t>
      </w:r>
      <w:sdt>
        <w:sdtPr>
          <w:rPr>
            <w:color w:val="000000" w:themeColor="text1"/>
          </w:rPr>
          <w:tag w:val="goog_rdk_30"/>
          <w:id w:val="-1498499196"/>
        </w:sdtPr>
        <w:sdtEndPr/>
        <w:sdtContent>
          <w:r w:rsidRPr="006D7CFA">
            <w:rPr>
              <w:color w:val="000000" w:themeColor="text1"/>
            </w:rPr>
            <w:t xml:space="preserve">to </w:t>
          </w:r>
        </w:sdtContent>
      </w:sdt>
      <w:r w:rsidRPr="006D7CFA">
        <w:rPr>
          <w:color w:val="000000" w:themeColor="text1"/>
        </w:rPr>
        <w:t>adjust the pressure of scraping to yield villi without tethered crypts. The pressure of scraping is subjective to the operator, hence</w:t>
      </w:r>
      <w:r w:rsidR="007965F5" w:rsidRPr="006D7CFA">
        <w:rPr>
          <w:color w:val="000000" w:themeColor="text1"/>
        </w:rPr>
        <w:t>,</w:t>
      </w:r>
      <w:r w:rsidRPr="006D7CFA">
        <w:rPr>
          <w:color w:val="000000" w:themeColor="text1"/>
        </w:rPr>
        <w:t xml:space="preserve"> the optimal pressure to yield villi without crypts tethered must be determined empirically by the operator. The critical aspect of this procedure is to ensure the absence of crypt contamination by microscopic examination of the villi both before and after plating in the BME-R1 matrix.</w:t>
      </w:r>
    </w:p>
    <w:p w14:paraId="11E21A78" w14:textId="77777777" w:rsidR="008070B4" w:rsidRPr="006D7CFA" w:rsidRDefault="008070B4" w:rsidP="006D7CFA">
      <w:pPr>
        <w:contextualSpacing/>
        <w:jc w:val="both"/>
        <w:rPr>
          <w:color w:val="000000" w:themeColor="text1"/>
        </w:rPr>
      </w:pPr>
    </w:p>
    <w:p w14:paraId="7D4A773B" w14:textId="7C98CE98" w:rsidR="0050090C" w:rsidRPr="006D7CFA" w:rsidRDefault="0050090C" w:rsidP="006D7CFA">
      <w:pPr>
        <w:contextualSpacing/>
        <w:jc w:val="both"/>
        <w:rPr>
          <w:color w:val="000000" w:themeColor="text1"/>
        </w:rPr>
      </w:pPr>
      <w:r w:rsidRPr="006D7CFA">
        <w:rPr>
          <w:color w:val="000000" w:themeColor="text1"/>
        </w:rPr>
        <w:t>Intestinal villi are scraped off the intestinal lumen with glass slides and placed in a 70</w:t>
      </w:r>
      <w:r w:rsidR="00485608" w:rsidRPr="006D7CFA">
        <w:rPr>
          <w:color w:val="000000" w:themeColor="text1"/>
        </w:rPr>
        <w:t xml:space="preserve"> µm</w:t>
      </w:r>
      <w:r w:rsidRPr="006D7CFA">
        <w:rPr>
          <w:color w:val="000000" w:themeColor="text1"/>
        </w:rPr>
        <w:t xml:space="preserve"> filter and washed with PBS to get rid of loose cells or crypts, if any, prior to plating in BME-R1 matrix. The method stresses on the following criteria to avoid crypt contamination: a) confining the villi harvest </w:t>
      </w:r>
      <w:sdt>
        <w:sdtPr>
          <w:rPr>
            <w:color w:val="000000" w:themeColor="text1"/>
          </w:rPr>
          <w:tag w:val="goog_rdk_35"/>
          <w:id w:val="-721364714"/>
        </w:sdtPr>
        <w:sdtEndPr/>
        <w:sdtContent>
          <w:r w:rsidRPr="006D7CFA">
            <w:rPr>
              <w:color w:val="000000" w:themeColor="text1"/>
            </w:rPr>
            <w:t xml:space="preserve">to </w:t>
          </w:r>
        </w:sdtContent>
      </w:sdt>
      <w:r w:rsidRPr="006D7CFA">
        <w:rPr>
          <w:color w:val="000000" w:themeColor="text1"/>
        </w:rPr>
        <w:t>the proximal half of the duodenum where the villi are the longest, b) minimizing the number of villi-yielding scrapes, c) washing the filter containing the villi through a series of PBS in a six-well dish, and d) confirming the absence of crypt contamination by microscopic examination prior to and after plating in BME-R1 matrix. Villi isolation by scraping, rather than by EDTA chelation, prevents the complete loss of the underlying mesenchyme that may provide the niche signals</w:t>
      </w:r>
      <w:r w:rsidR="00AA0EC9" w:rsidRPr="006D7CFA">
        <w:rPr>
          <w:rFonts w:eastAsia="Verdana"/>
          <w:noProof/>
          <w:color w:val="000000" w:themeColor="text1"/>
          <w:highlight w:val="white"/>
          <w:vertAlign w:val="superscript"/>
        </w:rPr>
        <w:t>5</w:t>
      </w:r>
      <w:r w:rsidR="00940194" w:rsidRPr="006D7CFA">
        <w:rPr>
          <w:rFonts w:eastAsia="Verdana"/>
          <w:color w:val="000000" w:themeColor="text1"/>
          <w:highlight w:val="white"/>
          <w:vertAlign w:val="superscript"/>
        </w:rPr>
        <w:t>,</w:t>
      </w:r>
      <w:r w:rsidRPr="006D7CFA">
        <w:rPr>
          <w:rFonts w:eastAsia="Verdana"/>
          <w:color w:val="000000" w:themeColor="text1"/>
          <w:highlight w:val="white"/>
          <w:vertAlign w:val="superscript"/>
        </w:rPr>
        <w:t xml:space="preserve"> </w:t>
      </w:r>
      <w:r w:rsidR="00AA0EC9" w:rsidRPr="006D7CFA">
        <w:rPr>
          <w:rFonts w:eastAsia="Verdana"/>
          <w:noProof/>
          <w:color w:val="000000" w:themeColor="text1"/>
          <w:highlight w:val="white"/>
          <w:vertAlign w:val="superscript"/>
        </w:rPr>
        <w:t>6</w:t>
      </w:r>
      <w:r w:rsidR="00940194" w:rsidRPr="006D7CFA">
        <w:rPr>
          <w:rFonts w:eastAsia="Verdana"/>
          <w:color w:val="000000" w:themeColor="text1"/>
          <w:highlight w:val="white"/>
          <w:vertAlign w:val="superscript"/>
        </w:rPr>
        <w:t xml:space="preserve">, </w:t>
      </w:r>
      <w:r w:rsidR="00AA0EC9" w:rsidRPr="006D7CFA">
        <w:rPr>
          <w:rFonts w:eastAsia="Verdana"/>
          <w:noProof/>
          <w:color w:val="000000" w:themeColor="text1"/>
          <w:highlight w:val="white"/>
          <w:vertAlign w:val="superscript"/>
        </w:rPr>
        <w:t>7</w:t>
      </w:r>
      <w:r w:rsidR="00AA0EC9" w:rsidRPr="006D7CFA">
        <w:rPr>
          <w:rFonts w:eastAsia="Verdana"/>
          <w:color w:val="000000" w:themeColor="text1"/>
          <w:highlight w:val="white"/>
          <w:vertAlign w:val="superscript"/>
        </w:rPr>
        <w:t>,</w:t>
      </w:r>
      <w:r w:rsidRPr="006D7CFA">
        <w:rPr>
          <w:rFonts w:eastAsia="Verdana"/>
          <w:color w:val="000000" w:themeColor="text1"/>
          <w:highlight w:val="white"/>
          <w:vertAlign w:val="superscript"/>
        </w:rPr>
        <w:t xml:space="preserve"> </w:t>
      </w:r>
      <w:r w:rsidR="00AA0EC9" w:rsidRPr="006D7CFA">
        <w:rPr>
          <w:rFonts w:eastAsia="Verdana"/>
          <w:noProof/>
          <w:color w:val="000000" w:themeColor="text1"/>
          <w:vertAlign w:val="superscript"/>
        </w:rPr>
        <w:t>8</w:t>
      </w:r>
      <w:r w:rsidR="005857C9" w:rsidRPr="006D7CFA">
        <w:rPr>
          <w:rFonts w:eastAsia="Verdana"/>
          <w:color w:val="000000" w:themeColor="text1"/>
        </w:rPr>
        <w:t xml:space="preserve">, </w:t>
      </w:r>
      <w:r w:rsidRPr="006D7CFA">
        <w:rPr>
          <w:color w:val="000000" w:themeColor="text1"/>
        </w:rPr>
        <w:t>if required</w:t>
      </w:r>
      <w:r w:rsidR="005857C9" w:rsidRPr="006D7CFA">
        <w:rPr>
          <w:color w:val="000000" w:themeColor="text1"/>
        </w:rPr>
        <w:t>,</w:t>
      </w:r>
      <w:r w:rsidRPr="006D7CFA">
        <w:rPr>
          <w:color w:val="000000" w:themeColor="text1"/>
        </w:rPr>
        <w:t xml:space="preserve"> for organoid initiation from the villus epithelium. </w:t>
      </w:r>
    </w:p>
    <w:p w14:paraId="321080E9" w14:textId="77777777" w:rsidR="00485608" w:rsidRPr="006D7CFA" w:rsidRDefault="00485608" w:rsidP="006D7CFA">
      <w:pPr>
        <w:contextualSpacing/>
        <w:jc w:val="both"/>
        <w:rPr>
          <w:b/>
          <w:color w:val="000000" w:themeColor="text1"/>
        </w:rPr>
      </w:pPr>
    </w:p>
    <w:p w14:paraId="03A184B6" w14:textId="113B7BFE" w:rsidR="0050090C" w:rsidRPr="006D7CFA" w:rsidRDefault="00EE12E8" w:rsidP="006D7CFA">
      <w:pPr>
        <w:contextualSpacing/>
        <w:jc w:val="both"/>
        <w:rPr>
          <w:b/>
          <w:color w:val="000000" w:themeColor="text1"/>
        </w:rPr>
      </w:pPr>
      <w:r w:rsidRPr="006D7CFA">
        <w:rPr>
          <w:b/>
          <w:color w:val="000000" w:themeColor="text1"/>
        </w:rPr>
        <w:t>PROTOCOL</w:t>
      </w:r>
      <w:r w:rsidR="001C42FA" w:rsidRPr="006D7CFA">
        <w:rPr>
          <w:b/>
          <w:color w:val="000000" w:themeColor="text1"/>
        </w:rPr>
        <w:t>:</w:t>
      </w:r>
      <w:r w:rsidR="0050090C" w:rsidRPr="006D7CFA">
        <w:rPr>
          <w:b/>
          <w:color w:val="000000" w:themeColor="text1"/>
        </w:rPr>
        <w:t xml:space="preserve"> </w:t>
      </w:r>
    </w:p>
    <w:p w14:paraId="5404D738" w14:textId="500FCC84" w:rsidR="008070B4" w:rsidRPr="006D7CFA" w:rsidRDefault="008070B4" w:rsidP="006D7CFA">
      <w:pPr>
        <w:contextualSpacing/>
        <w:jc w:val="both"/>
        <w:rPr>
          <w:b/>
          <w:color w:val="000000" w:themeColor="text1"/>
        </w:rPr>
      </w:pPr>
    </w:p>
    <w:p w14:paraId="20583EAC" w14:textId="77777777" w:rsidR="008070B4" w:rsidRPr="006D7CFA" w:rsidRDefault="008070B4" w:rsidP="006D7CFA">
      <w:pPr>
        <w:contextualSpacing/>
        <w:jc w:val="both"/>
        <w:rPr>
          <w:color w:val="000000" w:themeColor="text1"/>
        </w:rPr>
      </w:pPr>
      <w:r w:rsidRPr="006D7CFA">
        <w:rPr>
          <w:color w:val="000000" w:themeColor="text1"/>
        </w:rPr>
        <w:t xml:space="preserve">All the mouse experiments conducted, including the use of Tamoxifen and euthanasia by cervical dislocation, had the approval of the Institutional Animal Care and Use Committee at Stevens Institute of </w:t>
      </w:r>
      <w:sdt>
        <w:sdtPr>
          <w:rPr>
            <w:color w:val="000000" w:themeColor="text1"/>
          </w:rPr>
          <w:tag w:val="goog_rdk_37"/>
          <w:id w:val="-1208028094"/>
        </w:sdtPr>
        <w:sdtEndPr/>
        <w:sdtContent>
          <w:r w:rsidRPr="006D7CFA">
            <w:rPr>
              <w:color w:val="000000" w:themeColor="text1"/>
            </w:rPr>
            <w:t xml:space="preserve"> T</w:t>
          </w:r>
        </w:sdtContent>
      </w:sdt>
      <w:r w:rsidRPr="006D7CFA">
        <w:rPr>
          <w:color w:val="000000" w:themeColor="text1"/>
        </w:rPr>
        <w:t xml:space="preserve">echnology. </w:t>
      </w:r>
    </w:p>
    <w:p w14:paraId="0925B5EE" w14:textId="77777777" w:rsidR="008070B4" w:rsidRPr="006D7CFA" w:rsidRDefault="008070B4" w:rsidP="006D7CFA">
      <w:pPr>
        <w:contextualSpacing/>
        <w:jc w:val="both"/>
        <w:rPr>
          <w:b/>
          <w:color w:val="000000" w:themeColor="text1"/>
        </w:rPr>
      </w:pPr>
    </w:p>
    <w:p w14:paraId="17AB0003" w14:textId="5C1C97C8" w:rsidR="008070B4" w:rsidRPr="006D7CFA" w:rsidRDefault="001C42FA" w:rsidP="006D7CFA">
      <w:pPr>
        <w:pStyle w:val="ListParagraph"/>
        <w:numPr>
          <w:ilvl w:val="1"/>
          <w:numId w:val="1"/>
        </w:numPr>
        <w:tabs>
          <w:tab w:val="clear" w:pos="1440"/>
        </w:tabs>
        <w:ind w:left="0" w:firstLine="0"/>
        <w:jc w:val="both"/>
        <w:rPr>
          <w:rFonts w:ascii="Times New Roman" w:hAnsi="Times New Roman" w:cs="Times New Roman"/>
          <w:color w:val="000000" w:themeColor="text1"/>
        </w:rPr>
      </w:pPr>
      <w:r w:rsidRPr="006D7CFA">
        <w:rPr>
          <w:rFonts w:ascii="Times New Roman" w:hAnsi="Times New Roman" w:cs="Times New Roman"/>
          <w:b/>
          <w:color w:val="000000" w:themeColor="text1"/>
        </w:rPr>
        <w:t>Mice</w:t>
      </w:r>
    </w:p>
    <w:p w14:paraId="13A61D60" w14:textId="77777777" w:rsidR="008070B4" w:rsidRPr="006D7CFA" w:rsidRDefault="008070B4" w:rsidP="006D7CFA">
      <w:pPr>
        <w:contextualSpacing/>
        <w:jc w:val="both"/>
        <w:rPr>
          <w:color w:val="000000" w:themeColor="text1"/>
        </w:rPr>
      </w:pPr>
    </w:p>
    <w:p w14:paraId="6F10EA1C" w14:textId="70D0874E" w:rsidR="00BF78F5" w:rsidRPr="006D7CFA" w:rsidRDefault="00485608" w:rsidP="006D7CFA">
      <w:pPr>
        <w:contextualSpacing/>
        <w:jc w:val="both"/>
        <w:rPr>
          <w:color w:val="000000" w:themeColor="text1"/>
        </w:rPr>
      </w:pPr>
      <w:r w:rsidRPr="006D7CFA">
        <w:rPr>
          <w:color w:val="000000" w:themeColor="text1"/>
        </w:rPr>
        <w:t>NOTE:</w:t>
      </w:r>
      <w:r w:rsidR="008070B4" w:rsidRPr="006D7CFA">
        <w:rPr>
          <w:color w:val="000000" w:themeColor="text1"/>
        </w:rPr>
        <w:t xml:space="preserve"> </w:t>
      </w:r>
      <w:r w:rsidR="00BF78F5" w:rsidRPr="006D7CFA">
        <w:rPr>
          <w:color w:val="000000" w:themeColor="text1"/>
        </w:rPr>
        <w:t xml:space="preserve">The generation of </w:t>
      </w:r>
      <w:r w:rsidR="00BF78F5" w:rsidRPr="006D7CFA">
        <w:rPr>
          <w:rFonts w:eastAsia="Times"/>
          <w:i/>
          <w:color w:val="000000" w:themeColor="text1"/>
          <w:highlight w:val="white"/>
        </w:rPr>
        <w:t>Smad4</w:t>
      </w:r>
      <w:r w:rsidR="00BF78F5" w:rsidRPr="006D7CFA">
        <w:rPr>
          <w:rFonts w:eastAsia="Times"/>
          <w:i/>
          <w:color w:val="000000" w:themeColor="text1"/>
          <w:highlight w:val="white"/>
          <w:vertAlign w:val="superscript"/>
        </w:rPr>
        <w:t>f/f</w:t>
      </w:r>
      <w:r w:rsidR="00BF78F5" w:rsidRPr="006D7CFA">
        <w:rPr>
          <w:rFonts w:eastAsia="Times"/>
          <w:i/>
          <w:color w:val="000000" w:themeColor="text1"/>
          <w:highlight w:val="white"/>
        </w:rPr>
        <w:t xml:space="preserve">; </w:t>
      </w:r>
      <w:proofErr w:type="spellStart"/>
      <w:r w:rsidR="00BF78F5" w:rsidRPr="006D7CFA">
        <w:rPr>
          <w:rFonts w:eastAsia="Times"/>
          <w:i/>
          <w:color w:val="000000" w:themeColor="text1"/>
          <w:highlight w:val="white"/>
        </w:rPr>
        <w:t>Catnb</w:t>
      </w:r>
      <w:r w:rsidR="00BF78F5" w:rsidRPr="006D7CFA">
        <w:rPr>
          <w:rFonts w:eastAsia="Times"/>
          <w:i/>
          <w:color w:val="000000" w:themeColor="text1"/>
          <w:highlight w:val="white"/>
          <w:vertAlign w:val="superscript"/>
        </w:rPr>
        <w:t>lox</w:t>
      </w:r>
      <w:proofErr w:type="spellEnd"/>
      <w:r w:rsidR="00BF78F5" w:rsidRPr="006D7CFA">
        <w:rPr>
          <w:rFonts w:eastAsia="Times"/>
          <w:i/>
          <w:color w:val="000000" w:themeColor="text1"/>
          <w:highlight w:val="white"/>
          <w:vertAlign w:val="superscript"/>
        </w:rPr>
        <w:t>(ex3)</w:t>
      </w:r>
      <w:r w:rsidR="00BF78F5" w:rsidRPr="006D7CFA">
        <w:rPr>
          <w:rFonts w:eastAsia="Times"/>
          <w:color w:val="000000" w:themeColor="text1"/>
          <w:highlight w:val="white"/>
        </w:rPr>
        <w:t>/</w:t>
      </w:r>
      <w:r w:rsidR="00BF78F5" w:rsidRPr="006D7CFA">
        <w:rPr>
          <w:rFonts w:eastAsia="Times"/>
          <w:color w:val="000000" w:themeColor="text1"/>
          <w:highlight w:val="white"/>
          <w:vertAlign w:val="superscript"/>
        </w:rPr>
        <w:t>+</w:t>
      </w:r>
      <w:r w:rsidR="00BF78F5" w:rsidRPr="006D7CFA">
        <w:rPr>
          <w:rFonts w:eastAsia="Times"/>
          <w:i/>
          <w:color w:val="000000" w:themeColor="text1"/>
          <w:highlight w:val="white"/>
        </w:rPr>
        <w:t>; Villin-Cre</w:t>
      </w:r>
      <w:r w:rsidR="00BF78F5" w:rsidRPr="006D7CFA">
        <w:rPr>
          <w:rFonts w:eastAsia="Times"/>
          <w:i/>
          <w:color w:val="000000" w:themeColor="text1"/>
          <w:highlight w:val="white"/>
          <w:vertAlign w:val="superscript"/>
        </w:rPr>
        <w:t>ERT2</w:t>
      </w:r>
      <w:r w:rsidR="00BF78F5" w:rsidRPr="006D7CFA">
        <w:rPr>
          <w:rFonts w:eastAsia="Times"/>
          <w:color w:val="000000" w:themeColor="text1"/>
          <w:highlight w:val="white"/>
        </w:rPr>
        <w:t> mice have been previously described</w:t>
      </w:r>
      <w:r w:rsidR="00BF78F5" w:rsidRPr="006D7CFA">
        <w:rPr>
          <w:rFonts w:eastAsia="Times"/>
          <w:noProof/>
          <w:color w:val="000000" w:themeColor="text1"/>
          <w:highlight w:val="white"/>
          <w:vertAlign w:val="superscript"/>
        </w:rPr>
        <w:t>3</w:t>
      </w:r>
      <w:r w:rsidR="00BF78F5" w:rsidRPr="006D7CFA">
        <w:rPr>
          <w:rFonts w:eastAsia="Times"/>
          <w:color w:val="000000" w:themeColor="text1"/>
          <w:highlight w:val="white"/>
        </w:rPr>
        <w:t>.</w:t>
      </w:r>
      <w:r w:rsidR="008070B4" w:rsidRPr="006D7CFA">
        <w:rPr>
          <w:rFonts w:eastAsia="Times"/>
          <w:color w:val="000000" w:themeColor="text1"/>
          <w:highlight w:val="white"/>
        </w:rPr>
        <w:t xml:space="preserve"> </w:t>
      </w:r>
      <w:r w:rsidR="00BF78F5" w:rsidRPr="006D7CFA">
        <w:rPr>
          <w:rFonts w:eastAsia="Times"/>
          <w:color w:val="000000" w:themeColor="text1"/>
          <w:highlight w:val="white"/>
        </w:rPr>
        <w:t>Adult female mice between eight to twelve weeks of age</w:t>
      </w:r>
      <w:sdt>
        <w:sdtPr>
          <w:tag w:val="goog_rdk_41"/>
          <w:id w:val="1486903124"/>
        </w:sdtPr>
        <w:sdtEndPr/>
        <w:sdtContent>
          <w:r w:rsidR="00BF78F5" w:rsidRPr="006D7CFA">
            <w:rPr>
              <w:color w:val="000000" w:themeColor="text1"/>
            </w:rPr>
            <w:t xml:space="preserve"> </w:t>
          </w:r>
        </w:sdtContent>
      </w:sdt>
      <w:r w:rsidR="00BF78F5" w:rsidRPr="006D7CFA">
        <w:rPr>
          <w:rFonts w:eastAsia="Times"/>
          <w:color w:val="000000" w:themeColor="text1"/>
          <w:highlight w:val="white"/>
        </w:rPr>
        <w:t xml:space="preserve">were used. </w:t>
      </w:r>
    </w:p>
    <w:p w14:paraId="47EA1B14" w14:textId="76F21A25" w:rsidR="001C42FA" w:rsidRPr="006D7CFA" w:rsidRDefault="001C42FA" w:rsidP="006D7CFA">
      <w:pPr>
        <w:contextualSpacing/>
        <w:jc w:val="both"/>
        <w:rPr>
          <w:b/>
          <w:color w:val="000000" w:themeColor="text1"/>
        </w:rPr>
      </w:pPr>
    </w:p>
    <w:p w14:paraId="7FAA99BF" w14:textId="0D27FE8F" w:rsidR="006D7CFA" w:rsidRPr="006D7CFA" w:rsidRDefault="0050090C" w:rsidP="006D7CFA">
      <w:pPr>
        <w:pStyle w:val="ListParagraph"/>
        <w:numPr>
          <w:ilvl w:val="1"/>
          <w:numId w:val="5"/>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 xml:space="preserve">Induce the </w:t>
      </w:r>
      <w:r w:rsidRPr="006D7CFA">
        <w:rPr>
          <w:rFonts w:ascii="Times New Roman" w:eastAsia="Times" w:hAnsi="Times New Roman" w:cs="Times New Roman"/>
          <w:color w:val="000000" w:themeColor="text1"/>
          <w:highlight w:val="white"/>
        </w:rPr>
        <w:t>Smad4</w:t>
      </w:r>
      <w:r w:rsidRPr="006D7CFA">
        <w:rPr>
          <w:rFonts w:ascii="Times New Roman" w:eastAsia="Times" w:hAnsi="Times New Roman" w:cs="Times New Roman"/>
          <w:color w:val="000000" w:themeColor="text1"/>
          <w:highlight w:val="white"/>
          <w:vertAlign w:val="superscript"/>
        </w:rPr>
        <w:t>KO</w:t>
      </w:r>
      <w:r w:rsidRPr="006D7CFA">
        <w:rPr>
          <w:rFonts w:ascii="Times New Roman" w:eastAsia="Times" w:hAnsi="Times New Roman" w:cs="Times New Roman"/>
          <w:color w:val="000000" w:themeColor="text1"/>
          <w:highlight w:val="white"/>
        </w:rPr>
        <w:t>:β-</w:t>
      </w:r>
      <w:proofErr w:type="spellStart"/>
      <w:r w:rsidRPr="006D7CFA">
        <w:rPr>
          <w:rFonts w:ascii="Times New Roman" w:eastAsia="Times" w:hAnsi="Times New Roman" w:cs="Times New Roman"/>
          <w:color w:val="000000" w:themeColor="text1"/>
          <w:highlight w:val="white"/>
        </w:rPr>
        <w:t>catenin</w:t>
      </w:r>
      <w:r w:rsidRPr="006D7CFA">
        <w:rPr>
          <w:rFonts w:ascii="Times New Roman" w:eastAsia="Times" w:hAnsi="Times New Roman" w:cs="Times New Roman"/>
          <w:color w:val="000000" w:themeColor="text1"/>
          <w:highlight w:val="white"/>
          <w:vertAlign w:val="superscript"/>
        </w:rPr>
        <w:t>GOF</w:t>
      </w:r>
      <w:proofErr w:type="spellEnd"/>
      <w:r w:rsidRPr="006D7CFA">
        <w:rPr>
          <w:rFonts w:ascii="Times New Roman" w:eastAsia="Times" w:hAnsi="Times New Roman" w:cs="Times New Roman"/>
          <w:color w:val="000000" w:themeColor="text1"/>
          <w:highlight w:val="white"/>
        </w:rPr>
        <w:t xml:space="preserve"> mutation in the </w:t>
      </w:r>
      <w:r w:rsidRPr="006D7CFA">
        <w:rPr>
          <w:rFonts w:ascii="Times New Roman" w:eastAsia="Times" w:hAnsi="Times New Roman" w:cs="Times New Roman"/>
          <w:i/>
          <w:color w:val="000000" w:themeColor="text1"/>
          <w:highlight w:val="white"/>
        </w:rPr>
        <w:t>Smad4</w:t>
      </w:r>
      <w:r w:rsidRPr="006D7CFA">
        <w:rPr>
          <w:rFonts w:ascii="Times New Roman" w:eastAsia="Times" w:hAnsi="Times New Roman" w:cs="Times New Roman"/>
          <w:i/>
          <w:color w:val="000000" w:themeColor="text1"/>
          <w:highlight w:val="white"/>
          <w:vertAlign w:val="superscript"/>
        </w:rPr>
        <w:t>f/f</w:t>
      </w:r>
      <w:r w:rsidRPr="006D7CFA">
        <w:rPr>
          <w:rFonts w:ascii="Times New Roman" w:eastAsia="Times" w:hAnsi="Times New Roman" w:cs="Times New Roman"/>
          <w:i/>
          <w:color w:val="000000" w:themeColor="text1"/>
          <w:highlight w:val="white"/>
        </w:rPr>
        <w:t xml:space="preserve">; </w:t>
      </w:r>
      <w:proofErr w:type="spellStart"/>
      <w:r w:rsidRPr="006D7CFA">
        <w:rPr>
          <w:rFonts w:ascii="Times New Roman" w:eastAsia="Times" w:hAnsi="Times New Roman" w:cs="Times New Roman"/>
          <w:i/>
          <w:color w:val="000000" w:themeColor="text1"/>
          <w:highlight w:val="white"/>
        </w:rPr>
        <w:t>Catnb</w:t>
      </w:r>
      <w:r w:rsidRPr="006D7CFA">
        <w:rPr>
          <w:rFonts w:ascii="Times New Roman" w:eastAsia="Times" w:hAnsi="Times New Roman" w:cs="Times New Roman"/>
          <w:i/>
          <w:color w:val="000000" w:themeColor="text1"/>
          <w:highlight w:val="white"/>
          <w:vertAlign w:val="superscript"/>
        </w:rPr>
        <w:t>lox</w:t>
      </w:r>
      <w:proofErr w:type="spellEnd"/>
      <w:r w:rsidRPr="006D7CFA">
        <w:rPr>
          <w:rFonts w:ascii="Times New Roman" w:eastAsia="Times" w:hAnsi="Times New Roman" w:cs="Times New Roman"/>
          <w:i/>
          <w:color w:val="000000" w:themeColor="text1"/>
          <w:highlight w:val="white"/>
          <w:vertAlign w:val="superscript"/>
        </w:rPr>
        <w:t>(ex3)</w:t>
      </w:r>
      <w:r w:rsidRPr="006D7CFA">
        <w:rPr>
          <w:rFonts w:ascii="Times New Roman" w:eastAsia="Times" w:hAnsi="Times New Roman" w:cs="Times New Roman"/>
          <w:color w:val="000000" w:themeColor="text1"/>
          <w:highlight w:val="white"/>
        </w:rPr>
        <w:t>/</w:t>
      </w:r>
      <w:r w:rsidRPr="006D7CFA">
        <w:rPr>
          <w:rFonts w:ascii="Times New Roman" w:eastAsia="Times" w:hAnsi="Times New Roman" w:cs="Times New Roman"/>
          <w:color w:val="000000" w:themeColor="text1"/>
          <w:highlight w:val="white"/>
          <w:vertAlign w:val="superscript"/>
        </w:rPr>
        <w:t>+</w:t>
      </w:r>
      <w:r w:rsidRPr="006D7CFA">
        <w:rPr>
          <w:rFonts w:ascii="Times New Roman" w:eastAsia="Times" w:hAnsi="Times New Roman" w:cs="Times New Roman"/>
          <w:i/>
          <w:color w:val="000000" w:themeColor="text1"/>
          <w:highlight w:val="white"/>
        </w:rPr>
        <w:t>; Villin-Cre</w:t>
      </w:r>
      <w:r w:rsidRPr="006D7CFA">
        <w:rPr>
          <w:rFonts w:ascii="Times New Roman" w:eastAsia="Times" w:hAnsi="Times New Roman" w:cs="Times New Roman"/>
          <w:i/>
          <w:color w:val="000000" w:themeColor="text1"/>
          <w:highlight w:val="white"/>
          <w:vertAlign w:val="superscript"/>
        </w:rPr>
        <w:t>ERT2</w:t>
      </w:r>
      <w:r w:rsidRPr="006D7CFA">
        <w:rPr>
          <w:rFonts w:ascii="Times New Roman" w:eastAsia="Times" w:hAnsi="Times New Roman" w:cs="Times New Roman"/>
          <w:color w:val="000000" w:themeColor="text1"/>
          <w:highlight w:val="white"/>
        </w:rPr>
        <w:t xml:space="preserve"> with </w:t>
      </w:r>
      <w:r w:rsidRPr="006D7CFA">
        <w:rPr>
          <w:rFonts w:ascii="Times New Roman" w:eastAsia="Times" w:hAnsi="Times New Roman" w:cs="Times New Roman"/>
          <w:color w:val="000000" w:themeColor="text1"/>
        </w:rPr>
        <w:t>intraperitoneal</w:t>
      </w:r>
      <w:r w:rsidRPr="006D7CFA">
        <w:rPr>
          <w:rFonts w:ascii="Times New Roman" w:eastAsia="Times" w:hAnsi="Times New Roman" w:cs="Times New Roman"/>
          <w:color w:val="000000" w:themeColor="text1"/>
          <w:highlight w:val="white"/>
        </w:rPr>
        <w:t xml:space="preserve"> injection of </w:t>
      </w:r>
      <w:r w:rsidRPr="006D7CFA">
        <w:rPr>
          <w:rFonts w:ascii="Times New Roman" w:eastAsia="Times" w:hAnsi="Times New Roman" w:cs="Times New Roman"/>
          <w:color w:val="000000" w:themeColor="text1"/>
        </w:rPr>
        <w:t>Tamoxifen</w:t>
      </w:r>
      <w:r w:rsidRPr="006D7CFA">
        <w:rPr>
          <w:rFonts w:ascii="Times New Roman" w:hAnsi="Times New Roman" w:cs="Times New Roman"/>
          <w:color w:val="000000" w:themeColor="text1"/>
        </w:rPr>
        <w:t xml:space="preserve"> </w:t>
      </w:r>
      <w:r w:rsidRPr="006D7CFA">
        <w:rPr>
          <w:rFonts w:ascii="Times New Roman" w:eastAsia="Times" w:hAnsi="Times New Roman" w:cs="Times New Roman"/>
          <w:color w:val="000000" w:themeColor="text1"/>
        </w:rPr>
        <w:t xml:space="preserve">in corn oil </w:t>
      </w:r>
      <w:r w:rsidRPr="006D7CFA">
        <w:rPr>
          <w:rFonts w:ascii="Times New Roman" w:eastAsia="Times" w:hAnsi="Times New Roman" w:cs="Times New Roman"/>
          <w:color w:val="000000" w:themeColor="text1"/>
          <w:highlight w:val="white"/>
        </w:rPr>
        <w:t xml:space="preserve">for four consecutive days. </w:t>
      </w:r>
    </w:p>
    <w:p w14:paraId="525D7549" w14:textId="77777777" w:rsidR="006D7CFA" w:rsidRPr="006D7CFA" w:rsidRDefault="006D7CFA" w:rsidP="006D7CFA">
      <w:pPr>
        <w:pStyle w:val="ListParagraph"/>
        <w:ind w:left="0"/>
        <w:jc w:val="both"/>
        <w:rPr>
          <w:rFonts w:ascii="Times New Roman" w:hAnsi="Times New Roman" w:cs="Times New Roman"/>
          <w:color w:val="000000" w:themeColor="text1"/>
        </w:rPr>
      </w:pPr>
    </w:p>
    <w:p w14:paraId="666CF72F" w14:textId="264D545F" w:rsidR="0050090C" w:rsidRPr="006D7CFA" w:rsidRDefault="0050090C" w:rsidP="006D7CFA">
      <w:pPr>
        <w:pStyle w:val="ListParagraph"/>
        <w:numPr>
          <w:ilvl w:val="1"/>
          <w:numId w:val="5"/>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Sacrifice the mice</w:t>
      </w:r>
      <w:r w:rsidRPr="006D7CFA">
        <w:rPr>
          <w:rFonts w:ascii="Times New Roman" w:eastAsia="Times" w:hAnsi="Times New Roman" w:cs="Times New Roman"/>
          <w:color w:val="000000" w:themeColor="text1"/>
          <w:highlight w:val="white"/>
        </w:rPr>
        <w:t xml:space="preserve"> </w:t>
      </w:r>
      <w:r w:rsidRPr="006D7CFA">
        <w:rPr>
          <w:rFonts w:ascii="Times New Roman" w:hAnsi="Times New Roman" w:cs="Times New Roman"/>
          <w:color w:val="000000" w:themeColor="text1"/>
        </w:rPr>
        <w:t>by cervical dislocation</w:t>
      </w:r>
      <w:r w:rsidRPr="006D7CFA">
        <w:rPr>
          <w:rFonts w:ascii="Times New Roman" w:eastAsia="Times" w:hAnsi="Times New Roman" w:cs="Times New Roman"/>
          <w:color w:val="000000" w:themeColor="text1"/>
          <w:highlight w:val="white"/>
        </w:rPr>
        <w:t xml:space="preserve"> ten days after the first tamoxifen injection.</w:t>
      </w:r>
      <w:r w:rsidRPr="006D7CFA">
        <w:rPr>
          <w:rFonts w:ascii="Times New Roman" w:hAnsi="Times New Roman" w:cs="Times New Roman"/>
          <w:color w:val="000000" w:themeColor="text1"/>
        </w:rPr>
        <w:t xml:space="preserve"> </w:t>
      </w:r>
    </w:p>
    <w:p w14:paraId="7D53A155" w14:textId="77777777" w:rsidR="0050090C" w:rsidRPr="006D7CFA" w:rsidRDefault="0050090C" w:rsidP="006D7CFA">
      <w:pPr>
        <w:contextualSpacing/>
        <w:jc w:val="both"/>
        <w:rPr>
          <w:color w:val="000000" w:themeColor="text1"/>
        </w:rPr>
      </w:pPr>
    </w:p>
    <w:p w14:paraId="0C61433A" w14:textId="44C706E1" w:rsidR="0050090C" w:rsidRPr="006D7CFA" w:rsidRDefault="0050090C" w:rsidP="006D7CFA">
      <w:pPr>
        <w:pStyle w:val="ListParagraph"/>
        <w:numPr>
          <w:ilvl w:val="1"/>
          <w:numId w:val="5"/>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Spray the abdomen with 70% ethanol</w:t>
      </w:r>
      <w:r w:rsidR="00170177" w:rsidRPr="006D7CFA">
        <w:rPr>
          <w:rFonts w:ascii="Times New Roman" w:hAnsi="Times New Roman" w:cs="Times New Roman"/>
          <w:color w:val="000000" w:themeColor="text1"/>
        </w:rPr>
        <w:t xml:space="preserve"> to prevent mouse fur getting into the peritoneal cavity.</w:t>
      </w:r>
    </w:p>
    <w:p w14:paraId="0A5CB99A" w14:textId="77777777" w:rsidR="0050090C" w:rsidRPr="006D7CFA" w:rsidRDefault="0050090C" w:rsidP="006D7CFA">
      <w:pPr>
        <w:contextualSpacing/>
        <w:jc w:val="both"/>
        <w:rPr>
          <w:color w:val="000000" w:themeColor="text1"/>
        </w:rPr>
      </w:pPr>
    </w:p>
    <w:p w14:paraId="656768A3" w14:textId="4304EE04" w:rsidR="0050090C" w:rsidRPr="006D7CFA" w:rsidRDefault="0050090C" w:rsidP="006D7CFA">
      <w:pPr>
        <w:pStyle w:val="ListParagraph"/>
        <w:numPr>
          <w:ilvl w:val="1"/>
          <w:numId w:val="5"/>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 xml:space="preserve">Open the abdominal cavity with dissection scissors </w:t>
      </w:r>
      <w:r w:rsidR="00170177" w:rsidRPr="006D7CFA">
        <w:rPr>
          <w:rFonts w:ascii="Times New Roman" w:hAnsi="Times New Roman" w:cs="Times New Roman"/>
          <w:color w:val="000000" w:themeColor="text1"/>
        </w:rPr>
        <w:t>to expose the intestine.</w:t>
      </w:r>
      <w:r w:rsidRPr="006D7CFA">
        <w:rPr>
          <w:rFonts w:ascii="Times New Roman" w:hAnsi="Times New Roman" w:cs="Times New Roman"/>
          <w:color w:val="000000" w:themeColor="text1"/>
        </w:rPr>
        <w:t xml:space="preserve"> </w:t>
      </w:r>
      <w:r w:rsidR="00170177" w:rsidRPr="006D7CFA">
        <w:rPr>
          <w:rFonts w:ascii="Times New Roman" w:hAnsi="Times New Roman" w:cs="Times New Roman"/>
          <w:color w:val="000000" w:themeColor="text1"/>
        </w:rPr>
        <w:t>I</w:t>
      </w:r>
      <w:r w:rsidRPr="006D7CFA">
        <w:rPr>
          <w:rFonts w:ascii="Times New Roman" w:hAnsi="Times New Roman" w:cs="Times New Roman"/>
          <w:color w:val="000000" w:themeColor="text1"/>
        </w:rPr>
        <w:t>solate the intestine with the aid of the scissors and forceps</w:t>
      </w:r>
      <w:r w:rsidR="00170177" w:rsidRPr="006D7CFA">
        <w:rPr>
          <w:rFonts w:ascii="Times New Roman" w:hAnsi="Times New Roman" w:cs="Times New Roman"/>
          <w:color w:val="000000" w:themeColor="text1"/>
        </w:rPr>
        <w:t>.</w:t>
      </w:r>
    </w:p>
    <w:p w14:paraId="32DCDD4A" w14:textId="77777777" w:rsidR="00485608" w:rsidRPr="006D7CFA" w:rsidRDefault="00485608" w:rsidP="006D7CFA">
      <w:pPr>
        <w:contextualSpacing/>
        <w:jc w:val="both"/>
        <w:rPr>
          <w:color w:val="000000" w:themeColor="text1"/>
        </w:rPr>
      </w:pPr>
    </w:p>
    <w:p w14:paraId="4B262010" w14:textId="0376898A" w:rsidR="0050090C" w:rsidRPr="006D7CFA" w:rsidRDefault="00485608" w:rsidP="006D7CFA">
      <w:pPr>
        <w:contextualSpacing/>
        <w:jc w:val="both"/>
        <w:rPr>
          <w:color w:val="000000" w:themeColor="text1"/>
        </w:rPr>
      </w:pPr>
      <w:r w:rsidRPr="006D7CFA">
        <w:rPr>
          <w:color w:val="000000" w:themeColor="text1"/>
        </w:rPr>
        <w:t>NOTE:</w:t>
      </w:r>
      <w:r w:rsidR="008070B4" w:rsidRPr="006D7CFA">
        <w:rPr>
          <w:color w:val="000000" w:themeColor="text1"/>
        </w:rPr>
        <w:t xml:space="preserve"> </w:t>
      </w:r>
      <w:r w:rsidR="0050090C" w:rsidRPr="006D7CFA">
        <w:rPr>
          <w:rFonts w:eastAsia="Times"/>
          <w:color w:val="000000" w:themeColor="text1"/>
        </w:rPr>
        <w:t xml:space="preserve">Concomitant loss of Smad4 along with gain of function mutation of </w:t>
      </w:r>
      <w:r w:rsidR="0050090C" w:rsidRPr="006D7CFA">
        <w:rPr>
          <w:rFonts w:eastAsia="Times"/>
          <w:color w:val="000000" w:themeColor="text1"/>
          <w:highlight w:val="white"/>
        </w:rPr>
        <w:t>β-catenin</w:t>
      </w:r>
      <w:r w:rsidR="0050090C" w:rsidRPr="006D7CFA">
        <w:rPr>
          <w:rFonts w:eastAsia="Times"/>
          <w:i/>
          <w:color w:val="000000" w:themeColor="text1"/>
          <w:highlight w:val="white"/>
        </w:rPr>
        <w:t xml:space="preserve"> (Smad4</w:t>
      </w:r>
      <w:r w:rsidR="0050090C" w:rsidRPr="006D7CFA">
        <w:rPr>
          <w:rFonts w:eastAsia="Times"/>
          <w:i/>
          <w:color w:val="000000" w:themeColor="text1"/>
          <w:highlight w:val="white"/>
          <w:vertAlign w:val="superscript"/>
        </w:rPr>
        <w:t>KO</w:t>
      </w:r>
      <w:r w:rsidR="0050090C" w:rsidRPr="006D7CFA">
        <w:rPr>
          <w:rFonts w:eastAsia="Times"/>
          <w:i/>
          <w:color w:val="000000" w:themeColor="text1"/>
          <w:highlight w:val="white"/>
        </w:rPr>
        <w:t>;β-</w:t>
      </w:r>
      <w:proofErr w:type="spellStart"/>
      <w:r w:rsidR="0050090C" w:rsidRPr="006D7CFA">
        <w:rPr>
          <w:rFonts w:eastAsia="Times"/>
          <w:i/>
          <w:color w:val="000000" w:themeColor="text1"/>
          <w:highlight w:val="white"/>
        </w:rPr>
        <w:t>catenin</w:t>
      </w:r>
      <w:r w:rsidR="0050090C" w:rsidRPr="006D7CFA">
        <w:rPr>
          <w:rFonts w:eastAsia="Times"/>
          <w:i/>
          <w:color w:val="000000" w:themeColor="text1"/>
          <w:highlight w:val="white"/>
          <w:vertAlign w:val="superscript"/>
        </w:rPr>
        <w:t>GOF</w:t>
      </w:r>
      <w:proofErr w:type="spellEnd"/>
      <w:r w:rsidR="0050090C" w:rsidRPr="006D7CFA">
        <w:rPr>
          <w:rFonts w:eastAsia="Times"/>
          <w:i/>
          <w:color w:val="000000" w:themeColor="text1"/>
          <w:highlight w:val="white"/>
        </w:rPr>
        <w:t xml:space="preserve">) </w:t>
      </w:r>
      <w:r w:rsidR="0050090C" w:rsidRPr="006D7CFA">
        <w:rPr>
          <w:rFonts w:eastAsia="Times"/>
          <w:color w:val="000000" w:themeColor="text1"/>
          <w:highlight w:val="white"/>
        </w:rPr>
        <w:t>in intestinal epithelium was attained by injecting</w:t>
      </w:r>
      <w:r w:rsidR="0050090C" w:rsidRPr="006D7CFA">
        <w:rPr>
          <w:rFonts w:eastAsia="Times"/>
          <w:i/>
          <w:color w:val="000000" w:themeColor="text1"/>
          <w:highlight w:val="white"/>
          <w:vertAlign w:val="superscript"/>
        </w:rPr>
        <w:t xml:space="preserve"> </w:t>
      </w:r>
      <w:r w:rsidR="0050090C" w:rsidRPr="006D7CFA">
        <w:rPr>
          <w:rFonts w:eastAsia="Times"/>
          <w:i/>
          <w:color w:val="000000" w:themeColor="text1"/>
          <w:highlight w:val="white"/>
        </w:rPr>
        <w:t>Smad4</w:t>
      </w:r>
      <w:r w:rsidR="0050090C" w:rsidRPr="006D7CFA">
        <w:rPr>
          <w:rFonts w:eastAsia="Times"/>
          <w:i/>
          <w:color w:val="000000" w:themeColor="text1"/>
          <w:highlight w:val="white"/>
          <w:vertAlign w:val="superscript"/>
        </w:rPr>
        <w:t>f/f</w:t>
      </w:r>
      <w:r w:rsidR="0050090C" w:rsidRPr="006D7CFA">
        <w:rPr>
          <w:rFonts w:eastAsia="Times"/>
          <w:i/>
          <w:color w:val="000000" w:themeColor="text1"/>
          <w:highlight w:val="white"/>
        </w:rPr>
        <w:t xml:space="preserve">; </w:t>
      </w:r>
      <w:proofErr w:type="spellStart"/>
      <w:r w:rsidR="0050090C" w:rsidRPr="006D7CFA">
        <w:rPr>
          <w:rFonts w:eastAsia="Times"/>
          <w:i/>
          <w:color w:val="000000" w:themeColor="text1"/>
          <w:highlight w:val="white"/>
        </w:rPr>
        <w:t>Catnb</w:t>
      </w:r>
      <w:r w:rsidR="0050090C" w:rsidRPr="006D7CFA">
        <w:rPr>
          <w:rFonts w:eastAsia="Times"/>
          <w:i/>
          <w:color w:val="000000" w:themeColor="text1"/>
          <w:highlight w:val="white"/>
          <w:vertAlign w:val="superscript"/>
        </w:rPr>
        <w:t>lox</w:t>
      </w:r>
      <w:proofErr w:type="spellEnd"/>
      <w:r w:rsidR="0050090C" w:rsidRPr="006D7CFA">
        <w:rPr>
          <w:rFonts w:eastAsia="Times"/>
          <w:i/>
          <w:color w:val="000000" w:themeColor="text1"/>
          <w:highlight w:val="white"/>
          <w:vertAlign w:val="superscript"/>
        </w:rPr>
        <w:t>(ex3)</w:t>
      </w:r>
      <w:r w:rsidR="0050090C" w:rsidRPr="006D7CFA">
        <w:rPr>
          <w:rFonts w:eastAsia="Times"/>
          <w:color w:val="000000" w:themeColor="text1"/>
          <w:highlight w:val="white"/>
        </w:rPr>
        <w:t>/</w:t>
      </w:r>
      <w:r w:rsidR="0050090C" w:rsidRPr="006D7CFA">
        <w:rPr>
          <w:rFonts w:eastAsia="Times"/>
          <w:color w:val="000000" w:themeColor="text1"/>
          <w:highlight w:val="white"/>
          <w:vertAlign w:val="superscript"/>
        </w:rPr>
        <w:t>+</w:t>
      </w:r>
      <w:r w:rsidR="0050090C" w:rsidRPr="006D7CFA">
        <w:rPr>
          <w:rFonts w:eastAsia="Times"/>
          <w:i/>
          <w:color w:val="000000" w:themeColor="text1"/>
          <w:highlight w:val="white"/>
        </w:rPr>
        <w:t>; Villin-Cre</w:t>
      </w:r>
      <w:r w:rsidR="0050090C" w:rsidRPr="006D7CFA">
        <w:rPr>
          <w:rFonts w:eastAsia="Times"/>
          <w:i/>
          <w:color w:val="000000" w:themeColor="text1"/>
          <w:highlight w:val="white"/>
          <w:vertAlign w:val="superscript"/>
        </w:rPr>
        <w:t>ERT2</w:t>
      </w:r>
      <w:r w:rsidR="0050090C" w:rsidRPr="006D7CFA">
        <w:rPr>
          <w:rFonts w:eastAsia="Times"/>
          <w:color w:val="000000" w:themeColor="text1"/>
          <w:highlight w:val="white"/>
        </w:rPr>
        <w:t xml:space="preserve"> mice every day </w:t>
      </w:r>
      <w:r w:rsidR="0050090C" w:rsidRPr="006D7CFA">
        <w:rPr>
          <w:rFonts w:eastAsia="Times"/>
          <w:color w:val="000000" w:themeColor="text1"/>
        </w:rPr>
        <w:t>for four consecutive days</w:t>
      </w:r>
      <w:r w:rsidR="0050090C" w:rsidRPr="006D7CFA">
        <w:rPr>
          <w:rFonts w:eastAsia="Times"/>
          <w:color w:val="000000" w:themeColor="text1"/>
          <w:highlight w:val="white"/>
        </w:rPr>
        <w:t xml:space="preserve"> with </w:t>
      </w:r>
      <w:r w:rsidR="0050090C" w:rsidRPr="006D7CFA">
        <w:rPr>
          <w:rFonts w:eastAsia="Times"/>
          <w:color w:val="000000" w:themeColor="text1"/>
        </w:rPr>
        <w:t>0.05 g Tamoxifen/</w:t>
      </w:r>
      <w:r w:rsidR="007965F5" w:rsidRPr="006D7CFA">
        <w:rPr>
          <w:rFonts w:eastAsia="Times"/>
          <w:color w:val="000000" w:themeColor="text1"/>
        </w:rPr>
        <w:t>k</w:t>
      </w:r>
      <w:r w:rsidR="0050090C" w:rsidRPr="006D7CFA">
        <w:rPr>
          <w:rFonts w:eastAsia="Times"/>
          <w:color w:val="000000" w:themeColor="text1"/>
        </w:rPr>
        <w:t xml:space="preserve">g body weight in corn oil. These mice are harvested ten days after the first tamoxifen injection to ensure the presence of cells </w:t>
      </w:r>
      <w:r w:rsidR="00245EE0" w:rsidRPr="006D7CFA">
        <w:rPr>
          <w:rFonts w:eastAsia="Times"/>
          <w:color w:val="000000" w:themeColor="text1"/>
        </w:rPr>
        <w:t xml:space="preserve">expressing stem cell-associated markers </w:t>
      </w:r>
      <w:r w:rsidR="0050090C" w:rsidRPr="006D7CFA">
        <w:rPr>
          <w:rFonts w:eastAsia="Times"/>
          <w:color w:val="000000" w:themeColor="text1"/>
        </w:rPr>
        <w:t xml:space="preserve">in the </w:t>
      </w:r>
      <w:r w:rsidR="00245EE0" w:rsidRPr="006D7CFA">
        <w:rPr>
          <w:rFonts w:eastAsia="Times"/>
          <w:color w:val="000000" w:themeColor="text1"/>
        </w:rPr>
        <w:t xml:space="preserve">dedifferentiating </w:t>
      </w:r>
      <w:r w:rsidR="0050090C" w:rsidRPr="006D7CFA">
        <w:rPr>
          <w:rFonts w:eastAsia="Times"/>
          <w:color w:val="000000" w:themeColor="text1"/>
        </w:rPr>
        <w:t>villi.</w:t>
      </w:r>
    </w:p>
    <w:p w14:paraId="10A8E067" w14:textId="77777777" w:rsidR="0050090C" w:rsidRPr="006D7CFA" w:rsidRDefault="0050090C" w:rsidP="006D7CFA">
      <w:pPr>
        <w:contextualSpacing/>
        <w:jc w:val="both"/>
        <w:rPr>
          <w:b/>
          <w:color w:val="000000" w:themeColor="text1"/>
        </w:rPr>
      </w:pPr>
    </w:p>
    <w:p w14:paraId="39B59A0C" w14:textId="65CF0826" w:rsidR="0050090C" w:rsidRPr="006D7CFA" w:rsidRDefault="0050090C" w:rsidP="006D7CFA">
      <w:pPr>
        <w:pStyle w:val="ListParagraph"/>
        <w:numPr>
          <w:ilvl w:val="1"/>
          <w:numId w:val="1"/>
        </w:numPr>
        <w:tabs>
          <w:tab w:val="clear" w:pos="1440"/>
        </w:tabs>
        <w:ind w:left="0" w:firstLine="0"/>
        <w:jc w:val="both"/>
        <w:rPr>
          <w:rFonts w:ascii="Times New Roman" w:hAnsi="Times New Roman" w:cs="Times New Roman"/>
          <w:b/>
          <w:color w:val="000000" w:themeColor="text1"/>
        </w:rPr>
      </w:pPr>
      <w:r w:rsidRPr="006D7CFA">
        <w:rPr>
          <w:rFonts w:ascii="Times New Roman" w:hAnsi="Times New Roman" w:cs="Times New Roman"/>
          <w:b/>
          <w:color w:val="000000" w:themeColor="text1"/>
        </w:rPr>
        <w:t>Duodenum isolation and preparation</w:t>
      </w:r>
    </w:p>
    <w:p w14:paraId="0B30A2CD" w14:textId="77777777" w:rsidR="006D7CFA" w:rsidRPr="006D7CFA" w:rsidRDefault="006D7CFA" w:rsidP="006D7CFA">
      <w:pPr>
        <w:pStyle w:val="ListParagraph"/>
        <w:ind w:left="0"/>
        <w:jc w:val="both"/>
        <w:rPr>
          <w:rFonts w:ascii="Times New Roman" w:hAnsi="Times New Roman" w:cs="Times New Roman"/>
          <w:b/>
          <w:color w:val="000000" w:themeColor="text1"/>
        </w:rPr>
      </w:pPr>
    </w:p>
    <w:p w14:paraId="06E394E8" w14:textId="494F2DCB" w:rsidR="0050090C" w:rsidRPr="006D7CFA" w:rsidRDefault="0050090C" w:rsidP="006D7CFA">
      <w:pPr>
        <w:pStyle w:val="ListParagraph"/>
        <w:numPr>
          <w:ilvl w:val="1"/>
          <w:numId w:val="6"/>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Dissect out the proximal half of the duodenum.</w:t>
      </w:r>
    </w:p>
    <w:p w14:paraId="63D433E3" w14:textId="77777777" w:rsidR="0050090C" w:rsidRPr="006D7CFA" w:rsidRDefault="0050090C" w:rsidP="006D7CFA">
      <w:pPr>
        <w:contextualSpacing/>
        <w:jc w:val="both"/>
        <w:rPr>
          <w:color w:val="000000" w:themeColor="text1"/>
        </w:rPr>
      </w:pPr>
    </w:p>
    <w:p w14:paraId="5ED780BA" w14:textId="6231B32F" w:rsidR="0050090C" w:rsidRPr="006D7CFA" w:rsidRDefault="0050090C" w:rsidP="006D7CFA">
      <w:pPr>
        <w:pStyle w:val="ListParagraph"/>
        <w:numPr>
          <w:ilvl w:val="1"/>
          <w:numId w:val="6"/>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Flush the duodenum with 5</w:t>
      </w:r>
      <w:r w:rsidR="006D7CFA" w:rsidRPr="006D7CFA">
        <w:rPr>
          <w:rFonts w:ascii="Times New Roman" w:hAnsi="Times New Roman" w:cs="Times New Roman"/>
          <w:color w:val="000000" w:themeColor="text1"/>
        </w:rPr>
        <w:t xml:space="preserve"> mL</w:t>
      </w:r>
      <w:r w:rsidRPr="006D7CFA">
        <w:rPr>
          <w:rFonts w:ascii="Times New Roman" w:hAnsi="Times New Roman" w:cs="Times New Roman"/>
          <w:color w:val="000000" w:themeColor="text1"/>
        </w:rPr>
        <w:t xml:space="preserve"> of ice-cold PBS in a 10</w:t>
      </w:r>
      <w:r w:rsidR="006D7CFA" w:rsidRPr="006D7CFA">
        <w:rPr>
          <w:rFonts w:ascii="Times New Roman" w:hAnsi="Times New Roman" w:cs="Times New Roman"/>
          <w:color w:val="000000" w:themeColor="text1"/>
        </w:rPr>
        <w:t xml:space="preserve"> mL</w:t>
      </w:r>
      <w:r w:rsidRPr="006D7CFA">
        <w:rPr>
          <w:rFonts w:ascii="Times New Roman" w:hAnsi="Times New Roman" w:cs="Times New Roman"/>
          <w:color w:val="000000" w:themeColor="text1"/>
        </w:rPr>
        <w:t xml:space="preserve"> syringe to clear the luminal content. </w:t>
      </w:r>
    </w:p>
    <w:p w14:paraId="0C7243AE" w14:textId="77777777" w:rsidR="0050090C" w:rsidRPr="006D7CFA" w:rsidRDefault="0050090C" w:rsidP="006D7CFA">
      <w:pPr>
        <w:contextualSpacing/>
        <w:jc w:val="both"/>
        <w:rPr>
          <w:color w:val="000000" w:themeColor="text1"/>
        </w:rPr>
      </w:pPr>
    </w:p>
    <w:p w14:paraId="169B111A" w14:textId="4D468C54" w:rsidR="0050090C" w:rsidRPr="006D7CFA" w:rsidRDefault="0050090C" w:rsidP="006D7CFA">
      <w:pPr>
        <w:pStyle w:val="ListParagraph"/>
        <w:numPr>
          <w:ilvl w:val="1"/>
          <w:numId w:val="6"/>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 xml:space="preserve">Open the duodenum longitudinally with an angled scissor and lay the duodenum flat on a 15 cm </w:t>
      </w:r>
      <w:r w:rsidR="006D7CFA" w:rsidRPr="006D7CFA">
        <w:rPr>
          <w:rFonts w:ascii="Times New Roman" w:hAnsi="Times New Roman" w:cs="Times New Roman"/>
          <w:color w:val="000000" w:themeColor="text1"/>
        </w:rPr>
        <w:t>P</w:t>
      </w:r>
      <w:r w:rsidRPr="006D7CFA">
        <w:rPr>
          <w:rFonts w:ascii="Times New Roman" w:hAnsi="Times New Roman" w:cs="Times New Roman"/>
          <w:color w:val="000000" w:themeColor="text1"/>
        </w:rPr>
        <w:t xml:space="preserve">etri plate on ice with the lumen of the duodenum facing the operator. </w:t>
      </w:r>
    </w:p>
    <w:p w14:paraId="55EBD056" w14:textId="77777777" w:rsidR="0050090C" w:rsidRPr="006D7CFA" w:rsidRDefault="0050090C" w:rsidP="006D7CFA">
      <w:pPr>
        <w:contextualSpacing/>
        <w:jc w:val="both"/>
        <w:rPr>
          <w:color w:val="000000" w:themeColor="text1"/>
        </w:rPr>
      </w:pPr>
    </w:p>
    <w:p w14:paraId="52A44E6E" w14:textId="6D318F51" w:rsidR="0050090C" w:rsidRPr="006D7CFA" w:rsidRDefault="0050090C" w:rsidP="006D7CFA">
      <w:pPr>
        <w:pStyle w:val="ListParagraph"/>
        <w:numPr>
          <w:ilvl w:val="1"/>
          <w:numId w:val="1"/>
        </w:numPr>
        <w:tabs>
          <w:tab w:val="clear" w:pos="1440"/>
        </w:tabs>
        <w:ind w:left="0" w:firstLine="0"/>
        <w:jc w:val="both"/>
        <w:rPr>
          <w:rFonts w:ascii="Times New Roman" w:hAnsi="Times New Roman" w:cs="Times New Roman"/>
          <w:b/>
          <w:color w:val="000000" w:themeColor="text1"/>
        </w:rPr>
      </w:pPr>
      <w:r w:rsidRPr="006D7CFA">
        <w:rPr>
          <w:rFonts w:ascii="Times New Roman" w:hAnsi="Times New Roman" w:cs="Times New Roman"/>
          <w:b/>
          <w:color w:val="000000" w:themeColor="text1"/>
        </w:rPr>
        <w:t>Villi isolation by scraping</w:t>
      </w:r>
    </w:p>
    <w:p w14:paraId="17BDE2F7" w14:textId="77777777" w:rsidR="006D7CFA" w:rsidRPr="006D7CFA" w:rsidRDefault="006D7CFA" w:rsidP="006D7CFA">
      <w:pPr>
        <w:pStyle w:val="ListParagraph"/>
        <w:ind w:left="0"/>
        <w:jc w:val="both"/>
        <w:rPr>
          <w:rFonts w:ascii="Times New Roman" w:hAnsi="Times New Roman" w:cs="Times New Roman"/>
          <w:b/>
          <w:color w:val="000000" w:themeColor="text1"/>
        </w:rPr>
      </w:pPr>
    </w:p>
    <w:p w14:paraId="2FB88AA8" w14:textId="783157C1" w:rsidR="006D7CFA" w:rsidRPr="006D7CFA" w:rsidRDefault="0050090C" w:rsidP="006D7CFA">
      <w:pPr>
        <w:pStyle w:val="ListParagraph"/>
        <w:numPr>
          <w:ilvl w:val="1"/>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Prior to beginning the scraping, place a 70</w:t>
      </w:r>
      <w:r w:rsidR="00485608" w:rsidRPr="006D7CFA">
        <w:rPr>
          <w:rFonts w:ascii="Times New Roman" w:hAnsi="Times New Roman" w:cs="Times New Roman"/>
          <w:color w:val="000000" w:themeColor="text1"/>
        </w:rPr>
        <w:t xml:space="preserve"> µm</w:t>
      </w:r>
      <w:r w:rsidRPr="006D7CFA">
        <w:rPr>
          <w:rFonts w:ascii="Times New Roman" w:hAnsi="Times New Roman" w:cs="Times New Roman"/>
          <w:color w:val="000000" w:themeColor="text1"/>
        </w:rPr>
        <w:t xml:space="preserve"> mesh strainer in one of the wells of a 6-well tissue culture plate. Fill all the wells with</w:t>
      </w:r>
      <w:r w:rsidR="00745D49" w:rsidRPr="006D7CFA">
        <w:rPr>
          <w:rFonts w:ascii="Times New Roman" w:hAnsi="Times New Roman" w:cs="Times New Roman"/>
          <w:color w:val="000000" w:themeColor="text1"/>
        </w:rPr>
        <w:t xml:space="preserve"> 4</w:t>
      </w:r>
      <w:r w:rsidR="006D7CFA" w:rsidRPr="006D7CFA">
        <w:rPr>
          <w:rFonts w:ascii="Times New Roman" w:hAnsi="Times New Roman" w:cs="Times New Roman"/>
          <w:color w:val="000000" w:themeColor="text1"/>
        </w:rPr>
        <w:t xml:space="preserve"> mL of</w:t>
      </w:r>
      <w:r w:rsidR="00745D49" w:rsidRPr="006D7CFA">
        <w:rPr>
          <w:rFonts w:ascii="Times New Roman" w:hAnsi="Times New Roman" w:cs="Times New Roman"/>
          <w:color w:val="000000" w:themeColor="text1"/>
        </w:rPr>
        <w:t xml:space="preserve"> </w:t>
      </w:r>
      <w:r w:rsidRPr="006D7CFA">
        <w:rPr>
          <w:rFonts w:ascii="Times New Roman" w:hAnsi="Times New Roman" w:cs="Times New Roman"/>
          <w:color w:val="000000" w:themeColor="text1"/>
        </w:rPr>
        <w:t>1</w:t>
      </w:r>
      <w:r w:rsidR="006D7CFA" w:rsidRPr="006D7CFA">
        <w:rPr>
          <w:rFonts w:ascii="Times New Roman" w:hAnsi="Times New Roman" w:cs="Times New Roman"/>
          <w:color w:val="000000" w:themeColor="text1"/>
        </w:rPr>
        <w:t>x</w:t>
      </w:r>
      <w:r w:rsidRPr="006D7CFA">
        <w:rPr>
          <w:rFonts w:ascii="Times New Roman" w:hAnsi="Times New Roman" w:cs="Times New Roman"/>
          <w:color w:val="000000" w:themeColor="text1"/>
        </w:rPr>
        <w:t xml:space="preserve"> </w:t>
      </w:r>
      <w:r w:rsidR="006D7CFA" w:rsidRPr="006D7CFA">
        <w:rPr>
          <w:rFonts w:ascii="Times New Roman" w:hAnsi="Times New Roman" w:cs="Times New Roman"/>
          <w:color w:val="000000" w:themeColor="text1"/>
        </w:rPr>
        <w:t>PBS and</w:t>
      </w:r>
      <w:r w:rsidRPr="006D7CFA">
        <w:rPr>
          <w:rFonts w:ascii="Times New Roman" w:hAnsi="Times New Roman" w:cs="Times New Roman"/>
          <w:color w:val="000000" w:themeColor="text1"/>
        </w:rPr>
        <w:t xml:space="preserve"> place the 6-well tissue culture plate on ice (</w:t>
      </w:r>
      <w:r w:rsidRPr="006D7CFA">
        <w:rPr>
          <w:rFonts w:ascii="Times New Roman" w:hAnsi="Times New Roman" w:cs="Times New Roman"/>
          <w:b/>
          <w:bCs/>
          <w:color w:val="000000" w:themeColor="text1"/>
        </w:rPr>
        <w:t>Fig</w:t>
      </w:r>
      <w:r w:rsidR="004B18AB" w:rsidRPr="006D7CFA">
        <w:rPr>
          <w:rFonts w:ascii="Times New Roman" w:hAnsi="Times New Roman" w:cs="Times New Roman"/>
          <w:b/>
          <w:bCs/>
          <w:color w:val="000000" w:themeColor="text1"/>
        </w:rPr>
        <w:t xml:space="preserve">ure </w:t>
      </w:r>
      <w:r w:rsidRPr="006D7CFA">
        <w:rPr>
          <w:rFonts w:ascii="Times New Roman" w:hAnsi="Times New Roman" w:cs="Times New Roman"/>
          <w:b/>
          <w:bCs/>
          <w:color w:val="000000" w:themeColor="text1"/>
        </w:rPr>
        <w:t>1</w:t>
      </w:r>
      <w:r w:rsidRPr="006D7CFA">
        <w:rPr>
          <w:rFonts w:ascii="Times New Roman" w:hAnsi="Times New Roman" w:cs="Times New Roman"/>
          <w:color w:val="000000" w:themeColor="text1"/>
        </w:rPr>
        <w:t>)</w:t>
      </w:r>
      <w:r w:rsidR="006D7CFA" w:rsidRPr="006D7CFA">
        <w:rPr>
          <w:rFonts w:ascii="Times New Roman" w:hAnsi="Times New Roman" w:cs="Times New Roman"/>
          <w:color w:val="000000" w:themeColor="text1"/>
        </w:rPr>
        <w:t>.</w:t>
      </w:r>
    </w:p>
    <w:p w14:paraId="325C0565" w14:textId="77777777" w:rsidR="0050090C" w:rsidRPr="006D7CFA" w:rsidRDefault="0050090C" w:rsidP="006D7CFA">
      <w:pPr>
        <w:contextualSpacing/>
        <w:jc w:val="both"/>
        <w:rPr>
          <w:color w:val="000000" w:themeColor="text1"/>
        </w:rPr>
      </w:pPr>
    </w:p>
    <w:p w14:paraId="0F47C8AA" w14:textId="60841C20" w:rsidR="0050090C" w:rsidRPr="006D7CFA" w:rsidRDefault="0050090C" w:rsidP="006D7CFA">
      <w:pPr>
        <w:pStyle w:val="ListParagraph"/>
        <w:numPr>
          <w:ilvl w:val="1"/>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Scrape the villi as follows using two microscopic glass slides: one to hold the duodenum down and the other to scrape (</w:t>
      </w:r>
      <w:r w:rsidRPr="006D7CFA">
        <w:rPr>
          <w:rFonts w:ascii="Times New Roman" w:hAnsi="Times New Roman" w:cs="Times New Roman"/>
          <w:b/>
          <w:bCs/>
          <w:color w:val="000000" w:themeColor="text1"/>
        </w:rPr>
        <w:t>Fig</w:t>
      </w:r>
      <w:r w:rsidR="004B18AB" w:rsidRPr="006D7CFA">
        <w:rPr>
          <w:rFonts w:ascii="Times New Roman" w:hAnsi="Times New Roman" w:cs="Times New Roman"/>
          <w:b/>
          <w:bCs/>
          <w:color w:val="000000" w:themeColor="text1"/>
        </w:rPr>
        <w:t>ure</w:t>
      </w:r>
      <w:r w:rsidRPr="006D7CFA">
        <w:rPr>
          <w:rFonts w:ascii="Times New Roman" w:hAnsi="Times New Roman" w:cs="Times New Roman"/>
          <w:b/>
          <w:bCs/>
          <w:color w:val="000000" w:themeColor="text1"/>
        </w:rPr>
        <w:t xml:space="preserve"> 1B1</w:t>
      </w:r>
      <w:r w:rsidRPr="006D7CFA">
        <w:rPr>
          <w:rFonts w:ascii="Times New Roman" w:hAnsi="Times New Roman" w:cs="Times New Roman"/>
          <w:color w:val="000000" w:themeColor="text1"/>
        </w:rPr>
        <w:t xml:space="preserve">). </w:t>
      </w:r>
    </w:p>
    <w:p w14:paraId="4FE9D47C" w14:textId="77777777" w:rsidR="0050090C" w:rsidRPr="006D7CFA" w:rsidRDefault="0050090C" w:rsidP="006D7CFA">
      <w:pPr>
        <w:contextualSpacing/>
        <w:jc w:val="both"/>
        <w:rPr>
          <w:color w:val="000000" w:themeColor="text1"/>
        </w:rPr>
      </w:pPr>
      <w:r w:rsidRPr="006D7CFA">
        <w:rPr>
          <w:color w:val="000000" w:themeColor="text1"/>
        </w:rPr>
        <w:tab/>
      </w:r>
    </w:p>
    <w:p w14:paraId="588971C3" w14:textId="22BB6D6F" w:rsidR="0050090C" w:rsidRPr="006D7CFA" w:rsidRDefault="0050090C" w:rsidP="006D7CFA">
      <w:pPr>
        <w:pStyle w:val="ListParagraph"/>
        <w:numPr>
          <w:ilvl w:val="2"/>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lastRenderedPageBreak/>
        <w:t xml:space="preserve">Scrape the luminal side of the duodenum superficially to-and-fro twice to remove the mucus. </w:t>
      </w:r>
      <w:r w:rsidR="006D7CFA">
        <w:rPr>
          <w:rFonts w:ascii="Times New Roman" w:hAnsi="Times New Roman" w:cs="Times New Roman"/>
          <w:color w:val="000000" w:themeColor="text1"/>
        </w:rPr>
        <w:t>Apply</w:t>
      </w:r>
      <w:r w:rsidRPr="006D7CFA">
        <w:rPr>
          <w:rFonts w:ascii="Times New Roman" w:hAnsi="Times New Roman" w:cs="Times New Roman"/>
          <w:color w:val="000000" w:themeColor="text1"/>
        </w:rPr>
        <w:t xml:space="preserve"> pressure such that this step removes the mucus layer, but not the villi.</w:t>
      </w:r>
      <w:r w:rsidR="008070B4" w:rsidRPr="006D7CFA">
        <w:rPr>
          <w:rFonts w:ascii="Times New Roman" w:hAnsi="Times New Roman" w:cs="Times New Roman"/>
          <w:color w:val="000000" w:themeColor="text1"/>
        </w:rPr>
        <w:t xml:space="preserve"> </w:t>
      </w:r>
    </w:p>
    <w:p w14:paraId="2BDE2214" w14:textId="77777777" w:rsidR="0050090C" w:rsidRPr="006D7CFA" w:rsidRDefault="0050090C" w:rsidP="006D7CFA">
      <w:pPr>
        <w:pStyle w:val="ListParagraph"/>
        <w:ind w:left="0"/>
        <w:jc w:val="both"/>
        <w:rPr>
          <w:rFonts w:ascii="Times New Roman" w:hAnsi="Times New Roman" w:cs="Times New Roman"/>
          <w:color w:val="000000" w:themeColor="text1"/>
        </w:rPr>
      </w:pPr>
    </w:p>
    <w:p w14:paraId="03CE23C0" w14:textId="2F1D06F7" w:rsidR="0050090C" w:rsidRPr="006D7CFA" w:rsidRDefault="0050090C" w:rsidP="006D7CFA">
      <w:pPr>
        <w:pStyle w:val="ListParagraph"/>
        <w:numPr>
          <w:ilvl w:val="2"/>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Scrape the duodenum again, to-and-fro twice applying the same pressure as in 3.</w:t>
      </w:r>
      <w:sdt>
        <w:sdtPr>
          <w:rPr>
            <w:rFonts w:ascii="Times New Roman" w:hAnsi="Times New Roman" w:cs="Times New Roman"/>
            <w:color w:val="000000" w:themeColor="text1"/>
          </w:rPr>
          <w:tag w:val="goog_rdk_49"/>
          <w:id w:val="1729487509"/>
        </w:sdtPr>
        <w:sdtEndPr/>
        <w:sdtContent>
          <w:r w:rsidRPr="006D7CFA">
            <w:rPr>
              <w:rFonts w:ascii="Times New Roman" w:hAnsi="Times New Roman" w:cs="Times New Roman"/>
              <w:color w:val="000000" w:themeColor="text1"/>
            </w:rPr>
            <w:t>2</w:t>
          </w:r>
        </w:sdtContent>
      </w:sdt>
      <w:r w:rsidRPr="006D7CFA">
        <w:rPr>
          <w:rFonts w:ascii="Times New Roman" w:hAnsi="Times New Roman" w:cs="Times New Roman"/>
          <w:color w:val="000000" w:themeColor="text1"/>
        </w:rPr>
        <w:t>.1, during which villi can be seen collecting on the slides (</w:t>
      </w:r>
      <w:r w:rsidR="008B13FD" w:rsidRPr="006D7CFA">
        <w:rPr>
          <w:rFonts w:ascii="Times New Roman" w:hAnsi="Times New Roman" w:cs="Times New Roman"/>
          <w:b/>
          <w:bCs/>
          <w:color w:val="000000" w:themeColor="text1"/>
        </w:rPr>
        <w:t>F</w:t>
      </w:r>
      <w:r w:rsidRPr="006D7CFA">
        <w:rPr>
          <w:rFonts w:ascii="Times New Roman" w:hAnsi="Times New Roman" w:cs="Times New Roman"/>
          <w:b/>
          <w:bCs/>
          <w:color w:val="000000" w:themeColor="text1"/>
        </w:rPr>
        <w:t>ig</w:t>
      </w:r>
      <w:r w:rsidR="004B18AB" w:rsidRPr="006D7CFA">
        <w:rPr>
          <w:rFonts w:ascii="Times New Roman" w:hAnsi="Times New Roman" w:cs="Times New Roman"/>
          <w:b/>
          <w:bCs/>
          <w:color w:val="000000" w:themeColor="text1"/>
        </w:rPr>
        <w:t>ure</w:t>
      </w:r>
      <w:r w:rsidR="00D07BA2" w:rsidRPr="006D7CFA">
        <w:rPr>
          <w:rFonts w:ascii="Times New Roman" w:hAnsi="Times New Roman" w:cs="Times New Roman"/>
          <w:b/>
          <w:bCs/>
          <w:color w:val="000000" w:themeColor="text1"/>
        </w:rPr>
        <w:t xml:space="preserve"> </w:t>
      </w:r>
      <w:r w:rsidRPr="006D7CFA">
        <w:rPr>
          <w:rFonts w:ascii="Times New Roman" w:hAnsi="Times New Roman" w:cs="Times New Roman"/>
          <w:b/>
          <w:bCs/>
          <w:color w:val="000000" w:themeColor="text1"/>
        </w:rPr>
        <w:t>1B2</w:t>
      </w:r>
      <w:r w:rsidRPr="006D7CFA">
        <w:rPr>
          <w:rFonts w:ascii="Times New Roman" w:hAnsi="Times New Roman" w:cs="Times New Roman"/>
          <w:color w:val="000000" w:themeColor="text1"/>
        </w:rPr>
        <w:t xml:space="preserve">). This is the optimal pressure (which must be determined empirically by the operator) to yield the villi without the crypts tethered. </w:t>
      </w:r>
    </w:p>
    <w:p w14:paraId="163E1EFF" w14:textId="77777777" w:rsidR="0050090C" w:rsidRPr="006D7CFA" w:rsidRDefault="0050090C" w:rsidP="006D7CFA">
      <w:pPr>
        <w:contextualSpacing/>
        <w:jc w:val="both"/>
        <w:rPr>
          <w:color w:val="000000" w:themeColor="text1"/>
        </w:rPr>
      </w:pPr>
    </w:p>
    <w:p w14:paraId="6837D07C" w14:textId="27B334EB" w:rsidR="0050090C" w:rsidRPr="006D7CFA" w:rsidRDefault="0050090C" w:rsidP="006D7CFA">
      <w:pPr>
        <w:pStyle w:val="ListParagraph"/>
        <w:numPr>
          <w:ilvl w:val="1"/>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Use a 1</w:t>
      </w:r>
      <w:r w:rsidR="006D7CFA" w:rsidRPr="006D7CFA">
        <w:rPr>
          <w:rFonts w:ascii="Times New Roman" w:hAnsi="Times New Roman" w:cs="Times New Roman"/>
          <w:color w:val="000000" w:themeColor="text1"/>
        </w:rPr>
        <w:t xml:space="preserve"> mL</w:t>
      </w:r>
      <w:r w:rsidRPr="006D7CFA">
        <w:rPr>
          <w:rFonts w:ascii="Times New Roman" w:hAnsi="Times New Roman" w:cs="Times New Roman"/>
          <w:color w:val="000000" w:themeColor="text1"/>
        </w:rPr>
        <w:t xml:space="preserve"> transfer pipet containing PBS to transfer the villi (that are collected on the slide from step</w:t>
      </w:r>
      <w:r w:rsidR="00745D49" w:rsidRPr="006D7CFA">
        <w:rPr>
          <w:rFonts w:ascii="Times New Roman" w:hAnsi="Times New Roman" w:cs="Times New Roman"/>
          <w:color w:val="000000" w:themeColor="text1"/>
        </w:rPr>
        <w:t xml:space="preserve"> 3.2.2.</w:t>
      </w:r>
      <w:r w:rsidRPr="006D7CFA">
        <w:rPr>
          <w:rFonts w:ascii="Times New Roman" w:hAnsi="Times New Roman" w:cs="Times New Roman"/>
          <w:color w:val="000000" w:themeColor="text1"/>
        </w:rPr>
        <w:t>) to a 70</w:t>
      </w:r>
      <w:r w:rsidR="00485608" w:rsidRPr="006D7CFA">
        <w:rPr>
          <w:rFonts w:ascii="Times New Roman" w:hAnsi="Times New Roman" w:cs="Times New Roman"/>
          <w:color w:val="000000" w:themeColor="text1"/>
        </w:rPr>
        <w:t xml:space="preserve"> µm</w:t>
      </w:r>
      <w:r w:rsidRPr="006D7CFA">
        <w:rPr>
          <w:rFonts w:ascii="Times New Roman" w:hAnsi="Times New Roman" w:cs="Times New Roman"/>
          <w:color w:val="000000" w:themeColor="text1"/>
        </w:rPr>
        <w:t xml:space="preserve"> mesh strainer placed in a 6-well dish. The villi are collected thus, after every scrape (</w:t>
      </w:r>
      <w:r w:rsidRPr="006D7CFA">
        <w:rPr>
          <w:rFonts w:ascii="Times New Roman" w:hAnsi="Times New Roman" w:cs="Times New Roman"/>
          <w:b/>
          <w:bCs/>
          <w:color w:val="000000" w:themeColor="text1"/>
        </w:rPr>
        <w:t>Fig</w:t>
      </w:r>
      <w:r w:rsidR="004B18AB" w:rsidRPr="006D7CFA">
        <w:rPr>
          <w:rFonts w:ascii="Times New Roman" w:hAnsi="Times New Roman" w:cs="Times New Roman"/>
          <w:b/>
          <w:bCs/>
          <w:color w:val="000000" w:themeColor="text1"/>
        </w:rPr>
        <w:t>ure</w:t>
      </w:r>
      <w:r w:rsidRPr="006D7CFA">
        <w:rPr>
          <w:rFonts w:ascii="Times New Roman" w:hAnsi="Times New Roman" w:cs="Times New Roman"/>
          <w:b/>
          <w:bCs/>
          <w:color w:val="000000" w:themeColor="text1"/>
        </w:rPr>
        <w:t xml:space="preserve"> 1B2</w:t>
      </w:r>
      <w:r w:rsidRPr="006D7CFA">
        <w:rPr>
          <w:rFonts w:ascii="Times New Roman" w:hAnsi="Times New Roman" w:cs="Times New Roman"/>
          <w:color w:val="000000" w:themeColor="text1"/>
        </w:rPr>
        <w:t>)</w:t>
      </w:r>
      <w:r w:rsidR="006D7CFA">
        <w:rPr>
          <w:rFonts w:ascii="Times New Roman" w:hAnsi="Times New Roman" w:cs="Times New Roman"/>
          <w:color w:val="000000" w:themeColor="text1"/>
        </w:rPr>
        <w:t>.</w:t>
      </w:r>
    </w:p>
    <w:p w14:paraId="40461990" w14:textId="77777777" w:rsidR="0050090C" w:rsidRPr="006D7CFA" w:rsidRDefault="0050090C" w:rsidP="006D7CFA">
      <w:pPr>
        <w:contextualSpacing/>
        <w:jc w:val="both"/>
        <w:rPr>
          <w:color w:val="000000" w:themeColor="text1"/>
        </w:rPr>
      </w:pPr>
    </w:p>
    <w:p w14:paraId="5C4F6E18" w14:textId="5B3D81D1" w:rsidR="0050090C" w:rsidRPr="006D7CFA" w:rsidRDefault="0050090C" w:rsidP="006D7CFA">
      <w:pPr>
        <w:pStyle w:val="ListParagraph"/>
        <w:numPr>
          <w:ilvl w:val="1"/>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Wash the villi collected in the 70</w:t>
      </w:r>
      <w:r w:rsidR="00485608" w:rsidRPr="006D7CFA">
        <w:rPr>
          <w:rFonts w:ascii="Times New Roman" w:hAnsi="Times New Roman" w:cs="Times New Roman"/>
          <w:color w:val="000000" w:themeColor="text1"/>
        </w:rPr>
        <w:t xml:space="preserve"> µm</w:t>
      </w:r>
      <w:r w:rsidRPr="006D7CFA">
        <w:rPr>
          <w:rFonts w:ascii="Times New Roman" w:hAnsi="Times New Roman" w:cs="Times New Roman"/>
          <w:color w:val="000000" w:themeColor="text1"/>
        </w:rPr>
        <w:t xml:space="preserve"> strainer (from step 3.3) by transferring the strainer (with the villi) through a series of wells in a 6-well dish containing cold PBS (~ 4</w:t>
      </w:r>
      <w:r w:rsidR="006D7CFA" w:rsidRPr="006D7CFA">
        <w:rPr>
          <w:rFonts w:ascii="Times New Roman" w:hAnsi="Times New Roman" w:cs="Times New Roman"/>
          <w:color w:val="000000" w:themeColor="text1"/>
        </w:rPr>
        <w:t xml:space="preserve"> mL</w:t>
      </w:r>
      <w:r w:rsidRPr="006D7CFA">
        <w:rPr>
          <w:rFonts w:ascii="Times New Roman" w:hAnsi="Times New Roman" w:cs="Times New Roman"/>
          <w:color w:val="000000" w:themeColor="text1"/>
        </w:rPr>
        <w:t xml:space="preserve">/well). This is to remove loose crypts, if any. </w:t>
      </w:r>
    </w:p>
    <w:p w14:paraId="6E3F852E" w14:textId="77777777" w:rsidR="0050090C" w:rsidRPr="006D7CFA" w:rsidRDefault="0050090C" w:rsidP="006D7CFA">
      <w:pPr>
        <w:contextualSpacing/>
        <w:jc w:val="both"/>
        <w:rPr>
          <w:color w:val="000000" w:themeColor="text1"/>
        </w:rPr>
      </w:pPr>
    </w:p>
    <w:p w14:paraId="15E51639" w14:textId="4F19F6B8" w:rsidR="0050090C" w:rsidRPr="006D7CFA" w:rsidRDefault="0050090C" w:rsidP="006D7CFA">
      <w:pPr>
        <w:pStyle w:val="ListParagraph"/>
        <w:numPr>
          <w:ilvl w:val="1"/>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Using a p1000 pipet, transfer the villi suspension in PBS (~ 3</w:t>
      </w:r>
      <w:r w:rsidR="006D7CFA" w:rsidRPr="006D7CFA">
        <w:rPr>
          <w:rFonts w:ascii="Times New Roman" w:hAnsi="Times New Roman" w:cs="Times New Roman"/>
          <w:color w:val="000000" w:themeColor="text1"/>
        </w:rPr>
        <w:t xml:space="preserve"> mL</w:t>
      </w:r>
      <w:r w:rsidRPr="006D7CFA">
        <w:rPr>
          <w:rFonts w:ascii="Times New Roman" w:hAnsi="Times New Roman" w:cs="Times New Roman"/>
          <w:color w:val="000000" w:themeColor="text1"/>
        </w:rPr>
        <w:t xml:space="preserve">) </w:t>
      </w:r>
      <w:sdt>
        <w:sdtPr>
          <w:rPr>
            <w:rFonts w:ascii="Times New Roman" w:hAnsi="Times New Roman" w:cs="Times New Roman"/>
            <w:color w:val="000000" w:themeColor="text1"/>
          </w:rPr>
          <w:tag w:val="goog_rdk_51"/>
          <w:id w:val="-927421617"/>
        </w:sdtPr>
        <w:sdtEndPr/>
        <w:sdtContent>
          <w:r w:rsidRPr="006D7CFA">
            <w:rPr>
              <w:rFonts w:ascii="Times New Roman" w:hAnsi="Times New Roman" w:cs="Times New Roman"/>
              <w:color w:val="000000" w:themeColor="text1"/>
            </w:rPr>
            <w:t>from the 70</w:t>
          </w:r>
          <w:r w:rsidR="00485608" w:rsidRPr="006D7CFA">
            <w:rPr>
              <w:rFonts w:ascii="Times New Roman" w:hAnsi="Times New Roman" w:cs="Times New Roman"/>
              <w:color w:val="000000" w:themeColor="text1"/>
            </w:rPr>
            <w:t xml:space="preserve"> µm</w:t>
          </w:r>
          <w:r w:rsidRPr="006D7CFA">
            <w:rPr>
              <w:rFonts w:ascii="Times New Roman" w:hAnsi="Times New Roman" w:cs="Times New Roman"/>
              <w:color w:val="000000" w:themeColor="text1"/>
            </w:rPr>
            <w:t xml:space="preserve"> strainer </w:t>
          </w:r>
        </w:sdtContent>
      </w:sdt>
      <w:r w:rsidRPr="006D7CFA">
        <w:rPr>
          <w:rFonts w:ascii="Times New Roman" w:hAnsi="Times New Roman" w:cs="Times New Roman"/>
          <w:color w:val="000000" w:themeColor="text1"/>
        </w:rPr>
        <w:t>to a new 15</w:t>
      </w:r>
      <w:r w:rsidR="006D7CFA" w:rsidRPr="006D7CFA">
        <w:rPr>
          <w:rFonts w:ascii="Times New Roman" w:hAnsi="Times New Roman" w:cs="Times New Roman"/>
          <w:color w:val="000000" w:themeColor="text1"/>
        </w:rPr>
        <w:t xml:space="preserve"> mL</w:t>
      </w:r>
      <w:r w:rsidRPr="006D7CFA">
        <w:rPr>
          <w:rFonts w:ascii="Times New Roman" w:hAnsi="Times New Roman" w:cs="Times New Roman"/>
          <w:color w:val="000000" w:themeColor="text1"/>
        </w:rPr>
        <w:t xml:space="preserve"> tube on ice. </w:t>
      </w:r>
    </w:p>
    <w:p w14:paraId="10923A63" w14:textId="77777777" w:rsidR="0050090C" w:rsidRPr="006D7CFA" w:rsidRDefault="0050090C" w:rsidP="006D7CFA">
      <w:pPr>
        <w:contextualSpacing/>
        <w:jc w:val="both"/>
        <w:rPr>
          <w:color w:val="000000" w:themeColor="text1"/>
        </w:rPr>
      </w:pPr>
    </w:p>
    <w:p w14:paraId="54D6ABD9" w14:textId="2028E640" w:rsidR="0050090C" w:rsidRPr="006D7CFA" w:rsidRDefault="0050090C" w:rsidP="006D7CFA">
      <w:pPr>
        <w:pStyle w:val="ListParagraph"/>
        <w:numPr>
          <w:ilvl w:val="1"/>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Use a 0.1%</w:t>
      </w:r>
      <w:r w:rsidRPr="006D7CFA">
        <w:rPr>
          <w:rFonts w:ascii="Times New Roman" w:hAnsi="Times New Roman" w:cs="Times New Roman"/>
          <w:b/>
          <w:color w:val="000000" w:themeColor="text1"/>
        </w:rPr>
        <w:t xml:space="preserve"> </w:t>
      </w:r>
      <w:r w:rsidRPr="006D7CFA">
        <w:rPr>
          <w:rFonts w:ascii="Times New Roman" w:hAnsi="Times New Roman" w:cs="Times New Roman"/>
          <w:color w:val="000000" w:themeColor="text1"/>
        </w:rPr>
        <w:t xml:space="preserve">BSA coated blunt-ended p200 pipet tip to aspirate 50 </w:t>
      </w:r>
      <w:r w:rsidR="006D7CFA">
        <w:rPr>
          <w:rFonts w:ascii="Times New Roman" w:hAnsi="Times New Roman" w:cs="Times New Roman"/>
          <w:color w:val="000000" w:themeColor="text1"/>
          <w:shd w:val="clear" w:color="auto" w:fill="FFFFFF"/>
        </w:rPr>
        <w:t>μL</w:t>
      </w:r>
      <w:r w:rsidRPr="006D7CFA">
        <w:rPr>
          <w:rFonts w:ascii="Times New Roman" w:hAnsi="Times New Roman" w:cs="Times New Roman"/>
          <w:color w:val="000000" w:themeColor="text1"/>
        </w:rPr>
        <w:t xml:space="preserve"> volume of the villi suspension onto a glass slide. Count the number of villi in the 50 </w:t>
      </w:r>
      <w:r w:rsidR="006D7CFA">
        <w:rPr>
          <w:rFonts w:ascii="Times New Roman" w:hAnsi="Times New Roman" w:cs="Times New Roman"/>
          <w:color w:val="000000" w:themeColor="text1"/>
          <w:shd w:val="clear" w:color="auto" w:fill="FFFFFF"/>
        </w:rPr>
        <w:t>μL</w:t>
      </w:r>
      <w:r w:rsidRPr="006D7CFA">
        <w:rPr>
          <w:rFonts w:ascii="Times New Roman" w:hAnsi="Times New Roman" w:cs="Times New Roman"/>
          <w:color w:val="000000" w:themeColor="text1"/>
        </w:rPr>
        <w:t xml:space="preserve"> droplet under 4x magnification to determine the concentration of villi in the PBS suspension. For example, if there are 10 villi in the 5</w:t>
      </w:r>
      <w:r w:rsidR="006D7CFA">
        <w:rPr>
          <w:rFonts w:ascii="Times New Roman" w:hAnsi="Times New Roman" w:cs="Times New Roman"/>
          <w:color w:val="000000" w:themeColor="text1"/>
        </w:rPr>
        <w:t xml:space="preserve">0 </w:t>
      </w:r>
      <w:r w:rsidR="006D7CFA">
        <w:rPr>
          <w:rFonts w:ascii="Times New Roman" w:hAnsi="Times New Roman" w:cs="Times New Roman"/>
          <w:color w:val="000000" w:themeColor="text1"/>
          <w:shd w:val="clear" w:color="auto" w:fill="FFFFFF"/>
        </w:rPr>
        <w:t>μL</w:t>
      </w:r>
      <w:r w:rsidRPr="006D7CFA">
        <w:rPr>
          <w:rFonts w:ascii="Times New Roman" w:hAnsi="Times New Roman" w:cs="Times New Roman"/>
          <w:color w:val="000000" w:themeColor="text1"/>
        </w:rPr>
        <w:t xml:space="preserve"> suspension examined, then the villi concentration is 0.2 villi/</w:t>
      </w:r>
      <w:r w:rsidR="006D7CFA">
        <w:rPr>
          <w:rFonts w:ascii="Times New Roman" w:hAnsi="Times New Roman" w:cs="Times New Roman"/>
          <w:color w:val="000000" w:themeColor="text1"/>
          <w:shd w:val="clear" w:color="auto" w:fill="FFFFFF"/>
        </w:rPr>
        <w:t>μL</w:t>
      </w:r>
      <w:r w:rsidRPr="006D7CFA">
        <w:rPr>
          <w:rFonts w:ascii="Times New Roman" w:hAnsi="Times New Roman" w:cs="Times New Roman"/>
          <w:color w:val="000000" w:themeColor="text1"/>
        </w:rPr>
        <w:t>. This is also the time to confirm the absence of tethered crypts.</w:t>
      </w:r>
    </w:p>
    <w:p w14:paraId="4A8B9366" w14:textId="77777777" w:rsidR="0050090C" w:rsidRPr="006D7CFA" w:rsidRDefault="0050090C" w:rsidP="006D7CFA">
      <w:pPr>
        <w:contextualSpacing/>
        <w:jc w:val="both"/>
        <w:rPr>
          <w:color w:val="000000" w:themeColor="text1"/>
        </w:rPr>
      </w:pPr>
    </w:p>
    <w:p w14:paraId="67A29BA6" w14:textId="2181834A" w:rsidR="0050090C" w:rsidRPr="006D7CFA" w:rsidRDefault="0050090C" w:rsidP="006D7CFA">
      <w:pPr>
        <w:pStyle w:val="ListParagraph"/>
        <w:numPr>
          <w:ilvl w:val="1"/>
          <w:numId w:val="7"/>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Calculate the volume of villi suspension required to plate at a concentration of</w:t>
      </w:r>
      <w:r w:rsidR="00514AD3" w:rsidRPr="006D7CFA">
        <w:rPr>
          <w:rFonts w:ascii="Times New Roman" w:hAnsi="Times New Roman" w:cs="Times New Roman"/>
          <w:color w:val="000000" w:themeColor="text1"/>
        </w:rPr>
        <w:t xml:space="preserve"> </w:t>
      </w:r>
      <w:r w:rsidRPr="006D7CFA">
        <w:rPr>
          <w:rFonts w:ascii="Times New Roman" w:hAnsi="Times New Roman" w:cs="Times New Roman"/>
          <w:color w:val="000000" w:themeColor="text1"/>
        </w:rPr>
        <w:t>0.5 villi/</w:t>
      </w:r>
      <w:r w:rsidR="006D7CFA">
        <w:rPr>
          <w:rFonts w:ascii="Times New Roman" w:hAnsi="Times New Roman" w:cs="Times New Roman"/>
          <w:color w:val="000000" w:themeColor="text1"/>
          <w:shd w:val="clear" w:color="auto" w:fill="FFFFFF"/>
        </w:rPr>
        <w:t>μL</w:t>
      </w:r>
      <w:r w:rsidR="00BF1CCD" w:rsidRPr="006D7CFA" w:rsidDel="00BF1CCD">
        <w:rPr>
          <w:rFonts w:ascii="Times New Roman" w:hAnsi="Times New Roman" w:cs="Times New Roman"/>
          <w:color w:val="000000" w:themeColor="text1"/>
        </w:rPr>
        <w:t xml:space="preserve"> </w:t>
      </w:r>
      <w:r w:rsidRPr="006D7CFA">
        <w:rPr>
          <w:rFonts w:ascii="Times New Roman" w:hAnsi="Times New Roman" w:cs="Times New Roman"/>
          <w:color w:val="000000" w:themeColor="text1"/>
        </w:rPr>
        <w:t>of BME-R1 matrix</w:t>
      </w:r>
      <w:r w:rsidR="006D7CFA">
        <w:rPr>
          <w:rFonts w:ascii="Times New Roman" w:hAnsi="Times New Roman" w:cs="Times New Roman"/>
          <w:color w:val="000000" w:themeColor="text1"/>
        </w:rPr>
        <w:t>. A</w:t>
      </w:r>
      <w:r w:rsidRPr="006D7CFA">
        <w:rPr>
          <w:rFonts w:ascii="Times New Roman" w:hAnsi="Times New Roman" w:cs="Times New Roman"/>
          <w:color w:val="000000" w:themeColor="text1"/>
        </w:rPr>
        <w:t xml:space="preserve">dd an extra 100 </w:t>
      </w:r>
      <w:r w:rsidR="006D7CFA">
        <w:rPr>
          <w:rFonts w:ascii="Times New Roman" w:hAnsi="Times New Roman" w:cs="Times New Roman"/>
          <w:color w:val="000000" w:themeColor="text1"/>
          <w:shd w:val="clear" w:color="auto" w:fill="FFFFFF"/>
        </w:rPr>
        <w:t>μL</w:t>
      </w:r>
      <w:r w:rsidRPr="006D7CFA">
        <w:rPr>
          <w:rFonts w:ascii="Times New Roman" w:hAnsi="Times New Roman" w:cs="Times New Roman"/>
          <w:color w:val="000000" w:themeColor="text1"/>
        </w:rPr>
        <w:t xml:space="preserve"> to account for pipetting error and the volume required for microscopic examination required to ensure the purity of the villi. </w:t>
      </w:r>
    </w:p>
    <w:p w14:paraId="643A2936" w14:textId="77777777" w:rsidR="0050090C" w:rsidRPr="006D7CFA" w:rsidRDefault="0050090C" w:rsidP="006D7CFA">
      <w:pPr>
        <w:contextualSpacing/>
        <w:jc w:val="both"/>
        <w:rPr>
          <w:color w:val="000000" w:themeColor="text1"/>
        </w:rPr>
      </w:pPr>
    </w:p>
    <w:p w14:paraId="264BEAC3" w14:textId="77777777" w:rsidR="0050090C" w:rsidRPr="006D7CFA" w:rsidRDefault="0050090C" w:rsidP="006D7CFA">
      <w:pPr>
        <w:contextualSpacing/>
        <w:jc w:val="both"/>
        <w:rPr>
          <w:color w:val="000000" w:themeColor="text1"/>
        </w:rPr>
      </w:pPr>
      <w:r w:rsidRPr="006D7CFA">
        <w:rPr>
          <w:color w:val="000000" w:themeColor="text1"/>
        </w:rPr>
        <w:t xml:space="preserve">CAUTION: The pressure used in the first two scrapes, that removes the mucus but not the villi, should be used in the subsequent scrapes during which villi will be released. Limit the number of to-and-fro scrapings to two after the villi release is first observed. This measure avoids release of villi with the crypts tethered. It is essential to microscopically evaluate the villi to ensure the absence of the tethered crypts. </w:t>
      </w:r>
    </w:p>
    <w:p w14:paraId="497A1521" w14:textId="77777777" w:rsidR="0050090C" w:rsidRPr="006D7CFA" w:rsidRDefault="0050090C" w:rsidP="006D7CFA">
      <w:pPr>
        <w:contextualSpacing/>
        <w:jc w:val="both"/>
        <w:rPr>
          <w:color w:val="000000" w:themeColor="text1"/>
        </w:rPr>
      </w:pPr>
    </w:p>
    <w:p w14:paraId="6B89681B" w14:textId="38A7A69C" w:rsidR="0050090C" w:rsidRDefault="0050090C" w:rsidP="006D7CFA">
      <w:pPr>
        <w:pStyle w:val="ListParagraph"/>
        <w:numPr>
          <w:ilvl w:val="1"/>
          <w:numId w:val="1"/>
        </w:numPr>
        <w:tabs>
          <w:tab w:val="clear" w:pos="1440"/>
        </w:tabs>
        <w:ind w:left="0" w:firstLine="0"/>
        <w:jc w:val="both"/>
        <w:rPr>
          <w:rFonts w:ascii="Times New Roman" w:hAnsi="Times New Roman" w:cs="Times New Roman"/>
          <w:b/>
          <w:color w:val="000000" w:themeColor="text1"/>
        </w:rPr>
      </w:pPr>
      <w:r w:rsidRPr="006D7CFA">
        <w:rPr>
          <w:rFonts w:ascii="Times New Roman" w:hAnsi="Times New Roman" w:cs="Times New Roman"/>
          <w:b/>
          <w:color w:val="000000" w:themeColor="text1"/>
        </w:rPr>
        <w:t>Plating of villi on BME-R1 matrix</w:t>
      </w:r>
    </w:p>
    <w:p w14:paraId="040B1F4A" w14:textId="77777777" w:rsidR="006D7CFA" w:rsidRPr="006D7CFA" w:rsidRDefault="006D7CFA" w:rsidP="006D7CFA">
      <w:pPr>
        <w:pStyle w:val="ListParagraph"/>
        <w:ind w:left="0"/>
        <w:jc w:val="both"/>
        <w:rPr>
          <w:rFonts w:ascii="Times New Roman" w:hAnsi="Times New Roman" w:cs="Times New Roman"/>
          <w:b/>
          <w:color w:val="000000" w:themeColor="text1"/>
        </w:rPr>
      </w:pPr>
    </w:p>
    <w:p w14:paraId="116BBAD7" w14:textId="33E0E214" w:rsidR="0050090C" w:rsidRPr="006D7CFA" w:rsidRDefault="0050090C" w:rsidP="006D7CFA">
      <w:pPr>
        <w:pStyle w:val="ListParagraph"/>
        <w:numPr>
          <w:ilvl w:val="1"/>
          <w:numId w:val="9"/>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Using a 0.1%</w:t>
      </w:r>
      <w:r w:rsidRPr="006D7CFA">
        <w:rPr>
          <w:rFonts w:ascii="Times New Roman" w:hAnsi="Times New Roman" w:cs="Times New Roman"/>
          <w:b/>
          <w:color w:val="000000" w:themeColor="text1"/>
        </w:rPr>
        <w:t xml:space="preserve"> </w:t>
      </w:r>
      <w:r w:rsidRPr="006D7CFA">
        <w:rPr>
          <w:rFonts w:ascii="Times New Roman" w:hAnsi="Times New Roman" w:cs="Times New Roman"/>
          <w:color w:val="000000" w:themeColor="text1"/>
        </w:rPr>
        <w:t>BSA coated p200 blunt-ended pipet tip, transfer to a</w:t>
      </w:r>
      <w:r w:rsidR="006D7CFA">
        <w:rPr>
          <w:rFonts w:ascii="Times New Roman" w:hAnsi="Times New Roman" w:cs="Times New Roman"/>
          <w:color w:val="000000" w:themeColor="text1"/>
        </w:rPr>
        <w:t xml:space="preserve"> microcentrifuge </w:t>
      </w:r>
      <w:r w:rsidRPr="006D7CFA">
        <w:rPr>
          <w:rFonts w:ascii="Times New Roman" w:hAnsi="Times New Roman" w:cs="Times New Roman"/>
          <w:color w:val="000000" w:themeColor="text1"/>
        </w:rPr>
        <w:t xml:space="preserve">tube the volume of villi (from step 3.6) required to plate at a density of ~ 6 villi per well in 12.5 </w:t>
      </w:r>
      <w:r w:rsidR="006D7CFA">
        <w:rPr>
          <w:rFonts w:ascii="Times New Roman" w:hAnsi="Times New Roman" w:cs="Times New Roman"/>
          <w:color w:val="000000" w:themeColor="text1"/>
          <w:shd w:val="clear" w:color="auto" w:fill="FFFFFF"/>
        </w:rPr>
        <w:t>μL</w:t>
      </w:r>
      <w:r w:rsidRPr="006D7CFA">
        <w:rPr>
          <w:rFonts w:ascii="Times New Roman" w:hAnsi="Times New Roman" w:cs="Times New Roman"/>
          <w:color w:val="000000" w:themeColor="text1"/>
        </w:rPr>
        <w:t xml:space="preserve"> of BME-R1 matrix. The use of BSA-coated blunt-ended tip at this point ensures that the villi, which are too large for a pointed tip are aspirated without being blocked or lost from being stuck to the sides of the tip.</w:t>
      </w:r>
    </w:p>
    <w:p w14:paraId="6CEB744A" w14:textId="77777777" w:rsidR="0050090C" w:rsidRPr="006D7CFA" w:rsidRDefault="0050090C" w:rsidP="006D7CFA">
      <w:pPr>
        <w:contextualSpacing/>
        <w:jc w:val="both"/>
        <w:rPr>
          <w:color w:val="000000" w:themeColor="text1"/>
        </w:rPr>
      </w:pPr>
    </w:p>
    <w:p w14:paraId="1FD91ED7" w14:textId="55DEDF66" w:rsidR="0050090C" w:rsidRPr="006D7CFA" w:rsidRDefault="0050090C" w:rsidP="006D7CFA">
      <w:pPr>
        <w:pStyle w:val="ListParagraph"/>
        <w:numPr>
          <w:ilvl w:val="1"/>
          <w:numId w:val="9"/>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 xml:space="preserve">Spin down the villi for </w:t>
      </w:r>
      <w:r w:rsidR="006D7CFA">
        <w:rPr>
          <w:rFonts w:ascii="Times New Roman" w:hAnsi="Times New Roman" w:cs="Times New Roman"/>
          <w:color w:val="000000" w:themeColor="text1"/>
        </w:rPr>
        <w:t xml:space="preserve">2 min at </w:t>
      </w:r>
      <w:r w:rsidRPr="006D7CFA">
        <w:rPr>
          <w:rFonts w:ascii="Times New Roman" w:hAnsi="Times New Roman" w:cs="Times New Roman"/>
          <w:color w:val="000000" w:themeColor="text1"/>
        </w:rPr>
        <w:t xml:space="preserve">200 </w:t>
      </w:r>
      <w:r w:rsidR="006D7CFA">
        <w:rPr>
          <w:rFonts w:ascii="Times New Roman" w:hAnsi="Times New Roman" w:cs="Times New Roman"/>
          <w:color w:val="000000" w:themeColor="text1"/>
        </w:rPr>
        <w:t>x g</w:t>
      </w:r>
      <w:r w:rsidR="00CE0363" w:rsidRPr="006D7CFA">
        <w:rPr>
          <w:rFonts w:ascii="Times New Roman" w:hAnsi="Times New Roman" w:cs="Times New Roman"/>
          <w:color w:val="000000" w:themeColor="text1"/>
        </w:rPr>
        <w:t xml:space="preserve"> </w:t>
      </w:r>
      <w:r w:rsidRPr="006D7CFA">
        <w:rPr>
          <w:rFonts w:ascii="Times New Roman" w:hAnsi="Times New Roman" w:cs="Times New Roman"/>
          <w:color w:val="000000" w:themeColor="text1"/>
        </w:rPr>
        <w:t>in a refrigerated centrifuge (4</w:t>
      </w:r>
      <w:r w:rsidR="006D7CFA">
        <w:rPr>
          <w:rFonts w:ascii="Times New Roman" w:hAnsi="Times New Roman" w:cs="Times New Roman"/>
          <w:color w:val="000000" w:themeColor="text1"/>
        </w:rPr>
        <w:t xml:space="preserve"> °C</w:t>
      </w:r>
      <w:r w:rsidRPr="006D7CFA">
        <w:rPr>
          <w:rFonts w:ascii="Times New Roman" w:hAnsi="Times New Roman" w:cs="Times New Roman"/>
          <w:color w:val="000000" w:themeColor="text1"/>
        </w:rPr>
        <w:t>) and remove the supernatant.</w:t>
      </w:r>
    </w:p>
    <w:p w14:paraId="6780DD91" w14:textId="77777777" w:rsidR="0050090C" w:rsidRPr="006D7CFA" w:rsidRDefault="0050090C" w:rsidP="006D7CFA">
      <w:pPr>
        <w:contextualSpacing/>
        <w:jc w:val="both"/>
        <w:rPr>
          <w:color w:val="000000" w:themeColor="text1"/>
        </w:rPr>
      </w:pPr>
    </w:p>
    <w:p w14:paraId="30BF243E" w14:textId="6F62E164" w:rsidR="00EE12E8" w:rsidRPr="006D7CFA" w:rsidRDefault="0050090C" w:rsidP="006D7CFA">
      <w:pPr>
        <w:pStyle w:val="ListParagraph"/>
        <w:numPr>
          <w:ilvl w:val="1"/>
          <w:numId w:val="9"/>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lastRenderedPageBreak/>
        <w:t xml:space="preserve">Repeat step </w:t>
      </w:r>
      <w:sdt>
        <w:sdtPr>
          <w:rPr>
            <w:rFonts w:ascii="Times New Roman" w:hAnsi="Times New Roman" w:cs="Times New Roman"/>
            <w:color w:val="000000" w:themeColor="text1"/>
          </w:rPr>
          <w:tag w:val="goog_rdk_56"/>
          <w:id w:val="-947695452"/>
        </w:sdtPr>
        <w:sdtEndPr/>
        <w:sdtContent>
          <w:r w:rsidRPr="006D7CFA">
            <w:rPr>
              <w:rFonts w:ascii="Times New Roman" w:hAnsi="Times New Roman" w:cs="Times New Roman"/>
              <w:color w:val="000000" w:themeColor="text1"/>
            </w:rPr>
            <w:t>4</w:t>
          </w:r>
        </w:sdtContent>
      </w:sdt>
      <w:r w:rsidRPr="006D7CFA">
        <w:rPr>
          <w:rFonts w:ascii="Times New Roman" w:hAnsi="Times New Roman" w:cs="Times New Roman"/>
          <w:color w:val="000000" w:themeColor="text1"/>
        </w:rPr>
        <w:t>.2 to remove any residual PBS and proceed to the next step under a laminar flow-hood.</w:t>
      </w:r>
    </w:p>
    <w:p w14:paraId="65F3B1D7" w14:textId="77777777" w:rsidR="006D7CFA" w:rsidRDefault="006D7CFA" w:rsidP="006D7CFA">
      <w:pPr>
        <w:pStyle w:val="ListParagraph"/>
        <w:ind w:left="0"/>
        <w:jc w:val="both"/>
        <w:rPr>
          <w:rFonts w:ascii="Times New Roman" w:hAnsi="Times New Roman" w:cs="Times New Roman"/>
          <w:color w:val="000000" w:themeColor="text1"/>
        </w:rPr>
      </w:pPr>
    </w:p>
    <w:p w14:paraId="48EEDBF4" w14:textId="39329E67" w:rsidR="0050090C" w:rsidRPr="006D7CFA" w:rsidRDefault="0050090C" w:rsidP="006D7CFA">
      <w:pPr>
        <w:pStyle w:val="ListParagraph"/>
        <w:numPr>
          <w:ilvl w:val="1"/>
          <w:numId w:val="9"/>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 xml:space="preserve">Resuspend the villi pellet gently in the required amount of cold BME-R1 thawed on ice. </w:t>
      </w:r>
    </w:p>
    <w:p w14:paraId="0E78F763" w14:textId="77777777" w:rsidR="0050090C" w:rsidRPr="006D7CFA" w:rsidRDefault="0050090C" w:rsidP="006D7CFA">
      <w:pPr>
        <w:contextualSpacing/>
        <w:jc w:val="both"/>
        <w:rPr>
          <w:color w:val="000000" w:themeColor="text1"/>
        </w:rPr>
      </w:pPr>
    </w:p>
    <w:p w14:paraId="51B738FA" w14:textId="33F10B01" w:rsidR="0050090C" w:rsidRPr="006D7CFA" w:rsidRDefault="0050090C" w:rsidP="006D7CFA">
      <w:pPr>
        <w:pStyle w:val="ListParagraph"/>
        <w:numPr>
          <w:ilvl w:val="1"/>
          <w:numId w:val="9"/>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 xml:space="preserve">Using a p20 </w:t>
      </w:r>
      <w:sdt>
        <w:sdtPr>
          <w:rPr>
            <w:rFonts w:ascii="Times New Roman" w:hAnsi="Times New Roman" w:cs="Times New Roman"/>
            <w:color w:val="000000" w:themeColor="text1"/>
          </w:rPr>
          <w:tag w:val="goog_rdk_58"/>
          <w:id w:val="1531369893"/>
        </w:sdtPr>
        <w:sdtEndPr/>
        <w:sdtContent/>
      </w:sdt>
      <w:sdt>
        <w:sdtPr>
          <w:rPr>
            <w:rFonts w:ascii="Times New Roman" w:hAnsi="Times New Roman" w:cs="Times New Roman"/>
            <w:color w:val="000000" w:themeColor="text1"/>
          </w:rPr>
          <w:tag w:val="goog_rdk_59"/>
          <w:id w:val="19672382"/>
        </w:sdtPr>
        <w:sdtEndPr/>
        <w:sdtContent/>
      </w:sdt>
      <w:r w:rsidRPr="006D7CFA">
        <w:rPr>
          <w:rFonts w:ascii="Times New Roman" w:hAnsi="Times New Roman" w:cs="Times New Roman"/>
          <w:color w:val="000000" w:themeColor="text1"/>
        </w:rPr>
        <w:t xml:space="preserve">pipet, plate 12.5 </w:t>
      </w:r>
      <w:r w:rsidR="006D7CFA">
        <w:rPr>
          <w:rFonts w:ascii="Times New Roman" w:hAnsi="Times New Roman" w:cs="Times New Roman"/>
          <w:color w:val="000000" w:themeColor="text1"/>
          <w:shd w:val="clear" w:color="auto" w:fill="FFFFFF"/>
        </w:rPr>
        <w:t>μL</w:t>
      </w:r>
      <w:r w:rsidRPr="006D7CFA">
        <w:rPr>
          <w:rFonts w:ascii="Times New Roman" w:hAnsi="Times New Roman" w:cs="Times New Roman"/>
          <w:color w:val="000000" w:themeColor="text1"/>
        </w:rPr>
        <w:t>/well of the villi in BME-R1 matrix in 3D in a pre</w:t>
      </w:r>
      <w:sdt>
        <w:sdtPr>
          <w:rPr>
            <w:rFonts w:ascii="Times New Roman" w:hAnsi="Times New Roman" w:cs="Times New Roman"/>
            <w:color w:val="000000" w:themeColor="text1"/>
          </w:rPr>
          <w:tag w:val="goog_rdk_60"/>
          <w:id w:val="-107663404"/>
        </w:sdtPr>
        <w:sdtEndPr/>
        <w:sdtContent>
          <w:r w:rsidRPr="006D7CFA">
            <w:rPr>
              <w:rFonts w:ascii="Times New Roman" w:hAnsi="Times New Roman" w:cs="Times New Roman"/>
              <w:color w:val="000000" w:themeColor="text1"/>
            </w:rPr>
            <w:t>-</w:t>
          </w:r>
        </w:sdtContent>
      </w:sdt>
      <w:r w:rsidRPr="006D7CFA">
        <w:rPr>
          <w:rFonts w:ascii="Times New Roman" w:hAnsi="Times New Roman" w:cs="Times New Roman"/>
          <w:color w:val="000000" w:themeColor="text1"/>
        </w:rPr>
        <w:t>warmed 96-well U-bottom plate.</w:t>
      </w:r>
    </w:p>
    <w:p w14:paraId="7D11A882" w14:textId="77777777" w:rsidR="0050090C" w:rsidRPr="006D7CFA" w:rsidRDefault="0050090C" w:rsidP="006D7CFA">
      <w:pPr>
        <w:contextualSpacing/>
        <w:jc w:val="both"/>
        <w:rPr>
          <w:color w:val="000000" w:themeColor="text1"/>
        </w:rPr>
      </w:pPr>
    </w:p>
    <w:p w14:paraId="1E9C4A92" w14:textId="3B0364FF" w:rsidR="00734888" w:rsidRDefault="0050090C" w:rsidP="006D7CFA">
      <w:pPr>
        <w:pStyle w:val="ListParagraph"/>
        <w:numPr>
          <w:ilvl w:val="1"/>
          <w:numId w:val="9"/>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Incubate the plate in a tissue culture incubator at 37</w:t>
      </w:r>
      <w:r w:rsidR="006D7CFA">
        <w:rPr>
          <w:rFonts w:ascii="Times New Roman" w:hAnsi="Times New Roman" w:cs="Times New Roman"/>
          <w:color w:val="000000" w:themeColor="text1"/>
        </w:rPr>
        <w:t xml:space="preserve"> °C</w:t>
      </w:r>
      <w:r w:rsidR="006D7CFA" w:rsidRPr="006D7CFA">
        <w:rPr>
          <w:rFonts w:ascii="Times New Roman" w:hAnsi="Times New Roman" w:cs="Times New Roman"/>
          <w:color w:val="000000" w:themeColor="text1"/>
        </w:rPr>
        <w:t xml:space="preserve"> </w:t>
      </w:r>
      <w:r w:rsidRPr="006D7CFA">
        <w:rPr>
          <w:rFonts w:ascii="Times New Roman" w:hAnsi="Times New Roman" w:cs="Times New Roman"/>
          <w:color w:val="000000" w:themeColor="text1"/>
        </w:rPr>
        <w:t>for 15 minutes to allow solidification of the BME-R1 matrix.</w:t>
      </w:r>
    </w:p>
    <w:p w14:paraId="486600FE" w14:textId="77777777" w:rsidR="006D7CFA" w:rsidRPr="006D7CFA" w:rsidRDefault="006D7CFA" w:rsidP="006D7CFA">
      <w:pPr>
        <w:pStyle w:val="ListParagraph"/>
        <w:ind w:left="0"/>
        <w:jc w:val="both"/>
        <w:rPr>
          <w:rFonts w:ascii="Times New Roman" w:hAnsi="Times New Roman" w:cs="Times New Roman"/>
          <w:color w:val="000000" w:themeColor="text1"/>
        </w:rPr>
      </w:pPr>
    </w:p>
    <w:p w14:paraId="7BFBEE7E" w14:textId="7EAFCB65" w:rsidR="0050090C" w:rsidRPr="006D7CFA" w:rsidRDefault="0050090C" w:rsidP="006D7CFA">
      <w:pPr>
        <w:pStyle w:val="ListParagraph"/>
        <w:numPr>
          <w:ilvl w:val="1"/>
          <w:numId w:val="9"/>
        </w:numPr>
        <w:ind w:left="0" w:firstLine="0"/>
        <w:jc w:val="both"/>
        <w:rPr>
          <w:rFonts w:ascii="Times New Roman" w:hAnsi="Times New Roman" w:cs="Times New Roman"/>
          <w:b/>
          <w:color w:val="000000" w:themeColor="text1"/>
        </w:rPr>
      </w:pPr>
      <w:r w:rsidRPr="006D7CFA">
        <w:rPr>
          <w:rFonts w:ascii="Times New Roman" w:hAnsi="Times New Roman" w:cs="Times New Roman"/>
          <w:color w:val="000000" w:themeColor="text1"/>
        </w:rPr>
        <w:t xml:space="preserve">Add 125 </w:t>
      </w:r>
      <w:r w:rsidR="006D7CFA">
        <w:rPr>
          <w:rFonts w:ascii="Times New Roman" w:hAnsi="Times New Roman" w:cs="Times New Roman"/>
          <w:color w:val="000000" w:themeColor="text1"/>
          <w:shd w:val="clear" w:color="auto" w:fill="FFFFFF"/>
        </w:rPr>
        <w:t>μL</w:t>
      </w:r>
      <w:r w:rsidRPr="006D7CFA">
        <w:rPr>
          <w:rFonts w:ascii="Times New Roman" w:hAnsi="Times New Roman" w:cs="Times New Roman"/>
          <w:color w:val="000000" w:themeColor="text1"/>
        </w:rPr>
        <w:t>/well of</w:t>
      </w:r>
      <w:r w:rsidR="006D7CFA">
        <w:rPr>
          <w:rFonts w:ascii="Times New Roman" w:hAnsi="Times New Roman" w:cs="Times New Roman"/>
          <w:color w:val="000000" w:themeColor="text1"/>
        </w:rPr>
        <w:t xml:space="preserve"> pre-warmed E</w:t>
      </w:r>
      <w:r w:rsidRPr="006D7CFA">
        <w:rPr>
          <w:rFonts w:ascii="Times New Roman" w:hAnsi="Times New Roman" w:cs="Times New Roman"/>
          <w:color w:val="000000" w:themeColor="text1"/>
        </w:rPr>
        <w:t>NR (Epidermal growth factor/Noggin/R-spondin1) media: advanced DMEM F-12 media, supplemented with 1</w:t>
      </w:r>
      <w:r w:rsidR="006D7CFA">
        <w:rPr>
          <w:rFonts w:ascii="Times New Roman" w:hAnsi="Times New Roman" w:cs="Times New Roman"/>
          <w:color w:val="000000" w:themeColor="text1"/>
        </w:rPr>
        <w:t>x</w:t>
      </w:r>
      <w:r w:rsidRPr="006D7CFA">
        <w:rPr>
          <w:rFonts w:ascii="Times New Roman" w:hAnsi="Times New Roman" w:cs="Times New Roman"/>
          <w:color w:val="000000" w:themeColor="text1"/>
        </w:rPr>
        <w:t xml:space="preserve"> Penicillin: Streptomycin, 10 mM HEPES, </w:t>
      </w:r>
      <w:proofErr w:type="spellStart"/>
      <w:r w:rsidRPr="006D7CFA">
        <w:rPr>
          <w:rFonts w:ascii="Times New Roman" w:hAnsi="Times New Roman" w:cs="Times New Roman"/>
          <w:color w:val="000000" w:themeColor="text1"/>
        </w:rPr>
        <w:t>Glutamax</w:t>
      </w:r>
      <w:proofErr w:type="spellEnd"/>
      <w:r w:rsidRPr="006D7CFA">
        <w:rPr>
          <w:rFonts w:ascii="Times New Roman" w:hAnsi="Times New Roman" w:cs="Times New Roman"/>
          <w:color w:val="000000" w:themeColor="text1"/>
        </w:rPr>
        <w:t>, 50 ng/m</w:t>
      </w:r>
      <w:r w:rsidR="006D7CFA">
        <w:rPr>
          <w:rFonts w:ascii="Times New Roman" w:hAnsi="Times New Roman" w:cs="Times New Roman"/>
          <w:color w:val="000000" w:themeColor="text1"/>
        </w:rPr>
        <w:t>L</w:t>
      </w:r>
      <w:r w:rsidRPr="006D7CFA">
        <w:rPr>
          <w:rFonts w:ascii="Times New Roman" w:hAnsi="Times New Roman" w:cs="Times New Roman"/>
          <w:color w:val="000000" w:themeColor="text1"/>
        </w:rPr>
        <w:t xml:space="preserve"> EGF, 100 ng/m</w:t>
      </w:r>
      <w:r w:rsidR="006D7CFA">
        <w:rPr>
          <w:rFonts w:ascii="Times New Roman" w:hAnsi="Times New Roman" w:cs="Times New Roman"/>
          <w:color w:val="000000" w:themeColor="text1"/>
        </w:rPr>
        <w:t>L</w:t>
      </w:r>
      <w:r w:rsidRPr="006D7CFA">
        <w:rPr>
          <w:rFonts w:ascii="Times New Roman" w:hAnsi="Times New Roman" w:cs="Times New Roman"/>
          <w:color w:val="000000" w:themeColor="text1"/>
        </w:rPr>
        <w:t xml:space="preserve"> Noggin, 5% conditioned media</w:t>
      </w:r>
      <w:r w:rsidR="00B77D55" w:rsidRPr="006D7CFA">
        <w:rPr>
          <w:rFonts w:ascii="Times New Roman" w:hAnsi="Times New Roman" w:cs="Times New Roman"/>
          <w:color w:val="000000" w:themeColor="text1"/>
        </w:rPr>
        <w:t xml:space="preserve"> from HEK293-T cells expressing R-Spondin1</w:t>
      </w:r>
      <w:r w:rsidRPr="006D7CFA">
        <w:rPr>
          <w:rFonts w:ascii="Times New Roman" w:hAnsi="Times New Roman" w:cs="Times New Roman"/>
          <w:color w:val="000000" w:themeColor="text1"/>
        </w:rPr>
        <w:t>, 1</w:t>
      </w:r>
      <w:r w:rsidR="006D7CFA">
        <w:rPr>
          <w:rFonts w:ascii="Times New Roman" w:hAnsi="Times New Roman" w:cs="Times New Roman"/>
          <w:color w:val="000000" w:themeColor="text1"/>
        </w:rPr>
        <w:t>x</w:t>
      </w:r>
      <w:r w:rsidRPr="006D7CFA">
        <w:rPr>
          <w:rFonts w:ascii="Times New Roman" w:hAnsi="Times New Roman" w:cs="Times New Roman"/>
          <w:color w:val="000000" w:themeColor="text1"/>
        </w:rPr>
        <w:t xml:space="preserve"> N2, 1</w:t>
      </w:r>
      <w:r w:rsidR="006D7CFA">
        <w:rPr>
          <w:rFonts w:ascii="Times New Roman" w:hAnsi="Times New Roman" w:cs="Times New Roman"/>
          <w:color w:val="000000" w:themeColor="text1"/>
        </w:rPr>
        <w:t>x</w:t>
      </w:r>
      <w:r w:rsidRPr="006D7CFA">
        <w:rPr>
          <w:rFonts w:ascii="Times New Roman" w:hAnsi="Times New Roman" w:cs="Times New Roman"/>
          <w:color w:val="000000" w:themeColor="text1"/>
        </w:rPr>
        <w:t xml:space="preserve"> B27, 1 mM N-acetyl cysteine, and 0.05 mg/m</w:t>
      </w:r>
      <w:r w:rsidR="006D7CFA">
        <w:rPr>
          <w:rFonts w:ascii="Times New Roman" w:hAnsi="Times New Roman" w:cs="Times New Roman"/>
          <w:color w:val="000000" w:themeColor="text1"/>
        </w:rPr>
        <w:t>L</w:t>
      </w:r>
      <w:r w:rsidRPr="006D7CFA">
        <w:rPr>
          <w:rFonts w:ascii="Times New Roman" w:hAnsi="Times New Roman" w:cs="Times New Roman"/>
          <w:color w:val="000000" w:themeColor="text1"/>
        </w:rPr>
        <w:t xml:space="preserve"> </w:t>
      </w:r>
      <w:proofErr w:type="spellStart"/>
      <w:r w:rsidRPr="006D7CFA">
        <w:rPr>
          <w:rFonts w:ascii="Times New Roman" w:hAnsi="Times New Roman" w:cs="Times New Roman"/>
          <w:color w:val="000000" w:themeColor="text1"/>
        </w:rPr>
        <w:t>Primocin</w:t>
      </w:r>
      <w:proofErr w:type="spellEnd"/>
      <w:r w:rsidRPr="006D7CFA">
        <w:rPr>
          <w:rFonts w:ascii="Times New Roman" w:hAnsi="Times New Roman" w:cs="Times New Roman"/>
          <w:color w:val="000000" w:themeColor="text1"/>
        </w:rPr>
        <w:t>.</w:t>
      </w:r>
    </w:p>
    <w:p w14:paraId="50FC6C54" w14:textId="77777777" w:rsidR="006D7CFA" w:rsidRPr="006D7CFA" w:rsidRDefault="006D7CFA" w:rsidP="006D7CFA">
      <w:pPr>
        <w:pStyle w:val="ListParagraph"/>
        <w:ind w:left="0"/>
        <w:jc w:val="both"/>
        <w:rPr>
          <w:rFonts w:ascii="Times New Roman" w:hAnsi="Times New Roman" w:cs="Times New Roman"/>
          <w:b/>
          <w:color w:val="000000" w:themeColor="text1"/>
        </w:rPr>
      </w:pPr>
    </w:p>
    <w:p w14:paraId="0AF950F0" w14:textId="76946A19" w:rsidR="0050090C" w:rsidRPr="006D7CFA" w:rsidRDefault="007C0BB9" w:rsidP="006D7CFA">
      <w:pPr>
        <w:pStyle w:val="ListParagraph"/>
        <w:numPr>
          <w:ilvl w:val="1"/>
          <w:numId w:val="9"/>
        </w:numPr>
        <w:ind w:left="0" w:firstLine="0"/>
        <w:jc w:val="both"/>
        <w:rPr>
          <w:rFonts w:ascii="Times New Roman" w:hAnsi="Times New Roman" w:cs="Times New Roman"/>
          <w:color w:val="000000" w:themeColor="text1"/>
        </w:rPr>
      </w:pPr>
      <w:r w:rsidRPr="00E30060">
        <w:rPr>
          <w:rFonts w:ascii="Times New Roman" w:hAnsi="Times New Roman" w:cs="Times New Roman"/>
          <w:color w:val="000000" w:themeColor="text1"/>
        </w:rPr>
        <w:t xml:space="preserve">Incubate the plated villi in a tissue culture incubator </w:t>
      </w:r>
      <w:r w:rsidR="0006193D" w:rsidRPr="00E30060">
        <w:rPr>
          <w:rFonts w:ascii="Times New Roman" w:hAnsi="Times New Roman" w:cs="Times New Roman"/>
          <w:color w:val="000000" w:themeColor="text1"/>
        </w:rPr>
        <w:t>maintained at 37</w:t>
      </w:r>
      <w:r w:rsidR="00E30060">
        <w:rPr>
          <w:rFonts w:ascii="Times New Roman" w:hAnsi="Times New Roman" w:cs="Times New Roman"/>
          <w:color w:val="000000" w:themeColor="text1"/>
        </w:rPr>
        <w:t xml:space="preserve"> °</w:t>
      </w:r>
      <w:r w:rsidR="0006193D" w:rsidRPr="00E30060">
        <w:rPr>
          <w:rFonts w:ascii="Times New Roman" w:hAnsi="Times New Roman" w:cs="Times New Roman"/>
          <w:color w:val="000000" w:themeColor="text1"/>
        </w:rPr>
        <w:t xml:space="preserve">C </w:t>
      </w:r>
      <w:r w:rsidRPr="00E30060">
        <w:rPr>
          <w:rFonts w:ascii="Times New Roman" w:hAnsi="Times New Roman" w:cs="Times New Roman"/>
          <w:color w:val="000000" w:themeColor="text1"/>
        </w:rPr>
        <w:t>with 5% CO</w:t>
      </w:r>
      <w:r w:rsidRPr="00E30060">
        <w:rPr>
          <w:rFonts w:ascii="Times New Roman" w:hAnsi="Times New Roman" w:cs="Times New Roman"/>
          <w:color w:val="000000" w:themeColor="text1"/>
          <w:vertAlign w:val="subscript"/>
        </w:rPr>
        <w:t>2</w:t>
      </w:r>
      <w:r w:rsidR="006A1F3B">
        <w:rPr>
          <w:rFonts w:ascii="Times New Roman" w:hAnsi="Times New Roman" w:cs="Times New Roman"/>
          <w:color w:val="000000" w:themeColor="text1"/>
        </w:rPr>
        <w:t>, and</w:t>
      </w:r>
      <w:r w:rsidRPr="00E30060">
        <w:rPr>
          <w:rFonts w:ascii="Times New Roman" w:hAnsi="Times New Roman" w:cs="Times New Roman"/>
          <w:color w:val="000000" w:themeColor="text1"/>
        </w:rPr>
        <w:t xml:space="preserve"> </w:t>
      </w:r>
      <w:r w:rsidR="006A1F3B">
        <w:rPr>
          <w:rFonts w:ascii="Times New Roman" w:hAnsi="Times New Roman" w:cs="Times New Roman"/>
          <w:color w:val="000000" w:themeColor="text1"/>
        </w:rPr>
        <w:t>c</w:t>
      </w:r>
      <w:r w:rsidR="0050090C" w:rsidRPr="006D7CFA">
        <w:rPr>
          <w:rFonts w:ascii="Times New Roman" w:hAnsi="Times New Roman" w:cs="Times New Roman"/>
          <w:color w:val="000000" w:themeColor="text1"/>
        </w:rPr>
        <w:t xml:space="preserve">hange the media every other day. </w:t>
      </w:r>
    </w:p>
    <w:p w14:paraId="19A2AFBA" w14:textId="77777777" w:rsidR="0050090C" w:rsidRPr="006D7CFA" w:rsidRDefault="0050090C" w:rsidP="006D7CFA">
      <w:pPr>
        <w:contextualSpacing/>
        <w:jc w:val="both"/>
        <w:rPr>
          <w:color w:val="000000" w:themeColor="text1"/>
        </w:rPr>
      </w:pPr>
    </w:p>
    <w:p w14:paraId="113C3050" w14:textId="786318DB" w:rsidR="0050090C" w:rsidRPr="006D7CFA" w:rsidRDefault="0050090C" w:rsidP="006D7CFA">
      <w:pPr>
        <w:pStyle w:val="ListParagraph"/>
        <w:numPr>
          <w:ilvl w:val="1"/>
          <w:numId w:val="9"/>
        </w:numPr>
        <w:ind w:left="0" w:firstLine="0"/>
        <w:jc w:val="both"/>
        <w:rPr>
          <w:rFonts w:ascii="Times New Roman" w:hAnsi="Times New Roman" w:cs="Times New Roman"/>
          <w:color w:val="000000" w:themeColor="text1"/>
        </w:rPr>
      </w:pPr>
      <w:r w:rsidRPr="006D7CFA">
        <w:rPr>
          <w:rFonts w:ascii="Times New Roman" w:hAnsi="Times New Roman" w:cs="Times New Roman"/>
          <w:color w:val="000000" w:themeColor="text1"/>
        </w:rPr>
        <w:t>Discard any well in which organoids appear before two days of plating, since the earliest time point at which villi-derived organoids are expected is after two days.</w:t>
      </w:r>
    </w:p>
    <w:p w14:paraId="4D163A50" w14:textId="77777777" w:rsidR="0050090C" w:rsidRPr="006D7CFA" w:rsidRDefault="0050090C" w:rsidP="006D7CFA">
      <w:pPr>
        <w:contextualSpacing/>
        <w:jc w:val="both"/>
        <w:rPr>
          <w:color w:val="000000" w:themeColor="text1"/>
        </w:rPr>
      </w:pPr>
    </w:p>
    <w:p w14:paraId="59CE459D" w14:textId="355B7ACE" w:rsidR="0050090C" w:rsidRPr="006D7CFA" w:rsidRDefault="00485608" w:rsidP="006D7CFA">
      <w:pPr>
        <w:contextualSpacing/>
        <w:jc w:val="both"/>
        <w:rPr>
          <w:color w:val="000000" w:themeColor="text1"/>
        </w:rPr>
      </w:pPr>
      <w:r w:rsidRPr="006D7CFA">
        <w:rPr>
          <w:color w:val="000000" w:themeColor="text1"/>
        </w:rPr>
        <w:t>NOTE:</w:t>
      </w:r>
      <w:r w:rsidR="0050090C" w:rsidRPr="006D7CFA">
        <w:rPr>
          <w:color w:val="000000" w:themeColor="text1"/>
        </w:rPr>
        <w:t xml:space="preserve"> Any villi that has half or more than half the length of villi are counted as one villus.</w:t>
      </w:r>
      <w:r w:rsidR="006D7CFA">
        <w:rPr>
          <w:color w:val="000000" w:themeColor="text1"/>
        </w:rPr>
        <w:t xml:space="preserve"> </w:t>
      </w:r>
      <w:r w:rsidR="0050090C" w:rsidRPr="006D7CFA">
        <w:rPr>
          <w:color w:val="000000" w:themeColor="text1"/>
        </w:rPr>
        <w:t xml:space="preserve">Unlike crypt-derived organoids, villi-derived organoids are not expected within 24 hours after plating. The organoid-initiating villi appear to be darkening and shrinking prior to formation of organoids. Hence, any wells with organoids developing within a day of plating should be discarded to avoid the plausibility of having derived from plausible crypt contamination. </w:t>
      </w:r>
      <w:r w:rsidR="00B77D55" w:rsidRPr="006D7CFA">
        <w:rPr>
          <w:color w:val="000000" w:themeColor="text1"/>
        </w:rPr>
        <w:t xml:space="preserve">The methodology used to produce the conditioned media is available upon request. </w:t>
      </w:r>
    </w:p>
    <w:p w14:paraId="5951740C" w14:textId="77777777" w:rsidR="0050090C" w:rsidRPr="006D7CFA" w:rsidRDefault="0050090C" w:rsidP="006D7CFA">
      <w:pPr>
        <w:contextualSpacing/>
        <w:jc w:val="both"/>
        <w:rPr>
          <w:b/>
          <w:color w:val="000000" w:themeColor="text1"/>
        </w:rPr>
      </w:pPr>
    </w:p>
    <w:p w14:paraId="24DDCC4C" w14:textId="77777777" w:rsidR="0050090C" w:rsidRPr="006D7CFA" w:rsidRDefault="0050090C" w:rsidP="006D7CFA">
      <w:pPr>
        <w:contextualSpacing/>
        <w:jc w:val="both"/>
        <w:rPr>
          <w:color w:val="000000" w:themeColor="text1"/>
        </w:rPr>
      </w:pPr>
      <w:r w:rsidRPr="006D7CFA">
        <w:rPr>
          <w:b/>
          <w:color w:val="000000" w:themeColor="text1"/>
        </w:rPr>
        <w:t xml:space="preserve">REPRESENTATIVE RESULTS: </w:t>
      </w:r>
    </w:p>
    <w:p w14:paraId="6BF35493" w14:textId="63D3BFE3" w:rsidR="0050090C" w:rsidRPr="006D7CFA" w:rsidRDefault="0050090C" w:rsidP="006D7CFA">
      <w:pPr>
        <w:contextualSpacing/>
        <w:jc w:val="both"/>
        <w:rPr>
          <w:color w:val="000000" w:themeColor="text1"/>
        </w:rPr>
      </w:pPr>
      <w:r w:rsidRPr="006D7CFA">
        <w:rPr>
          <w:color w:val="000000" w:themeColor="text1"/>
        </w:rPr>
        <w:t>The determining factor for the success of the procedure is prevent</w:t>
      </w:r>
      <w:r w:rsidR="00FE3483" w:rsidRPr="006D7CFA">
        <w:rPr>
          <w:color w:val="000000" w:themeColor="text1"/>
        </w:rPr>
        <w:t>ing</w:t>
      </w:r>
      <w:r w:rsidRPr="006D7CFA">
        <w:rPr>
          <w:color w:val="000000" w:themeColor="text1"/>
        </w:rPr>
        <w:t xml:space="preserve"> crypt contamination. Organoid development from the villi (and not from any contaminating crypts) is ensured by confirming </w:t>
      </w:r>
      <w:r w:rsidR="000F506E" w:rsidRPr="006D7CFA">
        <w:rPr>
          <w:color w:val="000000" w:themeColor="text1"/>
        </w:rPr>
        <w:t>four</w:t>
      </w:r>
      <w:r w:rsidRPr="006D7CFA">
        <w:rPr>
          <w:color w:val="000000" w:themeColor="text1"/>
        </w:rPr>
        <w:t xml:space="preserve"> major criteria: 1) ensuring the purity of the harvested villi by microscopic examination before and after plating the villi in BME-R</w:t>
      </w:r>
      <w:r w:rsidR="007E23B9" w:rsidRPr="006D7CFA">
        <w:rPr>
          <w:color w:val="000000" w:themeColor="text1"/>
        </w:rPr>
        <w:t>1,</w:t>
      </w:r>
      <w:r w:rsidR="008070B4" w:rsidRPr="006D7CFA">
        <w:rPr>
          <w:color w:val="000000" w:themeColor="text1"/>
        </w:rPr>
        <w:t xml:space="preserve"> </w:t>
      </w:r>
      <w:r w:rsidR="00A47808" w:rsidRPr="006D7CFA">
        <w:rPr>
          <w:color w:val="000000" w:themeColor="text1"/>
        </w:rPr>
        <w:t xml:space="preserve">2) </w:t>
      </w:r>
      <w:r w:rsidRPr="006D7CFA">
        <w:rPr>
          <w:color w:val="000000" w:themeColor="text1"/>
        </w:rPr>
        <w:t xml:space="preserve">plating </w:t>
      </w:r>
      <w:r w:rsidR="008744CC" w:rsidRPr="006D7CFA">
        <w:rPr>
          <w:color w:val="000000" w:themeColor="text1"/>
        </w:rPr>
        <w:t>limited</w:t>
      </w:r>
      <w:r w:rsidRPr="006D7CFA">
        <w:rPr>
          <w:color w:val="000000" w:themeColor="text1"/>
        </w:rPr>
        <w:t xml:space="preserve"> number of villi per well </w:t>
      </w:r>
      <w:r w:rsidR="00EA0BCF" w:rsidRPr="006D7CFA">
        <w:rPr>
          <w:color w:val="000000" w:themeColor="text1"/>
        </w:rPr>
        <w:t xml:space="preserve">to </w:t>
      </w:r>
      <w:r w:rsidRPr="006D7CFA">
        <w:rPr>
          <w:color w:val="000000" w:themeColor="text1"/>
        </w:rPr>
        <w:t>allow visualization of all the plated villi individually</w:t>
      </w:r>
      <w:sdt>
        <w:sdtPr>
          <w:rPr>
            <w:color w:val="000000" w:themeColor="text1"/>
          </w:rPr>
          <w:tag w:val="goog_rdk_64"/>
          <w:id w:val="1944340116"/>
        </w:sdtPr>
        <w:sdtEndPr/>
        <w:sdtContent>
          <w:r w:rsidRPr="006D7CFA">
            <w:rPr>
              <w:color w:val="000000" w:themeColor="text1"/>
            </w:rPr>
            <w:t>,</w:t>
          </w:r>
          <w:r w:rsidR="00A47808" w:rsidRPr="006D7CFA">
            <w:rPr>
              <w:color w:val="000000" w:themeColor="text1"/>
            </w:rPr>
            <w:t xml:space="preserve"> </w:t>
          </w:r>
        </w:sdtContent>
      </w:sdt>
      <w:r w:rsidR="00A47808" w:rsidRPr="006D7CFA">
        <w:rPr>
          <w:color w:val="000000" w:themeColor="text1"/>
        </w:rPr>
        <w:t>3</w:t>
      </w:r>
      <w:r w:rsidRPr="006D7CFA">
        <w:rPr>
          <w:color w:val="000000" w:themeColor="text1"/>
        </w:rPr>
        <w:t xml:space="preserve">) </w:t>
      </w:r>
      <w:sdt>
        <w:sdtPr>
          <w:rPr>
            <w:color w:val="000000" w:themeColor="text1"/>
          </w:rPr>
          <w:tag w:val="goog_rdk_66"/>
          <w:id w:val="2079707091"/>
        </w:sdtPr>
        <w:sdtEndPr/>
        <w:sdtContent>
          <w:r w:rsidRPr="006D7CFA">
            <w:rPr>
              <w:color w:val="000000" w:themeColor="text1"/>
            </w:rPr>
            <w:t>m</w:t>
          </w:r>
        </w:sdtContent>
      </w:sdt>
      <w:r w:rsidRPr="006D7CFA">
        <w:rPr>
          <w:color w:val="000000" w:themeColor="text1"/>
        </w:rPr>
        <w:t>onitoring the development of organoid daily; images of the time course show development of organoid from villi (</w:t>
      </w:r>
      <w:sdt>
        <w:sdtPr>
          <w:rPr>
            <w:b/>
            <w:bCs/>
            <w:color w:val="000000" w:themeColor="text1"/>
          </w:rPr>
          <w:tag w:val="goog_rdk_68"/>
          <w:id w:val="1716395241"/>
        </w:sdtPr>
        <w:sdtEndPr/>
        <w:sdtContent>
          <w:r w:rsidRPr="002830C6">
            <w:rPr>
              <w:b/>
              <w:bCs/>
              <w:color w:val="000000" w:themeColor="text1"/>
            </w:rPr>
            <w:t>F</w:t>
          </w:r>
        </w:sdtContent>
      </w:sdt>
      <w:r w:rsidRPr="002830C6">
        <w:rPr>
          <w:b/>
          <w:bCs/>
          <w:color w:val="000000" w:themeColor="text1"/>
        </w:rPr>
        <w:t>igure 3</w:t>
      </w:r>
      <w:r w:rsidRPr="006D7CFA">
        <w:rPr>
          <w:color w:val="000000" w:themeColor="text1"/>
        </w:rPr>
        <w:t>)</w:t>
      </w:r>
      <w:sdt>
        <w:sdtPr>
          <w:rPr>
            <w:color w:val="000000" w:themeColor="text1"/>
          </w:rPr>
          <w:tag w:val="goog_rdk_70"/>
          <w:id w:val="-1935274668"/>
        </w:sdtPr>
        <w:sdtEndPr/>
        <w:sdtContent>
          <w:r w:rsidRPr="006D7CFA">
            <w:rPr>
              <w:color w:val="000000" w:themeColor="text1"/>
            </w:rPr>
            <w:t>, and</w:t>
          </w:r>
        </w:sdtContent>
      </w:sdt>
      <w:r w:rsidRPr="006D7CFA">
        <w:rPr>
          <w:color w:val="000000" w:themeColor="text1"/>
        </w:rPr>
        <w:t xml:space="preserve"> </w:t>
      </w:r>
      <w:r w:rsidR="00A47808" w:rsidRPr="006D7CFA">
        <w:rPr>
          <w:color w:val="000000" w:themeColor="text1"/>
        </w:rPr>
        <w:t>4</w:t>
      </w:r>
      <w:r w:rsidRPr="006D7CFA">
        <w:rPr>
          <w:color w:val="000000" w:themeColor="text1"/>
        </w:rPr>
        <w:t xml:space="preserve">) </w:t>
      </w:r>
      <w:sdt>
        <w:sdtPr>
          <w:rPr>
            <w:color w:val="000000" w:themeColor="text1"/>
          </w:rPr>
          <w:tag w:val="goog_rdk_72"/>
          <w:id w:val="-556087107"/>
        </w:sdtPr>
        <w:sdtEndPr/>
        <w:sdtContent>
          <w:r w:rsidRPr="006D7CFA">
            <w:rPr>
              <w:color w:val="000000" w:themeColor="text1"/>
            </w:rPr>
            <w:t>m</w:t>
          </w:r>
        </w:sdtContent>
      </w:sdt>
      <w:r w:rsidRPr="006D7CFA">
        <w:rPr>
          <w:color w:val="000000" w:themeColor="text1"/>
        </w:rPr>
        <w:t xml:space="preserve">onitoring the kinetics and morphological appearance of the organoids initiating from villi; the organoids initiating from villi appear irregularly shaped </w:t>
      </w:r>
      <w:r w:rsidR="00FE3483" w:rsidRPr="006D7CFA">
        <w:rPr>
          <w:color w:val="000000" w:themeColor="text1"/>
        </w:rPr>
        <w:t>at</w:t>
      </w:r>
      <w:r w:rsidRPr="006D7CFA">
        <w:rPr>
          <w:color w:val="000000" w:themeColor="text1"/>
        </w:rPr>
        <w:t xml:space="preserve"> first and take two to five days before they can be seen under 4x magnification</w:t>
      </w:r>
      <w:sdt>
        <w:sdtPr>
          <w:rPr>
            <w:color w:val="000000" w:themeColor="text1"/>
          </w:rPr>
          <w:tag w:val="goog_rdk_74"/>
          <w:id w:val="202912715"/>
        </w:sdtPr>
        <w:sdtEndPr/>
        <w:sdtContent>
          <w:r w:rsidRPr="006D7CFA">
            <w:rPr>
              <w:color w:val="000000" w:themeColor="text1"/>
            </w:rPr>
            <w:t>,</w:t>
          </w:r>
        </w:sdtContent>
      </w:sdt>
      <w:r w:rsidRPr="006D7CFA">
        <w:rPr>
          <w:color w:val="000000" w:themeColor="text1"/>
        </w:rPr>
        <w:t xml:space="preserve"> as opposed to the crypt-derived organoids </w:t>
      </w:r>
      <w:r w:rsidR="004506A6" w:rsidRPr="006D7CFA">
        <w:rPr>
          <w:color w:val="000000" w:themeColor="text1"/>
        </w:rPr>
        <w:t>(cultured by isolating crypts using the EDTA/PBS chelation method</w:t>
      </w:r>
      <w:r w:rsidR="004506A6" w:rsidRPr="006D7CFA">
        <w:rPr>
          <w:noProof/>
          <w:color w:val="000000" w:themeColor="text1"/>
          <w:vertAlign w:val="superscript"/>
        </w:rPr>
        <w:t>1,4</w:t>
      </w:r>
      <w:r w:rsidR="004506A6" w:rsidRPr="006D7CFA">
        <w:rPr>
          <w:color w:val="000000" w:themeColor="text1"/>
        </w:rPr>
        <w:t>)</w:t>
      </w:r>
      <w:r w:rsidR="008070B4" w:rsidRPr="006D7CFA">
        <w:rPr>
          <w:color w:val="000000" w:themeColor="text1"/>
        </w:rPr>
        <w:t xml:space="preserve"> </w:t>
      </w:r>
      <w:r w:rsidR="004506A6" w:rsidRPr="006D7CFA">
        <w:rPr>
          <w:color w:val="000000" w:themeColor="text1"/>
        </w:rPr>
        <w:t>that</w:t>
      </w:r>
      <w:r w:rsidRPr="006D7CFA">
        <w:rPr>
          <w:color w:val="000000" w:themeColor="text1"/>
        </w:rPr>
        <w:t xml:space="preserve"> appear overnight as spherical structures with well-defined borders (</w:t>
      </w:r>
      <w:r w:rsidRPr="00737DE1">
        <w:rPr>
          <w:b/>
          <w:bCs/>
          <w:color w:val="000000" w:themeColor="text1"/>
        </w:rPr>
        <w:t>Figure 2</w:t>
      </w:r>
      <w:r w:rsidRPr="006D7CFA">
        <w:rPr>
          <w:color w:val="000000" w:themeColor="text1"/>
        </w:rPr>
        <w:t xml:space="preserve">). </w:t>
      </w:r>
    </w:p>
    <w:p w14:paraId="4D755862" w14:textId="77777777" w:rsidR="008070B4" w:rsidRPr="006D7CFA" w:rsidRDefault="008070B4" w:rsidP="006D7CFA">
      <w:pPr>
        <w:contextualSpacing/>
        <w:jc w:val="both"/>
        <w:rPr>
          <w:color w:val="000000" w:themeColor="text1"/>
        </w:rPr>
      </w:pPr>
    </w:p>
    <w:p w14:paraId="71008ADA" w14:textId="6868FFBE" w:rsidR="0050090C" w:rsidRPr="006D7CFA" w:rsidRDefault="0050090C" w:rsidP="006D7CFA">
      <w:pPr>
        <w:contextualSpacing/>
        <w:jc w:val="both"/>
        <w:rPr>
          <w:color w:val="000000" w:themeColor="text1"/>
        </w:rPr>
      </w:pPr>
      <w:r w:rsidRPr="006D7CFA">
        <w:rPr>
          <w:color w:val="000000" w:themeColor="text1"/>
        </w:rPr>
        <w:t xml:space="preserve">The optimal time for </w:t>
      </w:r>
      <w:r w:rsidR="00EA0BCF" w:rsidRPr="006D7CFA">
        <w:rPr>
          <w:color w:val="000000" w:themeColor="text1"/>
        </w:rPr>
        <w:t>sacrificing</w:t>
      </w:r>
      <w:r w:rsidRPr="006D7CFA">
        <w:rPr>
          <w:color w:val="000000" w:themeColor="text1"/>
        </w:rPr>
        <w:t xml:space="preserve"> the m</w:t>
      </w:r>
      <w:r w:rsidR="00EA0BCF" w:rsidRPr="006D7CFA">
        <w:rPr>
          <w:color w:val="000000" w:themeColor="text1"/>
        </w:rPr>
        <w:t>ice</w:t>
      </w:r>
      <w:r w:rsidRPr="006D7CFA">
        <w:rPr>
          <w:color w:val="000000" w:themeColor="text1"/>
        </w:rPr>
        <w:t xml:space="preserve"> for testing the organoid-forming potential of the villi is after the dedifferentiating villi-epithelium express stem cell markers and begin the development of ectopic crypts in the villi </w:t>
      </w:r>
      <w:r w:rsidRPr="006D7CFA">
        <w:rPr>
          <w:i/>
          <w:color w:val="000000" w:themeColor="text1"/>
        </w:rPr>
        <w:t>in vivo</w:t>
      </w:r>
      <w:r w:rsidRPr="006D7CFA">
        <w:rPr>
          <w:color w:val="000000" w:themeColor="text1"/>
        </w:rPr>
        <w:t xml:space="preserve"> (around 10 days after Tamoxifen injection of the </w:t>
      </w:r>
      <w:r w:rsidRPr="006D7CFA">
        <w:rPr>
          <w:rFonts w:eastAsia="Calibri"/>
          <w:i/>
          <w:color w:val="000000" w:themeColor="text1"/>
          <w:highlight w:val="white"/>
        </w:rPr>
        <w:t>Smad4</w:t>
      </w:r>
      <w:r w:rsidRPr="006D7CFA">
        <w:rPr>
          <w:rFonts w:eastAsia="Calibri"/>
          <w:i/>
          <w:color w:val="000000" w:themeColor="text1"/>
          <w:highlight w:val="white"/>
          <w:vertAlign w:val="superscript"/>
        </w:rPr>
        <w:t>f/f</w:t>
      </w:r>
      <w:r w:rsidRPr="006D7CFA">
        <w:rPr>
          <w:rFonts w:eastAsia="Calibri"/>
          <w:i/>
          <w:color w:val="000000" w:themeColor="text1"/>
          <w:highlight w:val="white"/>
        </w:rPr>
        <w:t xml:space="preserve">; </w:t>
      </w:r>
      <w:proofErr w:type="spellStart"/>
      <w:r w:rsidRPr="006D7CFA">
        <w:rPr>
          <w:rFonts w:eastAsia="Calibri"/>
          <w:i/>
          <w:color w:val="000000" w:themeColor="text1"/>
          <w:highlight w:val="white"/>
        </w:rPr>
        <w:t>Catnb</w:t>
      </w:r>
      <w:r w:rsidRPr="006D7CFA">
        <w:rPr>
          <w:rFonts w:eastAsia="Calibri"/>
          <w:i/>
          <w:color w:val="000000" w:themeColor="text1"/>
          <w:highlight w:val="white"/>
          <w:vertAlign w:val="superscript"/>
        </w:rPr>
        <w:t>lox</w:t>
      </w:r>
      <w:proofErr w:type="spellEnd"/>
      <w:r w:rsidRPr="006D7CFA">
        <w:rPr>
          <w:rFonts w:eastAsia="Calibri"/>
          <w:i/>
          <w:color w:val="000000" w:themeColor="text1"/>
          <w:highlight w:val="white"/>
          <w:vertAlign w:val="superscript"/>
        </w:rPr>
        <w:t>(ex3)</w:t>
      </w:r>
      <w:r w:rsidRPr="006D7CFA">
        <w:rPr>
          <w:rFonts w:eastAsia="Calibri"/>
          <w:color w:val="000000" w:themeColor="text1"/>
          <w:highlight w:val="white"/>
        </w:rPr>
        <w:t>/</w:t>
      </w:r>
      <w:r w:rsidRPr="006D7CFA">
        <w:rPr>
          <w:rFonts w:eastAsia="Calibri"/>
          <w:color w:val="000000" w:themeColor="text1"/>
          <w:highlight w:val="white"/>
          <w:vertAlign w:val="superscript"/>
        </w:rPr>
        <w:t>+</w:t>
      </w:r>
      <w:r w:rsidRPr="006D7CFA">
        <w:rPr>
          <w:rFonts w:eastAsia="Calibri"/>
          <w:i/>
          <w:color w:val="000000" w:themeColor="text1"/>
          <w:highlight w:val="white"/>
        </w:rPr>
        <w:t>; Villin-Cre</w:t>
      </w:r>
      <w:r w:rsidRPr="006D7CFA">
        <w:rPr>
          <w:rFonts w:eastAsia="Calibri"/>
          <w:i/>
          <w:color w:val="000000" w:themeColor="text1"/>
          <w:highlight w:val="white"/>
          <w:vertAlign w:val="superscript"/>
        </w:rPr>
        <w:t>ERT2</w:t>
      </w:r>
      <w:r w:rsidRPr="006D7CFA">
        <w:rPr>
          <w:rFonts w:eastAsia="Calibri"/>
          <w:color w:val="000000" w:themeColor="text1"/>
          <w:highlight w:val="white"/>
        </w:rPr>
        <w:t> </w:t>
      </w:r>
      <w:r w:rsidRPr="006D7CFA">
        <w:rPr>
          <w:color w:val="000000" w:themeColor="text1"/>
        </w:rPr>
        <w:t xml:space="preserve">mice). These mice have a tamoxifen inducible </w:t>
      </w:r>
      <w:proofErr w:type="spellStart"/>
      <w:r w:rsidRPr="006D7CFA">
        <w:rPr>
          <w:color w:val="000000" w:themeColor="text1"/>
        </w:rPr>
        <w:t>cre</w:t>
      </w:r>
      <w:proofErr w:type="spellEnd"/>
      <w:r w:rsidRPr="006D7CFA">
        <w:rPr>
          <w:color w:val="000000" w:themeColor="text1"/>
        </w:rPr>
        <w:t xml:space="preserve">-recombinase that </w:t>
      </w:r>
      <w:r w:rsidRPr="006D7CFA">
        <w:rPr>
          <w:color w:val="000000" w:themeColor="text1"/>
        </w:rPr>
        <w:lastRenderedPageBreak/>
        <w:t xml:space="preserve">causes Smad4 loss concomitant with </w:t>
      </w:r>
      <w:r w:rsidRPr="006D7CFA">
        <w:rPr>
          <w:rFonts w:eastAsia="Calibri"/>
          <w:color w:val="000000" w:themeColor="text1"/>
          <w:highlight w:val="white"/>
        </w:rPr>
        <w:t>β</w:t>
      </w:r>
      <w:r w:rsidRPr="006D7CFA">
        <w:rPr>
          <w:color w:val="000000" w:themeColor="text1"/>
        </w:rPr>
        <w:t xml:space="preserve">-catenin activation with tamoxifen. </w:t>
      </w:r>
      <w:sdt>
        <w:sdtPr>
          <w:rPr>
            <w:color w:val="000000" w:themeColor="text1"/>
          </w:rPr>
          <w:tag w:val="goog_rdk_79"/>
          <w:id w:val="158045327"/>
        </w:sdtPr>
        <w:sdtEndPr/>
        <w:sdtContent/>
      </w:sdt>
      <w:r w:rsidRPr="006D7CFA">
        <w:rPr>
          <w:color w:val="000000" w:themeColor="text1"/>
        </w:rPr>
        <w:t xml:space="preserve">The ectopic crypts develop fully within two weeks of induction of the mutation, while the stem cells in the villus epithelium appear within a week after the induction of mutation </w:t>
      </w:r>
      <w:r w:rsidRPr="006D7CFA">
        <w:rPr>
          <w:i/>
          <w:color w:val="000000" w:themeColor="text1"/>
        </w:rPr>
        <w:t>in vivo</w:t>
      </w:r>
      <w:r w:rsidRPr="006D7CFA">
        <w:rPr>
          <w:color w:val="000000" w:themeColor="text1"/>
        </w:rPr>
        <w:t>. The number of villi that form organoids when plated in Matrigel has been reported to vary between 2% to 12%</w:t>
      </w:r>
      <w:r w:rsidR="00AA0EC9" w:rsidRPr="006D7CFA">
        <w:rPr>
          <w:noProof/>
          <w:color w:val="000000" w:themeColor="text1"/>
          <w:vertAlign w:val="superscript"/>
        </w:rPr>
        <w:t>3</w:t>
      </w:r>
      <w:r w:rsidRPr="006D7CFA">
        <w:rPr>
          <w:color w:val="000000" w:themeColor="text1"/>
        </w:rPr>
        <w:t>. Harvesting the mutant mouse for plating the villi around the time when stem cells are present (</w:t>
      </w:r>
      <w:r w:rsidR="00AA0EC9" w:rsidRPr="006D7CFA">
        <w:rPr>
          <w:color w:val="000000" w:themeColor="text1"/>
        </w:rPr>
        <w:t>around a week</w:t>
      </w:r>
      <w:r w:rsidRPr="006D7CFA">
        <w:rPr>
          <w:color w:val="000000" w:themeColor="text1"/>
        </w:rPr>
        <w:t xml:space="preserve"> after </w:t>
      </w:r>
      <w:r w:rsidR="00AA0EC9" w:rsidRPr="006D7CFA">
        <w:rPr>
          <w:color w:val="000000" w:themeColor="text1"/>
        </w:rPr>
        <w:t xml:space="preserve">the </w:t>
      </w:r>
      <w:proofErr w:type="spellStart"/>
      <w:r w:rsidRPr="006D7CFA">
        <w:rPr>
          <w:color w:val="000000" w:themeColor="text1"/>
        </w:rPr>
        <w:t>cre</w:t>
      </w:r>
      <w:proofErr w:type="spellEnd"/>
      <w:r w:rsidRPr="006D7CFA">
        <w:rPr>
          <w:color w:val="000000" w:themeColor="text1"/>
        </w:rPr>
        <w:t xml:space="preserve">-recombinase induction) will prolong the time required for villi-derived organoids appear, </w:t>
      </w:r>
      <w:sdt>
        <w:sdtPr>
          <w:rPr>
            <w:color w:val="000000" w:themeColor="text1"/>
          </w:rPr>
          <w:tag w:val="goog_rdk_80"/>
          <w:id w:val="-1475673166"/>
        </w:sdtPr>
        <w:sdtEndPr/>
        <w:sdtContent/>
      </w:sdt>
      <w:r w:rsidRPr="006D7CFA">
        <w:rPr>
          <w:color w:val="000000" w:themeColor="text1"/>
        </w:rPr>
        <w:t>whereas delaying the harvest to</w:t>
      </w:r>
      <w:r w:rsidR="008744CC" w:rsidRPr="006D7CFA">
        <w:rPr>
          <w:color w:val="000000" w:themeColor="text1"/>
        </w:rPr>
        <w:t xml:space="preserve"> later than</w:t>
      </w:r>
      <w:r w:rsidRPr="006D7CFA">
        <w:rPr>
          <w:color w:val="000000" w:themeColor="text1"/>
        </w:rPr>
        <w:t xml:space="preserve"> ten days </w:t>
      </w:r>
      <w:r w:rsidR="008744CC" w:rsidRPr="006D7CFA">
        <w:rPr>
          <w:color w:val="000000" w:themeColor="text1"/>
        </w:rPr>
        <w:t>after the</w:t>
      </w:r>
      <w:r w:rsidRPr="006D7CFA">
        <w:rPr>
          <w:color w:val="000000" w:themeColor="text1"/>
        </w:rPr>
        <w:t xml:space="preserve"> </w:t>
      </w:r>
      <w:proofErr w:type="spellStart"/>
      <w:r w:rsidRPr="006D7CFA">
        <w:rPr>
          <w:color w:val="000000" w:themeColor="text1"/>
        </w:rPr>
        <w:t>cre</w:t>
      </w:r>
      <w:proofErr w:type="spellEnd"/>
      <w:r w:rsidRPr="006D7CFA">
        <w:rPr>
          <w:color w:val="000000" w:themeColor="text1"/>
        </w:rPr>
        <w:t>-induction increases the risk crypt of contamination.</w:t>
      </w:r>
    </w:p>
    <w:p w14:paraId="23DF8265" w14:textId="77777777" w:rsidR="000B5631" w:rsidRPr="006D7CFA" w:rsidRDefault="000B5631" w:rsidP="006D7CFA">
      <w:pPr>
        <w:rPr>
          <w:color w:val="000000" w:themeColor="text1"/>
        </w:rPr>
      </w:pPr>
    </w:p>
    <w:p w14:paraId="353DC9BB" w14:textId="0FFE2509" w:rsidR="000B5631" w:rsidRPr="006D7CFA" w:rsidRDefault="000B5631" w:rsidP="006D7CFA">
      <w:r w:rsidRPr="006D7CFA">
        <w:rPr>
          <w:b/>
          <w:bCs/>
        </w:rPr>
        <w:t xml:space="preserve">Figure 1: Experimental set-up and villi scraping from intestinal epithelium. </w:t>
      </w:r>
      <w:r w:rsidRPr="00737DE1">
        <w:rPr>
          <w:b/>
          <w:bCs/>
        </w:rPr>
        <w:t>A</w:t>
      </w:r>
      <w:r w:rsidRPr="006D7CFA">
        <w:t>) PBS-filled syringe (</w:t>
      </w:r>
      <w:proofErr w:type="spellStart"/>
      <w:r w:rsidRPr="006D7CFA">
        <w:t>syrg</w:t>
      </w:r>
      <w:proofErr w:type="spellEnd"/>
      <w:r w:rsidRPr="006D7CFA">
        <w:t>) with tubing and filter (</w:t>
      </w:r>
      <w:proofErr w:type="spellStart"/>
      <w:r w:rsidRPr="006D7CFA">
        <w:t>Fltr</w:t>
      </w:r>
      <w:proofErr w:type="spellEnd"/>
      <w:r w:rsidRPr="006D7CFA">
        <w:t xml:space="preserve">) in PBS. </w:t>
      </w:r>
      <w:r w:rsidRPr="00737DE1">
        <w:rPr>
          <w:b/>
          <w:bCs/>
        </w:rPr>
        <w:t>B</w:t>
      </w:r>
      <w:r w:rsidRPr="006D7CFA">
        <w:t>) Villi isolation by scraping (</w:t>
      </w:r>
      <w:r w:rsidRPr="00737DE1">
        <w:rPr>
          <w:b/>
          <w:bCs/>
        </w:rPr>
        <w:t>B1</w:t>
      </w:r>
      <w:r w:rsidRPr="006D7CFA">
        <w:t>) and transferring to a filter (</w:t>
      </w:r>
      <w:r w:rsidRPr="00737DE1">
        <w:rPr>
          <w:b/>
          <w:bCs/>
        </w:rPr>
        <w:t>B2</w:t>
      </w:r>
      <w:r w:rsidRPr="006D7CFA">
        <w:t xml:space="preserve">). The arrow points the villi collected on the slide. </w:t>
      </w:r>
    </w:p>
    <w:p w14:paraId="1E70ED9E" w14:textId="77777777" w:rsidR="000B5631" w:rsidRPr="006D7CFA" w:rsidRDefault="000B5631" w:rsidP="006D7CFA">
      <w:pPr>
        <w:rPr>
          <w:b/>
          <w:bCs/>
        </w:rPr>
      </w:pPr>
    </w:p>
    <w:p w14:paraId="6D588257" w14:textId="77777777" w:rsidR="000B5631" w:rsidRPr="006D7CFA" w:rsidRDefault="000B5631" w:rsidP="006D7CFA">
      <w:r w:rsidRPr="006D7CFA">
        <w:rPr>
          <w:b/>
          <w:bCs/>
        </w:rPr>
        <w:t xml:space="preserve">Figure 2: Distinction in the appearance of the organoids emerging from the crypts versus the dedifferentiated villi epithelium from the same mouse intestine: </w:t>
      </w:r>
      <w:r w:rsidRPr="00737DE1">
        <w:rPr>
          <w:b/>
          <w:bCs/>
        </w:rPr>
        <w:t>A</w:t>
      </w:r>
      <w:r w:rsidRPr="006D7CFA">
        <w:t xml:space="preserve">) Cartoon showing villus and crypts. </w:t>
      </w:r>
      <w:r w:rsidRPr="00737DE1">
        <w:rPr>
          <w:b/>
          <w:bCs/>
        </w:rPr>
        <w:t>B</w:t>
      </w:r>
      <w:r w:rsidRPr="006D7CFA">
        <w:t xml:space="preserve">) Whole mount (in PBS) of villi prepared by scraping (top panel) and crypts prepared by EDTA-chelation (lower panel). </w:t>
      </w:r>
      <w:r w:rsidRPr="00737DE1">
        <w:rPr>
          <w:b/>
          <w:bCs/>
        </w:rPr>
        <w:t>C</w:t>
      </w:r>
      <w:r w:rsidRPr="006D7CFA">
        <w:t>) Villi-derived (top panel) and crypt-derived (lower panel) organoids from the same mouse intestinal epithelium in BME-R1 (scale bars, 500 um).</w:t>
      </w:r>
    </w:p>
    <w:p w14:paraId="778D296E" w14:textId="77777777" w:rsidR="000B5631" w:rsidRPr="006D7CFA" w:rsidRDefault="000B5631" w:rsidP="006D7CFA">
      <w:pPr>
        <w:rPr>
          <w:b/>
          <w:bCs/>
        </w:rPr>
      </w:pPr>
    </w:p>
    <w:p w14:paraId="7D7B5B77" w14:textId="4743259C" w:rsidR="000B5631" w:rsidRPr="006D7CFA" w:rsidRDefault="000B5631" w:rsidP="006D7CFA">
      <w:r w:rsidRPr="006D7CFA">
        <w:rPr>
          <w:b/>
          <w:bCs/>
        </w:rPr>
        <w:t>Figure 3</w:t>
      </w:r>
      <w:r w:rsidR="0060198A" w:rsidRPr="006D7CFA">
        <w:rPr>
          <w:b/>
          <w:bCs/>
        </w:rPr>
        <w:t xml:space="preserve">: </w:t>
      </w:r>
      <w:r w:rsidRPr="006D7CFA">
        <w:rPr>
          <w:b/>
          <w:bCs/>
        </w:rPr>
        <w:t xml:space="preserve">Time course of organoid formation from the dedifferentiating villi. </w:t>
      </w:r>
      <w:r w:rsidRPr="006D7CFA">
        <w:t xml:space="preserve">Organoid initiation from two different villi is shown (the boxed regions are enlarged in the middle and bottom panels). The villi with organoid-forming potential appears dense, possibly due to the retention of the underlying mesenchyme. Organoid initiation from the villus is apparent at day two (solid arrow) from one of the villi (box with broken boundary), while in the other villus (box with solid boundary) the organoid appears at day four (arrow). </w:t>
      </w:r>
      <w:r w:rsidR="0060198A" w:rsidRPr="006D7CFA">
        <w:t xml:space="preserve">The upper box in the day 6 panel shows a developed villi-derived organoid. </w:t>
      </w:r>
      <w:r w:rsidRPr="006D7CFA">
        <w:t>Scale bar, 100 </w:t>
      </w:r>
      <w:r w:rsidRPr="006D7CFA">
        <w:rPr>
          <w:lang w:val="el-GR"/>
        </w:rPr>
        <w:t>μ</w:t>
      </w:r>
      <w:r w:rsidRPr="006D7CFA">
        <w:t>m.</w:t>
      </w:r>
    </w:p>
    <w:p w14:paraId="573B559C" w14:textId="0070E3D6" w:rsidR="0050090C" w:rsidRPr="006D7CFA" w:rsidRDefault="0050090C" w:rsidP="006D7CFA">
      <w:pPr>
        <w:contextualSpacing/>
        <w:jc w:val="both"/>
        <w:rPr>
          <w:color w:val="000000" w:themeColor="text1"/>
        </w:rPr>
      </w:pPr>
      <w:r w:rsidRPr="006D7CFA">
        <w:rPr>
          <w:color w:val="000000" w:themeColor="text1"/>
        </w:rPr>
        <w:t xml:space="preserve"> </w:t>
      </w:r>
    </w:p>
    <w:p w14:paraId="1A50355D" w14:textId="77777777" w:rsidR="0050090C" w:rsidRPr="006D7CFA" w:rsidRDefault="0050090C" w:rsidP="006D7CFA">
      <w:pPr>
        <w:contextualSpacing/>
        <w:jc w:val="both"/>
        <w:rPr>
          <w:color w:val="000000" w:themeColor="text1"/>
        </w:rPr>
      </w:pPr>
      <w:r w:rsidRPr="006D7CFA">
        <w:rPr>
          <w:b/>
          <w:color w:val="000000" w:themeColor="text1"/>
        </w:rPr>
        <w:t xml:space="preserve">DISCUSSION: </w:t>
      </w:r>
    </w:p>
    <w:p w14:paraId="121BF5A6" w14:textId="5DDE6653" w:rsidR="0050090C" w:rsidRPr="006D7CFA" w:rsidRDefault="0050090C" w:rsidP="006D7CFA">
      <w:pPr>
        <w:contextualSpacing/>
        <w:jc w:val="both"/>
        <w:rPr>
          <w:color w:val="000000" w:themeColor="text1"/>
        </w:rPr>
      </w:pPr>
      <w:r w:rsidRPr="006D7CFA">
        <w:rPr>
          <w:color w:val="000000" w:themeColor="text1"/>
        </w:rPr>
        <w:t xml:space="preserve">This method can confirm the self-renewal capacity of dedifferentiating villi epithelium that acquire stem cell markers </w:t>
      </w:r>
      <w:r w:rsidRPr="006D7CFA">
        <w:rPr>
          <w:i/>
          <w:color w:val="000000" w:themeColor="text1"/>
        </w:rPr>
        <w:t>in vivo.</w:t>
      </w:r>
      <w:r w:rsidRPr="006D7CFA">
        <w:rPr>
          <w:color w:val="000000" w:themeColor="text1"/>
        </w:rPr>
        <w:t xml:space="preserve"> The normal intestinal epithelium can give rise to organoids from the crypt</w:t>
      </w:r>
      <w:sdt>
        <w:sdtPr>
          <w:rPr>
            <w:color w:val="000000" w:themeColor="text1"/>
          </w:rPr>
          <w:tag w:val="goog_rdk_83"/>
          <w:id w:val="1020745903"/>
        </w:sdtPr>
        <w:sdtEndPr/>
        <w:sdtContent>
          <w:r w:rsidRPr="006D7CFA">
            <w:rPr>
              <w:color w:val="000000" w:themeColor="text1"/>
            </w:rPr>
            <w:t>,</w:t>
          </w:r>
        </w:sdtContent>
      </w:sdt>
      <w:r w:rsidRPr="006D7CFA">
        <w:rPr>
          <w:color w:val="000000" w:themeColor="text1"/>
        </w:rPr>
        <w:t xml:space="preserve"> but not the villi compartment</w:t>
      </w:r>
      <w:sdt>
        <w:sdtPr>
          <w:rPr>
            <w:color w:val="000000" w:themeColor="text1"/>
          </w:rPr>
          <w:tag w:val="goog_rdk_85"/>
          <w:id w:val="299036312"/>
        </w:sdtPr>
        <w:sdtEndPr/>
        <w:sdtContent>
          <w:r w:rsidRPr="006D7CFA">
            <w:rPr>
              <w:color w:val="000000" w:themeColor="text1"/>
            </w:rPr>
            <w:t>,</w:t>
          </w:r>
        </w:sdtContent>
      </w:sdt>
      <w:r w:rsidRPr="006D7CFA">
        <w:rPr>
          <w:color w:val="000000" w:themeColor="text1"/>
        </w:rPr>
        <w:t xml:space="preserve"> when cultured in 3D because of the presence of stem cells in the crypts</w:t>
      </w:r>
      <w:r w:rsidR="00AA0EC9" w:rsidRPr="006D7CFA">
        <w:rPr>
          <w:noProof/>
          <w:color w:val="000000" w:themeColor="text1"/>
          <w:vertAlign w:val="superscript"/>
        </w:rPr>
        <w:t>1</w:t>
      </w:r>
      <w:r w:rsidR="00AA0EC9" w:rsidRPr="006D7CFA">
        <w:rPr>
          <w:color w:val="000000" w:themeColor="text1"/>
        </w:rPr>
        <w:t>.</w:t>
      </w:r>
      <w:r w:rsidRPr="006D7CFA">
        <w:rPr>
          <w:color w:val="000000" w:themeColor="text1"/>
        </w:rPr>
        <w:t xml:space="preserve"> Thus, organoid formation from the dedifferentiated villi epithelium cultured in 3D cultures confirms stem cell formation from cell fate reversal. Reports on cell fate reversal in the intestinal epithelium arising from mutations and/or injury are increasing</w:t>
      </w:r>
      <w:r w:rsidR="00AA0EC9" w:rsidRPr="006D7CFA">
        <w:rPr>
          <w:noProof/>
          <w:color w:val="000000" w:themeColor="text1"/>
          <w:vertAlign w:val="superscript"/>
        </w:rPr>
        <w:t>2</w:t>
      </w:r>
      <w:r w:rsidR="005857C9" w:rsidRPr="006D7CFA">
        <w:rPr>
          <w:color w:val="000000" w:themeColor="text1"/>
          <w:vertAlign w:val="superscript"/>
        </w:rPr>
        <w:t>,</w:t>
      </w:r>
      <w:r w:rsidR="0085494B" w:rsidRPr="006D7CFA">
        <w:rPr>
          <w:color w:val="000000" w:themeColor="text1"/>
          <w:vertAlign w:val="superscript"/>
        </w:rPr>
        <w:t xml:space="preserve"> 3, </w:t>
      </w:r>
      <w:r w:rsidR="0085494B" w:rsidRPr="006D7CFA">
        <w:rPr>
          <w:noProof/>
          <w:color w:val="000000" w:themeColor="text1"/>
          <w:vertAlign w:val="superscript"/>
        </w:rPr>
        <w:t>9</w:t>
      </w:r>
      <w:r w:rsidR="0085494B" w:rsidRPr="006D7CFA">
        <w:rPr>
          <w:color w:val="000000" w:themeColor="text1"/>
          <w:vertAlign w:val="superscript"/>
        </w:rPr>
        <w:t xml:space="preserve">, </w:t>
      </w:r>
      <w:r w:rsidR="0085494B" w:rsidRPr="006D7CFA">
        <w:rPr>
          <w:noProof/>
          <w:color w:val="000000" w:themeColor="text1"/>
          <w:vertAlign w:val="superscript"/>
        </w:rPr>
        <w:t>10</w:t>
      </w:r>
      <w:r w:rsidR="0085494B" w:rsidRPr="006D7CFA">
        <w:rPr>
          <w:color w:val="000000" w:themeColor="text1"/>
          <w:vertAlign w:val="superscript"/>
        </w:rPr>
        <w:t>,</w:t>
      </w:r>
      <w:r w:rsidR="005857C9" w:rsidRPr="006D7CFA">
        <w:rPr>
          <w:color w:val="000000" w:themeColor="text1"/>
          <w:vertAlign w:val="superscript"/>
        </w:rPr>
        <w:t xml:space="preserve"> </w:t>
      </w:r>
      <w:r w:rsidR="00AA0EC9" w:rsidRPr="006D7CFA">
        <w:rPr>
          <w:noProof/>
          <w:color w:val="000000" w:themeColor="text1"/>
          <w:vertAlign w:val="superscript"/>
        </w:rPr>
        <w:t>11</w:t>
      </w:r>
      <w:r w:rsidR="005857C9" w:rsidRPr="006D7CFA">
        <w:rPr>
          <w:color w:val="000000" w:themeColor="text1"/>
          <w:vertAlign w:val="superscript"/>
        </w:rPr>
        <w:t xml:space="preserve">, </w:t>
      </w:r>
      <w:r w:rsidR="00AA0EC9" w:rsidRPr="006D7CFA">
        <w:rPr>
          <w:noProof/>
          <w:color w:val="000000" w:themeColor="text1"/>
          <w:vertAlign w:val="superscript"/>
        </w:rPr>
        <w:t>12</w:t>
      </w:r>
      <w:r w:rsidRPr="006D7CFA">
        <w:rPr>
          <w:color w:val="000000" w:themeColor="text1"/>
        </w:rPr>
        <w:t>. Hence, this method is applicable in similar scenarios where the dedifferentiating villi epithelium express</w:t>
      </w:r>
      <w:sdt>
        <w:sdtPr>
          <w:rPr>
            <w:color w:val="000000" w:themeColor="text1"/>
          </w:rPr>
          <w:tag w:val="goog_rdk_86"/>
          <w:id w:val="-1751032896"/>
        </w:sdtPr>
        <w:sdtEndPr/>
        <w:sdtContent>
          <w:r w:rsidRPr="006D7CFA">
            <w:rPr>
              <w:color w:val="000000" w:themeColor="text1"/>
            </w:rPr>
            <w:t>es</w:t>
          </w:r>
        </w:sdtContent>
      </w:sdt>
      <w:r w:rsidRPr="006D7CFA">
        <w:rPr>
          <w:color w:val="000000" w:themeColor="text1"/>
        </w:rPr>
        <w:t xml:space="preserve"> stem cell markers </w:t>
      </w:r>
      <w:r w:rsidRPr="006D7CFA">
        <w:rPr>
          <w:i/>
          <w:color w:val="000000" w:themeColor="text1"/>
        </w:rPr>
        <w:t>in vivo</w:t>
      </w:r>
      <w:r w:rsidRPr="006D7CFA">
        <w:rPr>
          <w:color w:val="000000" w:themeColor="text1"/>
        </w:rPr>
        <w:t>.</w:t>
      </w:r>
      <w:r w:rsidR="008070B4" w:rsidRPr="006D7CFA">
        <w:rPr>
          <w:color w:val="000000" w:themeColor="text1"/>
        </w:rPr>
        <w:t xml:space="preserve"> </w:t>
      </w:r>
    </w:p>
    <w:p w14:paraId="38086CD2" w14:textId="77777777" w:rsidR="008070B4" w:rsidRPr="006D7CFA" w:rsidRDefault="008070B4" w:rsidP="006D7CFA">
      <w:pPr>
        <w:contextualSpacing/>
        <w:jc w:val="both"/>
        <w:rPr>
          <w:color w:val="000000" w:themeColor="text1"/>
        </w:rPr>
      </w:pPr>
    </w:p>
    <w:p w14:paraId="55AB9202" w14:textId="082EB961" w:rsidR="0050090C" w:rsidRPr="006D7CFA" w:rsidRDefault="0050090C" w:rsidP="006D7CFA">
      <w:pPr>
        <w:contextualSpacing/>
        <w:jc w:val="both"/>
        <w:rPr>
          <w:color w:val="000000" w:themeColor="text1"/>
        </w:rPr>
      </w:pPr>
      <w:r w:rsidRPr="006D7CFA">
        <w:rPr>
          <w:color w:val="000000" w:themeColor="text1"/>
        </w:rPr>
        <w:t xml:space="preserve">We confirmed the development of the organoids from the villi of </w:t>
      </w:r>
      <w:sdt>
        <w:sdtPr>
          <w:rPr>
            <w:color w:val="000000" w:themeColor="text1"/>
          </w:rPr>
          <w:tag w:val="goog_rdk_87"/>
          <w:id w:val="794958794"/>
        </w:sdtPr>
        <w:sdtEndPr/>
        <w:sdtContent>
          <w:r w:rsidRPr="006D7CFA">
            <w:rPr>
              <w:color w:val="000000" w:themeColor="text1"/>
            </w:rPr>
            <w:t xml:space="preserve">the </w:t>
          </w:r>
        </w:sdtContent>
      </w:sdt>
      <w:r w:rsidRPr="006D7CFA">
        <w:rPr>
          <w:color w:val="000000" w:themeColor="text1"/>
          <w:highlight w:val="white"/>
        </w:rPr>
        <w:t>Smad4</w:t>
      </w:r>
      <w:r w:rsidRPr="006D7CFA">
        <w:rPr>
          <w:color w:val="000000" w:themeColor="text1"/>
          <w:vertAlign w:val="superscript"/>
        </w:rPr>
        <w:t>KO</w:t>
      </w:r>
      <w:r w:rsidRPr="006D7CFA">
        <w:rPr>
          <w:color w:val="000000" w:themeColor="text1"/>
          <w:highlight w:val="white"/>
        </w:rPr>
        <w:t>:β-</w:t>
      </w:r>
      <w:proofErr w:type="spellStart"/>
      <w:r w:rsidRPr="006D7CFA">
        <w:rPr>
          <w:color w:val="000000" w:themeColor="text1"/>
          <w:highlight w:val="white"/>
        </w:rPr>
        <w:t>catenin</w:t>
      </w:r>
      <w:r w:rsidRPr="006D7CFA">
        <w:rPr>
          <w:color w:val="000000" w:themeColor="text1"/>
          <w:vertAlign w:val="superscript"/>
        </w:rPr>
        <w:t>GOF</w:t>
      </w:r>
      <w:proofErr w:type="spellEnd"/>
      <w:r w:rsidRPr="006D7CFA">
        <w:rPr>
          <w:color w:val="000000" w:themeColor="text1"/>
        </w:rPr>
        <w:t xml:space="preserve"> mutant through the time course showing development of organoid from the villi (Figure 3).</w:t>
      </w:r>
      <w:r w:rsidR="008070B4" w:rsidRPr="006D7CFA">
        <w:rPr>
          <w:color w:val="000000" w:themeColor="text1"/>
        </w:rPr>
        <w:t xml:space="preserve"> </w:t>
      </w:r>
      <w:r w:rsidRPr="006D7CFA">
        <w:rPr>
          <w:color w:val="000000" w:themeColor="text1"/>
        </w:rPr>
        <w:t xml:space="preserve">The most critical aspect is taking precautionary measures against crypt contamination, which </w:t>
      </w:r>
      <w:r w:rsidR="00FE3483" w:rsidRPr="006D7CFA">
        <w:rPr>
          <w:color w:val="000000" w:themeColor="text1"/>
        </w:rPr>
        <w:t>would</w:t>
      </w:r>
      <w:r w:rsidRPr="006D7CFA">
        <w:rPr>
          <w:color w:val="000000" w:themeColor="text1"/>
        </w:rPr>
        <w:t xml:space="preserve"> lead to false positives.</w:t>
      </w:r>
      <w:r w:rsidR="008070B4" w:rsidRPr="006D7CFA">
        <w:rPr>
          <w:color w:val="000000" w:themeColor="text1"/>
        </w:rPr>
        <w:t xml:space="preserve"> </w:t>
      </w:r>
      <w:sdt>
        <w:sdtPr>
          <w:rPr>
            <w:color w:val="000000" w:themeColor="text1"/>
          </w:rPr>
          <w:tag w:val="goog_rdk_88"/>
          <w:id w:val="1499932465"/>
        </w:sdtPr>
        <w:sdtEndPr/>
        <w:sdtContent>
          <w:r w:rsidRPr="006D7CFA">
            <w:rPr>
              <w:color w:val="000000" w:themeColor="text1"/>
            </w:rPr>
            <w:t>The f</w:t>
          </w:r>
        </w:sdtContent>
      </w:sdt>
      <w:r w:rsidRPr="006D7CFA">
        <w:rPr>
          <w:color w:val="000000" w:themeColor="text1"/>
        </w:rPr>
        <w:t xml:space="preserve">ollowing measures </w:t>
      </w:r>
      <w:sdt>
        <w:sdtPr>
          <w:rPr>
            <w:color w:val="000000" w:themeColor="text1"/>
          </w:rPr>
          <w:tag w:val="goog_rdk_90"/>
          <w:id w:val="916067763"/>
        </w:sdtPr>
        <w:sdtEndPr/>
        <w:sdtContent>
          <w:r w:rsidRPr="006D7CFA">
            <w:rPr>
              <w:color w:val="000000" w:themeColor="text1"/>
            </w:rPr>
            <w:t xml:space="preserve">were </w:t>
          </w:r>
        </w:sdtContent>
      </w:sdt>
      <w:r w:rsidRPr="006D7CFA">
        <w:rPr>
          <w:color w:val="000000" w:themeColor="text1"/>
        </w:rPr>
        <w:t xml:space="preserve">taken to ensure the purity of the villi preparation before and after plating: a) </w:t>
      </w:r>
      <w:sdt>
        <w:sdtPr>
          <w:rPr>
            <w:color w:val="000000" w:themeColor="text1"/>
          </w:rPr>
          <w:tag w:val="goog_rdk_91"/>
          <w:id w:val="-868603666"/>
        </w:sdtPr>
        <w:sdtEndPr/>
        <w:sdtContent>
          <w:r w:rsidRPr="006D7CFA">
            <w:rPr>
              <w:color w:val="000000" w:themeColor="text1"/>
            </w:rPr>
            <w:t>i</w:t>
          </w:r>
        </w:sdtContent>
      </w:sdt>
      <w:r w:rsidRPr="006D7CFA">
        <w:rPr>
          <w:color w:val="000000" w:themeColor="text1"/>
        </w:rPr>
        <w:t xml:space="preserve">solation of villi from the proximal half of the duodenum where the villi are the </w:t>
      </w:r>
      <w:sdt>
        <w:sdtPr>
          <w:rPr>
            <w:color w:val="000000" w:themeColor="text1"/>
          </w:rPr>
          <w:tag w:val="goog_rdk_93"/>
          <w:id w:val="-509446871"/>
        </w:sdtPr>
        <w:sdtEndPr/>
        <w:sdtContent>
          <w:r w:rsidRPr="006D7CFA">
            <w:rPr>
              <w:color w:val="000000" w:themeColor="text1"/>
            </w:rPr>
            <w:t>longest</w:t>
          </w:r>
        </w:sdtContent>
      </w:sdt>
      <w:r w:rsidRPr="006D7CFA">
        <w:rPr>
          <w:color w:val="000000" w:themeColor="text1"/>
        </w:rPr>
        <w:t>, b) minimizing the number of scrapes and adjusting the pressure of scraping to yield villi without tethered crypts, c)</w:t>
      </w:r>
      <w:r w:rsidR="00EA0BCF" w:rsidRPr="006D7CFA">
        <w:rPr>
          <w:color w:val="000000" w:themeColor="text1"/>
        </w:rPr>
        <w:t xml:space="preserve"> </w:t>
      </w:r>
      <w:r w:rsidRPr="006D7CFA">
        <w:rPr>
          <w:color w:val="000000" w:themeColor="text1"/>
        </w:rPr>
        <w:t xml:space="preserve">washing the villi with PBS after placing them in a 70 </w:t>
      </w:r>
      <w:r w:rsidR="00737DE1">
        <w:rPr>
          <w:color w:val="000000" w:themeColor="text1"/>
        </w:rPr>
        <w:t xml:space="preserve">µm </w:t>
      </w:r>
      <w:r w:rsidRPr="006D7CFA">
        <w:rPr>
          <w:color w:val="000000" w:themeColor="text1"/>
        </w:rPr>
        <w:t>mesh strainer to exclude any loose crypts or cells</w:t>
      </w:r>
      <w:sdt>
        <w:sdtPr>
          <w:rPr>
            <w:color w:val="000000" w:themeColor="text1"/>
          </w:rPr>
          <w:tag w:val="goog_rdk_95"/>
          <w:id w:val="1516962617"/>
        </w:sdtPr>
        <w:sdtEndPr/>
        <w:sdtContent>
          <w:r w:rsidRPr="006D7CFA">
            <w:rPr>
              <w:color w:val="000000" w:themeColor="text1"/>
            </w:rPr>
            <w:t>,</w:t>
          </w:r>
        </w:sdtContent>
      </w:sdt>
      <w:r w:rsidRPr="006D7CFA">
        <w:rPr>
          <w:color w:val="000000" w:themeColor="text1"/>
        </w:rPr>
        <w:t xml:space="preserve"> d) microscopic examination of the </w:t>
      </w:r>
      <w:r w:rsidRPr="006D7CFA">
        <w:rPr>
          <w:color w:val="000000" w:themeColor="text1"/>
        </w:rPr>
        <w:lastRenderedPageBreak/>
        <w:t>harvested villi prior to and after plating, and e) minimizing the number of villi plated per well so that they can be visualized individually in the plated matrix.</w:t>
      </w:r>
      <w:r w:rsidR="008070B4" w:rsidRPr="006D7CFA">
        <w:rPr>
          <w:color w:val="000000" w:themeColor="text1"/>
        </w:rPr>
        <w:t xml:space="preserve"> </w:t>
      </w:r>
    </w:p>
    <w:p w14:paraId="2DAD6039" w14:textId="77777777" w:rsidR="008070B4" w:rsidRPr="006D7CFA" w:rsidRDefault="008070B4" w:rsidP="006D7CFA">
      <w:pPr>
        <w:contextualSpacing/>
        <w:jc w:val="both"/>
        <w:rPr>
          <w:color w:val="000000" w:themeColor="text1"/>
        </w:rPr>
      </w:pPr>
    </w:p>
    <w:p w14:paraId="320D331D" w14:textId="0B108928" w:rsidR="0050090C" w:rsidRPr="006D7CFA" w:rsidRDefault="0050090C" w:rsidP="006D7CFA">
      <w:pPr>
        <w:contextualSpacing/>
        <w:jc w:val="both"/>
        <w:rPr>
          <w:rFonts w:eastAsia="Arial"/>
          <w:color w:val="000000" w:themeColor="text1"/>
        </w:rPr>
      </w:pPr>
      <w:r w:rsidRPr="006D7CFA">
        <w:rPr>
          <w:color w:val="000000" w:themeColor="text1"/>
        </w:rPr>
        <w:t xml:space="preserve">Several considerations were made to optimize the procedure. Firstly, we harvested the villi from the proximal duodenum where the villi are the </w:t>
      </w:r>
      <w:sdt>
        <w:sdtPr>
          <w:rPr>
            <w:color w:val="000000" w:themeColor="text1"/>
          </w:rPr>
          <w:tag w:val="goog_rdk_96"/>
          <w:id w:val="-277881402"/>
        </w:sdtPr>
        <w:sdtEndPr/>
        <w:sdtContent>
          <w:r w:rsidRPr="006D7CFA">
            <w:rPr>
              <w:color w:val="000000" w:themeColor="text1"/>
            </w:rPr>
            <w:t>longest</w:t>
          </w:r>
        </w:sdtContent>
      </w:sdt>
      <w:r w:rsidRPr="006D7CFA">
        <w:rPr>
          <w:color w:val="000000" w:themeColor="text1"/>
        </w:rPr>
        <w:t xml:space="preserve">. The physical delineation between the differentiation and the proliferative compartments in the small intestine allows us to adopt scraping to mechanically separate the villi from the crypts. This method can thus be adopted only in the cases where the compartmentalization between the differentiation and proliferative compartment is strictly delineated - as is the case in the small intestine but not in the colon. Secondly, we optimized the time of villi isolation after induction of the mutation based on the degree of dedifferentiation observed </w:t>
      </w:r>
      <w:r w:rsidRPr="006D7CFA">
        <w:rPr>
          <w:i/>
          <w:color w:val="000000" w:themeColor="text1"/>
        </w:rPr>
        <w:t>in vivo.</w:t>
      </w:r>
      <w:r w:rsidRPr="006D7CFA">
        <w:rPr>
          <w:color w:val="000000" w:themeColor="text1"/>
        </w:rPr>
        <w:t xml:space="preserve"> Dedifferentiation in the conditional</w:t>
      </w:r>
      <w:r w:rsidRPr="006D7CFA">
        <w:rPr>
          <w:color w:val="000000" w:themeColor="text1"/>
          <w:highlight w:val="white"/>
        </w:rPr>
        <w:t xml:space="preserve"> Smad4</w:t>
      </w:r>
      <w:r w:rsidRPr="006D7CFA">
        <w:rPr>
          <w:color w:val="000000" w:themeColor="text1"/>
          <w:vertAlign w:val="superscript"/>
        </w:rPr>
        <w:t>KO</w:t>
      </w:r>
      <w:r w:rsidRPr="006D7CFA">
        <w:rPr>
          <w:color w:val="000000" w:themeColor="text1"/>
          <w:highlight w:val="white"/>
        </w:rPr>
        <w:t>:β-</w:t>
      </w:r>
      <w:proofErr w:type="spellStart"/>
      <w:r w:rsidRPr="006D7CFA">
        <w:rPr>
          <w:color w:val="000000" w:themeColor="text1"/>
          <w:highlight w:val="white"/>
        </w:rPr>
        <w:t>catenin</w:t>
      </w:r>
      <w:r w:rsidRPr="006D7CFA">
        <w:rPr>
          <w:color w:val="000000" w:themeColor="text1"/>
          <w:vertAlign w:val="superscript"/>
        </w:rPr>
        <w:t>GOF</w:t>
      </w:r>
      <w:proofErr w:type="spellEnd"/>
      <w:r w:rsidRPr="006D7CFA">
        <w:rPr>
          <w:color w:val="000000" w:themeColor="text1"/>
        </w:rPr>
        <w:t xml:space="preserve"> mutant is marked by the appearance </w:t>
      </w:r>
      <w:r w:rsidR="00EA0BCF" w:rsidRPr="006D7CFA">
        <w:rPr>
          <w:i/>
          <w:color w:val="000000" w:themeColor="text1"/>
        </w:rPr>
        <w:t>in vivo</w:t>
      </w:r>
      <w:r w:rsidR="00EA0BCF" w:rsidRPr="006D7CFA">
        <w:rPr>
          <w:color w:val="000000" w:themeColor="text1"/>
        </w:rPr>
        <w:t xml:space="preserve"> </w:t>
      </w:r>
      <w:r w:rsidRPr="006D7CFA">
        <w:rPr>
          <w:color w:val="000000" w:themeColor="text1"/>
        </w:rPr>
        <w:t>of stem cell markers and ectopic crypts in the villus epithelium within seven and ten days respectively</w:t>
      </w:r>
      <w:r w:rsidR="00AA0EC9" w:rsidRPr="006D7CFA">
        <w:rPr>
          <w:noProof/>
          <w:color w:val="000000" w:themeColor="text1"/>
          <w:vertAlign w:val="superscript"/>
        </w:rPr>
        <w:t>3</w:t>
      </w:r>
      <w:r w:rsidR="005857C9" w:rsidRPr="006D7CFA">
        <w:rPr>
          <w:i/>
          <w:color w:val="000000" w:themeColor="text1"/>
        </w:rPr>
        <w:t xml:space="preserve"> </w:t>
      </w:r>
      <w:r w:rsidRPr="006D7CFA">
        <w:rPr>
          <w:i/>
          <w:color w:val="000000" w:themeColor="text1"/>
        </w:rPr>
        <w:t>.</w:t>
      </w:r>
      <w:r w:rsidRPr="006D7CFA">
        <w:rPr>
          <w:color w:val="000000" w:themeColor="text1"/>
        </w:rPr>
        <w:t xml:space="preserve"> Thus, the time required to initiate organoids from the mutant villi decreases as the time elapsed after induction of the mutation increases.</w:t>
      </w:r>
      <w:r w:rsidR="008070B4" w:rsidRPr="006D7CFA">
        <w:rPr>
          <w:color w:val="000000" w:themeColor="text1"/>
        </w:rPr>
        <w:t xml:space="preserve"> </w:t>
      </w:r>
      <w:r w:rsidRPr="006D7CFA">
        <w:rPr>
          <w:color w:val="000000" w:themeColor="text1"/>
        </w:rPr>
        <w:t>Th</w:t>
      </w:r>
      <w:r w:rsidR="00FE3483" w:rsidRPr="006D7CFA">
        <w:rPr>
          <w:color w:val="000000" w:themeColor="text1"/>
        </w:rPr>
        <w:t>erefore</w:t>
      </w:r>
      <w:r w:rsidRPr="006D7CFA">
        <w:rPr>
          <w:color w:val="000000" w:themeColor="text1"/>
        </w:rPr>
        <w:t xml:space="preserve">, while adapting this method to other dedifferentiation models of the intestine, the optimal time for sacrificing the mice for villi isolation should be determined empirically depending upon the kind of mutation or injury and the degree of ensuing dedifferentiation </w:t>
      </w:r>
      <w:r w:rsidRPr="006D7CFA">
        <w:rPr>
          <w:i/>
          <w:color w:val="000000" w:themeColor="text1"/>
        </w:rPr>
        <w:t>in vivo</w:t>
      </w:r>
      <w:r w:rsidRPr="006D7CFA">
        <w:rPr>
          <w:color w:val="000000" w:themeColor="text1"/>
        </w:rPr>
        <w:t xml:space="preserve">. Thirdly, we opted to isolate the villi by scraping rather than by the EDTA-chelation method </w:t>
      </w:r>
      <w:r w:rsidR="00EA0BCF" w:rsidRPr="006D7CFA">
        <w:rPr>
          <w:color w:val="000000" w:themeColor="text1"/>
        </w:rPr>
        <w:t xml:space="preserve">in order </w:t>
      </w:r>
      <w:r w:rsidRPr="006D7CFA">
        <w:rPr>
          <w:color w:val="000000" w:themeColor="text1"/>
        </w:rPr>
        <w:t xml:space="preserve">to retain the underlying mesenchyme, </w:t>
      </w:r>
      <w:r w:rsidR="00EA0BCF" w:rsidRPr="006D7CFA">
        <w:rPr>
          <w:color w:val="000000" w:themeColor="text1"/>
        </w:rPr>
        <w:t>as</w:t>
      </w:r>
      <w:r w:rsidRPr="006D7CFA">
        <w:rPr>
          <w:color w:val="000000" w:themeColor="text1"/>
        </w:rPr>
        <w:t xml:space="preserve"> epithelial-mesenchymal cross-talks have been implicated in intestinal stem cell function in the intestine</w:t>
      </w:r>
      <w:r w:rsidR="00AA0EC9" w:rsidRPr="006D7CFA">
        <w:rPr>
          <w:rFonts w:eastAsia="Verdana"/>
          <w:noProof/>
          <w:color w:val="000000" w:themeColor="text1"/>
          <w:vertAlign w:val="superscript"/>
        </w:rPr>
        <w:t>5</w:t>
      </w:r>
      <w:r w:rsidR="00940194" w:rsidRPr="006D7CFA">
        <w:rPr>
          <w:rFonts w:eastAsia="Verdana"/>
          <w:color w:val="000000" w:themeColor="text1"/>
          <w:vertAlign w:val="superscript"/>
        </w:rPr>
        <w:t>,</w:t>
      </w:r>
      <w:r w:rsidR="00317956" w:rsidRPr="006D7CFA">
        <w:rPr>
          <w:rFonts w:eastAsia="Verdana"/>
          <w:color w:val="000000" w:themeColor="text1"/>
          <w:highlight w:val="white"/>
          <w:vertAlign w:val="superscript"/>
        </w:rPr>
        <w:t xml:space="preserve"> </w:t>
      </w:r>
      <w:r w:rsidR="00AA0EC9" w:rsidRPr="006D7CFA">
        <w:rPr>
          <w:rFonts w:eastAsia="Verdana"/>
          <w:noProof/>
          <w:color w:val="000000" w:themeColor="text1"/>
          <w:highlight w:val="white"/>
          <w:vertAlign w:val="superscript"/>
        </w:rPr>
        <w:t>6</w:t>
      </w:r>
      <w:r w:rsidR="00940194" w:rsidRPr="006D7CFA">
        <w:rPr>
          <w:rFonts w:eastAsia="Verdana"/>
          <w:color w:val="000000" w:themeColor="text1"/>
          <w:highlight w:val="white"/>
          <w:vertAlign w:val="superscript"/>
        </w:rPr>
        <w:t>,</w:t>
      </w:r>
      <w:r w:rsidR="00317956" w:rsidRPr="006D7CFA">
        <w:rPr>
          <w:rFonts w:eastAsia="Verdana"/>
          <w:color w:val="000000" w:themeColor="text1"/>
          <w:highlight w:val="white"/>
          <w:vertAlign w:val="superscript"/>
        </w:rPr>
        <w:t xml:space="preserve"> </w:t>
      </w:r>
      <w:r w:rsidR="00AA0EC9" w:rsidRPr="006D7CFA">
        <w:rPr>
          <w:rFonts w:eastAsia="Verdana"/>
          <w:noProof/>
          <w:color w:val="000000" w:themeColor="text1"/>
          <w:highlight w:val="white"/>
          <w:vertAlign w:val="superscript"/>
        </w:rPr>
        <w:t>7</w:t>
      </w:r>
      <w:r w:rsidR="00940194" w:rsidRPr="006D7CFA">
        <w:rPr>
          <w:rFonts w:eastAsia="Verdana"/>
          <w:color w:val="000000" w:themeColor="text1"/>
          <w:vertAlign w:val="superscript"/>
        </w:rPr>
        <w:t>,</w:t>
      </w:r>
      <w:r w:rsidR="00317956" w:rsidRPr="006D7CFA">
        <w:rPr>
          <w:rFonts w:eastAsia="Verdana"/>
          <w:color w:val="000000" w:themeColor="text1"/>
          <w:vertAlign w:val="superscript"/>
        </w:rPr>
        <w:t xml:space="preserve"> </w:t>
      </w:r>
      <w:r w:rsidR="00AA0EC9" w:rsidRPr="006D7CFA">
        <w:rPr>
          <w:rFonts w:eastAsia="Verdana"/>
          <w:noProof/>
          <w:color w:val="000000" w:themeColor="text1"/>
          <w:vertAlign w:val="superscript"/>
        </w:rPr>
        <w:t>8</w:t>
      </w:r>
      <w:r w:rsidR="00940194" w:rsidRPr="006D7CFA">
        <w:rPr>
          <w:rFonts w:eastAsia="Verdana"/>
          <w:color w:val="000000" w:themeColor="text1"/>
          <w:vertAlign w:val="superscript"/>
        </w:rPr>
        <w:t>,</w:t>
      </w:r>
      <w:r w:rsidR="00317956" w:rsidRPr="006D7CFA">
        <w:rPr>
          <w:rFonts w:eastAsia="Verdana"/>
          <w:color w:val="000000" w:themeColor="text1"/>
          <w:vertAlign w:val="superscript"/>
        </w:rPr>
        <w:t xml:space="preserve"> </w:t>
      </w:r>
      <w:r w:rsidR="000F6AEC" w:rsidRPr="006D7CFA">
        <w:rPr>
          <w:rFonts w:eastAsia="Verdana"/>
          <w:color w:val="000000" w:themeColor="text1"/>
          <w:vertAlign w:val="superscript"/>
        </w:rPr>
        <w:t>13</w:t>
      </w:r>
      <w:r w:rsidRPr="006D7CFA">
        <w:rPr>
          <w:rFonts w:eastAsia="Arial"/>
          <w:color w:val="000000" w:themeColor="text1"/>
        </w:rPr>
        <w:t>. Villi that initiate the organoids mainly appear dark possibly due to the presence of the underlying mesenchyme (</w:t>
      </w:r>
      <w:r w:rsidR="00FE3483" w:rsidRPr="00737DE1">
        <w:rPr>
          <w:rFonts w:eastAsia="Arial"/>
          <w:b/>
          <w:bCs/>
          <w:color w:val="000000" w:themeColor="text1"/>
        </w:rPr>
        <w:t>F</w:t>
      </w:r>
      <w:r w:rsidRPr="00737DE1">
        <w:rPr>
          <w:rFonts w:eastAsia="Arial"/>
          <w:b/>
          <w:bCs/>
          <w:color w:val="000000" w:themeColor="text1"/>
        </w:rPr>
        <w:t>igure 2B and 3</w:t>
      </w:r>
      <w:r w:rsidRPr="006D7CFA">
        <w:rPr>
          <w:rFonts w:eastAsia="Arial"/>
          <w:color w:val="000000" w:themeColor="text1"/>
        </w:rPr>
        <w:t>). We verified the expression of the stem cell associated marker</w:t>
      </w:r>
      <w:r w:rsidR="008744CC" w:rsidRPr="006D7CFA">
        <w:rPr>
          <w:rFonts w:eastAsia="Arial"/>
          <w:color w:val="000000" w:themeColor="text1"/>
        </w:rPr>
        <w:t xml:space="preserve"> CD44</w:t>
      </w:r>
      <w:r w:rsidR="00A47808" w:rsidRPr="006D7CFA">
        <w:rPr>
          <w:noProof/>
          <w:color w:val="000000" w:themeColor="text1"/>
          <w:shd w:val="clear" w:color="auto" w:fill="FFFFFF"/>
          <w:vertAlign w:val="superscript"/>
        </w:rPr>
        <w:t>14</w:t>
      </w:r>
      <w:r w:rsidR="00CD403C" w:rsidRPr="006D7CFA">
        <w:rPr>
          <w:color w:val="000000" w:themeColor="text1"/>
          <w:shd w:val="clear" w:color="auto" w:fill="FFFFFF"/>
          <w:vertAlign w:val="superscript"/>
        </w:rPr>
        <w:t>,</w:t>
      </w:r>
      <w:r w:rsidR="008744CC" w:rsidRPr="006D7CFA">
        <w:rPr>
          <w:color w:val="000000" w:themeColor="text1"/>
          <w:shd w:val="clear" w:color="auto" w:fill="FFFFFF"/>
          <w:vertAlign w:val="superscript"/>
        </w:rPr>
        <w:t xml:space="preserve"> </w:t>
      </w:r>
      <w:r w:rsidR="00A47808" w:rsidRPr="006D7CFA">
        <w:rPr>
          <w:noProof/>
          <w:color w:val="000000" w:themeColor="text1"/>
          <w:shd w:val="clear" w:color="auto" w:fill="FFFFFF"/>
          <w:vertAlign w:val="superscript"/>
        </w:rPr>
        <w:t>15</w:t>
      </w:r>
      <w:r w:rsidRPr="006D7CFA">
        <w:rPr>
          <w:rFonts w:eastAsia="Arial"/>
          <w:color w:val="000000" w:themeColor="text1"/>
        </w:rPr>
        <w:t>, and the intestine specific transcription factor Cdx2</w:t>
      </w:r>
      <w:r w:rsidR="00A47808" w:rsidRPr="006D7CFA">
        <w:rPr>
          <w:noProof/>
          <w:color w:val="000000" w:themeColor="text1"/>
          <w:vertAlign w:val="superscript"/>
        </w:rPr>
        <w:t>16</w:t>
      </w:r>
      <w:r w:rsidR="00CD403C" w:rsidRPr="006D7CFA">
        <w:rPr>
          <w:color w:val="000000" w:themeColor="text1"/>
          <w:vertAlign w:val="superscript"/>
        </w:rPr>
        <w:t>,</w:t>
      </w:r>
      <w:r w:rsidR="008744CC" w:rsidRPr="006D7CFA">
        <w:rPr>
          <w:color w:val="000000" w:themeColor="text1"/>
          <w:vertAlign w:val="superscript"/>
        </w:rPr>
        <w:t xml:space="preserve"> </w:t>
      </w:r>
      <w:r w:rsidR="00A47808" w:rsidRPr="006D7CFA">
        <w:rPr>
          <w:noProof/>
          <w:color w:val="000000" w:themeColor="text1"/>
          <w:shd w:val="clear" w:color="auto" w:fill="FFFFFF"/>
          <w:vertAlign w:val="superscript"/>
        </w:rPr>
        <w:t>17</w:t>
      </w:r>
      <w:r w:rsidR="005857C9" w:rsidRPr="006D7CFA">
        <w:rPr>
          <w:color w:val="000000" w:themeColor="text1"/>
          <w:shd w:val="clear" w:color="auto" w:fill="FFFFFF"/>
          <w:vertAlign w:val="superscript"/>
        </w:rPr>
        <w:t xml:space="preserve">, </w:t>
      </w:r>
      <w:r w:rsidR="00A47808" w:rsidRPr="006D7CFA">
        <w:rPr>
          <w:noProof/>
          <w:color w:val="000000" w:themeColor="text1"/>
          <w:shd w:val="clear" w:color="auto" w:fill="FFFFFF"/>
          <w:vertAlign w:val="superscript"/>
        </w:rPr>
        <w:t>18</w:t>
      </w:r>
      <w:r w:rsidR="00CD403C" w:rsidRPr="006D7CFA">
        <w:rPr>
          <w:color w:val="000000" w:themeColor="text1"/>
          <w:shd w:val="clear" w:color="auto" w:fill="FFFFFF"/>
          <w:vertAlign w:val="superscript"/>
        </w:rPr>
        <w:t>,</w:t>
      </w:r>
      <w:r w:rsidR="008744CC" w:rsidRPr="006D7CFA">
        <w:rPr>
          <w:color w:val="000000" w:themeColor="text1"/>
          <w:shd w:val="clear" w:color="auto" w:fill="FFFFFF"/>
          <w:vertAlign w:val="superscript"/>
        </w:rPr>
        <w:t xml:space="preserve"> </w:t>
      </w:r>
      <w:r w:rsidR="00A47808" w:rsidRPr="006D7CFA">
        <w:rPr>
          <w:noProof/>
          <w:color w:val="000000" w:themeColor="text1"/>
          <w:shd w:val="clear" w:color="auto" w:fill="FFFFFF"/>
          <w:vertAlign w:val="superscript"/>
        </w:rPr>
        <w:t>19</w:t>
      </w:r>
      <w:r w:rsidR="00CD403C" w:rsidRPr="006D7CFA">
        <w:rPr>
          <w:color w:val="000000" w:themeColor="text1"/>
          <w:shd w:val="clear" w:color="auto" w:fill="FFFFFF"/>
          <w:vertAlign w:val="superscript"/>
        </w:rPr>
        <w:t>,</w:t>
      </w:r>
      <w:r w:rsidR="008744CC" w:rsidRPr="006D7CFA">
        <w:rPr>
          <w:color w:val="000000" w:themeColor="text1"/>
          <w:shd w:val="clear" w:color="auto" w:fill="FFFFFF"/>
          <w:vertAlign w:val="superscript"/>
        </w:rPr>
        <w:t xml:space="preserve"> </w:t>
      </w:r>
      <w:r w:rsidR="00A47808" w:rsidRPr="006D7CFA">
        <w:rPr>
          <w:noProof/>
          <w:color w:val="000000" w:themeColor="text1"/>
          <w:vertAlign w:val="superscript"/>
        </w:rPr>
        <w:t>20</w:t>
      </w:r>
      <w:r w:rsidR="008744CC" w:rsidRPr="006D7CFA">
        <w:rPr>
          <w:color w:val="000000" w:themeColor="text1"/>
        </w:rPr>
        <w:t xml:space="preserve"> </w:t>
      </w:r>
      <w:r w:rsidRPr="006D7CFA">
        <w:rPr>
          <w:rFonts w:eastAsia="Arial"/>
          <w:color w:val="000000" w:themeColor="text1"/>
        </w:rPr>
        <w:t>confirming the epithelial origin of the villi-derived organoids (</w:t>
      </w:r>
      <w:r w:rsidRPr="00737DE1">
        <w:rPr>
          <w:rFonts w:eastAsia="Arial"/>
          <w:b/>
          <w:bCs/>
          <w:color w:val="000000" w:themeColor="text1"/>
        </w:rPr>
        <w:t>Figure S1</w:t>
      </w:r>
      <w:r w:rsidRPr="006D7CFA">
        <w:rPr>
          <w:rFonts w:eastAsia="Arial"/>
          <w:color w:val="000000" w:themeColor="text1"/>
        </w:rPr>
        <w:t>)</w:t>
      </w:r>
      <w:r w:rsidR="007965F5" w:rsidRPr="006D7CFA">
        <w:rPr>
          <w:rFonts w:eastAsia="Arial"/>
          <w:color w:val="000000" w:themeColor="text1"/>
        </w:rPr>
        <w:t>.</w:t>
      </w:r>
    </w:p>
    <w:p w14:paraId="26B0E5EA" w14:textId="77777777" w:rsidR="008070B4" w:rsidRPr="006D7CFA" w:rsidRDefault="008070B4" w:rsidP="006D7CFA">
      <w:pPr>
        <w:contextualSpacing/>
        <w:jc w:val="both"/>
        <w:rPr>
          <w:color w:val="000000" w:themeColor="text1"/>
        </w:rPr>
      </w:pPr>
    </w:p>
    <w:p w14:paraId="3F6EB7F3" w14:textId="3E35975B" w:rsidR="0050090C" w:rsidRPr="006D7CFA" w:rsidRDefault="0050090C" w:rsidP="006D7CFA">
      <w:pPr>
        <w:contextualSpacing/>
        <w:jc w:val="both"/>
        <w:rPr>
          <w:color w:val="000000" w:themeColor="text1"/>
        </w:rPr>
      </w:pPr>
      <w:r w:rsidRPr="006D7CFA">
        <w:rPr>
          <w:color w:val="000000" w:themeColor="text1"/>
        </w:rPr>
        <w:t xml:space="preserve">Compared to </w:t>
      </w:r>
      <w:sdt>
        <w:sdtPr>
          <w:rPr>
            <w:color w:val="000000" w:themeColor="text1"/>
          </w:rPr>
          <w:tag w:val="goog_rdk_100"/>
          <w:id w:val="-742492351"/>
        </w:sdtPr>
        <w:sdtEndPr/>
        <w:sdtContent>
          <w:r w:rsidRPr="006D7CFA">
            <w:rPr>
              <w:i/>
              <w:color w:val="000000" w:themeColor="text1"/>
            </w:rPr>
            <w:t>in vivo</w:t>
          </w:r>
        </w:sdtContent>
      </w:sdt>
      <w:r w:rsidRPr="006D7CFA">
        <w:rPr>
          <w:color w:val="000000" w:themeColor="text1"/>
        </w:rPr>
        <w:t xml:space="preserve"> approaches, organoids are more amenable to genetic manipulation and screening. Since we observe phenotypic differences between the organoids emerging from the crypts and the villi of the same </w:t>
      </w:r>
      <w:r w:rsidRPr="006D7CFA">
        <w:rPr>
          <w:color w:val="000000" w:themeColor="text1"/>
          <w:highlight w:val="white"/>
        </w:rPr>
        <w:t>Smad4</w:t>
      </w:r>
      <w:r w:rsidRPr="006D7CFA">
        <w:rPr>
          <w:color w:val="000000" w:themeColor="text1"/>
          <w:vertAlign w:val="superscript"/>
        </w:rPr>
        <w:t>KO</w:t>
      </w:r>
      <w:r w:rsidRPr="006D7CFA">
        <w:rPr>
          <w:color w:val="000000" w:themeColor="text1"/>
          <w:highlight w:val="white"/>
        </w:rPr>
        <w:t>:β-</w:t>
      </w:r>
      <w:proofErr w:type="spellStart"/>
      <w:r w:rsidRPr="006D7CFA">
        <w:rPr>
          <w:color w:val="000000" w:themeColor="text1"/>
          <w:highlight w:val="white"/>
        </w:rPr>
        <w:t>catenin</w:t>
      </w:r>
      <w:r w:rsidRPr="006D7CFA">
        <w:rPr>
          <w:color w:val="000000" w:themeColor="text1"/>
          <w:vertAlign w:val="superscript"/>
        </w:rPr>
        <w:t>GOF</w:t>
      </w:r>
      <w:proofErr w:type="spellEnd"/>
      <w:r w:rsidRPr="006D7CFA">
        <w:rPr>
          <w:color w:val="000000" w:themeColor="text1"/>
        </w:rPr>
        <w:t xml:space="preserve"> intestinal epithelium (</w:t>
      </w:r>
      <w:sdt>
        <w:sdtPr>
          <w:rPr>
            <w:color w:val="000000" w:themeColor="text1"/>
          </w:rPr>
          <w:tag w:val="goog_rdk_101"/>
          <w:id w:val="1602377082"/>
        </w:sdtPr>
        <w:sdtEndPr/>
        <w:sdtContent>
          <w:r w:rsidRPr="006D7CFA">
            <w:rPr>
              <w:color w:val="000000" w:themeColor="text1"/>
            </w:rPr>
            <w:t>F</w:t>
          </w:r>
        </w:sdtContent>
      </w:sdt>
      <w:r w:rsidRPr="00737DE1">
        <w:rPr>
          <w:b/>
          <w:bCs/>
          <w:color w:val="000000" w:themeColor="text1"/>
        </w:rPr>
        <w:t>igure 2B</w:t>
      </w:r>
      <w:r w:rsidRPr="006D7CFA">
        <w:rPr>
          <w:color w:val="000000" w:themeColor="text1"/>
        </w:rPr>
        <w:t xml:space="preserve">), we speculate molecular differences between the two, which is currently being investigated. Thus, this method is useful in investigating the implications of dedifferentiation-causing mutations and its differential effects in the progenitor versus differentiation compartment. </w:t>
      </w:r>
    </w:p>
    <w:p w14:paraId="1593CC02" w14:textId="77777777" w:rsidR="0050090C" w:rsidRPr="006D7CFA" w:rsidRDefault="0050090C" w:rsidP="006D7CFA">
      <w:pPr>
        <w:contextualSpacing/>
        <w:jc w:val="both"/>
        <w:rPr>
          <w:rFonts w:eastAsia="Verdana"/>
          <w:color w:val="000000" w:themeColor="text1"/>
        </w:rPr>
      </w:pPr>
    </w:p>
    <w:p w14:paraId="62061D53" w14:textId="77777777" w:rsidR="0050090C" w:rsidRPr="006D7CFA" w:rsidRDefault="0050090C" w:rsidP="006D7CFA">
      <w:pPr>
        <w:contextualSpacing/>
        <w:jc w:val="both"/>
        <w:rPr>
          <w:color w:val="000000" w:themeColor="text1"/>
        </w:rPr>
      </w:pPr>
      <w:r w:rsidRPr="006D7CFA">
        <w:rPr>
          <w:b/>
          <w:color w:val="000000" w:themeColor="text1"/>
        </w:rPr>
        <w:t xml:space="preserve">ACKNOWLEDGMENTS: </w:t>
      </w:r>
    </w:p>
    <w:p w14:paraId="1F9FE6A0" w14:textId="292A83BF" w:rsidR="0050090C" w:rsidRPr="006D7CFA" w:rsidRDefault="0050090C" w:rsidP="006D7CFA">
      <w:pPr>
        <w:contextualSpacing/>
        <w:jc w:val="both"/>
        <w:rPr>
          <w:color w:val="000000" w:themeColor="text1"/>
        </w:rPr>
      </w:pPr>
      <w:r w:rsidRPr="006D7CFA">
        <w:rPr>
          <w:color w:val="000000" w:themeColor="text1"/>
        </w:rPr>
        <w:t>This publication was supported by Award Number K22 CA218462-03 from the NIH National Cancer Institute.</w:t>
      </w:r>
      <w:r w:rsidR="00B77D55" w:rsidRPr="006D7CFA">
        <w:rPr>
          <w:color w:val="000000" w:themeColor="text1"/>
        </w:rPr>
        <w:t xml:space="preserve"> The HEK293-T cells expressing R-Spondin1 was a </w:t>
      </w:r>
      <w:r w:rsidR="00AA0EC9" w:rsidRPr="006D7CFA">
        <w:rPr>
          <w:color w:val="000000" w:themeColor="text1"/>
        </w:rPr>
        <w:t xml:space="preserve">generous </w:t>
      </w:r>
      <w:r w:rsidR="00B77D55" w:rsidRPr="006D7CFA">
        <w:rPr>
          <w:color w:val="000000" w:themeColor="text1"/>
        </w:rPr>
        <w:t xml:space="preserve">gift from Dr. Michael P. </w:t>
      </w:r>
      <w:proofErr w:type="spellStart"/>
      <w:r w:rsidR="00B77D55" w:rsidRPr="006D7CFA">
        <w:rPr>
          <w:color w:val="000000" w:themeColor="text1"/>
        </w:rPr>
        <w:t>Verzi</w:t>
      </w:r>
      <w:proofErr w:type="spellEnd"/>
      <w:r w:rsidR="00B77D55" w:rsidRPr="006D7CFA">
        <w:rPr>
          <w:color w:val="000000" w:themeColor="text1"/>
        </w:rPr>
        <w:t>.</w:t>
      </w:r>
    </w:p>
    <w:p w14:paraId="545F4A10" w14:textId="77777777" w:rsidR="0050090C" w:rsidRPr="006D7CFA" w:rsidRDefault="0050090C" w:rsidP="006D7CFA">
      <w:pPr>
        <w:contextualSpacing/>
        <w:jc w:val="both"/>
        <w:rPr>
          <w:b/>
          <w:color w:val="000000" w:themeColor="text1"/>
        </w:rPr>
      </w:pPr>
    </w:p>
    <w:p w14:paraId="66A91BA8" w14:textId="77777777" w:rsidR="0050090C" w:rsidRPr="006D7CFA" w:rsidRDefault="0050090C" w:rsidP="006D7CFA">
      <w:pPr>
        <w:contextualSpacing/>
        <w:jc w:val="both"/>
        <w:rPr>
          <w:color w:val="000000" w:themeColor="text1"/>
        </w:rPr>
      </w:pPr>
      <w:r w:rsidRPr="006D7CFA">
        <w:rPr>
          <w:b/>
          <w:color w:val="000000" w:themeColor="text1"/>
        </w:rPr>
        <w:t xml:space="preserve">DISCLOSURES: </w:t>
      </w:r>
    </w:p>
    <w:p w14:paraId="0096DFB1" w14:textId="77777777" w:rsidR="0050090C" w:rsidRPr="006D7CFA" w:rsidRDefault="0050090C" w:rsidP="006D7CFA">
      <w:pPr>
        <w:contextualSpacing/>
        <w:jc w:val="both"/>
        <w:rPr>
          <w:color w:val="000000" w:themeColor="text1"/>
        </w:rPr>
      </w:pPr>
      <w:r w:rsidRPr="006D7CFA">
        <w:rPr>
          <w:color w:val="000000" w:themeColor="text1"/>
        </w:rPr>
        <w:t>The authors declare no conflicts of interest.</w:t>
      </w:r>
    </w:p>
    <w:p w14:paraId="37102CBE" w14:textId="77777777" w:rsidR="0050090C" w:rsidRPr="006D7CFA" w:rsidRDefault="0050090C" w:rsidP="006D7CFA">
      <w:pPr>
        <w:contextualSpacing/>
        <w:jc w:val="both"/>
        <w:rPr>
          <w:color w:val="000000" w:themeColor="text1"/>
        </w:rPr>
      </w:pPr>
    </w:p>
    <w:p w14:paraId="3BA99C0E" w14:textId="2FD2C508" w:rsidR="00FC7ECD" w:rsidRPr="006D7CFA" w:rsidRDefault="0050090C" w:rsidP="006D7CFA">
      <w:pPr>
        <w:contextualSpacing/>
        <w:jc w:val="both"/>
        <w:rPr>
          <w:color w:val="000000" w:themeColor="text1"/>
        </w:rPr>
      </w:pPr>
      <w:r w:rsidRPr="006D7CFA">
        <w:rPr>
          <w:b/>
          <w:color w:val="000000" w:themeColor="text1"/>
        </w:rPr>
        <w:t>REFERENCES:</w:t>
      </w:r>
      <w:r w:rsidRPr="006D7CFA">
        <w:rPr>
          <w:color w:val="000000" w:themeColor="text1"/>
        </w:rPr>
        <w:t xml:space="preserve"> </w:t>
      </w:r>
    </w:p>
    <w:p w14:paraId="38DBFA70" w14:textId="44A9D161" w:rsidR="00A47808" w:rsidRPr="006D7CFA" w:rsidRDefault="00A47808" w:rsidP="006D7CFA">
      <w:pPr>
        <w:pStyle w:val="EndNoteBibliography"/>
        <w:contextualSpacing/>
        <w:jc w:val="both"/>
        <w:rPr>
          <w:noProof/>
          <w:color w:val="000000" w:themeColor="text1"/>
        </w:rPr>
      </w:pPr>
      <w:r w:rsidRPr="006D7CFA">
        <w:rPr>
          <w:noProof/>
          <w:color w:val="000000" w:themeColor="text1"/>
        </w:rPr>
        <w:t>1</w:t>
      </w:r>
      <w:r w:rsidRPr="006D7CFA">
        <w:rPr>
          <w:noProof/>
          <w:color w:val="000000" w:themeColor="text1"/>
        </w:rPr>
        <w:tab/>
        <w:t>Sato, T.</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Single Lgr5 stem cells build crypt-villus structures in vitro without a mesenchymal niche. </w:t>
      </w:r>
      <w:r w:rsidRPr="006D7CFA">
        <w:rPr>
          <w:i/>
          <w:noProof/>
          <w:color w:val="000000" w:themeColor="text1"/>
        </w:rPr>
        <w:t>Nature.</w:t>
      </w:r>
      <w:r w:rsidRPr="006D7CFA">
        <w:rPr>
          <w:noProof/>
          <w:color w:val="000000" w:themeColor="text1"/>
        </w:rPr>
        <w:t xml:space="preserve"> </w:t>
      </w:r>
      <w:r w:rsidRPr="006D7CFA">
        <w:rPr>
          <w:b/>
          <w:noProof/>
          <w:color w:val="000000" w:themeColor="text1"/>
        </w:rPr>
        <w:t>459</w:t>
      </w:r>
      <w:r w:rsidRPr="006D7CFA">
        <w:rPr>
          <w:noProof/>
          <w:color w:val="000000" w:themeColor="text1"/>
        </w:rPr>
        <w:t xml:space="preserve"> (7244), 262-265</w:t>
      </w:r>
      <w:r w:rsidR="00134205">
        <w:rPr>
          <w:noProof/>
          <w:color w:val="000000" w:themeColor="text1"/>
        </w:rPr>
        <w:t xml:space="preserve"> (</w:t>
      </w:r>
      <w:r w:rsidRPr="006D7CFA">
        <w:rPr>
          <w:noProof/>
          <w:color w:val="000000" w:themeColor="text1"/>
        </w:rPr>
        <w:t>2009).</w:t>
      </w:r>
    </w:p>
    <w:p w14:paraId="140A018A" w14:textId="3B3A64BF" w:rsidR="00A47808" w:rsidRPr="006D7CFA" w:rsidRDefault="00A47808" w:rsidP="006D7CFA">
      <w:pPr>
        <w:pStyle w:val="EndNoteBibliography"/>
        <w:contextualSpacing/>
        <w:jc w:val="both"/>
        <w:rPr>
          <w:noProof/>
          <w:color w:val="000000" w:themeColor="text1"/>
        </w:rPr>
      </w:pPr>
      <w:r w:rsidRPr="006D7CFA">
        <w:rPr>
          <w:noProof/>
          <w:color w:val="000000" w:themeColor="text1"/>
        </w:rPr>
        <w:t>2</w:t>
      </w:r>
      <w:r w:rsidRPr="006D7CFA">
        <w:rPr>
          <w:noProof/>
          <w:color w:val="000000" w:themeColor="text1"/>
        </w:rPr>
        <w:tab/>
        <w:t>Schwitalla, S.</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Intestinal tumorigenesis initiated by dedifferentiation and acquisition of stem-cell-like properties. </w:t>
      </w:r>
      <w:r w:rsidRPr="006D7CFA">
        <w:rPr>
          <w:i/>
          <w:noProof/>
          <w:color w:val="000000" w:themeColor="text1"/>
        </w:rPr>
        <w:t>Cell.</w:t>
      </w:r>
      <w:r w:rsidRPr="006D7CFA">
        <w:rPr>
          <w:noProof/>
          <w:color w:val="000000" w:themeColor="text1"/>
        </w:rPr>
        <w:t xml:space="preserve"> </w:t>
      </w:r>
      <w:r w:rsidRPr="006D7CFA">
        <w:rPr>
          <w:b/>
          <w:noProof/>
          <w:color w:val="000000" w:themeColor="text1"/>
        </w:rPr>
        <w:t>152</w:t>
      </w:r>
      <w:r w:rsidRPr="006D7CFA">
        <w:rPr>
          <w:noProof/>
          <w:color w:val="000000" w:themeColor="text1"/>
        </w:rPr>
        <w:t xml:space="preserve"> (1-2), 25-38</w:t>
      </w:r>
      <w:r w:rsidR="00134205">
        <w:rPr>
          <w:noProof/>
          <w:color w:val="000000" w:themeColor="text1"/>
        </w:rPr>
        <w:t xml:space="preserve"> (</w:t>
      </w:r>
      <w:r w:rsidRPr="006D7CFA">
        <w:rPr>
          <w:noProof/>
          <w:color w:val="000000" w:themeColor="text1"/>
        </w:rPr>
        <w:t>2013).</w:t>
      </w:r>
    </w:p>
    <w:p w14:paraId="4AFF98CA" w14:textId="56426459" w:rsidR="00A47808" w:rsidRPr="006D7CFA" w:rsidRDefault="00A47808" w:rsidP="006D7CFA">
      <w:pPr>
        <w:pStyle w:val="EndNoteBibliography"/>
        <w:contextualSpacing/>
        <w:jc w:val="both"/>
        <w:rPr>
          <w:noProof/>
          <w:color w:val="000000" w:themeColor="text1"/>
        </w:rPr>
      </w:pPr>
      <w:r w:rsidRPr="006D7CFA">
        <w:rPr>
          <w:noProof/>
          <w:color w:val="000000" w:themeColor="text1"/>
        </w:rPr>
        <w:t>3</w:t>
      </w:r>
      <w:r w:rsidRPr="006D7CFA">
        <w:rPr>
          <w:noProof/>
          <w:color w:val="000000" w:themeColor="text1"/>
        </w:rPr>
        <w:tab/>
        <w:t>Perekatt, A. O.</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SMAD4 Suppresses WNT-Driven Dedifferentiation and Oncogenesis in the Differentiated Gut Epithelium. </w:t>
      </w:r>
      <w:r w:rsidR="00134205">
        <w:rPr>
          <w:i/>
          <w:noProof/>
          <w:color w:val="000000" w:themeColor="text1"/>
        </w:rPr>
        <w:t>Cancer Research</w:t>
      </w:r>
      <w:r w:rsidRPr="006D7CFA">
        <w:rPr>
          <w:i/>
          <w:noProof/>
          <w:color w:val="000000" w:themeColor="text1"/>
        </w:rPr>
        <w:t>.</w:t>
      </w:r>
      <w:r w:rsidRPr="006D7CFA">
        <w:rPr>
          <w:noProof/>
          <w:color w:val="000000" w:themeColor="text1"/>
        </w:rPr>
        <w:t xml:space="preserve"> </w:t>
      </w:r>
      <w:r w:rsidRPr="006D7CFA">
        <w:rPr>
          <w:b/>
          <w:noProof/>
          <w:color w:val="000000" w:themeColor="text1"/>
        </w:rPr>
        <w:t>78</w:t>
      </w:r>
      <w:r w:rsidRPr="006D7CFA">
        <w:rPr>
          <w:noProof/>
          <w:color w:val="000000" w:themeColor="text1"/>
        </w:rPr>
        <w:t xml:space="preserve"> (17), 4878-4890</w:t>
      </w:r>
      <w:r w:rsidR="00134205">
        <w:rPr>
          <w:noProof/>
          <w:color w:val="000000" w:themeColor="text1"/>
        </w:rPr>
        <w:t xml:space="preserve"> (</w:t>
      </w:r>
      <w:r w:rsidRPr="006D7CFA">
        <w:rPr>
          <w:noProof/>
          <w:color w:val="000000" w:themeColor="text1"/>
        </w:rPr>
        <w:t>2018).</w:t>
      </w:r>
    </w:p>
    <w:p w14:paraId="3BA6F618" w14:textId="42D89D81" w:rsidR="00A47808" w:rsidRPr="006D7CFA" w:rsidRDefault="00A47808" w:rsidP="006D7CFA">
      <w:pPr>
        <w:pStyle w:val="EndNoteBibliography"/>
        <w:contextualSpacing/>
        <w:jc w:val="both"/>
        <w:rPr>
          <w:noProof/>
          <w:color w:val="000000" w:themeColor="text1"/>
        </w:rPr>
      </w:pPr>
      <w:r w:rsidRPr="006D7CFA">
        <w:rPr>
          <w:noProof/>
          <w:color w:val="000000" w:themeColor="text1"/>
        </w:rPr>
        <w:lastRenderedPageBreak/>
        <w:t>4</w:t>
      </w:r>
      <w:r w:rsidRPr="006D7CFA">
        <w:rPr>
          <w:noProof/>
          <w:color w:val="000000" w:themeColor="text1"/>
        </w:rPr>
        <w:tab/>
        <w:t xml:space="preserve">Roche, J. K. Isolation of a purified epithelial cell population from human colon. </w:t>
      </w:r>
      <w:r w:rsidR="00134205">
        <w:rPr>
          <w:i/>
          <w:noProof/>
          <w:color w:val="000000" w:themeColor="text1"/>
        </w:rPr>
        <w:t>Methods in Molecular Medicine</w:t>
      </w:r>
      <w:r w:rsidRPr="006D7CFA">
        <w:rPr>
          <w:i/>
          <w:noProof/>
          <w:color w:val="000000" w:themeColor="text1"/>
        </w:rPr>
        <w:t>.</w:t>
      </w:r>
      <w:r w:rsidRPr="006D7CFA">
        <w:rPr>
          <w:noProof/>
          <w:color w:val="000000" w:themeColor="text1"/>
        </w:rPr>
        <w:t xml:space="preserve"> </w:t>
      </w:r>
      <w:r w:rsidRPr="006D7CFA">
        <w:rPr>
          <w:b/>
          <w:noProof/>
          <w:color w:val="000000" w:themeColor="text1"/>
        </w:rPr>
        <w:t>50</w:t>
      </w:r>
      <w:r w:rsidRPr="006D7CFA">
        <w:rPr>
          <w:noProof/>
          <w:color w:val="000000" w:themeColor="text1"/>
        </w:rPr>
        <w:t xml:space="preserve"> 15-20</w:t>
      </w:r>
      <w:r w:rsidR="00134205">
        <w:rPr>
          <w:noProof/>
          <w:color w:val="000000" w:themeColor="text1"/>
        </w:rPr>
        <w:t xml:space="preserve"> (</w:t>
      </w:r>
      <w:r w:rsidRPr="006D7CFA">
        <w:rPr>
          <w:noProof/>
          <w:color w:val="000000" w:themeColor="text1"/>
        </w:rPr>
        <w:t>2001).</w:t>
      </w:r>
    </w:p>
    <w:p w14:paraId="02588B2C" w14:textId="34CD2E11" w:rsidR="00A47808" w:rsidRPr="006D7CFA" w:rsidRDefault="00A47808" w:rsidP="006D7CFA">
      <w:pPr>
        <w:pStyle w:val="EndNoteBibliography"/>
        <w:contextualSpacing/>
        <w:jc w:val="both"/>
        <w:rPr>
          <w:noProof/>
          <w:color w:val="000000" w:themeColor="text1"/>
        </w:rPr>
      </w:pPr>
      <w:r w:rsidRPr="006D7CFA">
        <w:rPr>
          <w:noProof/>
          <w:color w:val="000000" w:themeColor="text1"/>
        </w:rPr>
        <w:t>5</w:t>
      </w:r>
      <w:r w:rsidRPr="006D7CFA">
        <w:rPr>
          <w:noProof/>
          <w:color w:val="000000" w:themeColor="text1"/>
        </w:rPr>
        <w:tab/>
        <w:t>Aoki, R.</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Foxl1-expressing mesenchymal cells constitute the intestinal stem cell niche. </w:t>
      </w:r>
      <w:r w:rsidR="00134205">
        <w:rPr>
          <w:i/>
          <w:noProof/>
          <w:color w:val="000000" w:themeColor="text1"/>
        </w:rPr>
        <w:t>Cellular and Molecular Gastroenterology and Hepatology</w:t>
      </w:r>
      <w:r w:rsidRPr="006D7CFA">
        <w:rPr>
          <w:i/>
          <w:noProof/>
          <w:color w:val="000000" w:themeColor="text1"/>
        </w:rPr>
        <w:t>.</w:t>
      </w:r>
      <w:r w:rsidRPr="006D7CFA">
        <w:rPr>
          <w:noProof/>
          <w:color w:val="000000" w:themeColor="text1"/>
        </w:rPr>
        <w:t xml:space="preserve"> </w:t>
      </w:r>
      <w:r w:rsidRPr="006D7CFA">
        <w:rPr>
          <w:b/>
          <w:noProof/>
          <w:color w:val="000000" w:themeColor="text1"/>
        </w:rPr>
        <w:t>2</w:t>
      </w:r>
      <w:r w:rsidRPr="006D7CFA">
        <w:rPr>
          <w:noProof/>
          <w:color w:val="000000" w:themeColor="text1"/>
        </w:rPr>
        <w:t xml:space="preserve"> (2), 175-188</w:t>
      </w:r>
      <w:r w:rsidR="00134205">
        <w:rPr>
          <w:noProof/>
          <w:color w:val="000000" w:themeColor="text1"/>
        </w:rPr>
        <w:t xml:space="preserve"> (</w:t>
      </w:r>
      <w:r w:rsidRPr="006D7CFA">
        <w:rPr>
          <w:noProof/>
          <w:color w:val="000000" w:themeColor="text1"/>
        </w:rPr>
        <w:t>2016).</w:t>
      </w:r>
    </w:p>
    <w:p w14:paraId="5EA001D9" w14:textId="77B97B13" w:rsidR="00A47808" w:rsidRPr="006D7CFA" w:rsidRDefault="00A47808" w:rsidP="006D7CFA">
      <w:pPr>
        <w:pStyle w:val="EndNoteBibliography"/>
        <w:contextualSpacing/>
        <w:jc w:val="both"/>
        <w:rPr>
          <w:noProof/>
          <w:color w:val="000000" w:themeColor="text1"/>
        </w:rPr>
      </w:pPr>
      <w:r w:rsidRPr="006D7CFA">
        <w:rPr>
          <w:noProof/>
          <w:color w:val="000000" w:themeColor="text1"/>
        </w:rPr>
        <w:t>6</w:t>
      </w:r>
      <w:r w:rsidRPr="006D7CFA">
        <w:rPr>
          <w:noProof/>
          <w:color w:val="000000" w:themeColor="text1"/>
        </w:rPr>
        <w:tab/>
        <w:t>Seiler, K. M.</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Tissue underlying the intestinal epithelium elicits proliferation of intestinal stem cells following cytotoxic damage. </w:t>
      </w:r>
      <w:r w:rsidR="00134205">
        <w:rPr>
          <w:i/>
          <w:noProof/>
          <w:color w:val="000000" w:themeColor="text1"/>
        </w:rPr>
        <w:t>Cell and Tissue Research</w:t>
      </w:r>
      <w:r w:rsidRPr="006D7CFA">
        <w:rPr>
          <w:i/>
          <w:noProof/>
          <w:color w:val="000000" w:themeColor="text1"/>
        </w:rPr>
        <w:t>.</w:t>
      </w:r>
      <w:r w:rsidRPr="006D7CFA">
        <w:rPr>
          <w:noProof/>
          <w:color w:val="000000" w:themeColor="text1"/>
        </w:rPr>
        <w:t xml:space="preserve"> </w:t>
      </w:r>
      <w:r w:rsidRPr="006D7CFA">
        <w:rPr>
          <w:b/>
          <w:noProof/>
          <w:color w:val="000000" w:themeColor="text1"/>
        </w:rPr>
        <w:t>361</w:t>
      </w:r>
      <w:r w:rsidRPr="006D7CFA">
        <w:rPr>
          <w:noProof/>
          <w:color w:val="000000" w:themeColor="text1"/>
        </w:rPr>
        <w:t xml:space="preserve"> (2), 427-438</w:t>
      </w:r>
      <w:r w:rsidR="00134205">
        <w:rPr>
          <w:noProof/>
          <w:color w:val="000000" w:themeColor="text1"/>
        </w:rPr>
        <w:t xml:space="preserve"> (</w:t>
      </w:r>
      <w:r w:rsidRPr="006D7CFA">
        <w:rPr>
          <w:noProof/>
          <w:color w:val="000000" w:themeColor="text1"/>
        </w:rPr>
        <w:t>2015).</w:t>
      </w:r>
    </w:p>
    <w:p w14:paraId="3E2DB7C4" w14:textId="7E9ECF61" w:rsidR="00A47808" w:rsidRPr="006D7CFA" w:rsidRDefault="00A47808" w:rsidP="006D7CFA">
      <w:pPr>
        <w:pStyle w:val="EndNoteBibliography"/>
        <w:contextualSpacing/>
        <w:jc w:val="both"/>
        <w:rPr>
          <w:noProof/>
          <w:color w:val="000000" w:themeColor="text1"/>
        </w:rPr>
      </w:pPr>
      <w:r w:rsidRPr="006D7CFA">
        <w:rPr>
          <w:noProof/>
          <w:color w:val="000000" w:themeColor="text1"/>
        </w:rPr>
        <w:t>7</w:t>
      </w:r>
      <w:r w:rsidRPr="006D7CFA">
        <w:rPr>
          <w:noProof/>
          <w:color w:val="000000" w:themeColor="text1"/>
        </w:rPr>
        <w:tab/>
        <w:t>Stzepourginski, I.</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CD34+ mesenchymal cells are a major component of the intestinal stem cells niche at homeostasis and after injury. </w:t>
      </w:r>
      <w:r w:rsidR="00134205">
        <w:rPr>
          <w:i/>
          <w:noProof/>
          <w:color w:val="000000" w:themeColor="text1"/>
        </w:rPr>
        <w:t>Proceedings of the National Academy of Sciences of the United States of America</w:t>
      </w:r>
      <w:r w:rsidRPr="006D7CFA">
        <w:rPr>
          <w:i/>
          <w:noProof/>
          <w:color w:val="000000" w:themeColor="text1"/>
        </w:rPr>
        <w:t>.</w:t>
      </w:r>
      <w:r w:rsidRPr="006D7CFA">
        <w:rPr>
          <w:noProof/>
          <w:color w:val="000000" w:themeColor="text1"/>
        </w:rPr>
        <w:t xml:space="preserve"> </w:t>
      </w:r>
      <w:r w:rsidRPr="006D7CFA">
        <w:rPr>
          <w:b/>
          <w:noProof/>
          <w:color w:val="000000" w:themeColor="text1"/>
        </w:rPr>
        <w:t>114</w:t>
      </w:r>
      <w:r w:rsidRPr="006D7CFA">
        <w:rPr>
          <w:noProof/>
          <w:color w:val="000000" w:themeColor="text1"/>
        </w:rPr>
        <w:t xml:space="preserve"> (4), E506-E513</w:t>
      </w:r>
      <w:r w:rsidR="00134205">
        <w:rPr>
          <w:noProof/>
          <w:color w:val="000000" w:themeColor="text1"/>
        </w:rPr>
        <w:t xml:space="preserve"> (</w:t>
      </w:r>
      <w:r w:rsidRPr="006D7CFA">
        <w:rPr>
          <w:noProof/>
          <w:color w:val="000000" w:themeColor="text1"/>
        </w:rPr>
        <w:t>2017).</w:t>
      </w:r>
    </w:p>
    <w:p w14:paraId="574E2D84" w14:textId="26E396C2" w:rsidR="00A47808" w:rsidRPr="006D7CFA" w:rsidRDefault="00A47808" w:rsidP="006D7CFA">
      <w:pPr>
        <w:pStyle w:val="EndNoteBibliography"/>
        <w:contextualSpacing/>
        <w:jc w:val="both"/>
        <w:rPr>
          <w:noProof/>
          <w:color w:val="000000" w:themeColor="text1"/>
        </w:rPr>
      </w:pPr>
      <w:r w:rsidRPr="006D7CFA">
        <w:rPr>
          <w:noProof/>
          <w:color w:val="000000" w:themeColor="text1"/>
        </w:rPr>
        <w:t>8</w:t>
      </w:r>
      <w:r w:rsidRPr="006D7CFA">
        <w:rPr>
          <w:noProof/>
          <w:color w:val="000000" w:themeColor="text1"/>
        </w:rPr>
        <w:tab/>
        <w:t>Roulis, M.</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Paracrine orchestration of intestinal tumorigenesis by a mesenchymal niche. </w:t>
      </w:r>
      <w:r w:rsidRPr="006D7CFA">
        <w:rPr>
          <w:i/>
          <w:noProof/>
          <w:color w:val="000000" w:themeColor="text1"/>
        </w:rPr>
        <w:t>Nature.</w:t>
      </w:r>
      <w:r w:rsidRPr="006D7CFA">
        <w:rPr>
          <w:noProof/>
          <w:color w:val="000000" w:themeColor="text1"/>
        </w:rPr>
        <w:t xml:space="preserve"> </w:t>
      </w:r>
      <w:r w:rsidRPr="006D7CFA">
        <w:rPr>
          <w:b/>
          <w:noProof/>
          <w:color w:val="000000" w:themeColor="text1"/>
        </w:rPr>
        <w:t>580</w:t>
      </w:r>
      <w:r w:rsidRPr="006D7CFA">
        <w:rPr>
          <w:noProof/>
          <w:color w:val="000000" w:themeColor="text1"/>
        </w:rPr>
        <w:t xml:space="preserve"> (7804), 524-529</w:t>
      </w:r>
      <w:r w:rsidR="00134205">
        <w:rPr>
          <w:noProof/>
          <w:color w:val="000000" w:themeColor="text1"/>
        </w:rPr>
        <w:t xml:space="preserve"> (</w:t>
      </w:r>
      <w:r w:rsidRPr="006D7CFA">
        <w:rPr>
          <w:noProof/>
          <w:color w:val="000000" w:themeColor="text1"/>
        </w:rPr>
        <w:t>2020).</w:t>
      </w:r>
    </w:p>
    <w:p w14:paraId="6BA29FE8" w14:textId="2AB09843" w:rsidR="00A47808" w:rsidRPr="006D7CFA" w:rsidRDefault="00A47808" w:rsidP="006D7CFA">
      <w:pPr>
        <w:pStyle w:val="EndNoteBibliography"/>
        <w:contextualSpacing/>
        <w:jc w:val="both"/>
        <w:rPr>
          <w:noProof/>
          <w:color w:val="000000" w:themeColor="text1"/>
        </w:rPr>
      </w:pPr>
      <w:r w:rsidRPr="006D7CFA">
        <w:rPr>
          <w:noProof/>
          <w:color w:val="000000" w:themeColor="text1"/>
        </w:rPr>
        <w:t>9</w:t>
      </w:r>
      <w:r w:rsidRPr="006D7CFA">
        <w:rPr>
          <w:noProof/>
          <w:color w:val="000000" w:themeColor="text1"/>
        </w:rPr>
        <w:tab/>
        <w:t>Haramis, A. P.</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De novo crypt formation and juvenile polyposis on BMP inhibition in mouse intestine. </w:t>
      </w:r>
      <w:r w:rsidRPr="006D7CFA">
        <w:rPr>
          <w:i/>
          <w:noProof/>
          <w:color w:val="000000" w:themeColor="text1"/>
        </w:rPr>
        <w:t>Science.</w:t>
      </w:r>
      <w:r w:rsidRPr="006D7CFA">
        <w:rPr>
          <w:noProof/>
          <w:color w:val="000000" w:themeColor="text1"/>
        </w:rPr>
        <w:t xml:space="preserve"> </w:t>
      </w:r>
      <w:r w:rsidRPr="006D7CFA">
        <w:rPr>
          <w:b/>
          <w:noProof/>
          <w:color w:val="000000" w:themeColor="text1"/>
        </w:rPr>
        <w:t>303</w:t>
      </w:r>
      <w:r w:rsidRPr="006D7CFA">
        <w:rPr>
          <w:noProof/>
          <w:color w:val="000000" w:themeColor="text1"/>
        </w:rPr>
        <w:t xml:space="preserve"> (5664), 1684-1686</w:t>
      </w:r>
      <w:r w:rsidR="00134205">
        <w:rPr>
          <w:noProof/>
          <w:color w:val="000000" w:themeColor="text1"/>
        </w:rPr>
        <w:t xml:space="preserve"> (</w:t>
      </w:r>
      <w:r w:rsidRPr="006D7CFA">
        <w:rPr>
          <w:noProof/>
          <w:color w:val="000000" w:themeColor="text1"/>
        </w:rPr>
        <w:t>2004).</w:t>
      </w:r>
    </w:p>
    <w:p w14:paraId="40D48011" w14:textId="24D9C55C" w:rsidR="00A47808" w:rsidRPr="006D7CFA" w:rsidRDefault="00A47808" w:rsidP="006D7CFA">
      <w:pPr>
        <w:pStyle w:val="EndNoteBibliography"/>
        <w:contextualSpacing/>
        <w:jc w:val="both"/>
        <w:rPr>
          <w:noProof/>
          <w:color w:val="000000" w:themeColor="text1"/>
        </w:rPr>
      </w:pPr>
      <w:r w:rsidRPr="006D7CFA">
        <w:rPr>
          <w:noProof/>
          <w:color w:val="000000" w:themeColor="text1"/>
        </w:rPr>
        <w:t>10</w:t>
      </w:r>
      <w:r w:rsidRPr="006D7CFA">
        <w:rPr>
          <w:noProof/>
          <w:color w:val="000000" w:themeColor="text1"/>
        </w:rPr>
        <w:tab/>
        <w:t>Madison, B. B.</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Epithelial hedgehog signals pattern the intestinal crypt-villus axis. </w:t>
      </w:r>
      <w:r w:rsidRPr="006D7CFA">
        <w:rPr>
          <w:i/>
          <w:noProof/>
          <w:color w:val="000000" w:themeColor="text1"/>
        </w:rPr>
        <w:t>Development.</w:t>
      </w:r>
      <w:r w:rsidRPr="006D7CFA">
        <w:rPr>
          <w:noProof/>
          <w:color w:val="000000" w:themeColor="text1"/>
        </w:rPr>
        <w:t xml:space="preserve"> </w:t>
      </w:r>
      <w:r w:rsidRPr="006D7CFA">
        <w:rPr>
          <w:b/>
          <w:noProof/>
          <w:color w:val="000000" w:themeColor="text1"/>
        </w:rPr>
        <w:t>132</w:t>
      </w:r>
      <w:r w:rsidRPr="006D7CFA">
        <w:rPr>
          <w:noProof/>
          <w:color w:val="000000" w:themeColor="text1"/>
        </w:rPr>
        <w:t xml:space="preserve"> (2), 279-289</w:t>
      </w:r>
      <w:r w:rsidR="00134205">
        <w:rPr>
          <w:noProof/>
          <w:color w:val="000000" w:themeColor="text1"/>
        </w:rPr>
        <w:t xml:space="preserve"> (</w:t>
      </w:r>
      <w:r w:rsidRPr="006D7CFA">
        <w:rPr>
          <w:noProof/>
          <w:color w:val="000000" w:themeColor="text1"/>
        </w:rPr>
        <w:t>2005).</w:t>
      </w:r>
    </w:p>
    <w:p w14:paraId="02B1B2AA" w14:textId="154683D6" w:rsidR="00A47808" w:rsidRPr="006D7CFA" w:rsidRDefault="00A47808" w:rsidP="006D7CFA">
      <w:pPr>
        <w:pStyle w:val="EndNoteBibliography"/>
        <w:contextualSpacing/>
        <w:jc w:val="both"/>
        <w:rPr>
          <w:noProof/>
          <w:color w:val="000000" w:themeColor="text1"/>
        </w:rPr>
      </w:pPr>
      <w:r w:rsidRPr="006D7CFA">
        <w:rPr>
          <w:noProof/>
          <w:color w:val="000000" w:themeColor="text1"/>
        </w:rPr>
        <w:t>11</w:t>
      </w:r>
      <w:r w:rsidRPr="006D7CFA">
        <w:rPr>
          <w:noProof/>
          <w:color w:val="000000" w:themeColor="text1"/>
        </w:rPr>
        <w:tab/>
        <w:t>van Es, J. H.</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Dll1+ secretory progenitor cells revert to stem cells upon crypt damage. </w:t>
      </w:r>
      <w:r w:rsidR="00134205">
        <w:rPr>
          <w:i/>
          <w:noProof/>
          <w:color w:val="000000" w:themeColor="text1"/>
        </w:rPr>
        <w:t>Nature Cell Biology</w:t>
      </w:r>
      <w:r w:rsidRPr="006D7CFA">
        <w:rPr>
          <w:i/>
          <w:noProof/>
          <w:color w:val="000000" w:themeColor="text1"/>
        </w:rPr>
        <w:t>.</w:t>
      </w:r>
      <w:r w:rsidRPr="006D7CFA">
        <w:rPr>
          <w:noProof/>
          <w:color w:val="000000" w:themeColor="text1"/>
        </w:rPr>
        <w:t xml:space="preserve"> </w:t>
      </w:r>
      <w:r w:rsidRPr="006D7CFA">
        <w:rPr>
          <w:b/>
          <w:noProof/>
          <w:color w:val="000000" w:themeColor="text1"/>
        </w:rPr>
        <w:t>14</w:t>
      </w:r>
      <w:r w:rsidRPr="006D7CFA">
        <w:rPr>
          <w:noProof/>
          <w:color w:val="000000" w:themeColor="text1"/>
        </w:rPr>
        <w:t xml:space="preserve"> (10), 1099-1104</w:t>
      </w:r>
      <w:r w:rsidR="00134205">
        <w:rPr>
          <w:noProof/>
          <w:color w:val="000000" w:themeColor="text1"/>
        </w:rPr>
        <w:t xml:space="preserve"> (</w:t>
      </w:r>
      <w:r w:rsidRPr="006D7CFA">
        <w:rPr>
          <w:noProof/>
          <w:color w:val="000000" w:themeColor="text1"/>
        </w:rPr>
        <w:t>2012).</w:t>
      </w:r>
    </w:p>
    <w:p w14:paraId="6A96DB7D" w14:textId="23F1D0BF" w:rsidR="00A47808" w:rsidRPr="006D7CFA" w:rsidRDefault="00A47808" w:rsidP="006D7CFA">
      <w:pPr>
        <w:pStyle w:val="EndNoteBibliography"/>
        <w:contextualSpacing/>
        <w:jc w:val="both"/>
        <w:rPr>
          <w:noProof/>
          <w:color w:val="000000" w:themeColor="text1"/>
        </w:rPr>
      </w:pPr>
      <w:r w:rsidRPr="006D7CFA">
        <w:rPr>
          <w:noProof/>
          <w:color w:val="000000" w:themeColor="text1"/>
        </w:rPr>
        <w:t>12</w:t>
      </w:r>
      <w:r w:rsidRPr="006D7CFA">
        <w:rPr>
          <w:noProof/>
          <w:color w:val="000000" w:themeColor="text1"/>
        </w:rPr>
        <w:tab/>
        <w:t>Tetteh, P. W.</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Replacement of Lost Lgr5-Positive Stem Cells through Plasticity of Their Enterocyte-Lineage Daughters. </w:t>
      </w:r>
      <w:r w:rsidRPr="006D7CFA">
        <w:rPr>
          <w:i/>
          <w:noProof/>
          <w:color w:val="000000" w:themeColor="text1"/>
        </w:rPr>
        <w:t>Cell Stem Cell.</w:t>
      </w:r>
      <w:r w:rsidRPr="006D7CFA">
        <w:rPr>
          <w:noProof/>
          <w:color w:val="000000" w:themeColor="text1"/>
        </w:rPr>
        <w:t xml:space="preserve"> </w:t>
      </w:r>
      <w:r w:rsidRPr="006D7CFA">
        <w:rPr>
          <w:b/>
          <w:noProof/>
          <w:color w:val="000000" w:themeColor="text1"/>
        </w:rPr>
        <w:t>18</w:t>
      </w:r>
      <w:r w:rsidRPr="006D7CFA">
        <w:rPr>
          <w:noProof/>
          <w:color w:val="000000" w:themeColor="text1"/>
        </w:rPr>
        <w:t xml:space="preserve"> (2), 203-213</w:t>
      </w:r>
      <w:r w:rsidR="00134205">
        <w:rPr>
          <w:noProof/>
          <w:color w:val="000000" w:themeColor="text1"/>
        </w:rPr>
        <w:t xml:space="preserve"> (</w:t>
      </w:r>
      <w:r w:rsidRPr="006D7CFA">
        <w:rPr>
          <w:noProof/>
          <w:color w:val="000000" w:themeColor="text1"/>
        </w:rPr>
        <w:t>2016).</w:t>
      </w:r>
    </w:p>
    <w:p w14:paraId="2B338C58" w14:textId="0B2225F4" w:rsidR="00A47808" w:rsidRPr="006D7CFA" w:rsidRDefault="00A47808" w:rsidP="006D7CFA">
      <w:pPr>
        <w:pStyle w:val="EndNoteBibliography"/>
        <w:contextualSpacing/>
        <w:jc w:val="both"/>
        <w:rPr>
          <w:noProof/>
          <w:color w:val="000000" w:themeColor="text1"/>
        </w:rPr>
      </w:pPr>
      <w:r w:rsidRPr="006D7CFA">
        <w:rPr>
          <w:noProof/>
          <w:color w:val="000000" w:themeColor="text1"/>
        </w:rPr>
        <w:t>13</w:t>
      </w:r>
      <w:r w:rsidRPr="006D7CFA">
        <w:rPr>
          <w:noProof/>
          <w:color w:val="000000" w:themeColor="text1"/>
        </w:rPr>
        <w:tab/>
        <w:t>Baulies, A.</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The Transcription Co-Repressors MTG8 and MTG16 Regulate Exit of Intestinal Stem Cells From Their Niche and Differentiation Into Enterocyte vs Secretory Lineages. </w:t>
      </w:r>
      <w:r w:rsidRPr="006D7CFA">
        <w:rPr>
          <w:i/>
          <w:noProof/>
          <w:color w:val="000000" w:themeColor="text1"/>
        </w:rPr>
        <w:t>Gastroenterology.</w:t>
      </w:r>
      <w:r w:rsidRPr="006D7CFA">
        <w:rPr>
          <w:noProof/>
          <w:color w:val="000000" w:themeColor="text1"/>
        </w:rPr>
        <w:t xml:space="preserve"> </w:t>
      </w:r>
      <w:r w:rsidRPr="006D7CFA">
        <w:rPr>
          <w:b/>
          <w:noProof/>
          <w:color w:val="000000" w:themeColor="text1"/>
        </w:rPr>
        <w:t>159</w:t>
      </w:r>
      <w:r w:rsidRPr="006D7CFA">
        <w:rPr>
          <w:noProof/>
          <w:color w:val="000000" w:themeColor="text1"/>
        </w:rPr>
        <w:t xml:space="preserve"> (4), 1328-1341 e1323</w:t>
      </w:r>
      <w:r w:rsidR="00134205">
        <w:rPr>
          <w:noProof/>
          <w:color w:val="000000" w:themeColor="text1"/>
        </w:rPr>
        <w:t xml:space="preserve"> (</w:t>
      </w:r>
      <w:r w:rsidRPr="006D7CFA">
        <w:rPr>
          <w:noProof/>
          <w:color w:val="000000" w:themeColor="text1"/>
        </w:rPr>
        <w:t>2020).</w:t>
      </w:r>
    </w:p>
    <w:p w14:paraId="3B007395" w14:textId="58380833" w:rsidR="00A47808" w:rsidRPr="006D7CFA" w:rsidRDefault="00A47808" w:rsidP="006D7CFA">
      <w:pPr>
        <w:pStyle w:val="EndNoteBibliography"/>
        <w:contextualSpacing/>
        <w:jc w:val="both"/>
        <w:rPr>
          <w:noProof/>
          <w:color w:val="000000" w:themeColor="text1"/>
        </w:rPr>
      </w:pPr>
      <w:r w:rsidRPr="006D7CFA">
        <w:rPr>
          <w:noProof/>
          <w:color w:val="000000" w:themeColor="text1"/>
        </w:rPr>
        <w:t>14</w:t>
      </w:r>
      <w:r w:rsidRPr="006D7CFA">
        <w:rPr>
          <w:noProof/>
          <w:color w:val="000000" w:themeColor="text1"/>
        </w:rPr>
        <w:tab/>
        <w:t>Zeilstra, J.</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Stem cell CD44v isoforms promote intestinal cancer formation in Apc(min) mice downstream of Wnt signaling. </w:t>
      </w:r>
      <w:r w:rsidRPr="006D7CFA">
        <w:rPr>
          <w:i/>
          <w:noProof/>
          <w:color w:val="000000" w:themeColor="text1"/>
        </w:rPr>
        <w:t>Oncogene.</w:t>
      </w:r>
      <w:r w:rsidRPr="006D7CFA">
        <w:rPr>
          <w:noProof/>
          <w:color w:val="000000" w:themeColor="text1"/>
        </w:rPr>
        <w:t xml:space="preserve"> </w:t>
      </w:r>
      <w:r w:rsidRPr="006D7CFA">
        <w:rPr>
          <w:b/>
          <w:noProof/>
          <w:color w:val="000000" w:themeColor="text1"/>
        </w:rPr>
        <w:t>33</w:t>
      </w:r>
      <w:r w:rsidRPr="006D7CFA">
        <w:rPr>
          <w:noProof/>
          <w:color w:val="000000" w:themeColor="text1"/>
        </w:rPr>
        <w:t xml:space="preserve"> (5), 665-670</w:t>
      </w:r>
      <w:r w:rsidR="00134205">
        <w:rPr>
          <w:noProof/>
          <w:color w:val="000000" w:themeColor="text1"/>
        </w:rPr>
        <w:t xml:space="preserve"> (</w:t>
      </w:r>
      <w:r w:rsidRPr="006D7CFA">
        <w:rPr>
          <w:noProof/>
          <w:color w:val="000000" w:themeColor="text1"/>
        </w:rPr>
        <w:t>2014).</w:t>
      </w:r>
    </w:p>
    <w:p w14:paraId="0514DAFA" w14:textId="1AAD61B4" w:rsidR="00A47808" w:rsidRPr="006D7CFA" w:rsidRDefault="00A47808" w:rsidP="006D7CFA">
      <w:pPr>
        <w:pStyle w:val="EndNoteBibliography"/>
        <w:contextualSpacing/>
        <w:jc w:val="both"/>
        <w:rPr>
          <w:noProof/>
          <w:color w:val="000000" w:themeColor="text1"/>
        </w:rPr>
      </w:pPr>
      <w:r w:rsidRPr="006D7CFA">
        <w:rPr>
          <w:noProof/>
          <w:color w:val="000000" w:themeColor="text1"/>
        </w:rPr>
        <w:t>15</w:t>
      </w:r>
      <w:r w:rsidRPr="006D7CFA">
        <w:rPr>
          <w:noProof/>
          <w:color w:val="000000" w:themeColor="text1"/>
        </w:rPr>
        <w:tab/>
        <w:t>Gracz, A. D.</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Brief report: CD24 and CD44 mark human intestinal epithelial cell populations with characteristics of active and facultative stem cells. </w:t>
      </w:r>
      <w:r w:rsidRPr="006D7CFA">
        <w:rPr>
          <w:i/>
          <w:noProof/>
          <w:color w:val="000000" w:themeColor="text1"/>
        </w:rPr>
        <w:t>Stem Cells.</w:t>
      </w:r>
      <w:r w:rsidRPr="006D7CFA">
        <w:rPr>
          <w:noProof/>
          <w:color w:val="000000" w:themeColor="text1"/>
        </w:rPr>
        <w:t xml:space="preserve"> </w:t>
      </w:r>
      <w:r w:rsidRPr="006D7CFA">
        <w:rPr>
          <w:b/>
          <w:noProof/>
          <w:color w:val="000000" w:themeColor="text1"/>
        </w:rPr>
        <w:t>31</w:t>
      </w:r>
      <w:r w:rsidRPr="006D7CFA">
        <w:rPr>
          <w:noProof/>
          <w:color w:val="000000" w:themeColor="text1"/>
        </w:rPr>
        <w:t xml:space="preserve"> (9), 2024-2030</w:t>
      </w:r>
      <w:r w:rsidR="00134205">
        <w:rPr>
          <w:noProof/>
          <w:color w:val="000000" w:themeColor="text1"/>
        </w:rPr>
        <w:t xml:space="preserve"> (</w:t>
      </w:r>
      <w:r w:rsidRPr="006D7CFA">
        <w:rPr>
          <w:noProof/>
          <w:color w:val="000000" w:themeColor="text1"/>
        </w:rPr>
        <w:t>2013).</w:t>
      </w:r>
    </w:p>
    <w:p w14:paraId="65729860" w14:textId="4E04E89D" w:rsidR="00A47808" w:rsidRPr="006D7CFA" w:rsidRDefault="00A47808" w:rsidP="006D7CFA">
      <w:pPr>
        <w:pStyle w:val="EndNoteBibliography"/>
        <w:contextualSpacing/>
        <w:jc w:val="both"/>
        <w:rPr>
          <w:noProof/>
          <w:color w:val="000000" w:themeColor="text1"/>
        </w:rPr>
      </w:pPr>
      <w:r w:rsidRPr="006D7CFA">
        <w:rPr>
          <w:noProof/>
          <w:color w:val="000000" w:themeColor="text1"/>
        </w:rPr>
        <w:t>16</w:t>
      </w:r>
      <w:r w:rsidRPr="006D7CFA">
        <w:rPr>
          <w:noProof/>
          <w:color w:val="000000" w:themeColor="text1"/>
        </w:rPr>
        <w:tab/>
        <w:t>Gao, N., White, P.</w:t>
      </w:r>
      <w:r w:rsidR="00134205">
        <w:rPr>
          <w:noProof/>
          <w:color w:val="000000" w:themeColor="text1"/>
        </w:rPr>
        <w:t xml:space="preserve">, </w:t>
      </w:r>
      <w:r w:rsidRPr="006D7CFA">
        <w:rPr>
          <w:noProof/>
          <w:color w:val="000000" w:themeColor="text1"/>
        </w:rPr>
        <w:t xml:space="preserve">Kaestner, K. H. Establishment of intestinal identity and epithelial-mesenchymal signaling by Cdx2. </w:t>
      </w:r>
      <w:r w:rsidR="00134205">
        <w:rPr>
          <w:i/>
          <w:noProof/>
          <w:color w:val="000000" w:themeColor="text1"/>
        </w:rPr>
        <w:t>Developmental Cell</w:t>
      </w:r>
      <w:r w:rsidRPr="006D7CFA">
        <w:rPr>
          <w:i/>
          <w:noProof/>
          <w:color w:val="000000" w:themeColor="text1"/>
        </w:rPr>
        <w:t>.</w:t>
      </w:r>
      <w:r w:rsidRPr="006D7CFA">
        <w:rPr>
          <w:noProof/>
          <w:color w:val="000000" w:themeColor="text1"/>
        </w:rPr>
        <w:t xml:space="preserve"> </w:t>
      </w:r>
      <w:r w:rsidRPr="006D7CFA">
        <w:rPr>
          <w:b/>
          <w:noProof/>
          <w:color w:val="000000" w:themeColor="text1"/>
        </w:rPr>
        <w:t>16</w:t>
      </w:r>
      <w:r w:rsidRPr="006D7CFA">
        <w:rPr>
          <w:noProof/>
          <w:color w:val="000000" w:themeColor="text1"/>
        </w:rPr>
        <w:t xml:space="preserve"> (4), 588-599</w:t>
      </w:r>
      <w:r w:rsidR="00134205">
        <w:rPr>
          <w:noProof/>
          <w:color w:val="000000" w:themeColor="text1"/>
        </w:rPr>
        <w:t xml:space="preserve"> (</w:t>
      </w:r>
      <w:r w:rsidRPr="006D7CFA">
        <w:rPr>
          <w:noProof/>
          <w:color w:val="000000" w:themeColor="text1"/>
        </w:rPr>
        <w:t>2009).</w:t>
      </w:r>
    </w:p>
    <w:p w14:paraId="49615998" w14:textId="37D63E1C" w:rsidR="00A47808" w:rsidRPr="006D7CFA" w:rsidRDefault="00A47808" w:rsidP="006D7CFA">
      <w:pPr>
        <w:pStyle w:val="EndNoteBibliography"/>
        <w:contextualSpacing/>
        <w:jc w:val="both"/>
        <w:rPr>
          <w:noProof/>
          <w:color w:val="000000" w:themeColor="text1"/>
        </w:rPr>
      </w:pPr>
      <w:r w:rsidRPr="006D7CFA">
        <w:rPr>
          <w:noProof/>
          <w:color w:val="000000" w:themeColor="text1"/>
        </w:rPr>
        <w:t>17</w:t>
      </w:r>
      <w:r w:rsidRPr="006D7CFA">
        <w:rPr>
          <w:noProof/>
          <w:color w:val="000000" w:themeColor="text1"/>
        </w:rPr>
        <w:tab/>
        <w:t>Verzi, M. P., Shin, H., Ho, L. L., Liu, X. S.</w:t>
      </w:r>
      <w:r w:rsidR="00134205">
        <w:rPr>
          <w:noProof/>
          <w:color w:val="000000" w:themeColor="text1"/>
        </w:rPr>
        <w:t xml:space="preserve">, </w:t>
      </w:r>
      <w:r w:rsidRPr="006D7CFA">
        <w:rPr>
          <w:noProof/>
          <w:color w:val="000000" w:themeColor="text1"/>
        </w:rPr>
        <w:t xml:space="preserve">Shivdasani, R. A. Essential and redundant functions of caudal family proteins in activating adult intestinal genes. </w:t>
      </w:r>
      <w:r w:rsidR="00134205">
        <w:rPr>
          <w:i/>
          <w:noProof/>
          <w:color w:val="000000" w:themeColor="text1"/>
        </w:rPr>
        <w:t>Molecular and Cellular Biology</w:t>
      </w:r>
      <w:r w:rsidRPr="006D7CFA">
        <w:rPr>
          <w:i/>
          <w:noProof/>
          <w:color w:val="000000" w:themeColor="text1"/>
        </w:rPr>
        <w:t>.</w:t>
      </w:r>
      <w:r w:rsidRPr="006D7CFA">
        <w:rPr>
          <w:noProof/>
          <w:color w:val="000000" w:themeColor="text1"/>
        </w:rPr>
        <w:t xml:space="preserve"> </w:t>
      </w:r>
      <w:r w:rsidRPr="006D7CFA">
        <w:rPr>
          <w:b/>
          <w:noProof/>
          <w:color w:val="000000" w:themeColor="text1"/>
        </w:rPr>
        <w:t>31</w:t>
      </w:r>
      <w:r w:rsidRPr="006D7CFA">
        <w:rPr>
          <w:noProof/>
          <w:color w:val="000000" w:themeColor="text1"/>
        </w:rPr>
        <w:t xml:space="preserve"> (10), 2026-2039</w:t>
      </w:r>
      <w:r w:rsidR="00134205">
        <w:rPr>
          <w:noProof/>
          <w:color w:val="000000" w:themeColor="text1"/>
        </w:rPr>
        <w:t xml:space="preserve"> (</w:t>
      </w:r>
      <w:r w:rsidRPr="006D7CFA">
        <w:rPr>
          <w:noProof/>
          <w:color w:val="000000" w:themeColor="text1"/>
        </w:rPr>
        <w:t>2011).</w:t>
      </w:r>
    </w:p>
    <w:p w14:paraId="24A88803" w14:textId="6F4FFB63" w:rsidR="00A47808" w:rsidRPr="006D7CFA" w:rsidRDefault="00A47808" w:rsidP="006D7CFA">
      <w:pPr>
        <w:pStyle w:val="EndNoteBibliography"/>
        <w:contextualSpacing/>
        <w:jc w:val="both"/>
        <w:rPr>
          <w:noProof/>
          <w:color w:val="000000" w:themeColor="text1"/>
        </w:rPr>
      </w:pPr>
      <w:r w:rsidRPr="006D7CFA">
        <w:rPr>
          <w:noProof/>
          <w:color w:val="000000" w:themeColor="text1"/>
        </w:rPr>
        <w:t>18</w:t>
      </w:r>
      <w:r w:rsidRPr="006D7CFA">
        <w:rPr>
          <w:noProof/>
          <w:color w:val="000000" w:themeColor="text1"/>
        </w:rPr>
        <w:tab/>
        <w:t>Verzi, M. P., Shin, H., San Roman, A. K., Liu, X. S.</w:t>
      </w:r>
      <w:r w:rsidR="00134205">
        <w:rPr>
          <w:noProof/>
          <w:color w:val="000000" w:themeColor="text1"/>
        </w:rPr>
        <w:t xml:space="preserve">, </w:t>
      </w:r>
      <w:r w:rsidRPr="006D7CFA">
        <w:rPr>
          <w:noProof/>
          <w:color w:val="000000" w:themeColor="text1"/>
        </w:rPr>
        <w:t xml:space="preserve">Shivdasani, R. A. Intestinal master transcription factor CDX2 controls chromatin access for partner transcription factor binding. </w:t>
      </w:r>
      <w:r w:rsidR="00134205">
        <w:rPr>
          <w:i/>
          <w:noProof/>
          <w:color w:val="000000" w:themeColor="text1"/>
        </w:rPr>
        <w:t>Molecular and Cellular Biology</w:t>
      </w:r>
      <w:r w:rsidRPr="006D7CFA">
        <w:rPr>
          <w:i/>
          <w:noProof/>
          <w:color w:val="000000" w:themeColor="text1"/>
        </w:rPr>
        <w:t>.</w:t>
      </w:r>
      <w:r w:rsidRPr="006D7CFA">
        <w:rPr>
          <w:noProof/>
          <w:color w:val="000000" w:themeColor="text1"/>
        </w:rPr>
        <w:t xml:space="preserve"> </w:t>
      </w:r>
      <w:r w:rsidRPr="006D7CFA">
        <w:rPr>
          <w:b/>
          <w:noProof/>
          <w:color w:val="000000" w:themeColor="text1"/>
        </w:rPr>
        <w:t>33</w:t>
      </w:r>
      <w:r w:rsidRPr="006D7CFA">
        <w:rPr>
          <w:noProof/>
          <w:color w:val="000000" w:themeColor="text1"/>
        </w:rPr>
        <w:t xml:space="preserve"> (2), 281-292</w:t>
      </w:r>
      <w:r w:rsidR="00134205">
        <w:rPr>
          <w:noProof/>
          <w:color w:val="000000" w:themeColor="text1"/>
        </w:rPr>
        <w:t xml:space="preserve"> (</w:t>
      </w:r>
      <w:r w:rsidRPr="006D7CFA">
        <w:rPr>
          <w:noProof/>
          <w:color w:val="000000" w:themeColor="text1"/>
        </w:rPr>
        <w:t>2013).</w:t>
      </w:r>
    </w:p>
    <w:p w14:paraId="06A17F51" w14:textId="680573C9" w:rsidR="00A47808" w:rsidRPr="006D7CFA" w:rsidRDefault="00A47808" w:rsidP="006D7CFA">
      <w:pPr>
        <w:pStyle w:val="EndNoteBibliography"/>
        <w:contextualSpacing/>
        <w:jc w:val="both"/>
        <w:rPr>
          <w:noProof/>
          <w:color w:val="000000" w:themeColor="text1"/>
        </w:rPr>
      </w:pPr>
      <w:r w:rsidRPr="006D7CFA">
        <w:rPr>
          <w:noProof/>
          <w:color w:val="000000" w:themeColor="text1"/>
        </w:rPr>
        <w:t>19</w:t>
      </w:r>
      <w:r w:rsidRPr="006D7CFA">
        <w:rPr>
          <w:noProof/>
          <w:color w:val="000000" w:themeColor="text1"/>
        </w:rPr>
        <w:tab/>
        <w:t>Grainger, S., Hryniuk, A.</w:t>
      </w:r>
      <w:r w:rsidR="00134205">
        <w:rPr>
          <w:noProof/>
          <w:color w:val="000000" w:themeColor="text1"/>
        </w:rPr>
        <w:t xml:space="preserve">, </w:t>
      </w:r>
      <w:r w:rsidRPr="006D7CFA">
        <w:rPr>
          <w:noProof/>
          <w:color w:val="000000" w:themeColor="text1"/>
        </w:rPr>
        <w:t xml:space="preserve">Lohnes, D. Cdx1 and Cdx2 exhibit transcriptional specificity in the intestine. </w:t>
      </w:r>
      <w:r w:rsidRPr="006D7CFA">
        <w:rPr>
          <w:i/>
          <w:noProof/>
          <w:color w:val="000000" w:themeColor="text1"/>
        </w:rPr>
        <w:t>PLoS One.</w:t>
      </w:r>
      <w:r w:rsidRPr="006D7CFA">
        <w:rPr>
          <w:noProof/>
          <w:color w:val="000000" w:themeColor="text1"/>
        </w:rPr>
        <w:t xml:space="preserve"> </w:t>
      </w:r>
      <w:r w:rsidRPr="006D7CFA">
        <w:rPr>
          <w:b/>
          <w:noProof/>
          <w:color w:val="000000" w:themeColor="text1"/>
        </w:rPr>
        <w:t>8</w:t>
      </w:r>
      <w:r w:rsidRPr="006D7CFA">
        <w:rPr>
          <w:noProof/>
          <w:color w:val="000000" w:themeColor="text1"/>
        </w:rPr>
        <w:t xml:space="preserve"> (1), e54757</w:t>
      </w:r>
      <w:r w:rsidR="00134205">
        <w:rPr>
          <w:noProof/>
          <w:color w:val="000000" w:themeColor="text1"/>
        </w:rPr>
        <w:t xml:space="preserve"> (</w:t>
      </w:r>
      <w:r w:rsidRPr="006D7CFA">
        <w:rPr>
          <w:noProof/>
          <w:color w:val="000000" w:themeColor="text1"/>
        </w:rPr>
        <w:t>2013).</w:t>
      </w:r>
    </w:p>
    <w:p w14:paraId="5523F218" w14:textId="35D5762E" w:rsidR="00A47808" w:rsidRPr="006D7CFA" w:rsidRDefault="00A47808" w:rsidP="006D7CFA">
      <w:pPr>
        <w:pStyle w:val="EndNoteBibliography"/>
        <w:contextualSpacing/>
        <w:jc w:val="both"/>
        <w:rPr>
          <w:noProof/>
          <w:color w:val="000000" w:themeColor="text1"/>
        </w:rPr>
      </w:pPr>
      <w:r w:rsidRPr="006D7CFA">
        <w:rPr>
          <w:noProof/>
          <w:color w:val="000000" w:themeColor="text1"/>
        </w:rPr>
        <w:t>20</w:t>
      </w:r>
      <w:r w:rsidRPr="006D7CFA">
        <w:rPr>
          <w:noProof/>
          <w:color w:val="000000" w:themeColor="text1"/>
        </w:rPr>
        <w:tab/>
        <w:t>Stringer, E. J.</w:t>
      </w:r>
      <w:r w:rsidRPr="006D7CFA">
        <w:rPr>
          <w:i/>
          <w:noProof/>
          <w:color w:val="000000" w:themeColor="text1"/>
        </w:rPr>
        <w:t xml:space="preserve"> </w:t>
      </w:r>
      <w:r w:rsidR="00134205" w:rsidRPr="00134205">
        <w:rPr>
          <w:noProof/>
          <w:color w:val="000000" w:themeColor="text1"/>
        </w:rPr>
        <w:t>et al.</w:t>
      </w:r>
      <w:r w:rsidRPr="006D7CFA">
        <w:rPr>
          <w:noProof/>
          <w:color w:val="000000" w:themeColor="text1"/>
        </w:rPr>
        <w:t xml:space="preserve"> Cdx2 determines the fate of postnatal intestinal endoderm. </w:t>
      </w:r>
      <w:r w:rsidRPr="006D7CFA">
        <w:rPr>
          <w:i/>
          <w:noProof/>
          <w:color w:val="000000" w:themeColor="text1"/>
        </w:rPr>
        <w:t>Development.</w:t>
      </w:r>
      <w:r w:rsidRPr="006D7CFA">
        <w:rPr>
          <w:noProof/>
          <w:color w:val="000000" w:themeColor="text1"/>
        </w:rPr>
        <w:t xml:space="preserve"> </w:t>
      </w:r>
      <w:r w:rsidRPr="006D7CFA">
        <w:rPr>
          <w:b/>
          <w:noProof/>
          <w:color w:val="000000" w:themeColor="text1"/>
        </w:rPr>
        <w:t>139</w:t>
      </w:r>
      <w:r w:rsidRPr="006D7CFA">
        <w:rPr>
          <w:noProof/>
          <w:color w:val="000000" w:themeColor="text1"/>
        </w:rPr>
        <w:t xml:space="preserve"> (3), 465-474</w:t>
      </w:r>
      <w:r w:rsidR="00134205">
        <w:rPr>
          <w:noProof/>
          <w:color w:val="000000" w:themeColor="text1"/>
        </w:rPr>
        <w:t xml:space="preserve"> (</w:t>
      </w:r>
      <w:r w:rsidRPr="006D7CFA">
        <w:rPr>
          <w:noProof/>
          <w:color w:val="000000" w:themeColor="text1"/>
        </w:rPr>
        <w:t>2012).</w:t>
      </w:r>
    </w:p>
    <w:p w14:paraId="626A41AB" w14:textId="7C9E049D" w:rsidR="007C6D2B" w:rsidRPr="006D7CFA" w:rsidRDefault="007C6D2B" w:rsidP="006D7CFA">
      <w:pPr>
        <w:contextualSpacing/>
        <w:jc w:val="both"/>
        <w:rPr>
          <w:b/>
          <w:color w:val="000000" w:themeColor="text1"/>
        </w:rPr>
      </w:pPr>
    </w:p>
    <w:sectPr w:rsidR="007C6D2B" w:rsidRPr="006D7CFA" w:rsidSect="007C6D2B">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EA78C" w14:textId="77777777" w:rsidR="004875A7" w:rsidRDefault="004875A7">
      <w:r>
        <w:separator/>
      </w:r>
    </w:p>
  </w:endnote>
  <w:endnote w:type="continuationSeparator" w:id="0">
    <w:p w14:paraId="2BD1050B" w14:textId="77777777" w:rsidR="004875A7" w:rsidRDefault="0048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70177" w:rsidRDefault="00170177" w:rsidP="007C6D2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5B532" w14:textId="77777777" w:rsidR="004875A7" w:rsidRDefault="004875A7">
      <w:r>
        <w:separator/>
      </w:r>
    </w:p>
  </w:footnote>
  <w:footnote w:type="continuationSeparator" w:id="0">
    <w:p w14:paraId="2FC4F435" w14:textId="77777777" w:rsidR="004875A7" w:rsidRDefault="0048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70177" w:rsidRPr="006F06E4" w:rsidRDefault="00170177" w:rsidP="007C6D2B">
    <w:pPr>
      <w:tabs>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F5A35"/>
    <w:multiLevelType w:val="multilevel"/>
    <w:tmpl w:val="E6144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A6716C"/>
    <w:multiLevelType w:val="multilevel"/>
    <w:tmpl w:val="FA12313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3DE23B9B"/>
    <w:multiLevelType w:val="multilevel"/>
    <w:tmpl w:val="EAB4B3C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E42791"/>
    <w:multiLevelType w:val="multilevel"/>
    <w:tmpl w:val="10084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E6413A"/>
    <w:multiLevelType w:val="multilevel"/>
    <w:tmpl w:val="90E88712"/>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ascii="Times New Roman" w:hAnsi="Times New Roman" w:cs="Times New Roman" w:hint="default"/>
        <w:b w:val="0"/>
        <w:bCs/>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5" w15:restartNumberingAfterBreak="0">
    <w:nsid w:val="5B5400FD"/>
    <w:multiLevelType w:val="hybridMultilevel"/>
    <w:tmpl w:val="91BAF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05E08"/>
    <w:multiLevelType w:val="multilevel"/>
    <w:tmpl w:val="544C3E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9B7CC9"/>
    <w:multiLevelType w:val="multilevel"/>
    <w:tmpl w:val="F07079A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7F0B1B98"/>
    <w:multiLevelType w:val="multilevel"/>
    <w:tmpl w:val="BE66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1"/>
  </w:num>
  <w:num w:numId="5">
    <w:abstractNumId w:val="6"/>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styl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sxfsv9l9rra9ev0z15srazwr5zsvfxsavf&quot;&gt;Ansu EndNote&lt;record-ids&gt;&lt;item&gt;1&lt;/item&gt;&lt;item&gt;2&lt;/item&gt;&lt;item&gt;6&lt;/item&gt;&lt;item&gt;7&lt;/item&gt;&lt;item&gt;9&lt;/item&gt;&lt;item&gt;10&lt;/item&gt;&lt;item&gt;11&lt;/item&gt;&lt;item&gt;12&lt;/item&gt;&lt;item&gt;14&lt;/item&gt;&lt;item&gt;15&lt;/item&gt;&lt;item&gt;16&lt;/item&gt;&lt;item&gt;18&lt;/item&gt;&lt;item&gt;19&lt;/item&gt;&lt;item&gt;22&lt;/item&gt;&lt;item&gt;23&lt;/item&gt;&lt;item&gt;24&lt;/item&gt;&lt;item&gt;25&lt;/item&gt;&lt;item&gt;26&lt;/item&gt;&lt;item&gt;27&lt;/item&gt;&lt;item&gt;29&lt;/item&gt;&lt;/record-ids&gt;&lt;/item&gt;&lt;/Libraries&gt;"/>
  </w:docVars>
  <w:rsids>
    <w:rsidRoot w:val="004931EE"/>
    <w:rsid w:val="000052BD"/>
    <w:rsid w:val="0001772F"/>
    <w:rsid w:val="00022BBD"/>
    <w:rsid w:val="0002634D"/>
    <w:rsid w:val="00042BB0"/>
    <w:rsid w:val="000546EA"/>
    <w:rsid w:val="00057A4C"/>
    <w:rsid w:val="0006193D"/>
    <w:rsid w:val="00061F2D"/>
    <w:rsid w:val="00075948"/>
    <w:rsid w:val="00082DDF"/>
    <w:rsid w:val="00087189"/>
    <w:rsid w:val="000973B2"/>
    <w:rsid w:val="000A1770"/>
    <w:rsid w:val="000B0AA4"/>
    <w:rsid w:val="000B20DE"/>
    <w:rsid w:val="000B5631"/>
    <w:rsid w:val="000C21CE"/>
    <w:rsid w:val="000C63A6"/>
    <w:rsid w:val="000E10CE"/>
    <w:rsid w:val="000E143B"/>
    <w:rsid w:val="000E1BE2"/>
    <w:rsid w:val="000E3BA3"/>
    <w:rsid w:val="000F506E"/>
    <w:rsid w:val="000F62A5"/>
    <w:rsid w:val="000F6AEC"/>
    <w:rsid w:val="000F6D87"/>
    <w:rsid w:val="0012042D"/>
    <w:rsid w:val="001303E8"/>
    <w:rsid w:val="00131C27"/>
    <w:rsid w:val="00134205"/>
    <w:rsid w:val="00155DFB"/>
    <w:rsid w:val="00161CFD"/>
    <w:rsid w:val="001636EF"/>
    <w:rsid w:val="001642B1"/>
    <w:rsid w:val="00166571"/>
    <w:rsid w:val="00170177"/>
    <w:rsid w:val="00171578"/>
    <w:rsid w:val="00192390"/>
    <w:rsid w:val="00193FD3"/>
    <w:rsid w:val="001A7367"/>
    <w:rsid w:val="001B144B"/>
    <w:rsid w:val="001C3833"/>
    <w:rsid w:val="001C42FA"/>
    <w:rsid w:val="001C56FE"/>
    <w:rsid w:val="001C723D"/>
    <w:rsid w:val="001F4195"/>
    <w:rsid w:val="00201432"/>
    <w:rsid w:val="00211FF0"/>
    <w:rsid w:val="0021534C"/>
    <w:rsid w:val="00245EE0"/>
    <w:rsid w:val="002704A2"/>
    <w:rsid w:val="0027617F"/>
    <w:rsid w:val="00276244"/>
    <w:rsid w:val="0028205D"/>
    <w:rsid w:val="002830C6"/>
    <w:rsid w:val="00296EEF"/>
    <w:rsid w:val="002B0533"/>
    <w:rsid w:val="002B209C"/>
    <w:rsid w:val="002C6366"/>
    <w:rsid w:val="002D0C03"/>
    <w:rsid w:val="002D1FE3"/>
    <w:rsid w:val="002D750B"/>
    <w:rsid w:val="002F554E"/>
    <w:rsid w:val="0030223F"/>
    <w:rsid w:val="00317956"/>
    <w:rsid w:val="00320B3C"/>
    <w:rsid w:val="00327237"/>
    <w:rsid w:val="00347447"/>
    <w:rsid w:val="00354021"/>
    <w:rsid w:val="00361FD8"/>
    <w:rsid w:val="0036204F"/>
    <w:rsid w:val="0036392B"/>
    <w:rsid w:val="00365369"/>
    <w:rsid w:val="0038031F"/>
    <w:rsid w:val="003865B2"/>
    <w:rsid w:val="003871B7"/>
    <w:rsid w:val="003D11A3"/>
    <w:rsid w:val="003F0119"/>
    <w:rsid w:val="003F2477"/>
    <w:rsid w:val="003F6308"/>
    <w:rsid w:val="00402F15"/>
    <w:rsid w:val="004057FB"/>
    <w:rsid w:val="0042409A"/>
    <w:rsid w:val="00424C30"/>
    <w:rsid w:val="004500E0"/>
    <w:rsid w:val="004506A6"/>
    <w:rsid w:val="00454602"/>
    <w:rsid w:val="00481223"/>
    <w:rsid w:val="00482036"/>
    <w:rsid w:val="00485608"/>
    <w:rsid w:val="00486BBB"/>
    <w:rsid w:val="004875A7"/>
    <w:rsid w:val="0049038D"/>
    <w:rsid w:val="004931EE"/>
    <w:rsid w:val="004B18AB"/>
    <w:rsid w:val="004C1109"/>
    <w:rsid w:val="004C6725"/>
    <w:rsid w:val="0050090C"/>
    <w:rsid w:val="00514AD3"/>
    <w:rsid w:val="005157A1"/>
    <w:rsid w:val="0054439E"/>
    <w:rsid w:val="00546A0A"/>
    <w:rsid w:val="0056198B"/>
    <w:rsid w:val="005837E5"/>
    <w:rsid w:val="005857C9"/>
    <w:rsid w:val="0059173B"/>
    <w:rsid w:val="0059286C"/>
    <w:rsid w:val="005960F4"/>
    <w:rsid w:val="005B1EBE"/>
    <w:rsid w:val="005B5CEF"/>
    <w:rsid w:val="005D2A0B"/>
    <w:rsid w:val="005D3375"/>
    <w:rsid w:val="005E2C69"/>
    <w:rsid w:val="005E5B00"/>
    <w:rsid w:val="005E5FF4"/>
    <w:rsid w:val="005E6BE5"/>
    <w:rsid w:val="0060198A"/>
    <w:rsid w:val="00610DBD"/>
    <w:rsid w:val="00622668"/>
    <w:rsid w:val="0063165A"/>
    <w:rsid w:val="00633193"/>
    <w:rsid w:val="006361A8"/>
    <w:rsid w:val="006465EF"/>
    <w:rsid w:val="00646608"/>
    <w:rsid w:val="00654AE7"/>
    <w:rsid w:val="006630EF"/>
    <w:rsid w:val="006764CB"/>
    <w:rsid w:val="0069381C"/>
    <w:rsid w:val="006A1F3B"/>
    <w:rsid w:val="006D7CFA"/>
    <w:rsid w:val="006F0E4E"/>
    <w:rsid w:val="006F3CAB"/>
    <w:rsid w:val="00734888"/>
    <w:rsid w:val="00735A96"/>
    <w:rsid w:val="00737DE1"/>
    <w:rsid w:val="00745D49"/>
    <w:rsid w:val="00774BD7"/>
    <w:rsid w:val="00780222"/>
    <w:rsid w:val="0079325B"/>
    <w:rsid w:val="007965F5"/>
    <w:rsid w:val="007A12B2"/>
    <w:rsid w:val="007A2686"/>
    <w:rsid w:val="007A505E"/>
    <w:rsid w:val="007B18BE"/>
    <w:rsid w:val="007B235A"/>
    <w:rsid w:val="007B77B6"/>
    <w:rsid w:val="007C0BB9"/>
    <w:rsid w:val="007C6D2B"/>
    <w:rsid w:val="007D1EF4"/>
    <w:rsid w:val="007E1A45"/>
    <w:rsid w:val="007E23B9"/>
    <w:rsid w:val="007F6A4D"/>
    <w:rsid w:val="00804ED7"/>
    <w:rsid w:val="008070B4"/>
    <w:rsid w:val="008101D0"/>
    <w:rsid w:val="00811631"/>
    <w:rsid w:val="0081629A"/>
    <w:rsid w:val="008438C5"/>
    <w:rsid w:val="00846F0B"/>
    <w:rsid w:val="0085494B"/>
    <w:rsid w:val="0086091F"/>
    <w:rsid w:val="008744CC"/>
    <w:rsid w:val="0088265D"/>
    <w:rsid w:val="008937B8"/>
    <w:rsid w:val="008B13FD"/>
    <w:rsid w:val="008C58DE"/>
    <w:rsid w:val="008D537C"/>
    <w:rsid w:val="008D5927"/>
    <w:rsid w:val="008D6B96"/>
    <w:rsid w:val="008E23CE"/>
    <w:rsid w:val="008E4474"/>
    <w:rsid w:val="008F5184"/>
    <w:rsid w:val="00902007"/>
    <w:rsid w:val="0090583C"/>
    <w:rsid w:val="00932938"/>
    <w:rsid w:val="00940194"/>
    <w:rsid w:val="0096497B"/>
    <w:rsid w:val="0097196E"/>
    <w:rsid w:val="00997030"/>
    <w:rsid w:val="00997C25"/>
    <w:rsid w:val="009A18D1"/>
    <w:rsid w:val="009B0EA8"/>
    <w:rsid w:val="009B6113"/>
    <w:rsid w:val="009E32FD"/>
    <w:rsid w:val="009E79B0"/>
    <w:rsid w:val="00A17BE3"/>
    <w:rsid w:val="00A2109D"/>
    <w:rsid w:val="00A22537"/>
    <w:rsid w:val="00A35D78"/>
    <w:rsid w:val="00A47808"/>
    <w:rsid w:val="00A52954"/>
    <w:rsid w:val="00A5321B"/>
    <w:rsid w:val="00A5451A"/>
    <w:rsid w:val="00A65A3B"/>
    <w:rsid w:val="00A90333"/>
    <w:rsid w:val="00A94F76"/>
    <w:rsid w:val="00A97B93"/>
    <w:rsid w:val="00A97D1F"/>
    <w:rsid w:val="00AA03A2"/>
    <w:rsid w:val="00AA0EC9"/>
    <w:rsid w:val="00AA2492"/>
    <w:rsid w:val="00AA2A6B"/>
    <w:rsid w:val="00AB48E3"/>
    <w:rsid w:val="00AC2A0A"/>
    <w:rsid w:val="00AD1ECD"/>
    <w:rsid w:val="00AD20A4"/>
    <w:rsid w:val="00AD4CB9"/>
    <w:rsid w:val="00AD7CED"/>
    <w:rsid w:val="00AF0C1F"/>
    <w:rsid w:val="00B16A64"/>
    <w:rsid w:val="00B343CF"/>
    <w:rsid w:val="00B46293"/>
    <w:rsid w:val="00B5137D"/>
    <w:rsid w:val="00B53A31"/>
    <w:rsid w:val="00B610D8"/>
    <w:rsid w:val="00B77D55"/>
    <w:rsid w:val="00B902B9"/>
    <w:rsid w:val="00B96739"/>
    <w:rsid w:val="00BA27C5"/>
    <w:rsid w:val="00BA2EF0"/>
    <w:rsid w:val="00BA4675"/>
    <w:rsid w:val="00BE096D"/>
    <w:rsid w:val="00BE1A1C"/>
    <w:rsid w:val="00BF1CCD"/>
    <w:rsid w:val="00BF78F5"/>
    <w:rsid w:val="00C03E86"/>
    <w:rsid w:val="00C105B6"/>
    <w:rsid w:val="00C21C98"/>
    <w:rsid w:val="00C25CC8"/>
    <w:rsid w:val="00C3589B"/>
    <w:rsid w:val="00C51D0F"/>
    <w:rsid w:val="00C577B0"/>
    <w:rsid w:val="00C81DAF"/>
    <w:rsid w:val="00C9151C"/>
    <w:rsid w:val="00CA2506"/>
    <w:rsid w:val="00CA6956"/>
    <w:rsid w:val="00CD403C"/>
    <w:rsid w:val="00CD54CE"/>
    <w:rsid w:val="00CE0363"/>
    <w:rsid w:val="00CE78F8"/>
    <w:rsid w:val="00CF0D52"/>
    <w:rsid w:val="00CF2F84"/>
    <w:rsid w:val="00D00167"/>
    <w:rsid w:val="00D07BA2"/>
    <w:rsid w:val="00D07FDF"/>
    <w:rsid w:val="00D175B6"/>
    <w:rsid w:val="00D23606"/>
    <w:rsid w:val="00D34DAB"/>
    <w:rsid w:val="00D6074B"/>
    <w:rsid w:val="00D72DB4"/>
    <w:rsid w:val="00D8108E"/>
    <w:rsid w:val="00D81331"/>
    <w:rsid w:val="00D835D5"/>
    <w:rsid w:val="00D84CD5"/>
    <w:rsid w:val="00D91643"/>
    <w:rsid w:val="00D91E91"/>
    <w:rsid w:val="00D932F9"/>
    <w:rsid w:val="00DA2E6B"/>
    <w:rsid w:val="00DB2F87"/>
    <w:rsid w:val="00DB3A1F"/>
    <w:rsid w:val="00DC0EB8"/>
    <w:rsid w:val="00DD1767"/>
    <w:rsid w:val="00DD1F5A"/>
    <w:rsid w:val="00DD5FD8"/>
    <w:rsid w:val="00DF180C"/>
    <w:rsid w:val="00DF24EA"/>
    <w:rsid w:val="00DF488F"/>
    <w:rsid w:val="00E10FD7"/>
    <w:rsid w:val="00E152CD"/>
    <w:rsid w:val="00E30060"/>
    <w:rsid w:val="00E34A91"/>
    <w:rsid w:val="00E4503D"/>
    <w:rsid w:val="00E509F8"/>
    <w:rsid w:val="00E50A38"/>
    <w:rsid w:val="00E658AD"/>
    <w:rsid w:val="00E67FEB"/>
    <w:rsid w:val="00E70E4D"/>
    <w:rsid w:val="00E872C1"/>
    <w:rsid w:val="00EA0BCF"/>
    <w:rsid w:val="00EB04B6"/>
    <w:rsid w:val="00EB0831"/>
    <w:rsid w:val="00EB68CA"/>
    <w:rsid w:val="00ED3BA9"/>
    <w:rsid w:val="00EE12E8"/>
    <w:rsid w:val="00EE25D0"/>
    <w:rsid w:val="00EE3BA7"/>
    <w:rsid w:val="00EF15B1"/>
    <w:rsid w:val="00EF1EF2"/>
    <w:rsid w:val="00F108DF"/>
    <w:rsid w:val="00F11D6B"/>
    <w:rsid w:val="00F21B1D"/>
    <w:rsid w:val="00F22321"/>
    <w:rsid w:val="00F268D7"/>
    <w:rsid w:val="00F26D30"/>
    <w:rsid w:val="00F327D6"/>
    <w:rsid w:val="00F35B07"/>
    <w:rsid w:val="00F379B1"/>
    <w:rsid w:val="00F4101C"/>
    <w:rsid w:val="00F432E7"/>
    <w:rsid w:val="00F45B1B"/>
    <w:rsid w:val="00F47D21"/>
    <w:rsid w:val="00F53E8A"/>
    <w:rsid w:val="00F54FCD"/>
    <w:rsid w:val="00F61BC9"/>
    <w:rsid w:val="00F65989"/>
    <w:rsid w:val="00F8559B"/>
    <w:rsid w:val="00FA1625"/>
    <w:rsid w:val="00FA270F"/>
    <w:rsid w:val="00FA48A3"/>
    <w:rsid w:val="00FB53DE"/>
    <w:rsid w:val="00FC7ECD"/>
    <w:rsid w:val="00FD7DC6"/>
    <w:rsid w:val="00FE3483"/>
    <w:rsid w:val="00FE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3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D8"/>
    <w:rPr>
      <w:rFonts w:ascii="Times New Roman" w:eastAsia="Times New Roman" w:hAnsi="Times New Roman" w:cs="Times New Roman"/>
    </w:rPr>
  </w:style>
  <w:style w:type="paragraph" w:styleId="Heading1">
    <w:name w:val="heading 1"/>
    <w:basedOn w:val="Normal"/>
    <w:link w:val="Heading1Char"/>
    <w:uiPriority w:val="9"/>
    <w:qFormat/>
    <w:rsid w:val="00DB2F8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931EE"/>
    <w:rPr>
      <w:rFonts w:eastAsiaTheme="minorEastAsia"/>
      <w:sz w:val="18"/>
      <w:szCs w:val="18"/>
    </w:rPr>
  </w:style>
  <w:style w:type="character" w:customStyle="1" w:styleId="BalloonTextChar">
    <w:name w:val="Balloon Text Char"/>
    <w:basedOn w:val="DefaultParagraphFont"/>
    <w:link w:val="BalloonText"/>
    <w:uiPriority w:val="99"/>
    <w:semiHidden/>
    <w:rsid w:val="004931EE"/>
    <w:rPr>
      <w:rFonts w:ascii="Times New Roman" w:hAnsi="Times New Roman" w:cs="Times New Roman"/>
      <w:sz w:val="18"/>
      <w:szCs w:val="18"/>
    </w:rPr>
  </w:style>
  <w:style w:type="character" w:styleId="LineNumber">
    <w:name w:val="line number"/>
    <w:basedOn w:val="DefaultParagraphFont"/>
    <w:uiPriority w:val="99"/>
    <w:semiHidden/>
    <w:unhideWhenUsed/>
    <w:rsid w:val="004931EE"/>
  </w:style>
  <w:style w:type="paragraph" w:styleId="CommentSubject">
    <w:name w:val="annotation subject"/>
    <w:basedOn w:val="CommentText"/>
    <w:next w:val="CommentText"/>
    <w:link w:val="CommentSubjectChar"/>
    <w:uiPriority w:val="99"/>
    <w:semiHidden/>
    <w:unhideWhenUsed/>
    <w:rsid w:val="00E658AD"/>
    <w:rPr>
      <w:b/>
      <w:bCs/>
    </w:rPr>
  </w:style>
  <w:style w:type="character" w:customStyle="1" w:styleId="CommentSubjectChar">
    <w:name w:val="Comment Subject Char"/>
    <w:basedOn w:val="CommentTextChar"/>
    <w:link w:val="CommentSubject"/>
    <w:uiPriority w:val="99"/>
    <w:semiHidden/>
    <w:rsid w:val="00E658AD"/>
    <w:rPr>
      <w:b/>
      <w:bCs/>
      <w:sz w:val="20"/>
      <w:szCs w:val="20"/>
    </w:rPr>
  </w:style>
  <w:style w:type="character" w:customStyle="1" w:styleId="period">
    <w:name w:val="period"/>
    <w:basedOn w:val="DefaultParagraphFont"/>
    <w:rsid w:val="005B1EBE"/>
  </w:style>
  <w:style w:type="character" w:customStyle="1" w:styleId="cit">
    <w:name w:val="cit"/>
    <w:basedOn w:val="DefaultParagraphFont"/>
    <w:rsid w:val="005B1EBE"/>
  </w:style>
  <w:style w:type="paragraph" w:styleId="ListParagraph">
    <w:name w:val="List Paragraph"/>
    <w:basedOn w:val="Normal"/>
    <w:uiPriority w:val="34"/>
    <w:qFormat/>
    <w:rsid w:val="0079325B"/>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FE65C8"/>
    <w:rPr>
      <w:color w:val="0563C1" w:themeColor="hyperlink"/>
      <w:u w:val="single"/>
    </w:rPr>
  </w:style>
  <w:style w:type="character" w:customStyle="1" w:styleId="UnresolvedMention1">
    <w:name w:val="Unresolved Mention1"/>
    <w:basedOn w:val="DefaultParagraphFont"/>
    <w:uiPriority w:val="99"/>
    <w:semiHidden/>
    <w:unhideWhenUsed/>
    <w:rsid w:val="00FE65C8"/>
    <w:rPr>
      <w:color w:val="605E5C"/>
      <w:shd w:val="clear" w:color="auto" w:fill="E1DFDD"/>
    </w:rPr>
  </w:style>
  <w:style w:type="character" w:customStyle="1" w:styleId="highwire-citation-authors">
    <w:name w:val="highwire-citation-authors"/>
    <w:basedOn w:val="DefaultParagraphFont"/>
    <w:rsid w:val="00D72DB4"/>
  </w:style>
  <w:style w:type="character" w:customStyle="1" w:styleId="highwire-citation-author">
    <w:name w:val="highwire-citation-author"/>
    <w:basedOn w:val="DefaultParagraphFont"/>
    <w:rsid w:val="00D72DB4"/>
  </w:style>
  <w:style w:type="character" w:customStyle="1" w:styleId="highwire-cite-metadata-journal-title">
    <w:name w:val="highwire-cite-metadata-journal-title"/>
    <w:basedOn w:val="DefaultParagraphFont"/>
    <w:rsid w:val="00D72DB4"/>
  </w:style>
  <w:style w:type="character" w:customStyle="1" w:styleId="highwire-cite-metadata-date">
    <w:name w:val="highwire-cite-metadata-date"/>
    <w:basedOn w:val="DefaultParagraphFont"/>
    <w:rsid w:val="00D72DB4"/>
  </w:style>
  <w:style w:type="character" w:customStyle="1" w:styleId="highwire-cite-metadata-volume">
    <w:name w:val="highwire-cite-metadata-volume"/>
    <w:basedOn w:val="DefaultParagraphFont"/>
    <w:rsid w:val="00D72DB4"/>
  </w:style>
  <w:style w:type="character" w:customStyle="1" w:styleId="highwire-cite-metadata-pages">
    <w:name w:val="highwire-cite-metadata-pages"/>
    <w:basedOn w:val="DefaultParagraphFont"/>
    <w:rsid w:val="00D72DB4"/>
  </w:style>
  <w:style w:type="character" w:customStyle="1" w:styleId="highwire-cite-metadata-doi">
    <w:name w:val="highwire-cite-metadata-doi"/>
    <w:basedOn w:val="DefaultParagraphFont"/>
    <w:rsid w:val="00D72DB4"/>
  </w:style>
  <w:style w:type="character" w:styleId="Strong">
    <w:name w:val="Strong"/>
    <w:basedOn w:val="DefaultParagraphFont"/>
    <w:uiPriority w:val="22"/>
    <w:qFormat/>
    <w:rsid w:val="006F0E4E"/>
    <w:rPr>
      <w:b/>
      <w:bCs/>
    </w:rPr>
  </w:style>
  <w:style w:type="character" w:customStyle="1" w:styleId="floatright">
    <w:name w:val="float_right"/>
    <w:basedOn w:val="DefaultParagraphFont"/>
    <w:rsid w:val="006F0E4E"/>
  </w:style>
  <w:style w:type="character" w:customStyle="1" w:styleId="Heading1Char">
    <w:name w:val="Heading 1 Char"/>
    <w:basedOn w:val="DefaultParagraphFont"/>
    <w:link w:val="Heading1"/>
    <w:uiPriority w:val="9"/>
    <w:rsid w:val="00DB2F87"/>
    <w:rPr>
      <w:rFonts w:ascii="Times New Roman" w:eastAsia="Times New Roman" w:hAnsi="Times New Roman" w:cs="Times New Roman"/>
      <w:b/>
      <w:bCs/>
      <w:kern w:val="36"/>
      <w:sz w:val="48"/>
      <w:szCs w:val="48"/>
    </w:rPr>
  </w:style>
  <w:style w:type="paragraph" w:customStyle="1" w:styleId="EndNoteBibliographyTitle">
    <w:name w:val="EndNote Bibliography Title"/>
    <w:basedOn w:val="Normal"/>
    <w:link w:val="EndNoteBibliographyTitleChar"/>
    <w:rsid w:val="00FC7ECD"/>
    <w:pPr>
      <w:jc w:val="center"/>
    </w:pPr>
  </w:style>
  <w:style w:type="character" w:customStyle="1" w:styleId="EndNoteBibliographyTitleChar">
    <w:name w:val="EndNote Bibliography Title Char"/>
    <w:basedOn w:val="DefaultParagraphFont"/>
    <w:link w:val="EndNoteBibliographyTitle"/>
    <w:rsid w:val="00FC7ECD"/>
    <w:rPr>
      <w:rFonts w:ascii="Times New Roman" w:eastAsia="Times New Roman" w:hAnsi="Times New Roman" w:cs="Times New Roman"/>
    </w:rPr>
  </w:style>
  <w:style w:type="paragraph" w:customStyle="1" w:styleId="EndNoteBibliography">
    <w:name w:val="EndNote Bibliography"/>
    <w:basedOn w:val="Normal"/>
    <w:link w:val="EndNoteBibliographyChar"/>
    <w:rsid w:val="00FC7ECD"/>
  </w:style>
  <w:style w:type="character" w:customStyle="1" w:styleId="EndNoteBibliographyChar">
    <w:name w:val="EndNote Bibliography Char"/>
    <w:basedOn w:val="DefaultParagraphFont"/>
    <w:link w:val="EndNoteBibliography"/>
    <w:rsid w:val="00FC7ECD"/>
    <w:rPr>
      <w:rFonts w:ascii="Times New Roman" w:eastAsia="Times New Roman" w:hAnsi="Times New Roman" w:cs="Times New Roman"/>
    </w:rPr>
  </w:style>
  <w:style w:type="character" w:customStyle="1" w:styleId="2hwztce1zkwqjyzgqxpmay">
    <w:name w:val="_2hwztce1zkwqjyzgqxpmay"/>
    <w:basedOn w:val="DefaultParagraphFont"/>
    <w:rsid w:val="001C42FA"/>
  </w:style>
  <w:style w:type="character" w:styleId="PlaceholderText">
    <w:name w:val="Placeholder Text"/>
    <w:basedOn w:val="DefaultParagraphFont"/>
    <w:uiPriority w:val="99"/>
    <w:semiHidden/>
    <w:rsid w:val="007965F5"/>
    <w:rPr>
      <w:color w:val="808080"/>
    </w:rPr>
  </w:style>
  <w:style w:type="paragraph" w:styleId="Header">
    <w:name w:val="header"/>
    <w:basedOn w:val="Normal"/>
    <w:link w:val="HeaderChar"/>
    <w:uiPriority w:val="99"/>
    <w:unhideWhenUsed/>
    <w:rsid w:val="008070B4"/>
    <w:pPr>
      <w:tabs>
        <w:tab w:val="center" w:pos="4680"/>
        <w:tab w:val="right" w:pos="9360"/>
      </w:tabs>
    </w:pPr>
  </w:style>
  <w:style w:type="character" w:customStyle="1" w:styleId="HeaderChar">
    <w:name w:val="Header Char"/>
    <w:basedOn w:val="DefaultParagraphFont"/>
    <w:link w:val="Header"/>
    <w:uiPriority w:val="99"/>
    <w:rsid w:val="008070B4"/>
    <w:rPr>
      <w:rFonts w:ascii="Times New Roman" w:eastAsia="Times New Roman" w:hAnsi="Times New Roman" w:cs="Times New Roman"/>
    </w:rPr>
  </w:style>
  <w:style w:type="paragraph" w:styleId="Footer">
    <w:name w:val="footer"/>
    <w:basedOn w:val="Normal"/>
    <w:link w:val="FooterChar"/>
    <w:uiPriority w:val="99"/>
    <w:unhideWhenUsed/>
    <w:rsid w:val="008070B4"/>
    <w:pPr>
      <w:tabs>
        <w:tab w:val="center" w:pos="4680"/>
        <w:tab w:val="right" w:pos="9360"/>
      </w:tabs>
    </w:pPr>
  </w:style>
  <w:style w:type="character" w:customStyle="1" w:styleId="FooterChar">
    <w:name w:val="Footer Char"/>
    <w:basedOn w:val="DefaultParagraphFont"/>
    <w:link w:val="Footer"/>
    <w:uiPriority w:val="99"/>
    <w:rsid w:val="008070B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527016">
      <w:bodyDiv w:val="1"/>
      <w:marLeft w:val="0"/>
      <w:marRight w:val="0"/>
      <w:marTop w:val="0"/>
      <w:marBottom w:val="0"/>
      <w:divBdr>
        <w:top w:val="none" w:sz="0" w:space="0" w:color="auto"/>
        <w:left w:val="none" w:sz="0" w:space="0" w:color="auto"/>
        <w:bottom w:val="none" w:sz="0" w:space="0" w:color="auto"/>
        <w:right w:val="none" w:sz="0" w:space="0" w:color="auto"/>
      </w:divBdr>
    </w:div>
    <w:div w:id="170223538">
      <w:bodyDiv w:val="1"/>
      <w:marLeft w:val="0"/>
      <w:marRight w:val="0"/>
      <w:marTop w:val="0"/>
      <w:marBottom w:val="0"/>
      <w:divBdr>
        <w:top w:val="none" w:sz="0" w:space="0" w:color="auto"/>
        <w:left w:val="none" w:sz="0" w:space="0" w:color="auto"/>
        <w:bottom w:val="none" w:sz="0" w:space="0" w:color="auto"/>
        <w:right w:val="none" w:sz="0" w:space="0" w:color="auto"/>
      </w:divBdr>
      <w:divsChild>
        <w:div w:id="455832217">
          <w:marLeft w:val="0"/>
          <w:marRight w:val="0"/>
          <w:marTop w:val="0"/>
          <w:marBottom w:val="0"/>
          <w:divBdr>
            <w:top w:val="none" w:sz="0" w:space="0" w:color="auto"/>
            <w:left w:val="none" w:sz="0" w:space="0" w:color="auto"/>
            <w:bottom w:val="none" w:sz="0" w:space="0" w:color="auto"/>
            <w:right w:val="none" w:sz="0" w:space="0" w:color="auto"/>
          </w:divBdr>
          <w:divsChild>
            <w:div w:id="2080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3297">
      <w:bodyDiv w:val="1"/>
      <w:marLeft w:val="0"/>
      <w:marRight w:val="0"/>
      <w:marTop w:val="0"/>
      <w:marBottom w:val="0"/>
      <w:divBdr>
        <w:top w:val="none" w:sz="0" w:space="0" w:color="auto"/>
        <w:left w:val="none" w:sz="0" w:space="0" w:color="auto"/>
        <w:bottom w:val="none" w:sz="0" w:space="0" w:color="auto"/>
        <w:right w:val="none" w:sz="0" w:space="0" w:color="auto"/>
      </w:divBdr>
    </w:div>
    <w:div w:id="681130597">
      <w:bodyDiv w:val="1"/>
      <w:marLeft w:val="0"/>
      <w:marRight w:val="0"/>
      <w:marTop w:val="0"/>
      <w:marBottom w:val="0"/>
      <w:divBdr>
        <w:top w:val="none" w:sz="0" w:space="0" w:color="auto"/>
        <w:left w:val="none" w:sz="0" w:space="0" w:color="auto"/>
        <w:bottom w:val="none" w:sz="0" w:space="0" w:color="auto"/>
        <w:right w:val="none" w:sz="0" w:space="0" w:color="auto"/>
      </w:divBdr>
    </w:div>
    <w:div w:id="716396956">
      <w:bodyDiv w:val="1"/>
      <w:marLeft w:val="0"/>
      <w:marRight w:val="0"/>
      <w:marTop w:val="0"/>
      <w:marBottom w:val="0"/>
      <w:divBdr>
        <w:top w:val="none" w:sz="0" w:space="0" w:color="auto"/>
        <w:left w:val="none" w:sz="0" w:space="0" w:color="auto"/>
        <w:bottom w:val="none" w:sz="0" w:space="0" w:color="auto"/>
        <w:right w:val="none" w:sz="0" w:space="0" w:color="auto"/>
      </w:divBdr>
    </w:div>
    <w:div w:id="793524568">
      <w:bodyDiv w:val="1"/>
      <w:marLeft w:val="0"/>
      <w:marRight w:val="0"/>
      <w:marTop w:val="0"/>
      <w:marBottom w:val="0"/>
      <w:divBdr>
        <w:top w:val="none" w:sz="0" w:space="0" w:color="auto"/>
        <w:left w:val="none" w:sz="0" w:space="0" w:color="auto"/>
        <w:bottom w:val="none" w:sz="0" w:space="0" w:color="auto"/>
        <w:right w:val="none" w:sz="0" w:space="0" w:color="auto"/>
      </w:divBdr>
      <w:divsChild>
        <w:div w:id="1061901074">
          <w:marLeft w:val="0"/>
          <w:marRight w:val="0"/>
          <w:marTop w:val="75"/>
          <w:marBottom w:val="150"/>
          <w:divBdr>
            <w:top w:val="none" w:sz="0" w:space="0" w:color="auto"/>
            <w:left w:val="none" w:sz="0" w:space="0" w:color="auto"/>
            <w:bottom w:val="none" w:sz="0" w:space="0" w:color="auto"/>
            <w:right w:val="none" w:sz="0" w:space="0" w:color="auto"/>
          </w:divBdr>
        </w:div>
        <w:div w:id="2134010707">
          <w:marLeft w:val="0"/>
          <w:marRight w:val="0"/>
          <w:marTop w:val="75"/>
          <w:marBottom w:val="0"/>
          <w:divBdr>
            <w:top w:val="none" w:sz="0" w:space="0" w:color="auto"/>
            <w:left w:val="none" w:sz="0" w:space="0" w:color="auto"/>
            <w:bottom w:val="none" w:sz="0" w:space="0" w:color="auto"/>
            <w:right w:val="none" w:sz="0" w:space="0" w:color="auto"/>
          </w:divBdr>
        </w:div>
        <w:div w:id="2129930341">
          <w:marLeft w:val="0"/>
          <w:marRight w:val="0"/>
          <w:marTop w:val="75"/>
          <w:marBottom w:val="0"/>
          <w:divBdr>
            <w:top w:val="none" w:sz="0" w:space="0" w:color="auto"/>
            <w:left w:val="none" w:sz="0" w:space="0" w:color="auto"/>
            <w:bottom w:val="none" w:sz="0" w:space="0" w:color="auto"/>
            <w:right w:val="none" w:sz="0" w:space="0" w:color="auto"/>
          </w:divBdr>
        </w:div>
      </w:divsChild>
    </w:div>
    <w:div w:id="813445343">
      <w:bodyDiv w:val="1"/>
      <w:marLeft w:val="0"/>
      <w:marRight w:val="0"/>
      <w:marTop w:val="0"/>
      <w:marBottom w:val="0"/>
      <w:divBdr>
        <w:top w:val="none" w:sz="0" w:space="0" w:color="auto"/>
        <w:left w:val="none" w:sz="0" w:space="0" w:color="auto"/>
        <w:bottom w:val="none" w:sz="0" w:space="0" w:color="auto"/>
        <w:right w:val="none" w:sz="0" w:space="0" w:color="auto"/>
      </w:divBdr>
    </w:div>
    <w:div w:id="823353469">
      <w:bodyDiv w:val="1"/>
      <w:marLeft w:val="0"/>
      <w:marRight w:val="0"/>
      <w:marTop w:val="0"/>
      <w:marBottom w:val="0"/>
      <w:divBdr>
        <w:top w:val="none" w:sz="0" w:space="0" w:color="auto"/>
        <w:left w:val="none" w:sz="0" w:space="0" w:color="auto"/>
        <w:bottom w:val="none" w:sz="0" w:space="0" w:color="auto"/>
        <w:right w:val="none" w:sz="0" w:space="0" w:color="auto"/>
      </w:divBdr>
    </w:div>
    <w:div w:id="831485364">
      <w:bodyDiv w:val="1"/>
      <w:marLeft w:val="0"/>
      <w:marRight w:val="0"/>
      <w:marTop w:val="0"/>
      <w:marBottom w:val="0"/>
      <w:divBdr>
        <w:top w:val="none" w:sz="0" w:space="0" w:color="auto"/>
        <w:left w:val="none" w:sz="0" w:space="0" w:color="auto"/>
        <w:bottom w:val="none" w:sz="0" w:space="0" w:color="auto"/>
        <w:right w:val="none" w:sz="0" w:space="0" w:color="auto"/>
      </w:divBdr>
    </w:div>
    <w:div w:id="947273256">
      <w:bodyDiv w:val="1"/>
      <w:marLeft w:val="0"/>
      <w:marRight w:val="0"/>
      <w:marTop w:val="0"/>
      <w:marBottom w:val="0"/>
      <w:divBdr>
        <w:top w:val="none" w:sz="0" w:space="0" w:color="auto"/>
        <w:left w:val="none" w:sz="0" w:space="0" w:color="auto"/>
        <w:bottom w:val="none" w:sz="0" w:space="0" w:color="auto"/>
        <w:right w:val="none" w:sz="0" w:space="0" w:color="auto"/>
      </w:divBdr>
    </w:div>
    <w:div w:id="979581342">
      <w:bodyDiv w:val="1"/>
      <w:marLeft w:val="0"/>
      <w:marRight w:val="0"/>
      <w:marTop w:val="0"/>
      <w:marBottom w:val="0"/>
      <w:divBdr>
        <w:top w:val="none" w:sz="0" w:space="0" w:color="auto"/>
        <w:left w:val="none" w:sz="0" w:space="0" w:color="auto"/>
        <w:bottom w:val="none" w:sz="0" w:space="0" w:color="auto"/>
        <w:right w:val="none" w:sz="0" w:space="0" w:color="auto"/>
      </w:divBdr>
    </w:div>
    <w:div w:id="1041709973">
      <w:bodyDiv w:val="1"/>
      <w:marLeft w:val="0"/>
      <w:marRight w:val="0"/>
      <w:marTop w:val="0"/>
      <w:marBottom w:val="0"/>
      <w:divBdr>
        <w:top w:val="none" w:sz="0" w:space="0" w:color="auto"/>
        <w:left w:val="none" w:sz="0" w:space="0" w:color="auto"/>
        <w:bottom w:val="none" w:sz="0" w:space="0" w:color="auto"/>
        <w:right w:val="none" w:sz="0" w:space="0" w:color="auto"/>
      </w:divBdr>
    </w:div>
    <w:div w:id="1138373543">
      <w:bodyDiv w:val="1"/>
      <w:marLeft w:val="0"/>
      <w:marRight w:val="0"/>
      <w:marTop w:val="0"/>
      <w:marBottom w:val="0"/>
      <w:divBdr>
        <w:top w:val="none" w:sz="0" w:space="0" w:color="auto"/>
        <w:left w:val="none" w:sz="0" w:space="0" w:color="auto"/>
        <w:bottom w:val="none" w:sz="0" w:space="0" w:color="auto"/>
        <w:right w:val="none" w:sz="0" w:space="0" w:color="auto"/>
      </w:divBdr>
    </w:div>
    <w:div w:id="1187671327">
      <w:bodyDiv w:val="1"/>
      <w:marLeft w:val="0"/>
      <w:marRight w:val="0"/>
      <w:marTop w:val="0"/>
      <w:marBottom w:val="0"/>
      <w:divBdr>
        <w:top w:val="none" w:sz="0" w:space="0" w:color="auto"/>
        <w:left w:val="none" w:sz="0" w:space="0" w:color="auto"/>
        <w:bottom w:val="none" w:sz="0" w:space="0" w:color="auto"/>
        <w:right w:val="none" w:sz="0" w:space="0" w:color="auto"/>
      </w:divBdr>
    </w:div>
    <w:div w:id="1233541519">
      <w:bodyDiv w:val="1"/>
      <w:marLeft w:val="0"/>
      <w:marRight w:val="0"/>
      <w:marTop w:val="0"/>
      <w:marBottom w:val="0"/>
      <w:divBdr>
        <w:top w:val="none" w:sz="0" w:space="0" w:color="auto"/>
        <w:left w:val="none" w:sz="0" w:space="0" w:color="auto"/>
        <w:bottom w:val="none" w:sz="0" w:space="0" w:color="auto"/>
        <w:right w:val="none" w:sz="0" w:space="0" w:color="auto"/>
      </w:divBdr>
    </w:div>
    <w:div w:id="1322932758">
      <w:bodyDiv w:val="1"/>
      <w:marLeft w:val="0"/>
      <w:marRight w:val="0"/>
      <w:marTop w:val="0"/>
      <w:marBottom w:val="0"/>
      <w:divBdr>
        <w:top w:val="none" w:sz="0" w:space="0" w:color="auto"/>
        <w:left w:val="none" w:sz="0" w:space="0" w:color="auto"/>
        <w:bottom w:val="none" w:sz="0" w:space="0" w:color="auto"/>
        <w:right w:val="none" w:sz="0" w:space="0" w:color="auto"/>
      </w:divBdr>
    </w:div>
    <w:div w:id="1489905964">
      <w:bodyDiv w:val="1"/>
      <w:marLeft w:val="0"/>
      <w:marRight w:val="0"/>
      <w:marTop w:val="0"/>
      <w:marBottom w:val="0"/>
      <w:divBdr>
        <w:top w:val="none" w:sz="0" w:space="0" w:color="auto"/>
        <w:left w:val="none" w:sz="0" w:space="0" w:color="auto"/>
        <w:bottom w:val="none" w:sz="0" w:space="0" w:color="auto"/>
        <w:right w:val="none" w:sz="0" w:space="0" w:color="auto"/>
      </w:divBdr>
    </w:div>
    <w:div w:id="1557930049">
      <w:bodyDiv w:val="1"/>
      <w:marLeft w:val="0"/>
      <w:marRight w:val="0"/>
      <w:marTop w:val="0"/>
      <w:marBottom w:val="0"/>
      <w:divBdr>
        <w:top w:val="none" w:sz="0" w:space="0" w:color="auto"/>
        <w:left w:val="none" w:sz="0" w:space="0" w:color="auto"/>
        <w:bottom w:val="none" w:sz="0" w:space="0" w:color="auto"/>
        <w:right w:val="none" w:sz="0" w:space="0" w:color="auto"/>
      </w:divBdr>
    </w:div>
    <w:div w:id="1853762867">
      <w:bodyDiv w:val="1"/>
      <w:marLeft w:val="0"/>
      <w:marRight w:val="0"/>
      <w:marTop w:val="0"/>
      <w:marBottom w:val="0"/>
      <w:divBdr>
        <w:top w:val="none" w:sz="0" w:space="0" w:color="auto"/>
        <w:left w:val="none" w:sz="0" w:space="0" w:color="auto"/>
        <w:bottom w:val="none" w:sz="0" w:space="0" w:color="auto"/>
        <w:right w:val="none" w:sz="0" w:space="0" w:color="auto"/>
      </w:divBdr>
    </w:div>
    <w:div w:id="1927225673">
      <w:bodyDiv w:val="1"/>
      <w:marLeft w:val="0"/>
      <w:marRight w:val="0"/>
      <w:marTop w:val="0"/>
      <w:marBottom w:val="0"/>
      <w:divBdr>
        <w:top w:val="none" w:sz="0" w:space="0" w:color="auto"/>
        <w:left w:val="none" w:sz="0" w:space="0" w:color="auto"/>
        <w:bottom w:val="none" w:sz="0" w:space="0" w:color="auto"/>
        <w:right w:val="none" w:sz="0" w:space="0" w:color="auto"/>
      </w:divBdr>
      <w:divsChild>
        <w:div w:id="365104045">
          <w:marLeft w:val="0"/>
          <w:marRight w:val="0"/>
          <w:marTop w:val="0"/>
          <w:marBottom w:val="0"/>
          <w:divBdr>
            <w:top w:val="none" w:sz="0" w:space="0" w:color="auto"/>
            <w:left w:val="none" w:sz="0" w:space="0" w:color="auto"/>
            <w:bottom w:val="none" w:sz="0" w:space="0" w:color="auto"/>
            <w:right w:val="none" w:sz="0" w:space="0" w:color="auto"/>
          </w:divBdr>
          <w:divsChild>
            <w:div w:id="12589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38C0-665A-46B7-B24B-55DDCC4F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2020-06-30T18:29:00Z</cp:lastPrinted>
  <dcterms:created xsi:type="dcterms:W3CDTF">2021-02-26T20:29:00Z</dcterms:created>
  <dcterms:modified xsi:type="dcterms:W3CDTF">2021-03-01T14:35:00Z</dcterms:modified>
</cp:coreProperties>
</file>