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3CC86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5BA2FD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84823">
        <w:rPr>
          <w:rFonts w:asciiTheme="minorHAnsi" w:eastAsia="Times New Roman" w:hAnsiTheme="minorHAnsi" w:cstheme="minorHAnsi"/>
          <w:b/>
          <w:szCs w:val="24"/>
        </w:rPr>
        <w:t>61803</w:t>
      </w:r>
    </w:p>
    <w:p w14:paraId="72C9E1A8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45E2DDB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F84823" w:rsidRPr="00DD5B72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</w:t>
        </w:r>
        <w:r w:rsidR="00F84823" w:rsidRPr="00DD5B72">
          <w:rPr>
            <w:rStyle w:val="Hyperlink"/>
            <w:rFonts w:asciiTheme="minorHAnsi" w:eastAsia="Times New Roman" w:hAnsiTheme="minorHAnsi" w:cstheme="minorHAnsi"/>
            <w:b/>
            <w:szCs w:val="24"/>
          </w:rPr>
          <w:t>o</w:t>
        </w:r>
        <w:r w:rsidR="00F84823" w:rsidRPr="00DD5B72">
          <w:rPr>
            <w:rStyle w:val="Hyperlink"/>
            <w:rFonts w:asciiTheme="minorHAnsi" w:eastAsia="Times New Roman" w:hAnsiTheme="minorHAnsi" w:cstheme="minorHAnsi"/>
            <w:b/>
            <w:szCs w:val="24"/>
          </w:rPr>
          <w:t>ve.com/account/file-uploader?src=18849963</w:t>
        </w:r>
      </w:hyperlink>
      <w:r w:rsidR="00F8482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B60C71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AC1AE3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84823" w:rsidRPr="00F84823">
        <w:rPr>
          <w:rStyle w:val="ArticleTitle"/>
          <w:rFonts w:cstheme="minorHAnsi"/>
        </w:rPr>
        <w:t>Two Flow Cytometric Approaches of NKG2D Ligand Surface Detection to Distinguish Stem Cells from Bulk Subpopulations in Acute Myeloid Leukemia</w:t>
      </w:r>
    </w:p>
    <w:p w14:paraId="33465CE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D672F10" w14:textId="7777777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A85392C" w14:textId="77777777" w:rsidR="00F84823" w:rsidRDefault="00F8482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3EF4E50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>Henrik Landerer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*, Marlon Arnone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*, Ronja Wieboldt</w:t>
      </w:r>
      <w:r w:rsidRPr="00795250">
        <w:rPr>
          <w:vertAlign w:val="superscript"/>
          <w:lang w:eastAsia="fr-BE"/>
        </w:rPr>
        <w:t>2</w:t>
      </w:r>
      <w:r w:rsidRPr="00795250">
        <w:rPr>
          <w:lang w:eastAsia="fr-BE"/>
        </w:rPr>
        <w:t>, Elsa Goersch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, Martina Konantz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, Claudia Lengerke</w:t>
      </w:r>
      <w:r w:rsidRPr="00795250">
        <w:rPr>
          <w:vertAlign w:val="superscript"/>
          <w:lang w:eastAsia="fr-BE"/>
        </w:rPr>
        <w:t>1,2,3</w:t>
      </w:r>
    </w:p>
    <w:p w14:paraId="5E9C1A2B" w14:textId="77777777" w:rsidR="00F84823" w:rsidRPr="00795250" w:rsidRDefault="00F84823" w:rsidP="00F84823">
      <w:pPr>
        <w:rPr>
          <w:lang w:eastAsia="fr-BE"/>
        </w:rPr>
      </w:pPr>
    </w:p>
    <w:p w14:paraId="25A4CBEC" w14:textId="77777777" w:rsidR="00F84823" w:rsidRPr="00121648" w:rsidRDefault="00F84823" w:rsidP="00F84823">
      <w:pPr>
        <w:rPr>
          <w:lang w:eastAsia="fr-BE"/>
        </w:rPr>
      </w:pPr>
      <w:r w:rsidRPr="00121648">
        <w:rPr>
          <w:vertAlign w:val="superscript"/>
          <w:lang w:eastAsia="fr-BE"/>
        </w:rPr>
        <w:t>1</w:t>
      </w:r>
      <w:r w:rsidRPr="00121648">
        <w:rPr>
          <w:lang w:eastAsia="fr-BE"/>
        </w:rPr>
        <w:t>University Hospital Basel and University of Basel, Department of Biomedicine, Basel Switzerland</w:t>
      </w:r>
    </w:p>
    <w:p w14:paraId="3E2FF094" w14:textId="77777777" w:rsidR="00F84823" w:rsidRPr="00121648" w:rsidRDefault="00F84823" w:rsidP="00F84823">
      <w:pPr>
        <w:rPr>
          <w:lang w:eastAsia="fr-BE"/>
        </w:rPr>
      </w:pPr>
      <w:r w:rsidRPr="00121648">
        <w:rPr>
          <w:vertAlign w:val="superscript"/>
          <w:lang w:eastAsia="fr-BE"/>
        </w:rPr>
        <w:t>2</w:t>
      </w:r>
      <w:r w:rsidRPr="00121648">
        <w:rPr>
          <w:lang w:eastAsia="fr-BE"/>
        </w:rPr>
        <w:t>University Hospital Basel and University of Basel, Division for Hematology, Basel, Switzerland</w:t>
      </w:r>
    </w:p>
    <w:p w14:paraId="502D416B" w14:textId="77777777" w:rsidR="00F84823" w:rsidRPr="00121648" w:rsidRDefault="00F84823" w:rsidP="00F84823">
      <w:pPr>
        <w:rPr>
          <w:lang w:eastAsia="fr-BE"/>
        </w:rPr>
      </w:pPr>
      <w:r w:rsidRPr="00121648">
        <w:rPr>
          <w:vertAlign w:val="superscript"/>
          <w:lang w:eastAsia="fr-BE"/>
        </w:rPr>
        <w:t>3</w:t>
      </w:r>
      <w:r w:rsidRPr="00121648">
        <w:rPr>
          <w:lang w:eastAsia="fr-BE"/>
        </w:rPr>
        <w:t>University Hospital Tübingen, Department of Internal Medicine, Hematology and Oncology, Tübingen, Germany</w:t>
      </w:r>
    </w:p>
    <w:p w14:paraId="73339609" w14:textId="77777777" w:rsidR="00F84823" w:rsidRPr="00121648" w:rsidRDefault="00F84823" w:rsidP="00F84823">
      <w:pPr>
        <w:rPr>
          <w:lang w:eastAsia="fr-BE"/>
        </w:rPr>
      </w:pPr>
    </w:p>
    <w:p w14:paraId="2090D19F" w14:textId="1A2B52DF" w:rsidR="004E0C5A" w:rsidRPr="0078091B" w:rsidRDefault="00F84823" w:rsidP="0078091B">
      <w:pPr>
        <w:rPr>
          <w:lang w:eastAsia="fr-BE"/>
        </w:rPr>
      </w:pPr>
      <w:r w:rsidRPr="00121648">
        <w:rPr>
          <w:lang w:eastAsia="fr-BE"/>
        </w:rPr>
        <w:t>*These authors contributed equally</w:t>
      </w:r>
    </w:p>
    <w:p w14:paraId="6EC6876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145F8B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463BDE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17A1C72" w14:textId="77777777" w:rsidR="004E0C5A" w:rsidRDefault="00F8482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21648">
        <w:t xml:space="preserve">Claudia </w:t>
      </w:r>
      <w:proofErr w:type="spellStart"/>
      <w:r w:rsidRPr="00121648">
        <w:t>Lengerke</w:t>
      </w:r>
      <w:proofErr w:type="spellEnd"/>
      <w:r w:rsidRPr="00121648">
        <w:t xml:space="preserve"> </w:t>
      </w:r>
      <w:r w:rsidRPr="00121648">
        <w:rPr>
          <w:bCs/>
          <w:lang w:val="fr-BE"/>
        </w:rPr>
        <w:tab/>
      </w:r>
      <w:r w:rsidRPr="00121648">
        <w:t>(claudia.lengerke@med.uni-tuebingen.de)</w:t>
      </w:r>
    </w:p>
    <w:p w14:paraId="44A1F1BE" w14:textId="77777777" w:rsidR="00F84823" w:rsidRPr="00B07A3B" w:rsidRDefault="00F8482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3C3E5F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D58D3F2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3C7C7C0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 xml:space="preserve"> henrik.landerer@unibas.ch</w:t>
      </w:r>
    </w:p>
    <w:p w14:paraId="1246EC9D" w14:textId="77777777" w:rsidR="00F84823" w:rsidRPr="00121648" w:rsidRDefault="00F84823" w:rsidP="00F84823">
      <w:pPr>
        <w:rPr>
          <w:lang w:eastAsia="fr-BE"/>
        </w:rPr>
      </w:pPr>
      <w:r w:rsidRPr="00121648">
        <w:rPr>
          <w:lang w:eastAsia="fr-BE"/>
        </w:rPr>
        <w:t xml:space="preserve"> marlon.arnone@unibas.ch</w:t>
      </w:r>
    </w:p>
    <w:p w14:paraId="45F01109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 xml:space="preserve"> ronja.wieboldt@unibas.ch</w:t>
      </w:r>
    </w:p>
    <w:p w14:paraId="25CA637B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 xml:space="preserve"> elsa.goersch@unibas.ch</w:t>
      </w:r>
    </w:p>
    <w:p w14:paraId="60573E06" w14:textId="77777777" w:rsidR="00F84823" w:rsidRDefault="0054045A" w:rsidP="00F84823">
      <w:pPr>
        <w:rPr>
          <w:lang w:eastAsia="fr-BE"/>
        </w:rPr>
      </w:pPr>
      <w:hyperlink r:id="rId8" w:history="1">
        <w:r w:rsidR="00F84823" w:rsidRPr="00DD5B72">
          <w:rPr>
            <w:rStyle w:val="Hyperlink"/>
            <w:lang w:eastAsia="fr-BE"/>
          </w:rPr>
          <w:t>martina.konantz@unibas.ch</w:t>
        </w:r>
      </w:hyperlink>
    </w:p>
    <w:p w14:paraId="0DF34BF1" w14:textId="77777777" w:rsidR="00F84823" w:rsidRPr="00121648" w:rsidRDefault="00F84823" w:rsidP="00F84823">
      <w:pPr>
        <w:rPr>
          <w:lang w:eastAsia="fr-BE"/>
        </w:rPr>
      </w:pPr>
      <w:r w:rsidRPr="00121648">
        <w:t>claudia.lengerke@med.uni-tuebingen.de</w:t>
      </w:r>
    </w:p>
    <w:p w14:paraId="49B5154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2FDE52A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14D41B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BDEF1EF" w14:textId="77777777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F4193F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9525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FB23973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352B902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9525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8AB149F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6430109" w14:textId="77777777" w:rsidR="00673750" w:rsidRPr="0078091B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</w:t>
      </w:r>
      <w:r w:rsidRPr="0078091B">
        <w:rPr>
          <w:rFonts w:asciiTheme="majorHAnsi" w:eastAsia="Times New Roman" w:hAnsiTheme="majorHAnsi" w:cstheme="majorHAnsi"/>
          <w:szCs w:val="24"/>
        </w:rPr>
        <w:t xml:space="preserve">distancing recommendations, which interview statement filming option is the most appropriate for your group? </w:t>
      </w:r>
      <w:r w:rsidRPr="0078091B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78091B">
        <w:rPr>
          <w:rFonts w:asciiTheme="majorHAnsi" w:eastAsia="Times New Roman" w:hAnsiTheme="majorHAnsi" w:cstheme="majorHAnsi"/>
          <w:szCs w:val="24"/>
        </w:rPr>
        <w:t>.</w:t>
      </w:r>
    </w:p>
    <w:p w14:paraId="45B88F4D" w14:textId="77777777" w:rsidR="00673750" w:rsidRPr="0078091B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545E601A" w14:textId="77777777" w:rsidR="00673750" w:rsidRDefault="0054045A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5250" w:rsidRPr="0078091B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78091B">
        <w:rPr>
          <w:rFonts w:eastAsia="Times New Roman" w:cs="Calibri"/>
          <w:color w:val="222222"/>
          <w:szCs w:val="24"/>
        </w:rPr>
        <w:t xml:space="preserve"> </w:t>
      </w:r>
      <w:r w:rsidR="00673750" w:rsidRPr="0078091B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78091B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78091B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163E46CF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E2F3043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9525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960018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3272276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61C5DD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4F05D38" w14:textId="7777777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61202">
        <w:rPr>
          <w:rFonts w:asciiTheme="minorHAnsi" w:hAnsiTheme="minorHAnsi" w:cstheme="minorHAnsi"/>
          <w:bCs/>
          <w:sz w:val="22"/>
          <w:szCs w:val="22"/>
        </w:rPr>
        <w:t>10</w:t>
      </w:r>
    </w:p>
    <w:p w14:paraId="04350517" w14:textId="7777777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1202">
        <w:rPr>
          <w:rFonts w:asciiTheme="minorHAnsi" w:hAnsiTheme="minorHAnsi" w:cstheme="minorHAnsi"/>
          <w:bCs/>
          <w:sz w:val="22"/>
          <w:szCs w:val="22"/>
        </w:rPr>
        <w:t>25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110EB5F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224ED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C3751D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CABE329" w14:textId="50B1EA0F" w:rsidR="00336C61" w:rsidRDefault="00336C61" w:rsidP="0078091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70667A2" w14:textId="77777777" w:rsidR="00625492" w:rsidRDefault="00625492" w:rsidP="0078091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625492">
        <w:rPr>
          <w:rFonts w:asciiTheme="minorHAnsi" w:hAnsiTheme="minorHAnsi" w:cstheme="minorHAnsi"/>
          <w:sz w:val="22"/>
          <w:szCs w:val="22"/>
          <w:highlight w:val="green"/>
        </w:rPr>
        <w:t>NOTE to VO Talent: Please record all introduction and conclusion statements.</w:t>
      </w:r>
    </w:p>
    <w:p w14:paraId="546D2B52" w14:textId="3D8AC106" w:rsidR="00625492" w:rsidRPr="00625492" w:rsidRDefault="00625492" w:rsidP="00625492">
      <w:pPr>
        <w:spacing w:before="240"/>
        <w:outlineLvl w:val="0"/>
        <w:rPr>
          <w:rFonts w:asciiTheme="minorHAnsi" w:hAnsiTheme="minorHAnsi" w:cstheme="minorHAnsi"/>
          <w:sz w:val="22"/>
          <w:szCs w:val="22"/>
        </w:rPr>
      </w:pPr>
      <w:r w:rsidRPr="00625492">
        <w:rPr>
          <w:rFonts w:asciiTheme="minorHAnsi" w:hAnsiTheme="minorHAnsi" w:cstheme="minorHAnsi"/>
          <w:i/>
          <w:iCs/>
          <w:color w:val="0432FF"/>
        </w:rPr>
        <w:t>Videographer: Please skip the introduction and conclusion, authors have elected to</w:t>
      </w:r>
      <w:r w:rsidR="00CC0EDC">
        <w:rPr>
          <w:rFonts w:asciiTheme="minorHAnsi" w:hAnsiTheme="minorHAnsi" w:cstheme="minorHAnsi"/>
          <w:i/>
          <w:iCs/>
          <w:color w:val="0432FF"/>
        </w:rPr>
        <w:t xml:space="preserve"> have</w:t>
      </w:r>
      <w:r w:rsidRPr="00625492">
        <w:rPr>
          <w:rFonts w:asciiTheme="minorHAnsi" w:hAnsiTheme="minorHAnsi" w:cstheme="minorHAnsi"/>
          <w:i/>
          <w:iCs/>
          <w:color w:val="0432FF"/>
        </w:rPr>
        <w:t xml:space="preserve"> the VO talent to deliver these statements.</w:t>
      </w:r>
      <w:r w:rsidRPr="0062549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0F7E6D7" w14:textId="57D452E7" w:rsidR="007D61A8" w:rsidRPr="000C7578" w:rsidRDefault="0078091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</w:t>
      </w:r>
      <w:r w:rsidR="00795250">
        <w:rPr>
          <w:rFonts w:asciiTheme="minorHAnsi" w:hAnsiTheme="minorHAnsi" w:cstheme="minorHAnsi"/>
        </w:rPr>
        <w:t xml:space="preserve"> protocol shows two distinct way</w:t>
      </w:r>
      <w:r w:rsidR="001474D7">
        <w:rPr>
          <w:rFonts w:asciiTheme="minorHAnsi" w:hAnsiTheme="minorHAnsi" w:cstheme="minorHAnsi"/>
        </w:rPr>
        <w:t>s</w:t>
      </w:r>
      <w:r w:rsidR="00795250">
        <w:rPr>
          <w:rFonts w:asciiTheme="minorHAnsi" w:hAnsiTheme="minorHAnsi" w:cstheme="minorHAnsi"/>
        </w:rPr>
        <w:t xml:space="preserve"> of detecting NKG2DLs on the surface of AML cells.  </w:t>
      </w:r>
    </w:p>
    <w:p w14:paraId="077D39AB" w14:textId="406B6BB4" w:rsidR="000C7578" w:rsidRPr="00B07A3B" w:rsidRDefault="000C7578" w:rsidP="000C75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C0EDC">
        <w:rPr>
          <w:rFonts w:asciiTheme="minorHAnsi" w:hAnsiTheme="minorHAnsi" w:cstheme="minorHAnsi"/>
          <w:i/>
          <w:iCs/>
          <w:color w:val="0432FF"/>
        </w:rPr>
        <w:t>Suggested: 3.4.2.</w:t>
      </w:r>
    </w:p>
    <w:p w14:paraId="715FC2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073231D" w14:textId="65F8789C" w:rsidR="007D61A8" w:rsidRPr="000C7578" w:rsidRDefault="000D6F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technique provides a fast, user friendly staining method to detect all known and possibly </w:t>
      </w:r>
      <w:r w:rsidR="007D5161">
        <w:rPr>
          <w:rFonts w:asciiTheme="minorHAnsi" w:hAnsiTheme="minorHAnsi" w:cstheme="minorHAnsi"/>
        </w:rPr>
        <w:t>unknown NKG2DL</w:t>
      </w:r>
      <w:r w:rsidR="001474D7">
        <w:rPr>
          <w:rFonts w:asciiTheme="minorHAnsi" w:hAnsiTheme="minorHAnsi" w:cstheme="minorHAnsi"/>
        </w:rPr>
        <w:t>s</w:t>
      </w:r>
      <w:r w:rsidR="007D5161">
        <w:rPr>
          <w:rFonts w:asciiTheme="minorHAnsi" w:hAnsiTheme="minorHAnsi" w:cstheme="minorHAnsi"/>
        </w:rPr>
        <w:t>.</w:t>
      </w:r>
    </w:p>
    <w:p w14:paraId="0837D4EA" w14:textId="143DE608" w:rsidR="000C7578" w:rsidRPr="00B07A3B" w:rsidRDefault="000C7578" w:rsidP="000C75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C0EDC">
        <w:rPr>
          <w:rFonts w:asciiTheme="minorHAnsi" w:hAnsiTheme="minorHAnsi" w:cstheme="minorHAnsi"/>
          <w:i/>
          <w:iCs/>
          <w:color w:val="0432FF"/>
        </w:rPr>
        <w:t xml:space="preserve">Suggested: </w:t>
      </w:r>
      <w:r w:rsidR="00B13748" w:rsidRPr="00CC0EDC">
        <w:rPr>
          <w:rFonts w:asciiTheme="minorHAnsi" w:hAnsiTheme="minorHAnsi" w:cstheme="minorHAnsi"/>
          <w:i/>
          <w:iCs/>
          <w:color w:val="0432FF"/>
        </w:rPr>
        <w:t>Figure 1.</w:t>
      </w:r>
    </w:p>
    <w:p w14:paraId="6C16F97C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1F8FA0D" w14:textId="5F271C98" w:rsidR="00333FA4" w:rsidRPr="000C7578" w:rsidRDefault="001474D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D4F72">
        <w:rPr>
          <w:rFonts w:asciiTheme="minorHAnsi" w:hAnsiTheme="minorHAnsi" w:cstheme="minorHAnsi"/>
        </w:rPr>
        <w:t xml:space="preserve">This method allows </w:t>
      </w:r>
      <w:r w:rsidR="00625492">
        <w:rPr>
          <w:rFonts w:asciiTheme="minorHAnsi" w:hAnsiTheme="minorHAnsi" w:cstheme="minorHAnsi"/>
        </w:rPr>
        <w:t>for separation of</w:t>
      </w:r>
      <w:r w:rsidRPr="00BD4F72">
        <w:rPr>
          <w:rFonts w:asciiTheme="minorHAnsi" w:hAnsiTheme="minorHAnsi" w:cstheme="minorHAnsi"/>
        </w:rPr>
        <w:t xml:space="preserve"> leukemic stem cells from bulk AML cells, which </w:t>
      </w:r>
      <w:r w:rsidR="00B13748">
        <w:rPr>
          <w:rFonts w:asciiTheme="minorHAnsi" w:hAnsiTheme="minorHAnsi" w:cstheme="minorHAnsi"/>
        </w:rPr>
        <w:t>makes it possible</w:t>
      </w:r>
      <w:r w:rsidRPr="00BD4F72">
        <w:rPr>
          <w:rFonts w:asciiTheme="minorHAnsi" w:hAnsiTheme="minorHAnsi" w:cstheme="minorHAnsi"/>
        </w:rPr>
        <w:t xml:space="preserve"> to further characterize these cells.</w:t>
      </w:r>
    </w:p>
    <w:p w14:paraId="5D47EAD8" w14:textId="70402583" w:rsidR="000C7578" w:rsidRPr="00B07A3B" w:rsidRDefault="000C7578" w:rsidP="000C75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C0EDC">
        <w:rPr>
          <w:rFonts w:asciiTheme="minorHAnsi" w:hAnsiTheme="minorHAnsi" w:cstheme="minorHAnsi"/>
          <w:i/>
          <w:iCs/>
          <w:color w:val="0432FF"/>
        </w:rPr>
        <w:t xml:space="preserve">Suggested: </w:t>
      </w:r>
      <w:r w:rsidR="00625492" w:rsidRPr="00CC0EDC">
        <w:rPr>
          <w:rFonts w:asciiTheme="minorHAnsi" w:hAnsiTheme="minorHAnsi" w:cstheme="minorHAnsi"/>
          <w:i/>
          <w:iCs/>
          <w:color w:val="0432FF"/>
        </w:rPr>
        <w:t>3.5.2.</w:t>
      </w:r>
    </w:p>
    <w:p w14:paraId="479D701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47AB3B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724DC68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CC70337" w14:textId="7777777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</w:t>
      </w:r>
      <w:r w:rsidR="00F84823" w:rsidRPr="00121648">
        <w:rPr>
          <w:lang w:eastAsia="fr-BE"/>
        </w:rPr>
        <w:t xml:space="preserve">the Ethics Review Board of the University Hospitals of Basel and </w:t>
      </w:r>
      <w:proofErr w:type="spellStart"/>
      <w:r w:rsidR="00F84823" w:rsidRPr="00121648">
        <w:rPr>
          <w:lang w:eastAsia="fr-BE"/>
        </w:rPr>
        <w:t>Tuebingen</w:t>
      </w:r>
      <w:proofErr w:type="spellEnd"/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4BF3698B" w14:textId="13D73D57" w:rsidR="00DC2504" w:rsidRPr="00B07A3B" w:rsidRDefault="00DC2504" w:rsidP="0078091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424CE64" w14:textId="77777777" w:rsidR="00CE10F2" w:rsidRPr="00B07A3B" w:rsidRDefault="00F8482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proofErr w:type="spellStart"/>
      <w:r w:rsidRPr="00F84823">
        <w:rPr>
          <w:rFonts w:asciiTheme="minorHAnsi" w:hAnsiTheme="minorHAnsi" w:cstheme="minorHAnsi"/>
          <w:b/>
          <w:bCs/>
        </w:rPr>
        <w:t>Biotinylation</w:t>
      </w:r>
      <w:proofErr w:type="spellEnd"/>
      <w:r w:rsidRPr="00F8482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o</w:t>
      </w:r>
      <w:r w:rsidRPr="00F84823">
        <w:rPr>
          <w:rFonts w:asciiTheme="minorHAnsi" w:hAnsiTheme="minorHAnsi" w:cstheme="minorHAnsi"/>
          <w:b/>
          <w:bCs/>
        </w:rPr>
        <w:t xml:space="preserve">f </w:t>
      </w:r>
      <w:r>
        <w:rPr>
          <w:rFonts w:asciiTheme="minorHAnsi" w:hAnsiTheme="minorHAnsi" w:cstheme="minorHAnsi"/>
          <w:b/>
          <w:bCs/>
        </w:rPr>
        <w:t>t</w:t>
      </w:r>
      <w:r w:rsidRPr="00F84823">
        <w:rPr>
          <w:rFonts w:asciiTheme="minorHAnsi" w:hAnsiTheme="minorHAnsi" w:cstheme="minorHAnsi"/>
          <w:b/>
          <w:bCs/>
        </w:rPr>
        <w:t>he NKG2D Fusion Protein</w:t>
      </w:r>
      <w:r>
        <w:rPr>
          <w:rFonts w:asciiTheme="minorHAnsi" w:hAnsiTheme="minorHAnsi" w:cstheme="minorHAnsi"/>
          <w:b/>
          <w:bCs/>
        </w:rPr>
        <w:t xml:space="preserve"> and </w:t>
      </w:r>
      <w:r w:rsidRPr="00F84823">
        <w:rPr>
          <w:rFonts w:asciiTheme="minorHAnsi" w:hAnsiTheme="minorHAnsi" w:cstheme="minorHAnsi"/>
          <w:b/>
          <w:bCs/>
        </w:rPr>
        <w:t xml:space="preserve">Thawing </w:t>
      </w:r>
      <w:r>
        <w:rPr>
          <w:rFonts w:asciiTheme="minorHAnsi" w:hAnsiTheme="minorHAnsi" w:cstheme="minorHAnsi"/>
          <w:b/>
          <w:bCs/>
        </w:rPr>
        <w:t>o</w:t>
      </w:r>
      <w:r w:rsidRPr="00F84823">
        <w:rPr>
          <w:rFonts w:asciiTheme="minorHAnsi" w:hAnsiTheme="minorHAnsi" w:cstheme="minorHAnsi"/>
          <w:b/>
          <w:bCs/>
        </w:rPr>
        <w:t>f Primary AML Cells</w:t>
      </w:r>
    </w:p>
    <w:p w14:paraId="230EA474" w14:textId="5A554224" w:rsidR="00125924" w:rsidRPr="00B07A3B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</w:t>
      </w:r>
      <w:r w:rsidRPr="0078091B">
        <w:rPr>
          <w:rFonts w:asciiTheme="minorHAnsi" w:hAnsiTheme="minorHAnsi" w:cstheme="minorHAnsi"/>
        </w:rPr>
        <w:t xml:space="preserve">thawing the biotin and the NKG2D fusion protein tubes at room temperature </w:t>
      </w:r>
      <w:r w:rsidRPr="0078091B">
        <w:rPr>
          <w:rFonts w:asciiTheme="minorHAnsi" w:hAnsiTheme="minorHAnsi" w:cstheme="minorHAnsi"/>
          <w:b/>
          <w:bCs/>
        </w:rPr>
        <w:t>[1]</w:t>
      </w:r>
      <w:r w:rsidRPr="0078091B">
        <w:rPr>
          <w:rFonts w:asciiTheme="minorHAnsi" w:hAnsiTheme="minorHAnsi" w:cstheme="minorHAnsi"/>
        </w:rPr>
        <w:t xml:space="preserve">. Quickly spin down the NKG2D-Fc </w:t>
      </w:r>
      <w:r w:rsidR="00974A1E" w:rsidRPr="0078091B">
        <w:rPr>
          <w:rFonts w:asciiTheme="minorHAnsi" w:hAnsiTheme="minorHAnsi" w:cstheme="minorHAnsi"/>
          <w:i/>
          <w:iCs/>
          <w:color w:val="FF0000"/>
        </w:rPr>
        <w:t>(spell out ‘N-K-G-2-D-F-C’)</w:t>
      </w:r>
      <w:r w:rsidR="00974A1E" w:rsidRPr="0078091B">
        <w:rPr>
          <w:rFonts w:asciiTheme="minorHAnsi" w:hAnsiTheme="minorHAnsi" w:cstheme="minorHAnsi"/>
        </w:rPr>
        <w:t xml:space="preserve"> </w:t>
      </w:r>
      <w:r w:rsidRPr="0078091B">
        <w:rPr>
          <w:rFonts w:asciiTheme="minorHAnsi" w:hAnsiTheme="minorHAnsi" w:cstheme="minorHAnsi"/>
        </w:rPr>
        <w:t xml:space="preserve">powder </w:t>
      </w:r>
      <w:r w:rsidRPr="0078091B">
        <w:rPr>
          <w:rFonts w:asciiTheme="minorHAnsi" w:hAnsiTheme="minorHAnsi" w:cstheme="minorHAnsi"/>
          <w:b/>
          <w:bCs/>
        </w:rPr>
        <w:t>[2]</w:t>
      </w:r>
      <w:r w:rsidRPr="0078091B">
        <w:rPr>
          <w:rFonts w:asciiTheme="minorHAnsi" w:hAnsiTheme="minorHAnsi" w:cstheme="minorHAnsi"/>
        </w:rPr>
        <w:t xml:space="preserve">, then add 500 microliters of PBS to reconstitute the powder and mix thoroughly using a P1000 micropipette </w:t>
      </w:r>
      <w:r w:rsidRPr="0078091B">
        <w:rPr>
          <w:rFonts w:asciiTheme="minorHAnsi" w:hAnsiTheme="minorHAnsi" w:cstheme="minorHAnsi"/>
          <w:b/>
          <w:bCs/>
        </w:rPr>
        <w:t>[3]</w:t>
      </w:r>
      <w:r w:rsidRPr="0078091B">
        <w:rPr>
          <w:rFonts w:asciiTheme="minorHAnsi" w:hAnsiTheme="minorHAnsi" w:cstheme="minorHAnsi"/>
        </w:rPr>
        <w:t>.</w:t>
      </w:r>
      <w:r w:rsidR="00974A1E">
        <w:rPr>
          <w:rFonts w:asciiTheme="minorHAnsi" w:hAnsiTheme="minorHAnsi" w:cstheme="minorHAnsi"/>
        </w:rPr>
        <w:t xml:space="preserve"> </w:t>
      </w:r>
    </w:p>
    <w:p w14:paraId="03C7AC9E" w14:textId="77777777" w:rsidR="00C34F4C" w:rsidRPr="00B07A3B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taking the tubes out of the freezer.</w:t>
      </w:r>
    </w:p>
    <w:p w14:paraId="1E35DEE6" w14:textId="77777777" w:rsidR="00C34F4C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spinning down the </w:t>
      </w:r>
      <w:r w:rsidRPr="00AD1C86">
        <w:rPr>
          <w:rFonts w:asciiTheme="minorHAnsi" w:hAnsiTheme="minorHAnsi" w:cstheme="minorHAnsi"/>
        </w:rPr>
        <w:t>NKG2D-Fc powder</w:t>
      </w:r>
      <w:r>
        <w:rPr>
          <w:rFonts w:asciiTheme="minorHAnsi" w:hAnsiTheme="minorHAnsi" w:cstheme="minorHAnsi"/>
        </w:rPr>
        <w:t>.</w:t>
      </w:r>
    </w:p>
    <w:p w14:paraId="13B4EB8F" w14:textId="77777777" w:rsidR="00AD2123" w:rsidRPr="00B07A3B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PBS to the powder and mixing with the pipette.</w:t>
      </w:r>
    </w:p>
    <w:p w14:paraId="1EBD83CD" w14:textId="77777777" w:rsidR="00CE10F2" w:rsidRPr="00B07A3B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1C86">
        <w:rPr>
          <w:rFonts w:asciiTheme="minorHAnsi" w:hAnsiTheme="minorHAnsi" w:cstheme="minorHAnsi"/>
        </w:rPr>
        <w:t xml:space="preserve">Add 100 microliters of the NKG2DL fusion protein to a biotin tube to obtain a final concentration of 10 </w:t>
      </w:r>
      <w:r>
        <w:rPr>
          <w:rFonts w:asciiTheme="minorHAnsi" w:hAnsiTheme="minorHAnsi" w:cstheme="minorHAnsi"/>
        </w:rPr>
        <w:t xml:space="preserve">micrograms per milliliter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m</w:t>
      </w:r>
      <w:r w:rsidRPr="00AD1C86">
        <w:rPr>
          <w:rFonts w:asciiTheme="minorHAnsi" w:hAnsiTheme="minorHAnsi" w:cstheme="minorHAnsi"/>
        </w:rPr>
        <w:t>ix the solution thoroughly with a P100 micropipette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</w:t>
      </w:r>
    </w:p>
    <w:p w14:paraId="67760173" w14:textId="77777777" w:rsidR="00A319BE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fusion protein to the biotin tube. </w:t>
      </w:r>
    </w:p>
    <w:p w14:paraId="35227889" w14:textId="77777777" w:rsidR="00AD2123" w:rsidRPr="00B07A3B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solution up and down. </w:t>
      </w:r>
    </w:p>
    <w:p w14:paraId="0676FEDB" w14:textId="5609EF0F" w:rsidR="00C7374B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thaw the AML cells, r</w:t>
      </w:r>
      <w:r w:rsidRPr="00AD1C86">
        <w:rPr>
          <w:rFonts w:asciiTheme="minorHAnsi" w:hAnsiTheme="minorHAnsi" w:cstheme="minorHAnsi"/>
        </w:rPr>
        <w:t xml:space="preserve">emove the cryovial containing primary AML from the liquid nitrogen storage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AD1C86">
        <w:rPr>
          <w:rFonts w:asciiTheme="minorHAnsi" w:hAnsiTheme="minorHAnsi" w:cstheme="minorHAnsi"/>
        </w:rPr>
        <w:t xml:space="preserve">and immediately </w:t>
      </w:r>
      <w:r>
        <w:rPr>
          <w:rFonts w:asciiTheme="minorHAnsi" w:hAnsiTheme="minorHAnsi" w:cstheme="minorHAnsi"/>
        </w:rPr>
        <w:t>place it in</w:t>
      </w:r>
      <w:r w:rsidRPr="00AD1C86">
        <w:rPr>
          <w:rFonts w:asciiTheme="minorHAnsi" w:hAnsiTheme="minorHAnsi" w:cstheme="minorHAnsi"/>
        </w:rPr>
        <w:t xml:space="preserve"> a 37</w:t>
      </w:r>
      <w:r>
        <w:rPr>
          <w:rFonts w:asciiTheme="minorHAnsi" w:hAnsiTheme="minorHAnsi" w:cstheme="minorHAnsi"/>
        </w:rPr>
        <w:t>-degree Celsius</w:t>
      </w:r>
      <w:r w:rsidRPr="00AD1C86">
        <w:rPr>
          <w:rFonts w:asciiTheme="minorHAnsi" w:hAnsiTheme="minorHAnsi" w:cstheme="minorHAnsi"/>
        </w:rPr>
        <w:t xml:space="preserve"> water bath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 Gently move the tube back and forth in the water</w:t>
      </w:r>
      <w:r w:rsidR="00AD2123">
        <w:rPr>
          <w:rFonts w:asciiTheme="minorHAnsi" w:hAnsiTheme="minorHAnsi" w:cstheme="minorHAnsi"/>
        </w:rPr>
        <w:t xml:space="preserve"> </w:t>
      </w:r>
      <w:r w:rsidR="00AD2123">
        <w:rPr>
          <w:rFonts w:asciiTheme="minorHAnsi" w:hAnsiTheme="minorHAnsi" w:cstheme="minorHAnsi"/>
          <w:b/>
          <w:bCs/>
        </w:rPr>
        <w:t>[3]</w:t>
      </w:r>
      <w:r w:rsidRPr="00AD1C86">
        <w:rPr>
          <w:rFonts w:asciiTheme="minorHAnsi" w:hAnsiTheme="minorHAnsi" w:cstheme="minorHAnsi"/>
        </w:rPr>
        <w:t>, allowing the contents of the vial to thaw until there is only a small ice crystal left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AD2123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AD1C86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1BDE4B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cells from the storage. </w:t>
      </w:r>
    </w:p>
    <w:p w14:paraId="2E2BA8B5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cells in the water bath. </w:t>
      </w:r>
    </w:p>
    <w:p w14:paraId="5BF3E9D7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tube back and forth. </w:t>
      </w:r>
    </w:p>
    <w:p w14:paraId="375EBEE3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Thawed cells.</w:t>
      </w:r>
    </w:p>
    <w:p w14:paraId="48CDE5E1" w14:textId="231487F7" w:rsidR="00AD1C86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1C86">
        <w:rPr>
          <w:rFonts w:asciiTheme="minorHAnsi" w:hAnsiTheme="minorHAnsi" w:cstheme="minorHAnsi"/>
        </w:rPr>
        <w:t xml:space="preserve">Immediately transfer the thawed cells into the medium-containing tube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AD1C86">
        <w:rPr>
          <w:rFonts w:asciiTheme="minorHAnsi" w:hAnsiTheme="minorHAnsi" w:cstheme="minorHAnsi"/>
        </w:rPr>
        <w:t>and rinse the vial using 1 milliliter of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D1C86">
        <w:rPr>
          <w:rFonts w:asciiTheme="minorHAnsi" w:hAnsiTheme="minorHAnsi" w:cstheme="minorHAnsi"/>
        </w:rPr>
        <w:t xml:space="preserve">Centrifuge the cells at 300 </w:t>
      </w:r>
      <w:r w:rsidRPr="00AD1C86">
        <w:rPr>
          <w:rFonts w:asciiTheme="minorHAnsi" w:hAnsiTheme="minorHAnsi" w:cstheme="minorHAnsi"/>
          <w:i/>
          <w:iCs/>
        </w:rPr>
        <w:t>x</w:t>
      </w:r>
      <w:r w:rsidRPr="00AD1C86">
        <w:rPr>
          <w:rFonts w:asciiTheme="minorHAnsi" w:hAnsiTheme="minorHAnsi" w:cstheme="minorHAnsi"/>
        </w:rPr>
        <w:t xml:space="preserve"> </w:t>
      </w:r>
      <w:r w:rsidRPr="00AD1C86">
        <w:rPr>
          <w:rFonts w:asciiTheme="minorHAnsi" w:hAnsiTheme="minorHAnsi" w:cstheme="minorHAnsi"/>
          <w:i/>
          <w:iCs/>
        </w:rPr>
        <w:t xml:space="preserve">g </w:t>
      </w:r>
      <w:r w:rsidRPr="00AD1C86">
        <w:rPr>
          <w:rFonts w:asciiTheme="minorHAnsi" w:hAnsiTheme="minorHAnsi" w:cstheme="minorHAnsi"/>
        </w:rPr>
        <w:t xml:space="preserve">for 10 </w:t>
      </w:r>
      <w:r>
        <w:rPr>
          <w:rFonts w:asciiTheme="minorHAnsi" w:hAnsiTheme="minorHAnsi" w:cstheme="minorHAnsi"/>
        </w:rPr>
        <w:t>minutes</w:t>
      </w:r>
      <w:r w:rsidRPr="00AD1C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AD1C86">
        <w:rPr>
          <w:rFonts w:asciiTheme="minorHAnsi" w:hAnsiTheme="minorHAnsi" w:cstheme="minorHAnsi"/>
        </w:rPr>
        <w:t>and discard the supernatant without disturbing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AD1C86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DF8B34B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the tube with medium. </w:t>
      </w:r>
    </w:p>
    <w:p w14:paraId="690313D1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vial. </w:t>
      </w:r>
    </w:p>
    <w:p w14:paraId="361C3562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the centrifuge and closing the lid. </w:t>
      </w:r>
    </w:p>
    <w:p w14:paraId="7338BF20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supernatant.</w:t>
      </w:r>
    </w:p>
    <w:p w14:paraId="63091640" w14:textId="290249EA" w:rsidR="00AD1C86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1C86">
        <w:rPr>
          <w:rFonts w:asciiTheme="minorHAnsi" w:hAnsiTheme="minorHAnsi" w:cstheme="minorHAnsi"/>
        </w:rPr>
        <w:t xml:space="preserve">Wash the cells with 5 milliliters of RPMI medium containing 10% FCS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AD1C86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repeat the centrifugation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</w:t>
      </w:r>
    </w:p>
    <w:p w14:paraId="6EA7772E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medium to the cells. </w:t>
      </w:r>
    </w:p>
    <w:p w14:paraId="29940910" w14:textId="77777777" w:rsidR="00F84823" w:rsidRPr="00AD2123" w:rsidRDefault="00AD2123" w:rsidP="00F848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centrifuge. </w:t>
      </w:r>
    </w:p>
    <w:p w14:paraId="2F2C6D46" w14:textId="77777777" w:rsidR="00CE10F2" w:rsidRPr="00B07A3B" w:rsidRDefault="00F8482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F84823">
        <w:rPr>
          <w:rFonts w:asciiTheme="minorHAnsi" w:hAnsiTheme="minorHAnsi" w:cstheme="minorHAnsi"/>
          <w:b/>
          <w:bCs/>
        </w:rPr>
        <w:t xml:space="preserve">Staining of </w:t>
      </w:r>
      <w:r>
        <w:rPr>
          <w:rFonts w:asciiTheme="minorHAnsi" w:hAnsiTheme="minorHAnsi" w:cstheme="minorHAnsi"/>
          <w:b/>
          <w:bCs/>
        </w:rPr>
        <w:t>P</w:t>
      </w:r>
      <w:r w:rsidRPr="00F84823">
        <w:rPr>
          <w:rFonts w:asciiTheme="minorHAnsi" w:hAnsiTheme="minorHAnsi" w:cstheme="minorHAnsi"/>
          <w:b/>
          <w:bCs/>
        </w:rPr>
        <w:t xml:space="preserve">rimary AML </w:t>
      </w:r>
      <w:r>
        <w:rPr>
          <w:rFonts w:asciiTheme="minorHAnsi" w:hAnsiTheme="minorHAnsi" w:cstheme="minorHAnsi"/>
          <w:b/>
          <w:bCs/>
        </w:rPr>
        <w:t>C</w:t>
      </w:r>
      <w:r w:rsidRPr="00F84823">
        <w:rPr>
          <w:rFonts w:asciiTheme="minorHAnsi" w:hAnsiTheme="minorHAnsi" w:cstheme="minorHAnsi"/>
          <w:b/>
          <w:bCs/>
        </w:rPr>
        <w:t xml:space="preserve">ells </w:t>
      </w:r>
      <w:r>
        <w:rPr>
          <w:rFonts w:asciiTheme="minorHAnsi" w:hAnsiTheme="minorHAnsi" w:cstheme="minorHAnsi"/>
          <w:b/>
          <w:bCs/>
        </w:rPr>
        <w:t>with</w:t>
      </w:r>
      <w:r w:rsidRPr="00F84823">
        <w:rPr>
          <w:rFonts w:asciiTheme="minorHAnsi" w:hAnsiTheme="minorHAnsi" w:cstheme="minorHAnsi"/>
          <w:b/>
          <w:bCs/>
        </w:rPr>
        <w:t xml:space="preserve"> the </w:t>
      </w:r>
      <w:r>
        <w:rPr>
          <w:rFonts w:asciiTheme="minorHAnsi" w:hAnsiTheme="minorHAnsi" w:cstheme="minorHAnsi"/>
          <w:b/>
          <w:bCs/>
        </w:rPr>
        <w:t>B</w:t>
      </w:r>
      <w:r w:rsidRPr="00F84823">
        <w:rPr>
          <w:rFonts w:asciiTheme="minorHAnsi" w:hAnsiTheme="minorHAnsi" w:cstheme="minorHAnsi"/>
          <w:b/>
          <w:bCs/>
        </w:rPr>
        <w:t xml:space="preserve">iotinylated NKG2D </w:t>
      </w:r>
      <w:r>
        <w:rPr>
          <w:rFonts w:asciiTheme="minorHAnsi" w:hAnsiTheme="minorHAnsi" w:cstheme="minorHAnsi"/>
          <w:b/>
          <w:bCs/>
        </w:rPr>
        <w:t>F</w:t>
      </w:r>
      <w:r w:rsidRPr="00F84823">
        <w:rPr>
          <w:rFonts w:asciiTheme="minorHAnsi" w:hAnsiTheme="minorHAnsi" w:cstheme="minorHAnsi"/>
          <w:b/>
          <w:bCs/>
        </w:rPr>
        <w:t xml:space="preserve">usion </w:t>
      </w:r>
      <w:r>
        <w:rPr>
          <w:rFonts w:asciiTheme="minorHAnsi" w:hAnsiTheme="minorHAnsi" w:cstheme="minorHAnsi"/>
          <w:b/>
          <w:bCs/>
        </w:rPr>
        <w:t>P</w:t>
      </w:r>
      <w:r w:rsidRPr="00F84823">
        <w:rPr>
          <w:rFonts w:asciiTheme="minorHAnsi" w:hAnsiTheme="minorHAnsi" w:cstheme="minorHAnsi"/>
          <w:b/>
          <w:bCs/>
        </w:rPr>
        <w:t>rotein</w:t>
      </w:r>
    </w:p>
    <w:p w14:paraId="5668F4B0" w14:textId="77777777" w:rsidR="00CE10F2" w:rsidRPr="00B07A3B" w:rsidRDefault="00B82F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>Resuspend the cell pellet with staining buffer to a final concentration of 0.5 x 10</w:t>
      </w:r>
      <w:r w:rsidRPr="00B82F13">
        <w:rPr>
          <w:rFonts w:asciiTheme="minorHAnsi" w:hAnsiTheme="minorHAnsi" w:cstheme="minorHAnsi"/>
          <w:vertAlign w:val="superscript"/>
        </w:rPr>
        <w:t>7</w:t>
      </w:r>
      <w:r w:rsidRPr="00B82F13">
        <w:rPr>
          <w:rFonts w:asciiTheme="minorHAnsi" w:hAnsiTheme="minorHAnsi" w:cstheme="minorHAnsi"/>
        </w:rPr>
        <w:t xml:space="preserve"> cells per milliliter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B82F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B82F13">
        <w:rPr>
          <w:rFonts w:asciiTheme="minorHAnsi" w:hAnsiTheme="minorHAnsi" w:cstheme="minorHAnsi"/>
        </w:rPr>
        <w:t xml:space="preserve">ransfer 100 microliters of the cell suspension to a cell culture 96-well U-bottom plate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B82F13">
        <w:rPr>
          <w:rFonts w:asciiTheme="minorHAnsi" w:hAnsiTheme="minorHAnsi" w:cstheme="minorHAnsi"/>
        </w:rPr>
        <w:t xml:space="preserve">and centrifuge the plate at 300 </w:t>
      </w:r>
      <w:r w:rsidRPr="00B82F13">
        <w:rPr>
          <w:rFonts w:asciiTheme="minorHAnsi" w:hAnsiTheme="minorHAnsi" w:cstheme="minorHAnsi"/>
          <w:i/>
          <w:iCs/>
        </w:rPr>
        <w:t>x</w:t>
      </w:r>
      <w:r w:rsidRPr="00B82F13">
        <w:rPr>
          <w:rFonts w:asciiTheme="minorHAnsi" w:hAnsiTheme="minorHAnsi" w:cstheme="minorHAnsi"/>
        </w:rPr>
        <w:t xml:space="preserve"> </w:t>
      </w:r>
      <w:r w:rsidRPr="00B82F13">
        <w:rPr>
          <w:rFonts w:asciiTheme="minorHAnsi" w:hAnsiTheme="minorHAnsi" w:cstheme="minorHAnsi"/>
          <w:i/>
          <w:iCs/>
        </w:rPr>
        <w:t>g</w:t>
      </w:r>
      <w:r w:rsidRPr="00B82F13">
        <w:rPr>
          <w:rFonts w:asciiTheme="minorHAnsi" w:hAnsiTheme="minorHAnsi" w:cstheme="minorHAnsi"/>
        </w:rPr>
        <w:t xml:space="preserve"> for 10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82F13">
        <w:rPr>
          <w:rFonts w:asciiTheme="minorHAnsi" w:hAnsiTheme="minorHAnsi" w:cstheme="minorHAnsi"/>
        </w:rPr>
        <w:t>. Discard the supernatant without disturbing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137FF11C" w14:textId="77777777" w:rsidR="000B2085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2E518B9A" w14:textId="77777777" w:rsidR="00B82F13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a plate. </w:t>
      </w:r>
    </w:p>
    <w:p w14:paraId="096550EA" w14:textId="77777777" w:rsidR="00B82F13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centrifuge. </w:t>
      </w:r>
    </w:p>
    <w:p w14:paraId="0EDDDCCE" w14:textId="77777777" w:rsidR="00B82F13" w:rsidRPr="00B07A3B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supernatant. </w:t>
      </w:r>
    </w:p>
    <w:p w14:paraId="706C7C5C" w14:textId="5F561E95" w:rsidR="00CE10F2" w:rsidRPr="00B07A3B" w:rsidRDefault="00B82F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 xml:space="preserve">Prepare a master mix of biotinylated NKG2D fusion protein so that cells are resuspended in a final volume of 50 microliters per well with a final </w:t>
      </w:r>
      <w:r w:rsidR="00974A1E" w:rsidRPr="00B82F13">
        <w:rPr>
          <w:rFonts w:asciiTheme="minorHAnsi" w:hAnsiTheme="minorHAnsi" w:cstheme="minorHAnsi"/>
        </w:rPr>
        <w:t xml:space="preserve">NKG2D </w:t>
      </w:r>
      <w:r w:rsidRPr="00B82F13">
        <w:rPr>
          <w:rFonts w:asciiTheme="minorHAnsi" w:hAnsiTheme="minorHAnsi" w:cstheme="minorHAnsi"/>
        </w:rPr>
        <w:t>concentration of 10 micrograms</w:t>
      </w:r>
      <w:r>
        <w:rPr>
          <w:rFonts w:asciiTheme="minorHAnsi" w:hAnsiTheme="minorHAnsi" w:cstheme="minorHAnsi"/>
        </w:rPr>
        <w:t xml:space="preserve"> per </w:t>
      </w:r>
      <w:r w:rsidRPr="00B82F13">
        <w:rPr>
          <w:rFonts w:asciiTheme="minorHAnsi" w:hAnsiTheme="minorHAnsi" w:cstheme="minorHAnsi"/>
        </w:rPr>
        <w:t>milliliter per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82F13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CEBD81A" w14:textId="77777777" w:rsidR="00875BE8" w:rsidRPr="00B07A3B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master mix. </w:t>
      </w:r>
    </w:p>
    <w:p w14:paraId="4ECE0887" w14:textId="77777777" w:rsidR="00450B27" w:rsidRPr="00B07A3B" w:rsidRDefault="00B82F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>Add the prepared master mix and resuspend the cell pellets with a 300</w:t>
      </w:r>
      <w:r>
        <w:rPr>
          <w:rFonts w:asciiTheme="minorHAnsi" w:hAnsiTheme="minorHAnsi" w:cstheme="minorHAnsi"/>
        </w:rPr>
        <w:t>-</w:t>
      </w:r>
      <w:r w:rsidRPr="00B82F13">
        <w:rPr>
          <w:rFonts w:asciiTheme="minorHAnsi" w:hAnsiTheme="minorHAnsi" w:cstheme="minorHAnsi"/>
        </w:rPr>
        <w:t>microliter multichannel pipette</w:t>
      </w:r>
      <w:r>
        <w:rPr>
          <w:rFonts w:asciiTheme="minorHAnsi" w:hAnsiTheme="minorHAnsi" w:cstheme="minorHAnsi"/>
        </w:rPr>
        <w:t xml:space="preserve">. Incubate and centrifuge the plate as described in the text manuscript </w:t>
      </w:r>
      <w:r>
        <w:rPr>
          <w:rFonts w:asciiTheme="minorHAnsi" w:hAnsiTheme="minorHAnsi" w:cstheme="minorHAnsi"/>
          <w:b/>
          <w:bCs/>
        </w:rPr>
        <w:t>[1]</w:t>
      </w:r>
      <w:r w:rsidRPr="00B82F13">
        <w:rPr>
          <w:rFonts w:asciiTheme="minorHAnsi" w:hAnsiTheme="minorHAnsi" w:cstheme="minorHAnsi"/>
        </w:rPr>
        <w:t>.</w:t>
      </w:r>
    </w:p>
    <w:p w14:paraId="512A0DE4" w14:textId="77777777" w:rsidR="00875BE8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master mix and resuspending the cells. </w:t>
      </w:r>
    </w:p>
    <w:p w14:paraId="5563BE6A" w14:textId="6E2AC65B" w:rsidR="00B82F13" w:rsidRDefault="00B82F13" w:rsidP="00B82F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 xml:space="preserve">Prepare a master mix using Streptavidin-PE so that </w:t>
      </w:r>
      <w:r>
        <w:rPr>
          <w:rFonts w:asciiTheme="minorHAnsi" w:hAnsiTheme="minorHAnsi" w:cstheme="minorHAnsi"/>
        </w:rPr>
        <w:t xml:space="preserve">the </w:t>
      </w:r>
      <w:r w:rsidRPr="00B82F13">
        <w:rPr>
          <w:rFonts w:asciiTheme="minorHAnsi" w:hAnsiTheme="minorHAnsi" w:cstheme="minorHAnsi"/>
        </w:rPr>
        <w:t>cells are resuspended in a final volume of 50 microliters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82F13">
        <w:rPr>
          <w:rFonts w:asciiTheme="minorHAnsi" w:hAnsiTheme="minorHAnsi" w:cstheme="minorHAnsi"/>
        </w:rPr>
        <w:t>. Add the master mix to the cells and resuspend the pellets with a 300</w:t>
      </w:r>
      <w:r w:rsidR="00974A1E">
        <w:rPr>
          <w:rFonts w:asciiTheme="minorHAnsi" w:hAnsiTheme="minorHAnsi" w:cstheme="minorHAnsi"/>
        </w:rPr>
        <w:t>-</w:t>
      </w:r>
      <w:r w:rsidRPr="00B82F13">
        <w:rPr>
          <w:rFonts w:asciiTheme="minorHAnsi" w:hAnsiTheme="minorHAnsi" w:cstheme="minorHAnsi"/>
        </w:rPr>
        <w:t>microliter multichannel pipette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82F13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E8CD97F" w14:textId="77777777" w:rsidR="00B82F13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Streptavidin-PE master mix. </w:t>
      </w:r>
    </w:p>
    <w:p w14:paraId="2C80DA0B" w14:textId="77777777" w:rsidR="00B82F13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master mix and resuspending the cells.</w:t>
      </w:r>
    </w:p>
    <w:p w14:paraId="6639AA0A" w14:textId="47BBA6D0" w:rsidR="00B82F13" w:rsidRDefault="00B82F13" w:rsidP="00B82F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centrifuging the plate and discarding the supernatant, use</w:t>
      </w:r>
      <w:r w:rsidRPr="00B82F13">
        <w:rPr>
          <w:rFonts w:asciiTheme="minorHAnsi" w:hAnsiTheme="minorHAnsi" w:cstheme="minorHAnsi"/>
        </w:rPr>
        <w:t xml:space="preserve"> a 300</w:t>
      </w:r>
      <w:r>
        <w:rPr>
          <w:rFonts w:asciiTheme="minorHAnsi" w:hAnsiTheme="minorHAnsi" w:cstheme="minorHAnsi"/>
        </w:rPr>
        <w:t>-</w:t>
      </w:r>
      <w:r w:rsidRPr="00B82F13">
        <w:rPr>
          <w:rFonts w:asciiTheme="minorHAnsi" w:hAnsiTheme="minorHAnsi" w:cstheme="minorHAnsi"/>
        </w:rPr>
        <w:t xml:space="preserve">microliter multichannel micropipette </w:t>
      </w:r>
      <w:r>
        <w:rPr>
          <w:rFonts w:asciiTheme="minorHAnsi" w:hAnsiTheme="minorHAnsi" w:cstheme="minorHAnsi"/>
        </w:rPr>
        <w:t>to r</w:t>
      </w:r>
      <w:r w:rsidRPr="00B82F13">
        <w:rPr>
          <w:rFonts w:asciiTheme="minorHAnsi" w:hAnsiTheme="minorHAnsi" w:cstheme="minorHAnsi"/>
        </w:rPr>
        <w:t xml:space="preserve">esuspend </w:t>
      </w:r>
      <w:r>
        <w:rPr>
          <w:rFonts w:asciiTheme="minorHAnsi" w:hAnsiTheme="minorHAnsi" w:cstheme="minorHAnsi"/>
        </w:rPr>
        <w:t xml:space="preserve">the </w:t>
      </w:r>
      <w:r w:rsidRPr="00B82F13">
        <w:rPr>
          <w:rFonts w:asciiTheme="minorHAnsi" w:hAnsiTheme="minorHAnsi" w:cstheme="minorHAnsi"/>
        </w:rPr>
        <w:t xml:space="preserve">cell pellets in 200 microliters </w:t>
      </w:r>
      <w:r>
        <w:rPr>
          <w:rFonts w:asciiTheme="minorHAnsi" w:hAnsiTheme="minorHAnsi" w:cstheme="minorHAnsi"/>
        </w:rPr>
        <w:t xml:space="preserve">of </w:t>
      </w:r>
      <w:r w:rsidRPr="00B82F13">
        <w:rPr>
          <w:rFonts w:asciiTheme="minorHAnsi" w:hAnsiTheme="minorHAnsi" w:cstheme="minorHAnsi"/>
        </w:rPr>
        <w:t>staining buffe</w:t>
      </w:r>
      <w:r w:rsidRPr="0078091B">
        <w:rPr>
          <w:rFonts w:asciiTheme="minorHAnsi" w:hAnsiTheme="minorHAnsi" w:cstheme="minorHAnsi"/>
        </w:rPr>
        <w:t>r + 7-AAD</w:t>
      </w:r>
      <w:r w:rsidR="0078091B" w:rsidRPr="0078091B">
        <w:rPr>
          <w:rFonts w:asciiTheme="minorHAnsi" w:hAnsiTheme="minorHAnsi" w:cstheme="minorHAnsi"/>
        </w:rPr>
        <w:t xml:space="preserve"> </w:t>
      </w:r>
      <w:r w:rsidR="0078091B" w:rsidRPr="0078091B">
        <w:rPr>
          <w:rFonts w:asciiTheme="minorHAnsi" w:hAnsiTheme="minorHAnsi" w:cstheme="minorHAnsi"/>
          <w:i/>
          <w:iCs/>
          <w:color w:val="FF0000"/>
        </w:rPr>
        <w:t>(spell out ‘7-A-A-D’)</w:t>
      </w:r>
      <w:r w:rsidRPr="0078091B">
        <w:rPr>
          <w:rFonts w:asciiTheme="minorHAnsi" w:hAnsiTheme="minorHAnsi" w:cstheme="minorHAnsi"/>
        </w:rPr>
        <w:t xml:space="preserve"> </w:t>
      </w:r>
      <w:r w:rsidRPr="0078091B">
        <w:rPr>
          <w:rFonts w:asciiTheme="minorHAnsi" w:hAnsiTheme="minorHAnsi" w:cstheme="minorHAnsi"/>
          <w:b/>
          <w:bCs/>
        </w:rPr>
        <w:t>[1]</w:t>
      </w:r>
      <w:r w:rsidR="00DA2C0E">
        <w:rPr>
          <w:rFonts w:asciiTheme="minorHAnsi" w:hAnsiTheme="minorHAnsi" w:cstheme="minorHAnsi"/>
        </w:rPr>
        <w:t>, then</w:t>
      </w:r>
      <w:r w:rsidRPr="0078091B">
        <w:rPr>
          <w:rFonts w:asciiTheme="minorHAnsi" w:hAnsiTheme="minorHAnsi" w:cstheme="minorHAnsi"/>
        </w:rPr>
        <w:t xml:space="preserve"> </w:t>
      </w:r>
      <w:r w:rsidR="00DA2C0E">
        <w:rPr>
          <w:rFonts w:asciiTheme="minorHAnsi" w:hAnsiTheme="minorHAnsi" w:cstheme="minorHAnsi"/>
        </w:rPr>
        <w:t>a</w:t>
      </w:r>
      <w:r w:rsidRPr="0078091B">
        <w:rPr>
          <w:rFonts w:asciiTheme="minorHAnsi" w:hAnsiTheme="minorHAnsi" w:cstheme="minorHAnsi"/>
        </w:rPr>
        <w:t xml:space="preserve">nalyze the cells using a flow cytometry device </w:t>
      </w:r>
      <w:r w:rsidRPr="0078091B">
        <w:rPr>
          <w:rFonts w:asciiTheme="minorHAnsi" w:hAnsiTheme="minorHAnsi" w:cstheme="minorHAnsi"/>
          <w:b/>
          <w:bCs/>
        </w:rPr>
        <w:t>[2]</w:t>
      </w:r>
      <w:r w:rsidRPr="0078091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D3D3DDD" w14:textId="77777777" w:rsidR="00B82F13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staining buffer. </w:t>
      </w:r>
    </w:p>
    <w:p w14:paraId="417B2745" w14:textId="1D1BDB1F" w:rsidR="00B82F13" w:rsidRPr="00B07A3B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flow cytometer. </w:t>
      </w:r>
      <w:r w:rsidR="00625492" w:rsidRPr="00625492">
        <w:rPr>
          <w:rFonts w:asciiTheme="minorHAnsi" w:hAnsiTheme="minorHAnsi" w:cstheme="minorHAnsi"/>
          <w:i/>
          <w:iCs/>
          <w:color w:val="0432FF"/>
        </w:rPr>
        <w:t>Videographer: Please obtain several usable takes of this shot because it will be used as coverage for some of the interview statements.</w:t>
      </w:r>
    </w:p>
    <w:p w14:paraId="2C9E4FB2" w14:textId="77777777" w:rsidR="00F84823" w:rsidRDefault="00F84823">
      <w:pPr>
        <w:rPr>
          <w:rFonts w:asciiTheme="minorHAnsi" w:hAnsiTheme="minorHAnsi" w:cstheme="minorHAnsi"/>
          <w:sz w:val="22"/>
          <w:szCs w:val="22"/>
        </w:rPr>
      </w:pPr>
    </w:p>
    <w:p w14:paraId="5774141C" w14:textId="0F1BE09E" w:rsidR="00A72FC5" w:rsidRPr="0078091B" w:rsidRDefault="00A72FC5" w:rsidP="0078091B">
      <w:pPr>
        <w:rPr>
          <w:rFonts w:asciiTheme="minorHAnsi" w:hAnsiTheme="minorHAnsi" w:cstheme="minorHAnsi"/>
          <w:sz w:val="22"/>
          <w:szCs w:val="22"/>
        </w:rPr>
      </w:pPr>
    </w:p>
    <w:p w14:paraId="77F43352" w14:textId="1E81F1EF" w:rsidR="005E2B7E" w:rsidRPr="00B07A3B" w:rsidRDefault="00873D1A" w:rsidP="0078091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E61C680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51311F">
        <w:rPr>
          <w:rFonts w:asciiTheme="minorHAnsi" w:hAnsiTheme="minorHAnsi" w:cstheme="minorHAnsi"/>
          <w:b/>
          <w:szCs w:val="24"/>
        </w:rPr>
        <w:t>Gating Strategy and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51311F">
        <w:rPr>
          <w:rFonts w:asciiTheme="minorHAnsi" w:hAnsiTheme="minorHAnsi" w:cstheme="minorHAnsi"/>
          <w:b/>
          <w:szCs w:val="24"/>
        </w:rPr>
        <w:t xml:space="preserve">Staining Protocol Comparison </w:t>
      </w:r>
    </w:p>
    <w:p w14:paraId="38090420" w14:textId="77777777" w:rsidR="00395684" w:rsidRPr="00B07A3B" w:rsidRDefault="003C1EA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Pr="00121648">
        <w:t xml:space="preserve">he analyzed AML samples </w:t>
      </w:r>
      <w:r w:rsidR="00836E30">
        <w:t>a</w:t>
      </w:r>
      <w:r w:rsidRPr="00121648">
        <w:t xml:space="preserve">re positive for CD34 and NKG2DL, but negative subpopulations also exist, </w:t>
      </w:r>
      <w:r>
        <w:t>with</w:t>
      </w:r>
      <w:r w:rsidRPr="00121648">
        <w:t xml:space="preserve"> four different populations in total</w:t>
      </w:r>
      <w:r>
        <w:t xml:space="preserve"> </w:t>
      </w:r>
      <w:r>
        <w:rPr>
          <w:b/>
          <w:bCs/>
        </w:rPr>
        <w:t>[1]</w:t>
      </w:r>
      <w:r w:rsidRPr="00121648">
        <w:t xml:space="preserve">. </w:t>
      </w:r>
      <w:r>
        <w:t>T</w:t>
      </w:r>
      <w:r w:rsidRPr="00121648">
        <w:t xml:space="preserve">he typical gating strategy </w:t>
      </w:r>
      <w:r>
        <w:t>start</w:t>
      </w:r>
      <w:r w:rsidR="00836E30">
        <w:t>s</w:t>
      </w:r>
      <w:r w:rsidRPr="00121648">
        <w:t xml:space="preserve"> with the selection of the main population of cells via their FSC and SSC</w:t>
      </w:r>
      <w:r>
        <w:t xml:space="preserve"> </w:t>
      </w:r>
      <w:r>
        <w:rPr>
          <w:b/>
          <w:bCs/>
        </w:rPr>
        <w:t>[2]</w:t>
      </w:r>
      <w:r w:rsidRPr="00121648">
        <w:t>.</w:t>
      </w:r>
    </w:p>
    <w:p w14:paraId="4CF0218E" w14:textId="7777777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C1EA9">
        <w:rPr>
          <w:rFonts w:asciiTheme="minorHAnsi" w:hAnsiTheme="minorHAnsi" w:cstheme="minorHAnsi"/>
          <w:szCs w:val="24"/>
        </w:rPr>
        <w:t xml:space="preserve"> Figure 1. </w:t>
      </w:r>
    </w:p>
    <w:p w14:paraId="33442DF0" w14:textId="77777777" w:rsidR="003C1EA9" w:rsidRPr="00B07A3B" w:rsidRDefault="003C1EA9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A. </w:t>
      </w:r>
      <w:r w:rsidR="00CD426A" w:rsidRPr="0051311F">
        <w:rPr>
          <w:rFonts w:asciiTheme="minorHAnsi" w:hAnsiTheme="minorHAnsi" w:cstheme="minorHAnsi"/>
          <w:i/>
          <w:iCs/>
          <w:color w:val="0432FF"/>
        </w:rPr>
        <w:t>Video Editor: Emphasize the FSC vs SSC plot.</w:t>
      </w:r>
      <w:r w:rsidR="00CD426A">
        <w:rPr>
          <w:rFonts w:asciiTheme="minorHAnsi" w:hAnsiTheme="minorHAnsi" w:cstheme="minorHAnsi"/>
          <w:szCs w:val="24"/>
        </w:rPr>
        <w:t xml:space="preserve"> </w:t>
      </w:r>
    </w:p>
    <w:p w14:paraId="59A3127F" w14:textId="77777777" w:rsidR="00395684" w:rsidRPr="003C1EA9" w:rsidRDefault="003C1EA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21648">
        <w:t xml:space="preserve">Doublets and dead cells </w:t>
      </w:r>
      <w:r w:rsidR="00836E30">
        <w:t>a</w:t>
      </w:r>
      <w:r w:rsidRPr="00121648">
        <w:t xml:space="preserve">re excluded in the downstream analysis </w:t>
      </w:r>
      <w:r>
        <w:rPr>
          <w:b/>
          <w:bCs/>
        </w:rPr>
        <w:t>[1]</w:t>
      </w:r>
      <w:r w:rsidRPr="00121648">
        <w:t xml:space="preserve">. </w:t>
      </w:r>
      <w:r w:rsidR="00E74D7B">
        <w:t>The g</w:t>
      </w:r>
      <w:r w:rsidRPr="00121648">
        <w:t xml:space="preserve">ates </w:t>
      </w:r>
      <w:r w:rsidR="00E74D7B">
        <w:t>a</w:t>
      </w:r>
      <w:r w:rsidRPr="00121648">
        <w:t xml:space="preserve">re adjusted using FMO controls to ensure proper identification of positive cells </w:t>
      </w:r>
      <w:r w:rsidR="00CD426A">
        <w:rPr>
          <w:b/>
          <w:bCs/>
        </w:rPr>
        <w:t>[2]</w:t>
      </w:r>
      <w:r w:rsidRPr="00121648">
        <w:t>.</w:t>
      </w:r>
    </w:p>
    <w:p w14:paraId="600988D2" w14:textId="77777777" w:rsidR="003C1EA9" w:rsidRPr="00CD426A" w:rsidRDefault="003C1EA9" w:rsidP="003C1E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A. </w:t>
      </w:r>
      <w:r w:rsidRPr="0051311F">
        <w:rPr>
          <w:rFonts w:asciiTheme="minorHAnsi" w:hAnsiTheme="minorHAnsi" w:cstheme="minorHAnsi"/>
          <w:i/>
          <w:iCs/>
          <w:color w:val="0432FF"/>
        </w:rPr>
        <w:t>Video Editor: Emphasize the Single Cells and Viable Cells plots.</w:t>
      </w:r>
    </w:p>
    <w:p w14:paraId="68D2D5B3" w14:textId="77777777" w:rsidR="00CD426A" w:rsidRPr="00B07A3B" w:rsidRDefault="00CD426A" w:rsidP="003C1E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B. </w:t>
      </w:r>
    </w:p>
    <w:p w14:paraId="7B5D2611" w14:textId="6073E429" w:rsidR="00395684" w:rsidRPr="00CD426A" w:rsidRDefault="00CD426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Pr="00121648">
        <w:t xml:space="preserve">he fluorescence intensities of cells positive for CD34 </w:t>
      </w:r>
      <w:r>
        <w:t>versus</w:t>
      </w:r>
      <w:r w:rsidRPr="00121648">
        <w:t xml:space="preserve"> NKG2DL </w:t>
      </w:r>
      <w:r>
        <w:t>are highlighted here</w:t>
      </w:r>
      <w:r w:rsidRPr="00121648">
        <w:t xml:space="preserve">. AML cells that are positive for CD34 show a lower surface expression of NKG2DL, </w:t>
      </w:r>
      <w:r>
        <w:t>indicating</w:t>
      </w:r>
      <w:r w:rsidRPr="00121648">
        <w:t xml:space="preserve"> that NKG2DL expression is associated with lack of stemness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3F8A458C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C. </w:t>
      </w:r>
    </w:p>
    <w:p w14:paraId="369AF0F0" w14:textId="77777777" w:rsidR="00CD426A" w:rsidRPr="00CD426A" w:rsidRDefault="00CD426A" w:rsidP="00CD42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Pr="00121648">
        <w:t xml:space="preserve">hree primary AML samples </w:t>
      </w:r>
      <w:r w:rsidR="0051311F">
        <w:t>demonstrated</w:t>
      </w:r>
      <w:r w:rsidRPr="00121648">
        <w:t xml:space="preserve"> 19.8, 49.8</w:t>
      </w:r>
      <w:r>
        <w:t>,</w:t>
      </w:r>
      <w:r w:rsidRPr="00121648">
        <w:t xml:space="preserve"> and 89.4%</w:t>
      </w:r>
      <w:r>
        <w:t xml:space="preserve"> </w:t>
      </w:r>
      <w:r w:rsidRPr="00121648">
        <w:t xml:space="preserve">positive events for the fusion protein staining </w:t>
      </w:r>
      <w:r>
        <w:rPr>
          <w:b/>
          <w:bCs/>
        </w:rPr>
        <w:t xml:space="preserve">[1] </w:t>
      </w:r>
      <w:r w:rsidRPr="00121648">
        <w:t>v</w:t>
      </w:r>
      <w:r>
        <w:t>ersu</w:t>
      </w:r>
      <w:r w:rsidRPr="00121648">
        <w:t>s 20.4, 50.4</w:t>
      </w:r>
      <w:r>
        <w:t>,</w:t>
      </w:r>
      <w:r w:rsidRPr="00121648">
        <w:t xml:space="preserve"> and 90.6% for the pooled anti-NKG2DL antibody staining</w:t>
      </w:r>
      <w:r>
        <w:t xml:space="preserve"> </w:t>
      </w:r>
      <w:r>
        <w:rPr>
          <w:b/>
          <w:bCs/>
        </w:rPr>
        <w:t>[2]</w:t>
      </w:r>
      <w:r w:rsidRPr="00121648">
        <w:t xml:space="preserve">. </w:t>
      </w:r>
    </w:p>
    <w:p w14:paraId="711A024C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A. </w:t>
      </w:r>
      <w:r w:rsidRPr="0051311F">
        <w:rPr>
          <w:rFonts w:asciiTheme="minorHAnsi" w:hAnsiTheme="minorHAnsi" w:cstheme="minorHAnsi"/>
          <w:i/>
          <w:iCs/>
          <w:color w:val="0432FF"/>
        </w:rPr>
        <w:t>Video Editor: Emphasize the black bars.</w:t>
      </w:r>
      <w:r>
        <w:t xml:space="preserve"> </w:t>
      </w:r>
    </w:p>
    <w:p w14:paraId="0DD71905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A. </w:t>
      </w:r>
      <w:r w:rsidRPr="0051311F">
        <w:rPr>
          <w:rFonts w:asciiTheme="minorHAnsi" w:hAnsiTheme="minorHAnsi" w:cstheme="minorHAnsi"/>
          <w:i/>
          <w:iCs/>
          <w:color w:val="0432FF"/>
        </w:rPr>
        <w:t>Video Editor: Emphasize the white bars.</w:t>
      </w:r>
    </w:p>
    <w:p w14:paraId="0FE78E97" w14:textId="77777777" w:rsidR="00CD426A" w:rsidRPr="00CD426A" w:rsidRDefault="00CD426A" w:rsidP="00CD42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21648">
        <w:t>On the other hand, single ligand staining show</w:t>
      </w:r>
      <w:r w:rsidR="00E74D7B">
        <w:t>ed</w:t>
      </w:r>
      <w:r w:rsidRPr="00121648">
        <w:t xml:space="preserve"> a range of positive events up to 92%</w:t>
      </w:r>
      <w:r>
        <w:t xml:space="preserve">, with the percentages varying </w:t>
      </w:r>
      <w:r w:rsidR="0051311F">
        <w:t>based on the ligand</w:t>
      </w:r>
      <w:r w:rsidRPr="00121648">
        <w:t xml:space="preserve"> </w:t>
      </w:r>
      <w:r>
        <w:rPr>
          <w:b/>
          <w:bCs/>
        </w:rPr>
        <w:t>[1]</w:t>
      </w:r>
      <w:r w:rsidRPr="00121648">
        <w:t>.</w:t>
      </w:r>
    </w:p>
    <w:p w14:paraId="4155EC0E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B. </w:t>
      </w:r>
    </w:p>
    <w:p w14:paraId="184DAD94" w14:textId="77777777" w:rsidR="00473E1C" w:rsidRPr="00B07A3B" w:rsidRDefault="00473E1C" w:rsidP="00F84823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708CE18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7D76BED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E542AA8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62BC2B98" w14:textId="4985AF1B" w:rsidR="00B07A3B" w:rsidRPr="0078091B" w:rsidRDefault="0078091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When attempting this </w:t>
      </w:r>
      <w:r w:rsidR="005F0220">
        <w:rPr>
          <w:rFonts w:asciiTheme="minorHAnsi" w:eastAsia="Times New Roman" w:hAnsiTheme="minorHAnsi" w:cstheme="minorHAnsi"/>
          <w:szCs w:val="24"/>
        </w:rPr>
        <w:t>method</w:t>
      </w:r>
      <w:r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</w:rPr>
        <w:t>i</w:t>
      </w:r>
      <w:r w:rsidR="00144456">
        <w:rPr>
          <w:rFonts w:asciiTheme="minorHAnsi" w:hAnsiTheme="minorHAnsi" w:cstheme="minorHAnsi"/>
        </w:rPr>
        <w:t xml:space="preserve">t is very important to be quick </w:t>
      </w:r>
      <w:r>
        <w:rPr>
          <w:rFonts w:asciiTheme="minorHAnsi" w:hAnsiTheme="minorHAnsi" w:cstheme="minorHAnsi"/>
        </w:rPr>
        <w:t>when</w:t>
      </w:r>
      <w:r w:rsidR="00144456">
        <w:rPr>
          <w:rFonts w:asciiTheme="minorHAnsi" w:hAnsiTheme="minorHAnsi" w:cstheme="minorHAnsi"/>
        </w:rPr>
        <w:t xml:space="preserve"> thawing </w:t>
      </w:r>
      <w:r>
        <w:rPr>
          <w:rFonts w:asciiTheme="minorHAnsi" w:hAnsiTheme="minorHAnsi" w:cstheme="minorHAnsi"/>
        </w:rPr>
        <w:t>the</w:t>
      </w:r>
      <w:r w:rsidR="00144456">
        <w:rPr>
          <w:rFonts w:asciiTheme="minorHAnsi" w:hAnsiTheme="minorHAnsi" w:cstheme="minorHAnsi"/>
        </w:rPr>
        <w:t xml:space="preserve"> primary AML cells </w:t>
      </w:r>
      <w:r>
        <w:rPr>
          <w:rFonts w:asciiTheme="minorHAnsi" w:hAnsiTheme="minorHAnsi" w:cstheme="minorHAnsi"/>
        </w:rPr>
        <w:t xml:space="preserve">because they </w:t>
      </w:r>
      <w:r w:rsidR="00144456">
        <w:rPr>
          <w:rFonts w:asciiTheme="minorHAnsi" w:hAnsiTheme="minorHAnsi" w:cstheme="minorHAnsi"/>
        </w:rPr>
        <w:t>are fragile and can die eas</w:t>
      </w:r>
      <w:r>
        <w:rPr>
          <w:rFonts w:asciiTheme="minorHAnsi" w:hAnsiTheme="minorHAnsi" w:cstheme="minorHAnsi"/>
        </w:rPr>
        <w:t>il</w:t>
      </w:r>
      <w:r w:rsidR="00144456">
        <w:rPr>
          <w:rFonts w:asciiTheme="minorHAnsi" w:hAnsiTheme="minorHAnsi" w:cstheme="minorHAnsi"/>
        </w:rPr>
        <w:t>y during this step.</w:t>
      </w:r>
    </w:p>
    <w:p w14:paraId="009EA9DE" w14:textId="61E7643E" w:rsidR="0078091B" w:rsidRDefault="0078091B" w:rsidP="0078091B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04FD7A04" w14:textId="14B91346" w:rsidR="0078091B" w:rsidRPr="0078091B" w:rsidRDefault="0078091B" w:rsidP="0078091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78091B">
        <w:rPr>
          <w:rFonts w:asciiTheme="minorHAnsi" w:hAnsiTheme="minorHAnsi" w:cstheme="minorHAnsi"/>
          <w:i/>
          <w:iCs/>
          <w:color w:val="0432FF"/>
        </w:rPr>
        <w:t>Suggested: 2.3.1, 2.3.2, 2.3.3, 2.3.4</w:t>
      </w:r>
    </w:p>
    <w:p w14:paraId="40B97A9D" w14:textId="77777777" w:rsidR="0078091B" w:rsidRPr="0078091B" w:rsidRDefault="0078091B" w:rsidP="0078091B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4CD85245" w14:textId="504D25F4" w:rsidR="00B07A3B" w:rsidRPr="0078091B" w:rsidRDefault="005F022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After performing this protocol, a</w:t>
      </w:r>
      <w:r w:rsidR="00144456">
        <w:rPr>
          <w:rFonts w:asciiTheme="minorHAnsi" w:hAnsiTheme="minorHAnsi" w:cstheme="minorHAnsi"/>
        </w:rPr>
        <w:t xml:space="preserve"> cell sort based on the NKG2DL signal can be performed to </w:t>
      </w:r>
      <w:r>
        <w:rPr>
          <w:rFonts w:asciiTheme="minorHAnsi" w:hAnsiTheme="minorHAnsi" w:cstheme="minorHAnsi"/>
        </w:rPr>
        <w:t xml:space="preserve">further </w:t>
      </w:r>
      <w:r w:rsidR="00144456">
        <w:rPr>
          <w:rFonts w:asciiTheme="minorHAnsi" w:hAnsiTheme="minorHAnsi" w:cstheme="minorHAnsi"/>
        </w:rPr>
        <w:t>investigate the populations</w:t>
      </w:r>
      <w:r>
        <w:rPr>
          <w:rFonts w:asciiTheme="minorHAnsi" w:hAnsiTheme="minorHAnsi" w:cstheme="minorHAnsi"/>
        </w:rPr>
        <w:t>.</w:t>
      </w:r>
    </w:p>
    <w:p w14:paraId="48C021C9" w14:textId="0DDCF723" w:rsidR="0078091B" w:rsidRDefault="0078091B" w:rsidP="0078091B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7101BF65" w14:textId="0DACC643" w:rsidR="0078091B" w:rsidRPr="00E249C0" w:rsidRDefault="0078091B" w:rsidP="0078091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F0220">
        <w:rPr>
          <w:rFonts w:asciiTheme="minorHAnsi" w:hAnsiTheme="minorHAnsi" w:cstheme="minorHAnsi"/>
          <w:i/>
          <w:iCs/>
          <w:color w:val="0432FF"/>
        </w:rPr>
        <w:t xml:space="preserve">Suggested: </w:t>
      </w:r>
      <w:r w:rsidR="005F0220" w:rsidRPr="005F0220">
        <w:rPr>
          <w:rFonts w:asciiTheme="minorHAnsi" w:hAnsiTheme="minorHAnsi" w:cstheme="minorHAnsi"/>
          <w:i/>
          <w:iCs/>
          <w:color w:val="0432FF"/>
        </w:rPr>
        <w:t>3.5.2.</w:t>
      </w:r>
    </w:p>
    <w:p w14:paraId="383EAAC4" w14:textId="77777777" w:rsidR="00E249C0" w:rsidRPr="00B07A3B" w:rsidRDefault="00E249C0" w:rsidP="00E249C0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3F444B6C" w14:textId="202D3992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07FF8" w14:textId="77777777" w:rsidR="0054045A" w:rsidRDefault="0054045A">
      <w:r>
        <w:separator/>
      </w:r>
    </w:p>
    <w:p w14:paraId="480A171F" w14:textId="77777777" w:rsidR="0054045A" w:rsidRDefault="0054045A"/>
  </w:endnote>
  <w:endnote w:type="continuationSeparator" w:id="0">
    <w:p w14:paraId="37D34A99" w14:textId="77777777" w:rsidR="0054045A" w:rsidRDefault="0054045A">
      <w:r>
        <w:continuationSeparator/>
      </w:r>
    </w:p>
    <w:p w14:paraId="3FE19B7C" w14:textId="77777777" w:rsidR="0054045A" w:rsidRDefault="00540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2648A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BD2AF2" w14:textId="77777777" w:rsidR="00336C61" w:rsidRDefault="00336C61" w:rsidP="001E230F">
    <w:pPr>
      <w:pStyle w:val="Footer"/>
      <w:ind w:right="360"/>
    </w:pPr>
  </w:p>
  <w:p w14:paraId="33255351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48E8F" w14:textId="1C8F63B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8091B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39889" w14:textId="77777777" w:rsidR="0054045A" w:rsidRDefault="0054045A">
      <w:r>
        <w:separator/>
      </w:r>
    </w:p>
    <w:p w14:paraId="621F90FD" w14:textId="77777777" w:rsidR="0054045A" w:rsidRDefault="0054045A"/>
  </w:footnote>
  <w:footnote w:type="continuationSeparator" w:id="0">
    <w:p w14:paraId="52CEC2EE" w14:textId="77777777" w:rsidR="0054045A" w:rsidRDefault="0054045A">
      <w:r>
        <w:continuationSeparator/>
      </w:r>
    </w:p>
    <w:p w14:paraId="6119147A" w14:textId="77777777" w:rsidR="0054045A" w:rsidRDefault="00540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1473D" w14:textId="4A28CC1D" w:rsidR="00336C61" w:rsidRPr="006D3AC7" w:rsidRDefault="00336C61" w:rsidP="0078091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4D25F436" wp14:editId="4416987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91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C26EBFD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35E3A37"/>
    <w:multiLevelType w:val="multilevel"/>
    <w:tmpl w:val="88B072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0BB6"/>
    <w:rsid w:val="000B0B1A"/>
    <w:rsid w:val="000B2085"/>
    <w:rsid w:val="000B387A"/>
    <w:rsid w:val="000B4E9A"/>
    <w:rsid w:val="000C39AF"/>
    <w:rsid w:val="000C7578"/>
    <w:rsid w:val="000D065F"/>
    <w:rsid w:val="000D17E8"/>
    <w:rsid w:val="000D2C59"/>
    <w:rsid w:val="000D35D9"/>
    <w:rsid w:val="000D67E3"/>
    <w:rsid w:val="000D6F81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4456"/>
    <w:rsid w:val="001469E6"/>
    <w:rsid w:val="001474D7"/>
    <w:rsid w:val="00151824"/>
    <w:rsid w:val="001528A5"/>
    <w:rsid w:val="00157B0D"/>
    <w:rsid w:val="00162D51"/>
    <w:rsid w:val="00176D6F"/>
    <w:rsid w:val="00177B33"/>
    <w:rsid w:val="001819E3"/>
    <w:rsid w:val="00184EF9"/>
    <w:rsid w:val="00191A77"/>
    <w:rsid w:val="00194409"/>
    <w:rsid w:val="001B0F62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1EA9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42F29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11F"/>
    <w:rsid w:val="00513853"/>
    <w:rsid w:val="0052184A"/>
    <w:rsid w:val="00530DD9"/>
    <w:rsid w:val="005320E4"/>
    <w:rsid w:val="00534B83"/>
    <w:rsid w:val="005363E2"/>
    <w:rsid w:val="00536D89"/>
    <w:rsid w:val="0054045A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0220"/>
    <w:rsid w:val="005F18A3"/>
    <w:rsid w:val="00604177"/>
    <w:rsid w:val="006137EC"/>
    <w:rsid w:val="00624C95"/>
    <w:rsid w:val="00625492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96DB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091B"/>
    <w:rsid w:val="00790E8C"/>
    <w:rsid w:val="00795250"/>
    <w:rsid w:val="007A4E1D"/>
    <w:rsid w:val="007B0FBB"/>
    <w:rsid w:val="007B1911"/>
    <w:rsid w:val="007B3E0E"/>
    <w:rsid w:val="007C5802"/>
    <w:rsid w:val="007D4222"/>
    <w:rsid w:val="007D5161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6E30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4A1E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1C86"/>
    <w:rsid w:val="00AD2123"/>
    <w:rsid w:val="00AD3C6C"/>
    <w:rsid w:val="00AD4F04"/>
    <w:rsid w:val="00AE11E8"/>
    <w:rsid w:val="00B00969"/>
    <w:rsid w:val="00B04340"/>
    <w:rsid w:val="00B07A3B"/>
    <w:rsid w:val="00B13748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F13"/>
    <w:rsid w:val="00B847A0"/>
    <w:rsid w:val="00B87BC5"/>
    <w:rsid w:val="00BC6DA7"/>
    <w:rsid w:val="00BD4346"/>
    <w:rsid w:val="00BE051D"/>
    <w:rsid w:val="00BE6874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0EDC"/>
    <w:rsid w:val="00CC29BF"/>
    <w:rsid w:val="00CD426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1202"/>
    <w:rsid w:val="00D712A3"/>
    <w:rsid w:val="00D95C4C"/>
    <w:rsid w:val="00DA117F"/>
    <w:rsid w:val="00DA17FB"/>
    <w:rsid w:val="00DA2C0E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E23"/>
    <w:rsid w:val="00DE66F3"/>
    <w:rsid w:val="00DF0865"/>
    <w:rsid w:val="00DF307B"/>
    <w:rsid w:val="00E24673"/>
    <w:rsid w:val="00E24898"/>
    <w:rsid w:val="00E249C0"/>
    <w:rsid w:val="00E355EE"/>
    <w:rsid w:val="00E44C46"/>
    <w:rsid w:val="00E662CA"/>
    <w:rsid w:val="00E74D7B"/>
    <w:rsid w:val="00E8076C"/>
    <w:rsid w:val="00E8515F"/>
    <w:rsid w:val="00E87DA4"/>
    <w:rsid w:val="00EA15F6"/>
    <w:rsid w:val="00EA1658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52AD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4823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2D25C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onantz@unibas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499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19</TotalTime>
  <Pages>7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8512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8</cp:revision>
  <dcterms:created xsi:type="dcterms:W3CDTF">2020-09-23T08:42:00Z</dcterms:created>
  <dcterms:modified xsi:type="dcterms:W3CDTF">2020-10-06T23:22:00Z</dcterms:modified>
</cp:coreProperties>
</file>