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22A8A" w14:textId="2B019FF5" w:rsidR="007F5CBE" w:rsidRDefault="007F5CBE" w:rsidP="00AD58C9">
      <w:pPr>
        <w:rPr>
          <w:lang w:val="en-US"/>
        </w:rPr>
      </w:pPr>
      <w:r w:rsidRPr="007F5CBE">
        <w:rPr>
          <w:lang w:val="en-US"/>
        </w:rPr>
        <w:t xml:space="preserve">Version considered for the review: </w:t>
      </w:r>
      <w:hyperlink r:id="rId11" w:history="1">
        <w:r w:rsidRPr="00E86E63">
          <w:rPr>
            <w:rStyle w:val="Hyperlink"/>
            <w:lang w:val="en-US"/>
          </w:rPr>
          <w:t>https://www.jove.com/t/61802/cultivating-three-dimensional-reconstructed-human-epidermis-at-large?status=a63808k</w:t>
        </w:r>
      </w:hyperlink>
    </w:p>
    <w:p w14:paraId="2B609EFC" w14:textId="77777777" w:rsidR="007F5CBE" w:rsidRPr="007F5CBE" w:rsidRDefault="007F5CBE" w:rsidP="00AD58C9">
      <w:pPr>
        <w:rPr>
          <w:lang w:val="en-US"/>
        </w:rPr>
      </w:pPr>
    </w:p>
    <w:p w14:paraId="0D302ED2" w14:textId="4C15B01D" w:rsidR="002B20AE" w:rsidRDefault="002B20AE" w:rsidP="00AD58C9">
      <w:pPr>
        <w:rPr>
          <w:lang w:val="en-US"/>
        </w:rPr>
      </w:pPr>
      <w:r w:rsidRPr="002B20AE">
        <w:rPr>
          <w:b/>
          <w:bCs/>
          <w:strike/>
          <w:highlight w:val="green"/>
          <w:lang w:val="en-US"/>
        </w:rPr>
        <w:t>To be deleted</w:t>
      </w:r>
      <w:r>
        <w:rPr>
          <w:lang w:val="en-US"/>
        </w:rPr>
        <w:t xml:space="preserve">           </w:t>
      </w:r>
      <w:r w:rsidRPr="002B20AE">
        <w:rPr>
          <w:b/>
          <w:bCs/>
          <w:highlight w:val="yellow"/>
          <w:lang w:val="en-US"/>
        </w:rPr>
        <w:t>To be added</w:t>
      </w:r>
    </w:p>
    <w:p w14:paraId="49AC537E" w14:textId="77777777" w:rsidR="002B20AE" w:rsidRDefault="002B20AE" w:rsidP="00AD58C9">
      <w:pPr>
        <w:rPr>
          <w:lang w:val="en-US"/>
        </w:rPr>
      </w:pPr>
    </w:p>
    <w:p w14:paraId="71B125AA" w14:textId="0C80F10E" w:rsidR="00AD58C9" w:rsidRDefault="00AD58C9" w:rsidP="00AD58C9">
      <w:pPr>
        <w:rPr>
          <w:lang w:val="en-US"/>
        </w:rPr>
      </w:pPr>
      <w:r>
        <w:rPr>
          <w:lang w:val="en-US"/>
        </w:rPr>
        <w:t>Introduction</w:t>
      </w:r>
    </w:p>
    <w:p w14:paraId="7F23D815" w14:textId="1DABE35C" w:rsidR="00AD58C9" w:rsidRDefault="00AD58C9" w:rsidP="00AD58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§1, Line </w:t>
      </w:r>
      <w:r w:rsidR="0077473D">
        <w:rPr>
          <w:lang w:val="en-US"/>
        </w:rPr>
        <w:t>8</w:t>
      </w:r>
      <w:r>
        <w:rPr>
          <w:lang w:val="en-US"/>
        </w:rPr>
        <w:t xml:space="preserve">: </w:t>
      </w:r>
      <w:r w:rsidR="0077473D" w:rsidRPr="0077473D">
        <w:rPr>
          <w:lang w:val="en-US"/>
        </w:rPr>
        <w:t xml:space="preserve">proliferating keratin-enriched keratinocytes, </w:t>
      </w:r>
      <w:r w:rsidR="0077473D" w:rsidRPr="00AA7077">
        <w:rPr>
          <w:b/>
          <w:bCs/>
          <w:strike/>
          <w:highlight w:val="green"/>
          <w:lang w:val="en-US"/>
        </w:rPr>
        <w:t>which start differentiating to migrate through the SS</w:t>
      </w:r>
      <w:r w:rsidR="007A6D8B">
        <w:rPr>
          <w:b/>
          <w:bCs/>
          <w:lang w:val="en-US"/>
        </w:rPr>
        <w:t xml:space="preserve">   </w:t>
      </w:r>
      <w:r w:rsidR="007A6D8B" w:rsidRPr="000B31D6">
        <w:rPr>
          <w:b/>
          <w:bCs/>
          <w:highlight w:val="yellow"/>
          <w:lang w:val="en-US"/>
        </w:rPr>
        <w:t>which migrate through the SS upon differentiation</w:t>
      </w:r>
    </w:p>
    <w:p w14:paraId="1347E49A" w14:textId="10F4B980" w:rsidR="00B96964" w:rsidRDefault="00B96964" w:rsidP="00AD58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§1, line 10: They consist</w:t>
      </w:r>
      <w:r w:rsidRPr="00AA7077">
        <w:rPr>
          <w:b/>
          <w:bCs/>
          <w:strike/>
          <w:highlight w:val="green"/>
          <w:lang w:val="en-US"/>
        </w:rPr>
        <w:t>s</w:t>
      </w:r>
      <w:r>
        <w:rPr>
          <w:lang w:val="en-US"/>
        </w:rPr>
        <w:t xml:space="preserve"> of lipid precursors </w:t>
      </w:r>
    </w:p>
    <w:p w14:paraId="177D261D" w14:textId="20A32E9D" w:rsidR="00514598" w:rsidRPr="00E42337" w:rsidRDefault="00514598" w:rsidP="00AD58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§1, line 12: </w:t>
      </w:r>
      <w:r>
        <w:rPr>
          <w:rFonts w:ascii="Roboto" w:hAnsi="Roboto"/>
          <w:color w:val="000000"/>
          <w:shd w:val="clear" w:color="auto" w:fill="FFFFFF"/>
        </w:rPr>
        <w:t>the content</w:t>
      </w:r>
      <w:r w:rsidRPr="00514598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s</w:t>
      </w:r>
      <w:r>
        <w:rPr>
          <w:rFonts w:ascii="Roboto" w:hAnsi="Roboto"/>
          <w:color w:val="000000"/>
          <w:shd w:val="clear" w:color="auto" w:fill="FFFFFF"/>
        </w:rPr>
        <w:t xml:space="preserve"> of the lamellar bodies </w:t>
      </w:r>
      <w:r w:rsidRPr="00514598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are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Pr="00514598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is</w:t>
      </w:r>
      <w:r>
        <w:rPr>
          <w:rFonts w:ascii="Roboto" w:hAnsi="Roboto"/>
          <w:color w:val="000000"/>
          <w:shd w:val="clear" w:color="auto" w:fill="FFFFFF"/>
        </w:rPr>
        <w:t xml:space="preserve"> extruded</w:t>
      </w:r>
    </w:p>
    <w:p w14:paraId="2F4010B2" w14:textId="468DB9E9" w:rsidR="00E42337" w:rsidRDefault="008F405A" w:rsidP="00AD58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Roboto" w:hAnsi="Roboto"/>
          <w:color w:val="000000"/>
          <w:shd w:val="clear" w:color="auto" w:fill="FFFFFF"/>
        </w:rPr>
        <w:t xml:space="preserve">§1, line 14: They </w:t>
      </w:r>
      <w:r w:rsidRPr="008F405A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become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Pr="008F405A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are</w:t>
      </w:r>
      <w:r>
        <w:rPr>
          <w:rFonts w:ascii="Roboto" w:hAnsi="Roboto"/>
          <w:color w:val="000000"/>
          <w:shd w:val="clear" w:color="auto" w:fill="FFFFFF"/>
        </w:rPr>
        <w:t xml:space="preserve"> surrounded</w:t>
      </w:r>
    </w:p>
    <w:p w14:paraId="5C7B4E71" w14:textId="0DB332F7" w:rsidR="009B4E6D" w:rsidRPr="00F763C0" w:rsidRDefault="00BA6F62" w:rsidP="00AD58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$3, Line </w:t>
      </w:r>
      <w:r w:rsidR="001C1ABA">
        <w:rPr>
          <w:lang w:val="en-US"/>
        </w:rPr>
        <w:t>3</w:t>
      </w:r>
      <w:r>
        <w:rPr>
          <w:lang w:val="en-US"/>
        </w:rPr>
        <w:t xml:space="preserve">: </w:t>
      </w:r>
      <w:r w:rsidR="00024A36">
        <w:rPr>
          <w:rFonts w:ascii="Roboto" w:hAnsi="Roboto"/>
          <w:color w:val="000000"/>
          <w:shd w:val="clear" w:color="auto" w:fill="FFFFFF"/>
        </w:rPr>
        <w:t xml:space="preserve">to follow the 3R </w:t>
      </w:r>
      <w:r w:rsidR="00024A36" w:rsidRPr="00024A36">
        <w:rPr>
          <w:rFonts w:ascii="Roboto" w:hAnsi="Roboto"/>
          <w:color w:val="000000"/>
          <w:shd w:val="clear" w:color="auto" w:fill="FFFFFF"/>
        </w:rPr>
        <w:t>principle</w:t>
      </w:r>
      <w:r w:rsidR="00024A36" w:rsidRPr="00024A36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s</w:t>
      </w:r>
    </w:p>
    <w:p w14:paraId="2EB6DC6A" w14:textId="77215D7B" w:rsidR="00F763C0" w:rsidRPr="00A04496" w:rsidRDefault="00F763C0" w:rsidP="00AD58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Roboto" w:hAnsi="Roboto"/>
          <w:color w:val="000000"/>
          <w:shd w:val="clear" w:color="auto" w:fill="FFFFFF"/>
        </w:rPr>
        <w:t xml:space="preserve">§5, Line 2: </w:t>
      </w:r>
      <w:r w:rsidR="004E6B93">
        <w:rPr>
          <w:rFonts w:ascii="Roboto" w:hAnsi="Roboto"/>
          <w:color w:val="000000"/>
          <w:shd w:val="clear" w:color="auto" w:fill="FFFFFF"/>
        </w:rPr>
        <w:t xml:space="preserve">both the quality and relevance of a </w:t>
      </w:r>
      <w:r w:rsidR="004E6B93" w:rsidRPr="004E6B93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3D</w:t>
      </w:r>
      <w:r w:rsidR="004E6B93">
        <w:rPr>
          <w:rFonts w:ascii="Roboto" w:hAnsi="Roboto"/>
          <w:color w:val="000000"/>
          <w:shd w:val="clear" w:color="auto" w:fill="FFFFFF"/>
        </w:rPr>
        <w:t xml:space="preserve"> RhE</w:t>
      </w:r>
    </w:p>
    <w:p w14:paraId="560C3E07" w14:textId="24EE6D41" w:rsidR="00A04496" w:rsidRPr="00C7414B" w:rsidRDefault="00A04496" w:rsidP="00AD58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Roboto" w:hAnsi="Roboto"/>
          <w:color w:val="000000"/>
          <w:shd w:val="clear" w:color="auto" w:fill="FFFFFF"/>
        </w:rPr>
        <w:t xml:space="preserve">§5, Line 12: </w:t>
      </w:r>
      <w:r w:rsidR="00FE7B56">
        <w:rPr>
          <w:rFonts w:ascii="Roboto" w:hAnsi="Roboto"/>
          <w:color w:val="000000"/>
          <w:shd w:val="clear" w:color="auto" w:fill="FFFFFF"/>
        </w:rPr>
        <w:t xml:space="preserve">and </w:t>
      </w:r>
      <w:r w:rsidR="00FE7B56" w:rsidRPr="00FE7B56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the</w:t>
      </w:r>
      <w:r w:rsidR="00FE7B56"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Fonts w:ascii="Roboto" w:hAnsi="Roboto"/>
          <w:color w:val="000000"/>
          <w:shd w:val="clear" w:color="auto" w:fill="FFFFFF"/>
        </w:rPr>
        <w:t xml:space="preserve">culture </w:t>
      </w:r>
      <w:r w:rsidRPr="00FE7B56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conditions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Pr="00FE7B56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process</w:t>
      </w:r>
      <w:r>
        <w:rPr>
          <w:rFonts w:ascii="Roboto" w:hAnsi="Roboto"/>
          <w:color w:val="000000"/>
          <w:shd w:val="clear" w:color="auto" w:fill="FFFFFF"/>
        </w:rPr>
        <w:t xml:space="preserve"> continue</w:t>
      </w:r>
      <w:r w:rsidR="00FE7B56" w:rsidRPr="00FE7B56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s</w:t>
      </w:r>
      <w:r>
        <w:rPr>
          <w:rFonts w:ascii="Roboto" w:hAnsi="Roboto"/>
          <w:color w:val="000000"/>
          <w:shd w:val="clear" w:color="auto" w:fill="FFFFFF"/>
        </w:rPr>
        <w:t xml:space="preserve"> at the air-liquid interface</w:t>
      </w:r>
    </w:p>
    <w:p w14:paraId="69E216E6" w14:textId="6366A220" w:rsidR="00C7414B" w:rsidRPr="005011B6" w:rsidRDefault="00C7414B" w:rsidP="00AD58C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Roboto" w:hAnsi="Roboto"/>
          <w:color w:val="000000"/>
          <w:shd w:val="clear" w:color="auto" w:fill="FFFFFF"/>
        </w:rPr>
        <w:t xml:space="preserve">§5, Line 15: formation of an appropriate SC lipid barrier, closely resembling </w:t>
      </w:r>
      <w:r w:rsidRPr="00810D31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that of</w:t>
      </w:r>
      <w:r>
        <w:rPr>
          <w:rFonts w:ascii="Roboto" w:hAnsi="Roboto"/>
          <w:color w:val="000000"/>
          <w:shd w:val="clear" w:color="auto" w:fill="FFFFFF"/>
        </w:rPr>
        <w:t xml:space="preserve"> the the</w:t>
      </w:r>
      <w:r w:rsidR="003D5220">
        <w:rPr>
          <w:rFonts w:ascii="Roboto" w:hAnsi="Roboto"/>
          <w:color w:val="000000"/>
          <w:shd w:val="clear" w:color="auto" w:fill="FFFFFF"/>
        </w:rPr>
        <w:t xml:space="preserve"> </w:t>
      </w:r>
      <w:r w:rsidR="003D5220" w:rsidRPr="00DA072B">
        <w:rPr>
          <w:rFonts w:ascii="Roboto" w:hAnsi="Roboto"/>
          <w:b/>
          <w:color w:val="000000"/>
          <w:sz w:val="24"/>
          <w:highlight w:val="yellow"/>
          <w:shd w:val="clear" w:color="auto" w:fill="FFFFFF"/>
        </w:rPr>
        <w:t>native</w:t>
      </w:r>
      <w:r>
        <w:rPr>
          <w:rFonts w:ascii="Roboto" w:hAnsi="Roboto"/>
          <w:color w:val="000000"/>
          <w:shd w:val="clear" w:color="auto" w:fill="FFFFFF"/>
        </w:rPr>
        <w:t xml:space="preserve"> human </w:t>
      </w:r>
      <w:r w:rsidRPr="00967DC3">
        <w:rPr>
          <w:rFonts w:ascii="Roboto" w:hAnsi="Roboto"/>
          <w:b/>
          <w:strike/>
          <w:color w:val="000000"/>
          <w:sz w:val="24"/>
          <w:highlight w:val="green"/>
          <w:shd w:val="clear" w:color="auto" w:fill="FFFFFF"/>
        </w:rPr>
        <w:t>native</w:t>
      </w:r>
      <w:r>
        <w:rPr>
          <w:rFonts w:ascii="Roboto" w:hAnsi="Roboto"/>
          <w:color w:val="000000"/>
          <w:shd w:val="clear" w:color="auto" w:fill="FFFFFF"/>
        </w:rPr>
        <w:t xml:space="preserve"> skin</w:t>
      </w:r>
    </w:p>
    <w:p w14:paraId="5FCA3353" w14:textId="2AA5FD08" w:rsidR="00D305FD" w:rsidRDefault="00D305FD" w:rsidP="00D305FD">
      <w:pPr>
        <w:rPr>
          <w:lang w:val="en-US"/>
        </w:rPr>
      </w:pPr>
      <w:r>
        <w:rPr>
          <w:lang w:val="en-US"/>
        </w:rPr>
        <w:t>Protocol</w:t>
      </w:r>
    </w:p>
    <w:p w14:paraId="5F03FB28" w14:textId="1CF779A3" w:rsidR="00E82B85" w:rsidRDefault="00E82B85" w:rsidP="00D305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Table 1</w:t>
      </w:r>
      <w:r w:rsidR="003C7754">
        <w:rPr>
          <w:lang w:val="en-US"/>
        </w:rPr>
        <w:t>, 1</w:t>
      </w:r>
      <w:r w:rsidR="003C7754" w:rsidRPr="003C7754">
        <w:rPr>
          <w:vertAlign w:val="superscript"/>
          <w:lang w:val="en-US"/>
        </w:rPr>
        <w:t>st</w:t>
      </w:r>
      <w:r w:rsidR="003C7754">
        <w:rPr>
          <w:lang w:val="en-US"/>
        </w:rPr>
        <w:t xml:space="preserve"> column, 4</w:t>
      </w:r>
      <w:r w:rsidR="003C7754" w:rsidRPr="003C7754">
        <w:rPr>
          <w:vertAlign w:val="superscript"/>
          <w:lang w:val="en-US"/>
        </w:rPr>
        <w:t>th</w:t>
      </w:r>
      <w:r w:rsidR="003C7754">
        <w:rPr>
          <w:lang w:val="en-US"/>
        </w:rPr>
        <w:t xml:space="preserve"> row: Air-liquid </w:t>
      </w:r>
      <w:r w:rsidR="003C7754" w:rsidRPr="003C7754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 xml:space="preserve">interface </w:t>
      </w:r>
      <w:r w:rsidR="003C7754">
        <w:rPr>
          <w:lang w:val="en-US"/>
        </w:rPr>
        <w:t>medium</w:t>
      </w:r>
    </w:p>
    <w:p w14:paraId="6A310B61" w14:textId="52A8A55D" w:rsidR="00E73CEF" w:rsidRDefault="00E73CEF" w:rsidP="00D305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Step 1.1.2.: </w:t>
      </w:r>
      <w:r w:rsidR="00B00DDB" w:rsidRPr="00B00DDB">
        <w:rPr>
          <w:lang w:val="en-US"/>
        </w:rPr>
        <w:t>Add 5 mL of 100x antibiotic-antimycoti</w:t>
      </w:r>
      <w:r w:rsidR="00B00DDB">
        <w:rPr>
          <w:lang w:val="en-US"/>
        </w:rPr>
        <w:t xml:space="preserve">c </w:t>
      </w:r>
      <w:r w:rsidR="00B00DDB" w:rsidRPr="00B00DDB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solution</w:t>
      </w:r>
      <w:r w:rsidR="00F66D75" w:rsidRPr="001143D6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 xml:space="preserve"> contain</w:t>
      </w:r>
      <w:r w:rsidR="001143D6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ing</w:t>
      </w:r>
      <w:r w:rsidR="00F66D75" w:rsidRPr="001143D6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 xml:space="preserve"> 10,000 units/mL of penicillin, 10,000 µg/mL of streptomycin, and 25 µg/mL of </w:t>
      </w:r>
      <w:r w:rsidR="001143D6" w:rsidRPr="001143D6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a</w:t>
      </w:r>
      <w:r w:rsidR="00F66D75" w:rsidRPr="001143D6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mphotericin B</w:t>
      </w:r>
      <w:r w:rsidR="00B00DDB" w:rsidRPr="00B00DDB">
        <w:rPr>
          <w:rFonts w:ascii="Roboto" w:hAnsi="Roboto"/>
          <w:color w:val="000000"/>
          <w:shd w:val="clear" w:color="auto" w:fill="FFFFFF"/>
        </w:rPr>
        <w:t>.</w:t>
      </w:r>
    </w:p>
    <w:p w14:paraId="6E2FE1B7" w14:textId="331E3A72" w:rsidR="00A44699" w:rsidRDefault="00A44699" w:rsidP="00D305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Step 1.</w:t>
      </w:r>
      <w:r w:rsidR="00715853">
        <w:rPr>
          <w:lang w:val="en-US"/>
        </w:rPr>
        <w:t>2</w:t>
      </w:r>
      <w:r>
        <w:rPr>
          <w:lang w:val="en-US"/>
        </w:rPr>
        <w:t xml:space="preserve">.2.: </w:t>
      </w:r>
      <w:r w:rsidRPr="00B00DDB">
        <w:rPr>
          <w:lang w:val="en-US"/>
        </w:rPr>
        <w:t>Add 5 mL of 100x antibiotic-antimycoti</w:t>
      </w:r>
      <w:r>
        <w:rPr>
          <w:lang w:val="en-US"/>
        </w:rPr>
        <w:t xml:space="preserve">c </w:t>
      </w:r>
      <w:r w:rsidRPr="00B00DDB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solution</w:t>
      </w:r>
      <w:r w:rsidR="00715853">
        <w:rPr>
          <w:rFonts w:ascii="Roboto" w:hAnsi="Roboto"/>
          <w:b/>
          <w:bCs/>
          <w:color w:val="000000"/>
          <w:shd w:val="clear" w:color="auto" w:fill="FFFFFF"/>
        </w:rPr>
        <w:t>.</w:t>
      </w:r>
    </w:p>
    <w:p w14:paraId="610E15BB" w14:textId="7267DC85" w:rsidR="00677639" w:rsidRDefault="00677639" w:rsidP="00D305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Step 1.2.3.: </w:t>
      </w:r>
      <w:r w:rsidR="00D15596">
        <w:rPr>
          <w:rFonts w:ascii="Roboto" w:hAnsi="Roboto"/>
          <w:color w:val="000000"/>
          <w:shd w:val="clear" w:color="auto" w:fill="FFFFFF"/>
        </w:rPr>
        <w:t>Add 5 mL of a 0.144 M CaCl</w:t>
      </w:r>
      <w:r w:rsidR="00D15596">
        <w:rPr>
          <w:rFonts w:ascii="&amp;quot" w:hAnsi="&amp;quot"/>
          <w:color w:val="000000"/>
          <w:sz w:val="18"/>
          <w:szCs w:val="18"/>
          <w:vertAlign w:val="subscript"/>
        </w:rPr>
        <w:t>2</w:t>
      </w:r>
      <w:r w:rsidR="00D15596">
        <w:rPr>
          <w:rFonts w:ascii="Roboto" w:hAnsi="Roboto"/>
          <w:color w:val="000000"/>
          <w:shd w:val="clear" w:color="auto" w:fill="FFFFFF"/>
        </w:rPr>
        <w:t xml:space="preserve"> </w:t>
      </w:r>
      <w:r w:rsidR="00D15596" w:rsidRPr="00D15596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(calcium chloride)</w:t>
      </w:r>
      <w:r w:rsidR="00D15596">
        <w:rPr>
          <w:rFonts w:ascii="Roboto" w:hAnsi="Roboto"/>
          <w:color w:val="000000"/>
          <w:shd w:val="clear" w:color="auto" w:fill="FFFFFF"/>
        </w:rPr>
        <w:t xml:space="preserve"> stock solution</w:t>
      </w:r>
    </w:p>
    <w:p w14:paraId="53DB9AAE" w14:textId="37287D37" w:rsidR="00D15596" w:rsidRDefault="00D15596" w:rsidP="00D1559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Step 1.3.2.: </w:t>
      </w:r>
      <w:r w:rsidRPr="00B00DDB">
        <w:rPr>
          <w:lang w:val="en-US"/>
        </w:rPr>
        <w:t>Add 5 mL of 100x antibiotic-antimycoti</w:t>
      </w:r>
      <w:r>
        <w:rPr>
          <w:lang w:val="en-US"/>
        </w:rPr>
        <w:t xml:space="preserve">c </w:t>
      </w:r>
      <w:r w:rsidRPr="00B00DDB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solution</w:t>
      </w:r>
      <w:r>
        <w:rPr>
          <w:rFonts w:ascii="Roboto" w:hAnsi="Roboto"/>
          <w:b/>
          <w:bCs/>
          <w:color w:val="000000"/>
          <w:shd w:val="clear" w:color="auto" w:fill="FFFFFF"/>
        </w:rPr>
        <w:t>.</w:t>
      </w:r>
    </w:p>
    <w:p w14:paraId="2F7EE339" w14:textId="794A7250" w:rsidR="00393454" w:rsidRPr="00393454" w:rsidRDefault="00393454" w:rsidP="00393454">
      <w:pPr>
        <w:pStyle w:val="ListParagraph"/>
        <w:numPr>
          <w:ilvl w:val="0"/>
          <w:numId w:val="1"/>
        </w:numPr>
        <w:rPr>
          <w:lang w:val="en-US"/>
        </w:rPr>
      </w:pPr>
      <w:r w:rsidRPr="00393454">
        <w:rPr>
          <w:lang w:val="en-US"/>
        </w:rPr>
        <w:t xml:space="preserve">Step 3, note: </w:t>
      </w:r>
      <w:r>
        <w:rPr>
          <w:rFonts w:ascii="Roboto" w:hAnsi="Roboto"/>
          <w:color w:val="000000"/>
          <w:shd w:val="clear" w:color="auto" w:fill="FFFFFF"/>
        </w:rPr>
        <w:t xml:space="preserve">This protocol is designed for use within a 24-well </w:t>
      </w:r>
      <w:r w:rsidR="00B37641" w:rsidRPr="00B37641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carrier</w:t>
      </w:r>
      <w:r w:rsidR="00B37641"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Fonts w:ascii="Roboto" w:hAnsi="Roboto"/>
          <w:color w:val="000000"/>
          <w:shd w:val="clear" w:color="auto" w:fill="FFFFFF"/>
        </w:rPr>
        <w:t>plate format. If other plate formats are required (e.g., 12-well or 6-well format), optimization</w:t>
      </w:r>
      <w:r w:rsidR="00B37641" w:rsidRPr="00F06F7E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s</w:t>
      </w:r>
      <w:r w:rsidR="00B37641">
        <w:rPr>
          <w:rFonts w:ascii="Roboto" w:hAnsi="Roboto"/>
          <w:color w:val="000000"/>
          <w:shd w:val="clear" w:color="auto" w:fill="FFFFFF"/>
        </w:rPr>
        <w:t xml:space="preserve"> </w:t>
      </w:r>
      <w:r w:rsidR="00B37641" w:rsidRPr="00F06F7E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 xml:space="preserve">in the seeding </w:t>
      </w:r>
      <w:r w:rsidR="00F06F7E" w:rsidRPr="00F06F7E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 xml:space="preserve">density and medium volume </w:t>
      </w:r>
      <w:r w:rsidR="003D5220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should</w:t>
      </w:r>
      <w:r w:rsidR="0000252C" w:rsidRPr="0000252C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 xml:space="preserve"> be considered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Pr="00F06F7E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to adapt for the correct seeding density is</w:t>
      </w:r>
      <w:r w:rsidRPr="0000252C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 xml:space="preserve"> necessary</w:t>
      </w:r>
    </w:p>
    <w:p w14:paraId="68349349" w14:textId="20FFCFD6" w:rsidR="00B56CCA" w:rsidRDefault="005C0843" w:rsidP="00D305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Figure 1, </w:t>
      </w:r>
      <w:r w:rsidR="00AE6AD9">
        <w:rPr>
          <w:lang w:val="en-US"/>
        </w:rPr>
        <w:t>title</w:t>
      </w:r>
      <w:r>
        <w:rPr>
          <w:lang w:val="en-US"/>
        </w:rPr>
        <w:t xml:space="preserve">: </w:t>
      </w:r>
      <w:r w:rsidR="00E8638E">
        <w:rPr>
          <w:lang w:val="en-US"/>
        </w:rPr>
        <w:t>S</w:t>
      </w:r>
      <w:r w:rsidR="00E8638E" w:rsidRPr="00E8638E">
        <w:rPr>
          <w:lang w:val="en-US"/>
        </w:rPr>
        <w:t xml:space="preserve">chematic timeline of the </w:t>
      </w:r>
      <w:r w:rsidR="00E8638E" w:rsidRPr="00E8638E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reconstitution</w:t>
      </w:r>
      <w:r w:rsidR="00E8638E">
        <w:rPr>
          <w:lang w:val="en-US"/>
        </w:rPr>
        <w:t xml:space="preserve"> </w:t>
      </w:r>
      <w:r w:rsidR="00E8638E" w:rsidRPr="00E8638E">
        <w:rPr>
          <w:lang w:val="en-US"/>
        </w:rPr>
        <w:t xml:space="preserve">protocol. Presentation of the </w:t>
      </w:r>
      <w:r w:rsidR="00E8638E" w:rsidRPr="00E8638E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 xml:space="preserve">3D </w:t>
      </w:r>
      <w:r w:rsidR="00E8638E" w:rsidRPr="00E8638E">
        <w:rPr>
          <w:lang w:val="en-US"/>
        </w:rPr>
        <w:t>RhE model preparation</w:t>
      </w:r>
    </w:p>
    <w:p w14:paraId="1DC5F24A" w14:textId="177A87E2" w:rsidR="00B617DA" w:rsidRPr="00DE7D8B" w:rsidRDefault="00B617DA" w:rsidP="00D305FD">
      <w:pPr>
        <w:pStyle w:val="ListParagraph"/>
        <w:numPr>
          <w:ilvl w:val="0"/>
          <w:numId w:val="1"/>
        </w:numPr>
        <w:rPr>
          <w:lang w:val="fr-BE"/>
        </w:rPr>
      </w:pPr>
      <w:r w:rsidRPr="00DE7D8B">
        <w:rPr>
          <w:lang w:val="fr-BE"/>
        </w:rPr>
        <w:t xml:space="preserve">Figure 1: </w:t>
      </w:r>
      <w:r w:rsidR="00DE7D8B" w:rsidRPr="00DE7D8B">
        <w:rPr>
          <w:lang w:val="fr-BE"/>
        </w:rPr>
        <w:t xml:space="preserve">+ 50 µg/mL </w:t>
      </w:r>
      <w:r w:rsidR="00DE7D8B" w:rsidRPr="00DE7D8B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vitamin C</w:t>
      </w:r>
      <w:r w:rsidR="00DE7D8B">
        <w:rPr>
          <w:lang w:val="fr-BE"/>
        </w:rPr>
        <w:t xml:space="preserve"> </w:t>
      </w:r>
      <w:r w:rsidR="00DE7D8B" w:rsidRPr="00DE7D8B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ascorbic acid</w:t>
      </w:r>
    </w:p>
    <w:p w14:paraId="0D98FA0B" w14:textId="2D39F47B" w:rsidR="00F346A0" w:rsidRDefault="00F346A0" w:rsidP="00D305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Step 3.19</w:t>
      </w:r>
      <w:r w:rsidR="00D016DA">
        <w:rPr>
          <w:lang w:val="en-US"/>
        </w:rPr>
        <w:t xml:space="preserve">: </w:t>
      </w:r>
      <w:r w:rsidR="00D016DA" w:rsidRPr="00D016DA">
        <w:rPr>
          <w:lang w:val="en-US"/>
        </w:rPr>
        <w:t xml:space="preserve">The cells </w:t>
      </w:r>
      <w:r w:rsidR="00D016DA" w:rsidRPr="00D016DA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remain</w:t>
      </w:r>
      <w:r w:rsidR="00D016DA" w:rsidRPr="00D016DA">
        <w:rPr>
          <w:lang w:val="en-US"/>
        </w:rPr>
        <w:t xml:space="preserve"> </w:t>
      </w:r>
      <w:r w:rsidR="00D016DA" w:rsidRPr="00D016DA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are maintained</w:t>
      </w:r>
      <w:r w:rsidR="00D016DA">
        <w:rPr>
          <w:lang w:val="en-US"/>
        </w:rPr>
        <w:t xml:space="preserve"> </w:t>
      </w:r>
      <w:r w:rsidR="00D016DA" w:rsidRPr="00D016DA">
        <w:rPr>
          <w:lang w:val="en-US"/>
        </w:rPr>
        <w:t>in submerged conditions for three days</w:t>
      </w:r>
    </w:p>
    <w:p w14:paraId="3B302A80" w14:textId="261A7C3F" w:rsidR="00EC3514" w:rsidRDefault="008C7D12" w:rsidP="00D305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Step 4.1</w:t>
      </w:r>
      <w:r w:rsidR="00EC3514">
        <w:rPr>
          <w:lang w:val="en-US"/>
        </w:rPr>
        <w:t xml:space="preserve">: </w:t>
      </w:r>
      <w:r w:rsidR="00EC3514" w:rsidRPr="00F85EE7">
        <w:rPr>
          <w:lang w:val="en-US"/>
        </w:rPr>
        <w:t>membrane surface</w:t>
      </w:r>
      <w:r w:rsidR="00EC3514" w:rsidRPr="00EC3514">
        <w:rPr>
          <w:lang w:val="en-US"/>
        </w:rPr>
        <w:t xml:space="preserve"> to the ALI by </w:t>
      </w:r>
      <w:r w:rsidR="00EC3514" w:rsidRPr="00EC3514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removal of</w:t>
      </w:r>
      <w:r w:rsidR="00EC3514" w:rsidRPr="00EC3514">
        <w:rPr>
          <w:lang w:val="en-US"/>
        </w:rPr>
        <w:t xml:space="preserve"> </w:t>
      </w:r>
      <w:r w:rsidR="00EC3514" w:rsidRPr="00EC3514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 xml:space="preserve">removing </w:t>
      </w:r>
      <w:r w:rsidR="00EC3514" w:rsidRPr="00EC3514">
        <w:rPr>
          <w:lang w:val="en-US"/>
        </w:rPr>
        <w:t xml:space="preserve">the submerged medium from the apical compartment </w:t>
      </w:r>
      <w:r w:rsidR="00077CA1" w:rsidRPr="00077CA1">
        <w:rPr>
          <w:b/>
          <w:bCs/>
          <w:highlight w:val="yellow"/>
          <w:lang w:val="en-US"/>
        </w:rPr>
        <w:t>preferably</w:t>
      </w:r>
      <w:r w:rsidR="00077CA1">
        <w:rPr>
          <w:lang w:val="en-US"/>
        </w:rPr>
        <w:t xml:space="preserve"> </w:t>
      </w:r>
      <w:r w:rsidR="00EC3514" w:rsidRPr="00EC3514">
        <w:rPr>
          <w:lang w:val="en-US"/>
        </w:rPr>
        <w:t>using an aspiration system and a glass Pasteur pipette.</w:t>
      </w:r>
    </w:p>
    <w:p w14:paraId="46BD1BE6" w14:textId="043DD5E4" w:rsidR="003510D2" w:rsidRDefault="003510D2" w:rsidP="00D305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Step 4.</w:t>
      </w:r>
      <w:r w:rsidR="00711432">
        <w:rPr>
          <w:lang w:val="en-US"/>
        </w:rPr>
        <w:t>5</w:t>
      </w:r>
      <w:r>
        <w:rPr>
          <w:lang w:val="en-US"/>
        </w:rPr>
        <w:t xml:space="preserve">: </w:t>
      </w:r>
      <w:r w:rsidRPr="003510D2">
        <w:rPr>
          <w:lang w:val="en-US"/>
        </w:rPr>
        <w:t xml:space="preserve">If </w:t>
      </w:r>
      <w:r w:rsidRPr="00391708">
        <w:rPr>
          <w:lang w:val="en-US"/>
        </w:rPr>
        <w:t>the leakage persist</w:t>
      </w:r>
      <w:r w:rsidRPr="008A56CE">
        <w:rPr>
          <w:rFonts w:ascii="Roboto" w:hAnsi="Roboto"/>
          <w:b/>
          <w:bCs/>
          <w:color w:val="000000"/>
          <w:highlight w:val="yellow"/>
          <w:shd w:val="clear" w:color="auto" w:fill="FFFFFF"/>
        </w:rPr>
        <w:t>s</w:t>
      </w:r>
      <w:r w:rsidRPr="00391708">
        <w:rPr>
          <w:lang w:val="en-US"/>
        </w:rPr>
        <w:t>, it is recommended to discard leaking tissues as it is an indication</w:t>
      </w:r>
    </w:p>
    <w:p w14:paraId="74B6062C" w14:textId="48D259C0" w:rsidR="00395998" w:rsidRPr="00FA68E7" w:rsidRDefault="006E3459" w:rsidP="00FA68E7">
      <w:pPr>
        <w:pStyle w:val="ListParagraph"/>
        <w:numPr>
          <w:ilvl w:val="0"/>
          <w:numId w:val="1"/>
        </w:numPr>
        <w:rPr>
          <w:b/>
          <w:bCs/>
          <w:highlight w:val="yellow"/>
          <w:lang w:val="en-US"/>
        </w:rPr>
      </w:pPr>
      <w:r>
        <w:rPr>
          <w:lang w:val="en-US"/>
        </w:rPr>
        <w:t xml:space="preserve">Step 4.6: </w:t>
      </w:r>
      <w:r w:rsidR="00FA68E7">
        <w:rPr>
          <w:b/>
          <w:bCs/>
          <w:highlight w:val="yellow"/>
          <w:lang w:val="en-US"/>
        </w:rPr>
        <w:t>A</w:t>
      </w:r>
      <w:r w:rsidR="006F1767" w:rsidRPr="002971BE">
        <w:rPr>
          <w:b/>
          <w:bCs/>
          <w:highlight w:val="yellow"/>
          <w:lang w:val="en-US"/>
        </w:rPr>
        <w:t>t the end of the reconstitution process</w:t>
      </w:r>
      <w:r w:rsidR="00055509" w:rsidRPr="002971BE">
        <w:rPr>
          <w:b/>
          <w:bCs/>
          <w:highlight w:val="yellow"/>
          <w:lang w:val="en-US"/>
        </w:rPr>
        <w:t xml:space="preserve">, </w:t>
      </w:r>
      <w:r w:rsidR="003D5220">
        <w:rPr>
          <w:b/>
          <w:bCs/>
          <w:highlight w:val="yellow"/>
          <w:lang w:val="en-US"/>
        </w:rPr>
        <w:t xml:space="preserve">the </w:t>
      </w:r>
      <w:r w:rsidR="00055509" w:rsidRPr="002971BE">
        <w:rPr>
          <w:b/>
          <w:bCs/>
          <w:highlight w:val="yellow"/>
          <w:lang w:val="en-US"/>
        </w:rPr>
        <w:t>tissues can be exposed to various stressors</w:t>
      </w:r>
      <w:r w:rsidR="00737C01" w:rsidRPr="002971BE">
        <w:rPr>
          <w:b/>
          <w:bCs/>
          <w:highlight w:val="yellow"/>
          <w:lang w:val="en-US"/>
        </w:rPr>
        <w:t xml:space="preserve"> </w:t>
      </w:r>
      <w:r w:rsidR="00E370D9" w:rsidRPr="002971BE">
        <w:rPr>
          <w:b/>
          <w:bCs/>
          <w:highlight w:val="yellow"/>
          <w:lang w:val="en-US"/>
        </w:rPr>
        <w:t>to induce for example oxidative stress or inflammation. In parallel</w:t>
      </w:r>
      <w:r w:rsidR="00FA68E7">
        <w:rPr>
          <w:b/>
          <w:bCs/>
          <w:highlight w:val="yellow"/>
          <w:lang w:val="en-US"/>
        </w:rPr>
        <w:t>,</w:t>
      </w:r>
      <w:r w:rsidR="00E370D9" w:rsidRPr="002971BE">
        <w:rPr>
          <w:b/>
          <w:bCs/>
          <w:highlight w:val="yellow"/>
          <w:lang w:val="en-US"/>
        </w:rPr>
        <w:t xml:space="preserve"> they can be treated with chem</w:t>
      </w:r>
      <w:r w:rsidR="00821760" w:rsidRPr="002971BE">
        <w:rPr>
          <w:b/>
          <w:bCs/>
          <w:highlight w:val="yellow"/>
          <w:lang w:val="en-US"/>
        </w:rPr>
        <w:t xml:space="preserve">ical </w:t>
      </w:r>
      <w:r w:rsidR="00821760" w:rsidRPr="00BB07F4">
        <w:rPr>
          <w:b/>
          <w:bCs/>
          <w:highlight w:val="yellow"/>
          <w:lang w:val="en-US"/>
        </w:rPr>
        <w:t>compounds or cosmetic ingredients.</w:t>
      </w:r>
      <w:r w:rsidR="00FA68E7" w:rsidRPr="00BB07F4" w:rsidDel="00FA68E7">
        <w:rPr>
          <w:b/>
          <w:bCs/>
          <w:highlight w:val="yellow"/>
          <w:lang w:val="en-US"/>
        </w:rPr>
        <w:t xml:space="preserve"> </w:t>
      </w:r>
      <w:r w:rsidR="00B62BE1" w:rsidRPr="00FA68E7">
        <w:rPr>
          <w:b/>
          <w:bCs/>
          <w:highlight w:val="yellow"/>
          <w:lang w:val="en-US"/>
        </w:rPr>
        <w:t>NOTE:</w:t>
      </w:r>
      <w:r w:rsidR="006B5E82" w:rsidRPr="00FA68E7">
        <w:rPr>
          <w:b/>
          <w:bCs/>
          <w:highlight w:val="yellow"/>
          <w:lang w:val="en-US"/>
        </w:rPr>
        <w:t xml:space="preserve"> </w:t>
      </w:r>
      <w:r w:rsidR="00FA68E7" w:rsidRPr="00FA68E7">
        <w:rPr>
          <w:b/>
          <w:bCs/>
          <w:highlight w:val="yellow"/>
          <w:lang w:val="en-US"/>
        </w:rPr>
        <w:t xml:space="preserve">During the exposure/treatment, tissues are usually maintained in submerged medium starting from ALI </w:t>
      </w:r>
      <w:r w:rsidR="000524CC">
        <w:rPr>
          <w:b/>
          <w:bCs/>
          <w:highlight w:val="yellow"/>
          <w:lang w:val="en-US"/>
        </w:rPr>
        <w:t>D</w:t>
      </w:r>
      <w:r w:rsidR="000524CC" w:rsidRPr="00FA68E7">
        <w:rPr>
          <w:b/>
          <w:bCs/>
          <w:highlight w:val="yellow"/>
          <w:lang w:val="en-US"/>
        </w:rPr>
        <w:t>14</w:t>
      </w:r>
      <w:r w:rsidR="00FA68E7" w:rsidRPr="00FA68E7">
        <w:rPr>
          <w:b/>
          <w:bCs/>
          <w:highlight w:val="yellow"/>
          <w:lang w:val="en-US"/>
        </w:rPr>
        <w:t xml:space="preserve">. </w:t>
      </w:r>
      <w:r w:rsidR="00FA68E7">
        <w:rPr>
          <w:b/>
          <w:bCs/>
          <w:highlight w:val="yellow"/>
          <w:lang w:val="en-US"/>
        </w:rPr>
        <w:t xml:space="preserve">When </w:t>
      </w:r>
      <w:r w:rsidR="00775912">
        <w:rPr>
          <w:b/>
          <w:bCs/>
          <w:highlight w:val="yellow"/>
          <w:lang w:val="en-US"/>
        </w:rPr>
        <w:t>tissues are expected to be exposed</w:t>
      </w:r>
      <w:r w:rsidR="003C3320">
        <w:rPr>
          <w:b/>
          <w:bCs/>
          <w:highlight w:val="yellow"/>
          <w:lang w:val="en-US"/>
        </w:rPr>
        <w:t xml:space="preserve">/treated for a long period of </w:t>
      </w:r>
      <w:r w:rsidR="00587A3E">
        <w:rPr>
          <w:b/>
          <w:bCs/>
          <w:highlight w:val="yellow"/>
          <w:lang w:val="en-US"/>
        </w:rPr>
        <w:t xml:space="preserve">time </w:t>
      </w:r>
      <w:r w:rsidR="00FA68E7">
        <w:rPr>
          <w:b/>
          <w:bCs/>
          <w:highlight w:val="yellow"/>
          <w:lang w:val="en-US"/>
        </w:rPr>
        <w:t>(i.e.,</w:t>
      </w:r>
      <w:r w:rsidR="00D66E54">
        <w:rPr>
          <w:b/>
          <w:bCs/>
          <w:highlight w:val="yellow"/>
          <w:lang w:val="en-US"/>
        </w:rPr>
        <w:t xml:space="preserve"> </w:t>
      </w:r>
      <w:r w:rsidR="00FA68E7">
        <w:rPr>
          <w:b/>
          <w:bCs/>
          <w:highlight w:val="yellow"/>
          <w:lang w:val="en-US"/>
        </w:rPr>
        <w:t>48-72 hours)</w:t>
      </w:r>
      <w:r w:rsidR="00FA68E7" w:rsidRPr="00FA68E7">
        <w:rPr>
          <w:b/>
          <w:bCs/>
          <w:highlight w:val="yellow"/>
          <w:lang w:val="en-US"/>
        </w:rPr>
        <w:t xml:space="preserve">, it is recommended </w:t>
      </w:r>
      <w:r w:rsidR="00BE3DDE">
        <w:rPr>
          <w:b/>
          <w:bCs/>
          <w:highlight w:val="yellow"/>
          <w:lang w:val="en-US"/>
        </w:rPr>
        <w:t xml:space="preserve">(i) </w:t>
      </w:r>
      <w:r w:rsidR="00FA68E7" w:rsidRPr="00FA68E7">
        <w:rPr>
          <w:b/>
          <w:bCs/>
          <w:highlight w:val="yellow"/>
          <w:lang w:val="en-US"/>
        </w:rPr>
        <w:t xml:space="preserve">to start </w:t>
      </w:r>
      <w:r w:rsidR="00F63EC7">
        <w:rPr>
          <w:b/>
          <w:bCs/>
          <w:highlight w:val="yellow"/>
          <w:lang w:val="en-US"/>
        </w:rPr>
        <w:t xml:space="preserve">the exposure/treatment </w:t>
      </w:r>
      <w:r w:rsidR="00FA68E7" w:rsidRPr="00FA68E7">
        <w:rPr>
          <w:b/>
          <w:bCs/>
          <w:highlight w:val="yellow"/>
          <w:lang w:val="en-US"/>
        </w:rPr>
        <w:t xml:space="preserve">earlier in the ALI cultivation </w:t>
      </w:r>
      <w:r w:rsidR="00FA68E7" w:rsidRPr="00FA68E7">
        <w:rPr>
          <w:b/>
          <w:bCs/>
          <w:highlight w:val="yellow"/>
          <w:lang w:val="en-US"/>
        </w:rPr>
        <w:lastRenderedPageBreak/>
        <w:t xml:space="preserve">process, such as </w:t>
      </w:r>
      <w:r w:rsidR="000524CC">
        <w:rPr>
          <w:b/>
          <w:bCs/>
          <w:highlight w:val="yellow"/>
          <w:lang w:val="en-US"/>
        </w:rPr>
        <w:t>D</w:t>
      </w:r>
      <w:r w:rsidR="000524CC" w:rsidRPr="00FA68E7">
        <w:rPr>
          <w:b/>
          <w:bCs/>
          <w:highlight w:val="yellow"/>
          <w:lang w:val="en-US"/>
        </w:rPr>
        <w:t>7</w:t>
      </w:r>
      <w:r w:rsidR="00FA68E7" w:rsidRPr="00FA68E7">
        <w:rPr>
          <w:b/>
          <w:bCs/>
          <w:highlight w:val="yellow"/>
          <w:lang w:val="en-US"/>
        </w:rPr>
        <w:t>-</w:t>
      </w:r>
      <w:r w:rsidR="000524CC">
        <w:rPr>
          <w:b/>
          <w:bCs/>
          <w:highlight w:val="yellow"/>
          <w:lang w:val="en-US"/>
        </w:rPr>
        <w:t>D</w:t>
      </w:r>
      <w:r w:rsidR="000524CC" w:rsidRPr="00FA68E7">
        <w:rPr>
          <w:b/>
          <w:bCs/>
          <w:highlight w:val="yellow"/>
          <w:lang w:val="en-US"/>
        </w:rPr>
        <w:t>9</w:t>
      </w:r>
      <w:r w:rsidR="00FA68E7">
        <w:rPr>
          <w:b/>
          <w:bCs/>
          <w:highlight w:val="yellow"/>
          <w:lang w:val="en-US"/>
        </w:rPr>
        <w:t>, to avoid the thinning of the viable layers and</w:t>
      </w:r>
      <w:r w:rsidR="00270CF7">
        <w:rPr>
          <w:b/>
          <w:bCs/>
          <w:highlight w:val="yellow"/>
          <w:lang w:val="en-US"/>
        </w:rPr>
        <w:t xml:space="preserve"> the </w:t>
      </w:r>
      <w:r w:rsidR="00FA68E7">
        <w:rPr>
          <w:b/>
          <w:bCs/>
          <w:highlight w:val="yellow"/>
          <w:lang w:val="en-US"/>
        </w:rPr>
        <w:t>thickening of the SC</w:t>
      </w:r>
      <w:r w:rsidR="006126FB">
        <w:rPr>
          <w:b/>
          <w:bCs/>
          <w:highlight w:val="yellow"/>
          <w:lang w:val="en-US"/>
        </w:rPr>
        <w:t>, and</w:t>
      </w:r>
      <w:r w:rsidR="00BE3DDE">
        <w:rPr>
          <w:b/>
          <w:bCs/>
          <w:highlight w:val="yellow"/>
          <w:lang w:val="en-US"/>
        </w:rPr>
        <w:t xml:space="preserve"> (ii)</w:t>
      </w:r>
      <w:r w:rsidR="006126FB">
        <w:rPr>
          <w:b/>
          <w:bCs/>
          <w:highlight w:val="yellow"/>
          <w:lang w:val="en-US"/>
        </w:rPr>
        <w:t xml:space="preserve"> </w:t>
      </w:r>
      <w:r w:rsidR="00395998" w:rsidRPr="00FA68E7">
        <w:rPr>
          <w:b/>
          <w:bCs/>
          <w:highlight w:val="yellow"/>
          <w:lang w:val="en-US"/>
        </w:rPr>
        <w:t>to incubate the tissues in ALI medium</w:t>
      </w:r>
      <w:r w:rsidR="00FA68E7">
        <w:rPr>
          <w:b/>
          <w:bCs/>
          <w:highlight w:val="yellow"/>
          <w:lang w:val="en-US"/>
        </w:rPr>
        <w:t xml:space="preserve">, to </w:t>
      </w:r>
      <w:r w:rsidR="00427020">
        <w:rPr>
          <w:b/>
          <w:bCs/>
          <w:highlight w:val="yellow"/>
          <w:lang w:val="en-US"/>
        </w:rPr>
        <w:t xml:space="preserve">keep stimulating </w:t>
      </w:r>
      <w:r w:rsidR="00B2714F">
        <w:rPr>
          <w:b/>
          <w:bCs/>
          <w:highlight w:val="yellow"/>
          <w:lang w:val="en-US"/>
        </w:rPr>
        <w:t>cell</w:t>
      </w:r>
      <w:r w:rsidR="00FA68E7">
        <w:rPr>
          <w:b/>
          <w:bCs/>
          <w:highlight w:val="yellow"/>
          <w:lang w:val="en-US"/>
        </w:rPr>
        <w:t xml:space="preserve"> proliferation</w:t>
      </w:r>
      <w:r w:rsidR="00395998" w:rsidRPr="00FA68E7">
        <w:rPr>
          <w:b/>
          <w:bCs/>
          <w:highlight w:val="yellow"/>
          <w:lang w:val="en-US"/>
        </w:rPr>
        <w:t xml:space="preserve">. </w:t>
      </w:r>
    </w:p>
    <w:p w14:paraId="53433B68" w14:textId="338910DA" w:rsidR="006E3459" w:rsidRPr="004E488D" w:rsidRDefault="00534C2F" w:rsidP="004E488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 xml:space="preserve">New </w:t>
      </w:r>
      <w:r w:rsidR="00E02C43" w:rsidRPr="004E488D">
        <w:rPr>
          <w:b/>
          <w:bCs/>
          <w:lang w:val="en-US"/>
        </w:rPr>
        <w:t xml:space="preserve">Step 4.7: </w:t>
      </w:r>
      <w:r w:rsidR="006E3459" w:rsidRPr="004E488D">
        <w:rPr>
          <w:lang w:val="en-US"/>
        </w:rPr>
        <w:t xml:space="preserve">For RhE harvesting, collect the </w:t>
      </w:r>
      <w:r w:rsidR="00395998" w:rsidRPr="004E488D">
        <w:rPr>
          <w:b/>
          <w:sz w:val="24"/>
          <w:highlight w:val="yellow"/>
          <w:lang w:val="en-US"/>
        </w:rPr>
        <w:t>tissues</w:t>
      </w:r>
      <w:r w:rsidR="00395998" w:rsidRPr="004E488D">
        <w:rPr>
          <w:b/>
          <w:strike/>
          <w:sz w:val="24"/>
          <w:highlight w:val="green"/>
          <w:lang w:val="en-US"/>
        </w:rPr>
        <w:t xml:space="preserve"> </w:t>
      </w:r>
      <w:r w:rsidR="006E3459" w:rsidRPr="004E488D">
        <w:rPr>
          <w:b/>
          <w:strike/>
          <w:sz w:val="24"/>
          <w:highlight w:val="green"/>
          <w:lang w:val="en-US"/>
        </w:rPr>
        <w:t>inserts</w:t>
      </w:r>
      <w:r w:rsidR="006E3459" w:rsidRPr="004E488D">
        <w:rPr>
          <w:lang w:val="en-US"/>
        </w:rPr>
        <w:t xml:space="preserve"> and cell culture medium </w:t>
      </w:r>
      <w:r w:rsidR="00FA68E7" w:rsidRPr="004E488D">
        <w:rPr>
          <w:b/>
          <w:highlight w:val="yellow"/>
          <w:lang w:val="en-US"/>
        </w:rPr>
        <w:t>at the timepoint of interest</w:t>
      </w:r>
      <w:r w:rsidR="00FA68E7" w:rsidRPr="004E488D">
        <w:rPr>
          <w:lang w:val="en-US"/>
        </w:rPr>
        <w:t xml:space="preserve"> </w:t>
      </w:r>
      <w:r w:rsidR="006E3459" w:rsidRPr="004E488D">
        <w:rPr>
          <w:lang w:val="en-US"/>
        </w:rPr>
        <w:t xml:space="preserve">for histological analysis, viability assays, protein/RNA extraction, and </w:t>
      </w:r>
      <w:r w:rsidR="006E3459" w:rsidRPr="004E488D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ELISAs</w:t>
      </w:r>
      <w:r w:rsidR="00012FA3" w:rsidRPr="004E488D">
        <w:rPr>
          <w:lang w:val="en-US"/>
        </w:rPr>
        <w:t xml:space="preserve"> </w:t>
      </w:r>
      <w:r w:rsidR="00012FA3" w:rsidRPr="004E488D">
        <w:rPr>
          <w:b/>
          <w:bCs/>
          <w:highlight w:val="yellow"/>
          <w:lang w:val="en-US"/>
        </w:rPr>
        <w:t>enzyme-linked immunosorbent assays (ELISAs)</w:t>
      </w:r>
      <w:r w:rsidR="006E3459" w:rsidRPr="004E488D">
        <w:rPr>
          <w:lang w:val="en-US"/>
        </w:rPr>
        <w:t>.</w:t>
      </w:r>
    </w:p>
    <w:p w14:paraId="4ECF2E78" w14:textId="03C2911F" w:rsidR="008241B3" w:rsidRDefault="00C2634A" w:rsidP="008241B3">
      <w:pPr>
        <w:rPr>
          <w:lang w:val="en-US"/>
        </w:rPr>
      </w:pPr>
      <w:r>
        <w:rPr>
          <w:lang w:val="en-US"/>
        </w:rPr>
        <w:t xml:space="preserve">Representative </w:t>
      </w:r>
      <w:r w:rsidR="008241B3">
        <w:rPr>
          <w:lang w:val="en-US"/>
        </w:rPr>
        <w:t>Results</w:t>
      </w:r>
    </w:p>
    <w:p w14:paraId="02D63BAE" w14:textId="7D4A51D6" w:rsidR="00391708" w:rsidRPr="009C5C08" w:rsidRDefault="00C2634A" w:rsidP="00391708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§1, line 1: </w:t>
      </w:r>
      <w:r w:rsidRPr="00C2634A">
        <w:rPr>
          <w:lang w:val="en-US"/>
        </w:rPr>
        <w:t xml:space="preserve">NHEKs </w:t>
      </w:r>
      <w:r w:rsidRPr="00C2634A">
        <w:rPr>
          <w:b/>
          <w:bCs/>
          <w:highlight w:val="yellow"/>
          <w:lang w:val="en-US"/>
        </w:rPr>
        <w:t>cultured</w:t>
      </w:r>
      <w:r>
        <w:rPr>
          <w:lang w:val="en-US"/>
        </w:rPr>
        <w:t xml:space="preserve"> </w:t>
      </w:r>
      <w:r w:rsidRPr="00C2634A">
        <w:rPr>
          <w:lang w:val="en-US"/>
        </w:rPr>
        <w:t xml:space="preserve">in 2D </w:t>
      </w:r>
      <w:r w:rsidRPr="00C2634A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culture</w:t>
      </w:r>
      <w:r w:rsidRPr="00C2634A">
        <w:rPr>
          <w:lang w:val="en-US"/>
        </w:rPr>
        <w:t xml:space="preserve"> display</w:t>
      </w:r>
    </w:p>
    <w:p w14:paraId="35E3FCB0" w14:textId="0B24F9B1" w:rsidR="0051092C" w:rsidRDefault="0047092C" w:rsidP="009C5C08">
      <w:pPr>
        <w:pStyle w:val="ListParagraph"/>
        <w:numPr>
          <w:ilvl w:val="0"/>
          <w:numId w:val="1"/>
        </w:numPr>
        <w:rPr>
          <w:lang w:val="en-US"/>
        </w:rPr>
      </w:pPr>
      <w:r w:rsidRPr="0047092C">
        <w:rPr>
          <w:lang w:val="en-US"/>
        </w:rPr>
        <w:t>§1, line 4: From the second layer on towards the upper layers of the RhE</w:t>
      </w:r>
      <w:r w:rsidR="001C5D63">
        <w:rPr>
          <w:lang w:val="en-US"/>
        </w:rPr>
        <w:t xml:space="preserve">, </w:t>
      </w:r>
      <w:r w:rsidRPr="001C5D63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the cells start to change their shape.</w:t>
      </w:r>
      <w:r w:rsidRPr="0047092C">
        <w:rPr>
          <w:lang w:val="en-US"/>
        </w:rPr>
        <w:t xml:space="preserve"> NHEKs differentiate </w:t>
      </w:r>
      <w:r w:rsidR="00912280" w:rsidRPr="00F97E00">
        <w:rPr>
          <w:b/>
          <w:bCs/>
          <w:highlight w:val="yellow"/>
          <w:lang w:val="en-US"/>
        </w:rPr>
        <w:t>as observed by the changes in the cell morphology</w:t>
      </w:r>
      <w:r w:rsidR="00F97E00" w:rsidRPr="00F97E00">
        <w:rPr>
          <w:b/>
          <w:bCs/>
          <w:highlight w:val="yellow"/>
          <w:lang w:val="en-US"/>
        </w:rPr>
        <w:t xml:space="preserve"> (</w:t>
      </w:r>
      <w:r w:rsidRPr="0047092C">
        <w:rPr>
          <w:lang w:val="en-US"/>
        </w:rPr>
        <w:t xml:space="preserve">from </w:t>
      </w:r>
      <w:r w:rsidRPr="00F97E00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having</w:t>
      </w:r>
      <w:r w:rsidRPr="0047092C">
        <w:rPr>
          <w:lang w:val="en-US"/>
        </w:rPr>
        <w:t xml:space="preserve"> a columnar shape in the SB layer, towards a spinous shape in the SS layer</w:t>
      </w:r>
      <w:r w:rsidR="00F97E00" w:rsidRPr="00F97E00">
        <w:rPr>
          <w:b/>
          <w:bCs/>
          <w:highlight w:val="yellow"/>
          <w:lang w:val="en-US"/>
        </w:rPr>
        <w:t>)</w:t>
      </w:r>
      <w:r w:rsidRPr="0047092C">
        <w:rPr>
          <w:lang w:val="en-US"/>
        </w:rPr>
        <w:t>.</w:t>
      </w:r>
    </w:p>
    <w:p w14:paraId="2382157A" w14:textId="6F1FAA79" w:rsidR="0047092C" w:rsidRDefault="00AF20BA" w:rsidP="009C5C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§1, line 7: </w:t>
      </w:r>
      <w:r w:rsidRPr="00AF20BA">
        <w:rPr>
          <w:lang w:val="en-US"/>
        </w:rPr>
        <w:t xml:space="preserve">Their characteristic round and stellar shape </w:t>
      </w:r>
      <w:r w:rsidRPr="00AF20BA">
        <w:rPr>
          <w:b/>
          <w:bCs/>
          <w:highlight w:val="yellow"/>
          <w:lang w:val="en-US"/>
        </w:rPr>
        <w:t>is</w:t>
      </w:r>
      <w:r>
        <w:rPr>
          <w:lang w:val="en-US"/>
        </w:rPr>
        <w:t xml:space="preserve"> </w:t>
      </w:r>
      <w:r w:rsidRPr="00AF20BA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are</w:t>
      </w:r>
      <w:r w:rsidRPr="00AF20BA">
        <w:rPr>
          <w:lang w:val="en-US"/>
        </w:rPr>
        <w:t xml:space="preserve"> highlighted</w:t>
      </w:r>
    </w:p>
    <w:p w14:paraId="2CDBE50F" w14:textId="01A0A2C6" w:rsidR="005F0B34" w:rsidRDefault="005F0B34" w:rsidP="009C5C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Figure 2, </w:t>
      </w:r>
      <w:r w:rsidR="00AE6AD9">
        <w:rPr>
          <w:lang w:val="en-US"/>
        </w:rPr>
        <w:t>title</w:t>
      </w:r>
      <w:r>
        <w:rPr>
          <w:lang w:val="en-US"/>
        </w:rPr>
        <w:t xml:space="preserve">: </w:t>
      </w:r>
      <w:r w:rsidR="00627F18" w:rsidRPr="00627F18">
        <w:rPr>
          <w:lang w:val="en-US"/>
        </w:rPr>
        <w:t xml:space="preserve">Quantification of thickness of RhE and </w:t>
      </w:r>
      <w:r w:rsidR="00627F18" w:rsidRPr="00627F18">
        <w:rPr>
          <w:b/>
          <w:bCs/>
          <w:lang w:val="en-US"/>
        </w:rPr>
        <w:t>SC (mean</w:t>
      </w:r>
      <w:r w:rsidR="00627F18" w:rsidRPr="00627F18">
        <w:rPr>
          <w:lang w:val="en-US"/>
        </w:rPr>
        <w:t xml:space="preserve"> ± SEM, n=3). (E) Transmission electron microscopy images of RhE</w:t>
      </w:r>
      <w:r w:rsidR="00824256">
        <w:rPr>
          <w:lang w:val="en-US"/>
        </w:rPr>
        <w:t xml:space="preserve"> </w:t>
      </w:r>
      <w:r w:rsidR="00824256" w:rsidRPr="00824256">
        <w:rPr>
          <w:b/>
          <w:bCs/>
          <w:highlight w:val="yellow"/>
          <w:lang w:val="en-US"/>
        </w:rPr>
        <w:t>cross-sections</w:t>
      </w:r>
      <w:r w:rsidR="00627F18" w:rsidRPr="00627F18">
        <w:rPr>
          <w:lang w:val="en-US"/>
        </w:rPr>
        <w:t xml:space="preserve"> after 7, 10, 13, and 15 days at ALI. Scale bar is 4 µm.</w:t>
      </w:r>
    </w:p>
    <w:p w14:paraId="63DDC570" w14:textId="49CB6DC0" w:rsidR="006116BB" w:rsidRDefault="006116BB" w:rsidP="00CC0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§2, line 1</w:t>
      </w:r>
      <w:r w:rsidR="00B03B5B">
        <w:rPr>
          <w:lang w:val="en-US"/>
        </w:rPr>
        <w:t xml:space="preserve">: </w:t>
      </w:r>
      <w:r w:rsidR="00CC0B4A" w:rsidRPr="00CC0B4A">
        <w:rPr>
          <w:b/>
          <w:bCs/>
          <w:highlight w:val="yellow"/>
          <w:lang w:val="en-US"/>
        </w:rPr>
        <w:t>According to their differentiation stage,</w:t>
      </w:r>
      <w:r w:rsidR="00CC0B4A" w:rsidRPr="00CC0B4A">
        <w:rPr>
          <w:b/>
          <w:bCs/>
          <w:lang w:val="en-US"/>
        </w:rPr>
        <w:t xml:space="preserve"> </w:t>
      </w:r>
      <w:r w:rsidR="00B03B5B" w:rsidRPr="00B03B5B">
        <w:rPr>
          <w:lang w:val="en-US"/>
        </w:rPr>
        <w:t>NHEKs</w:t>
      </w:r>
      <w:r w:rsidR="00CC0B4A">
        <w:rPr>
          <w:lang w:val="en-US"/>
        </w:rPr>
        <w:t xml:space="preserve"> </w:t>
      </w:r>
      <w:r w:rsidR="00CC0B4A" w:rsidRPr="00CC0B4A">
        <w:rPr>
          <w:b/>
          <w:bCs/>
          <w:highlight w:val="yellow"/>
          <w:lang w:val="en-US"/>
        </w:rPr>
        <w:t>growing in 3D</w:t>
      </w:r>
      <w:r w:rsidR="00B03B5B" w:rsidRPr="00B03B5B">
        <w:rPr>
          <w:lang w:val="en-US"/>
        </w:rPr>
        <w:t xml:space="preserve"> </w:t>
      </w:r>
      <w:r w:rsidR="00B03B5B" w:rsidRPr="00CC0B4A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in RhEs</w:t>
      </w:r>
      <w:r w:rsidR="00B03B5B" w:rsidRPr="00B03B5B">
        <w:rPr>
          <w:lang w:val="en-US"/>
        </w:rPr>
        <w:t xml:space="preserve"> show different protein expression profiles</w:t>
      </w:r>
      <w:r w:rsidR="00CC0B4A" w:rsidRPr="00CC0B4A">
        <w:rPr>
          <w:lang w:val="en-US"/>
        </w:rPr>
        <w:t xml:space="preserve">. </w:t>
      </w:r>
    </w:p>
    <w:p w14:paraId="1C3E2CCA" w14:textId="7D75DFA5" w:rsidR="004F0114" w:rsidRDefault="001F05F0" w:rsidP="00CC0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§2, line 4: </w:t>
      </w:r>
      <w:r w:rsidRPr="001F05F0">
        <w:rPr>
          <w:lang w:val="en-US"/>
        </w:rPr>
        <w:t xml:space="preserve">whereas </w:t>
      </w:r>
      <w:r w:rsidRPr="001F05F0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 xml:space="preserve">the expression of </w:t>
      </w:r>
      <w:r w:rsidRPr="001F05F0">
        <w:rPr>
          <w:lang w:val="en-US"/>
        </w:rPr>
        <w:t xml:space="preserve">filaggrin and loricrin </w:t>
      </w:r>
      <w:r w:rsidRPr="001F05F0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is located</w:t>
      </w:r>
      <w:r w:rsidRPr="001F05F0">
        <w:rPr>
          <w:lang w:val="en-US"/>
        </w:rPr>
        <w:t xml:space="preserve"> </w:t>
      </w:r>
      <w:r w:rsidRPr="001F05F0">
        <w:rPr>
          <w:b/>
          <w:bCs/>
          <w:highlight w:val="yellow"/>
          <w:lang w:val="en-US"/>
        </w:rPr>
        <w:t>are expressed</w:t>
      </w:r>
      <w:r>
        <w:rPr>
          <w:lang w:val="en-US"/>
        </w:rPr>
        <w:t xml:space="preserve"> </w:t>
      </w:r>
      <w:r w:rsidRPr="001F05F0">
        <w:rPr>
          <w:lang w:val="en-US"/>
        </w:rPr>
        <w:t>in the upper layers</w:t>
      </w:r>
    </w:p>
    <w:p w14:paraId="2E11B19B" w14:textId="5D3AF777" w:rsidR="000D6215" w:rsidRDefault="000D6215" w:rsidP="00CC0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§3, line 1: </w:t>
      </w:r>
      <w:r w:rsidRPr="000D6215">
        <w:rPr>
          <w:lang w:val="en-US"/>
        </w:rPr>
        <w:t xml:space="preserve">The barrier properties of the RhE model was investigated by assessing both the tissue viability </w:t>
      </w:r>
      <w:r w:rsidRPr="000D702C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upon topical treatment with a known barrier disruptor</w:t>
      </w:r>
      <w:r w:rsidRPr="000D6215">
        <w:rPr>
          <w:lang w:val="en-US"/>
        </w:rPr>
        <w:t xml:space="preserve"> and </w:t>
      </w:r>
      <w:r w:rsidRPr="000D702C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the tissue</w:t>
      </w:r>
      <w:r w:rsidRPr="000D6215">
        <w:rPr>
          <w:lang w:val="en-US"/>
        </w:rPr>
        <w:t xml:space="preserve"> integrity.</w:t>
      </w:r>
    </w:p>
    <w:p w14:paraId="3A347E00" w14:textId="6DA3F44F" w:rsidR="00B811C5" w:rsidRDefault="00B02539" w:rsidP="00CC0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Figure 4A, Y axis: resistance </w:t>
      </w:r>
      <w:r w:rsidRPr="00AF433D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(</w:t>
      </w:r>
      <w:r w:rsidR="00994FAB" w:rsidRPr="00AF433D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Ω</w:t>
      </w:r>
      <w:r w:rsidR="00AF433D" w:rsidRPr="00AF433D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.cm² )</w:t>
      </w:r>
      <w:r w:rsidRPr="00AF433D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 xml:space="preserve"> </w:t>
      </w:r>
      <w:r>
        <w:rPr>
          <w:lang w:val="en-US"/>
        </w:rPr>
        <w:t xml:space="preserve"> </w:t>
      </w:r>
      <w:r w:rsidR="00AF433D" w:rsidRPr="00AF433D">
        <w:rPr>
          <w:b/>
          <w:bCs/>
          <w:highlight w:val="yellow"/>
          <w:lang w:val="en-US"/>
        </w:rPr>
        <w:t>(Ω.cm²)</w:t>
      </w:r>
      <w:r w:rsidR="00AF433D">
        <w:rPr>
          <w:lang w:val="en-US"/>
        </w:rPr>
        <w:t xml:space="preserve">  </w:t>
      </w:r>
    </w:p>
    <w:p w14:paraId="45E06985" w14:textId="492C7556" w:rsidR="0043737E" w:rsidRDefault="0043737E" w:rsidP="00CC0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§4</w:t>
      </w:r>
      <w:r w:rsidR="0042055F">
        <w:rPr>
          <w:lang w:val="en-US"/>
        </w:rPr>
        <w:t xml:space="preserve">, line 1: </w:t>
      </w:r>
      <w:r w:rsidR="0042055F" w:rsidRPr="0042055F">
        <w:rPr>
          <w:lang w:val="en-US"/>
        </w:rPr>
        <w:t xml:space="preserve">RhEs were treated systemically, i.e., addition of stimuli in </w:t>
      </w:r>
      <w:r w:rsidR="0042055F" w:rsidRPr="0042055F">
        <w:rPr>
          <w:b/>
          <w:bCs/>
          <w:highlight w:val="yellow"/>
          <w:lang w:val="en-US"/>
        </w:rPr>
        <w:t>the</w:t>
      </w:r>
      <w:r w:rsidR="0042055F">
        <w:rPr>
          <w:lang w:val="en-US"/>
        </w:rPr>
        <w:t xml:space="preserve"> </w:t>
      </w:r>
      <w:r w:rsidR="0042055F" w:rsidRPr="0042055F">
        <w:rPr>
          <w:lang w:val="en-US"/>
        </w:rPr>
        <w:t>medium of</w:t>
      </w:r>
      <w:r w:rsidR="0042055F">
        <w:rPr>
          <w:lang w:val="en-US"/>
        </w:rPr>
        <w:t xml:space="preserve"> </w:t>
      </w:r>
      <w:r w:rsidR="0042055F" w:rsidRPr="0042055F">
        <w:rPr>
          <w:b/>
          <w:bCs/>
          <w:highlight w:val="yellow"/>
          <w:lang w:val="en-US"/>
        </w:rPr>
        <w:t>the</w:t>
      </w:r>
      <w:r w:rsidR="0042055F" w:rsidRPr="0042055F">
        <w:rPr>
          <w:lang w:val="en-US"/>
        </w:rPr>
        <w:t xml:space="preserve"> basolateral compartment, using 100 µg/mL </w:t>
      </w:r>
      <w:r w:rsidR="00ED5FF8" w:rsidRPr="00ED5FF8">
        <w:rPr>
          <w:b/>
          <w:bCs/>
          <w:highlight w:val="yellow"/>
          <w:lang w:val="en-US"/>
        </w:rPr>
        <w:t>Escherichia coli</w:t>
      </w:r>
      <w:r w:rsidR="00ED5FF8">
        <w:rPr>
          <w:lang w:val="en-US"/>
        </w:rPr>
        <w:t xml:space="preserve"> </w:t>
      </w:r>
      <w:r w:rsidR="0042055F" w:rsidRPr="0042055F">
        <w:rPr>
          <w:lang w:val="en-US"/>
        </w:rPr>
        <w:t xml:space="preserve">lipopolysaccharide (LPS) and 40 ng/mL tumor necrosis factor alpha (TNF-α). After 24 hours of stimuli, the cell culture medium was </w:t>
      </w:r>
      <w:r w:rsidR="0042055F" w:rsidRPr="00ED5FF8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harvested</w:t>
      </w:r>
      <w:r w:rsidR="00ED5FF8">
        <w:rPr>
          <w:lang w:val="en-US"/>
        </w:rPr>
        <w:t xml:space="preserve"> </w:t>
      </w:r>
      <w:r w:rsidR="00ED5FF8" w:rsidRPr="00ED5FF8">
        <w:rPr>
          <w:b/>
          <w:bCs/>
          <w:highlight w:val="yellow"/>
          <w:lang w:val="en-US"/>
        </w:rPr>
        <w:t>collected</w:t>
      </w:r>
      <w:r w:rsidR="0042055F" w:rsidRPr="0042055F">
        <w:rPr>
          <w:lang w:val="en-US"/>
        </w:rPr>
        <w:t>.</w:t>
      </w:r>
    </w:p>
    <w:p w14:paraId="02E7EB2B" w14:textId="2E07A260" w:rsidR="0042055F" w:rsidRDefault="00D3733B" w:rsidP="00CC0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§4, line 4: </w:t>
      </w:r>
      <w:r w:rsidRPr="00D3733B">
        <w:rPr>
          <w:lang w:val="en-US"/>
        </w:rPr>
        <w:t xml:space="preserve">A significant increase (p </w:t>
      </w:r>
      <w:r w:rsidRPr="00D3733B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&gt;</w:t>
      </w:r>
      <w:r>
        <w:rPr>
          <w:lang w:val="en-US"/>
        </w:rPr>
        <w:t xml:space="preserve"> </w:t>
      </w:r>
      <w:r w:rsidRPr="00D3733B">
        <w:rPr>
          <w:b/>
          <w:bCs/>
          <w:highlight w:val="yellow"/>
          <w:lang w:val="en-US"/>
        </w:rPr>
        <w:t>&lt;</w:t>
      </w:r>
      <w:r w:rsidRPr="00D3733B">
        <w:rPr>
          <w:lang w:val="en-US"/>
        </w:rPr>
        <w:t xml:space="preserve"> 0.05, one-way ANOVA</w:t>
      </w:r>
    </w:p>
    <w:p w14:paraId="2C3D7021" w14:textId="46878C1C" w:rsidR="00D3733B" w:rsidRDefault="007654D5" w:rsidP="00CC0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§4, line 5: </w:t>
      </w:r>
      <w:r w:rsidRPr="007654D5">
        <w:rPr>
          <w:lang w:val="en-US"/>
        </w:rPr>
        <w:t xml:space="preserve">was shown in LDH </w:t>
      </w:r>
      <w:r w:rsidRPr="007654D5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release</w:t>
      </w:r>
      <w:r>
        <w:rPr>
          <w:lang w:val="en-US"/>
        </w:rPr>
        <w:t xml:space="preserve"> </w:t>
      </w:r>
      <w:r w:rsidRPr="007654D5">
        <w:rPr>
          <w:b/>
          <w:bCs/>
          <w:highlight w:val="yellow"/>
          <w:lang w:val="en-US"/>
        </w:rPr>
        <w:t>activity</w:t>
      </w:r>
      <w:r w:rsidRPr="007654D5">
        <w:rPr>
          <w:lang w:val="en-US"/>
        </w:rPr>
        <w:t xml:space="preserve"> in RhEs treated with Triton X-100</w:t>
      </w:r>
    </w:p>
    <w:p w14:paraId="0EF7B26E" w14:textId="71CE8749" w:rsidR="007654D5" w:rsidRDefault="004A1639" w:rsidP="00CC0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Figure 5</w:t>
      </w:r>
      <w:r w:rsidR="00AE6AD9">
        <w:rPr>
          <w:lang w:val="en-US"/>
        </w:rPr>
        <w:t>, title</w:t>
      </w:r>
      <w:r>
        <w:rPr>
          <w:lang w:val="en-US"/>
        </w:rPr>
        <w:t xml:space="preserve">: </w:t>
      </w:r>
      <w:r w:rsidR="007B0655" w:rsidRPr="007B0655">
        <w:rPr>
          <w:lang w:val="en-US"/>
        </w:rPr>
        <w:t xml:space="preserve">The cytotoxicity measured via lactate dehydrogenase (LDH) assay. </w:t>
      </w:r>
      <w:r w:rsidR="007B0655" w:rsidRPr="007B0655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The data is</w:t>
      </w:r>
      <w:r w:rsidR="007B0655" w:rsidRPr="007B0655">
        <w:rPr>
          <w:lang w:val="en-US"/>
        </w:rPr>
        <w:t xml:space="preserve"> </w:t>
      </w:r>
      <w:r w:rsidR="007B0655" w:rsidRPr="007B0655">
        <w:rPr>
          <w:b/>
          <w:bCs/>
          <w:highlight w:val="yellow"/>
          <w:lang w:val="en-US"/>
        </w:rPr>
        <w:t>Data are</w:t>
      </w:r>
      <w:r w:rsidR="007B0655">
        <w:rPr>
          <w:lang w:val="en-US"/>
        </w:rPr>
        <w:t xml:space="preserve"> </w:t>
      </w:r>
      <w:r w:rsidR="007B0655" w:rsidRPr="007B0655">
        <w:rPr>
          <w:lang w:val="en-US"/>
        </w:rPr>
        <w:t xml:space="preserve">presented as relative values to control, untreated tissues (CTRL); mean ± SEM, n=9 (Triton X-100), n=8 (LPS), n=3 (TNF-α). Significance was tested with one-way ANOVA, Dunnett's multiple comparison test. Asterisk denotes statistically significant </w:t>
      </w:r>
      <w:r w:rsidR="007B0655" w:rsidRPr="007B0655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increase</w:t>
      </w:r>
      <w:r w:rsidR="007B0655">
        <w:rPr>
          <w:lang w:val="en-US"/>
        </w:rPr>
        <w:t xml:space="preserve"> </w:t>
      </w:r>
      <w:r w:rsidR="007B0655" w:rsidRPr="007B0655">
        <w:rPr>
          <w:b/>
          <w:bCs/>
          <w:highlight w:val="yellow"/>
          <w:lang w:val="en-US"/>
        </w:rPr>
        <w:t>difference</w:t>
      </w:r>
      <w:r w:rsidR="007B0655" w:rsidRPr="007B0655">
        <w:rPr>
          <w:lang w:val="en-US"/>
        </w:rPr>
        <w:t xml:space="preserve"> compared to CTRL, ****p &lt; 0.0001).</w:t>
      </w:r>
    </w:p>
    <w:p w14:paraId="1B28E7DE" w14:textId="63E0DC79" w:rsidR="00FE079B" w:rsidRDefault="0071153B" w:rsidP="00CC0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§5, </w:t>
      </w:r>
      <w:r w:rsidR="00CD79F8">
        <w:rPr>
          <w:lang w:val="en-US"/>
        </w:rPr>
        <w:t xml:space="preserve">line 1: </w:t>
      </w:r>
      <w:r w:rsidR="00CD79F8" w:rsidRPr="00CD79F8">
        <w:rPr>
          <w:lang w:val="en-US"/>
        </w:rPr>
        <w:t xml:space="preserve">was quantified using </w:t>
      </w:r>
      <w:r w:rsidR="00CD79F8" w:rsidRPr="00CD79F8">
        <w:rPr>
          <w:b/>
          <w:bCs/>
          <w:highlight w:val="yellow"/>
          <w:lang w:val="en-US"/>
        </w:rPr>
        <w:t>ELISAs</w:t>
      </w:r>
      <w:r w:rsidR="00CD79F8">
        <w:rPr>
          <w:lang w:val="en-US"/>
        </w:rPr>
        <w:t xml:space="preserve"> </w:t>
      </w:r>
      <w:r w:rsidR="00CD79F8" w:rsidRPr="00CD79F8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enzyme-linked immunosorbent assays (ELISAs)</w:t>
      </w:r>
      <w:r w:rsidR="00CD79F8" w:rsidRPr="00CD79F8">
        <w:rPr>
          <w:lang w:val="en-US"/>
        </w:rPr>
        <w:t>.</w:t>
      </w:r>
    </w:p>
    <w:p w14:paraId="7EE1ADAD" w14:textId="1619FFF1" w:rsidR="00CD79F8" w:rsidRDefault="00B301F8" w:rsidP="00CC0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§5</w:t>
      </w:r>
      <w:r w:rsidR="007F4052">
        <w:rPr>
          <w:lang w:val="en-US"/>
        </w:rPr>
        <w:t xml:space="preserve">, line 3: </w:t>
      </w:r>
      <w:r w:rsidR="007F4052" w:rsidRPr="007F4052">
        <w:rPr>
          <w:lang w:val="en-US"/>
        </w:rPr>
        <w:t>resulted in a statistically significant (</w:t>
      </w:r>
      <w:r w:rsidR="007F4052" w:rsidRPr="00D3733B">
        <w:rPr>
          <w:lang w:val="en-US"/>
        </w:rPr>
        <w:t xml:space="preserve">p </w:t>
      </w:r>
      <w:r w:rsidR="007F4052" w:rsidRPr="00D3733B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&gt;</w:t>
      </w:r>
      <w:r w:rsidR="007F4052">
        <w:rPr>
          <w:lang w:val="en-US"/>
        </w:rPr>
        <w:t xml:space="preserve"> </w:t>
      </w:r>
      <w:r w:rsidR="007F4052" w:rsidRPr="00D3733B">
        <w:rPr>
          <w:b/>
          <w:bCs/>
          <w:highlight w:val="yellow"/>
          <w:lang w:val="en-US"/>
        </w:rPr>
        <w:t>&lt;</w:t>
      </w:r>
      <w:r w:rsidR="007F4052" w:rsidRPr="00D3733B">
        <w:rPr>
          <w:lang w:val="en-US"/>
        </w:rPr>
        <w:t xml:space="preserve"> </w:t>
      </w:r>
      <w:r w:rsidR="00AE0039" w:rsidRPr="00AE0039">
        <w:rPr>
          <w:lang w:val="en-US"/>
        </w:rPr>
        <w:t xml:space="preserve">0.05, unpaired Student's T-test) </w:t>
      </w:r>
      <w:r w:rsidR="001C2ED8" w:rsidRPr="001C2ED8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u</w:t>
      </w:r>
      <w:r w:rsidR="00AE0039" w:rsidRPr="001C2ED8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pregulation in the</w:t>
      </w:r>
      <w:r w:rsidR="00AE0039" w:rsidRPr="00AE0039">
        <w:rPr>
          <w:lang w:val="en-US"/>
        </w:rPr>
        <w:t xml:space="preserve"> </w:t>
      </w:r>
      <w:r w:rsidR="00FB2B56" w:rsidRPr="00111333">
        <w:rPr>
          <w:b/>
          <w:highlight w:val="yellow"/>
          <w:lang w:val="en-US"/>
        </w:rPr>
        <w:t>induced</w:t>
      </w:r>
      <w:r w:rsidR="00FB2B56" w:rsidRPr="00111333">
        <w:rPr>
          <w:b/>
          <w:lang w:val="en-US"/>
        </w:rPr>
        <w:t xml:space="preserve"> </w:t>
      </w:r>
      <w:r w:rsidR="00AE0039" w:rsidRPr="00AE0039">
        <w:rPr>
          <w:lang w:val="en-US"/>
        </w:rPr>
        <w:t>release of IL-8</w:t>
      </w:r>
      <w:r w:rsidR="000473F6">
        <w:rPr>
          <w:lang w:val="en-US"/>
        </w:rPr>
        <w:t>.</w:t>
      </w:r>
    </w:p>
    <w:p w14:paraId="28CB3E33" w14:textId="5069935E" w:rsidR="000473F6" w:rsidRDefault="000473F6" w:rsidP="00CC0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§5, line 4: </w:t>
      </w:r>
      <w:r w:rsidRPr="000473F6">
        <w:rPr>
          <w:lang w:val="en-US"/>
        </w:rPr>
        <w:t xml:space="preserve">TNF-α did not significantly </w:t>
      </w:r>
      <w:r w:rsidRPr="00AB026F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upregulate</w:t>
      </w:r>
      <w:r w:rsidRPr="000473F6">
        <w:rPr>
          <w:lang w:val="en-US"/>
        </w:rPr>
        <w:t xml:space="preserve"> </w:t>
      </w:r>
      <w:r w:rsidR="00AB026F" w:rsidRPr="00AB026F">
        <w:rPr>
          <w:b/>
          <w:bCs/>
          <w:highlight w:val="yellow"/>
          <w:lang w:val="en-US"/>
        </w:rPr>
        <w:t>induce</w:t>
      </w:r>
      <w:r w:rsidR="00AB026F">
        <w:rPr>
          <w:lang w:val="en-US"/>
        </w:rPr>
        <w:t xml:space="preserve"> </w:t>
      </w:r>
      <w:r w:rsidRPr="000473F6">
        <w:rPr>
          <w:lang w:val="en-US"/>
        </w:rPr>
        <w:t>IL-8</w:t>
      </w:r>
      <w:r w:rsidR="00AB026F">
        <w:rPr>
          <w:lang w:val="en-US"/>
        </w:rPr>
        <w:t xml:space="preserve"> </w:t>
      </w:r>
      <w:r w:rsidR="00AB026F" w:rsidRPr="00C62E3B">
        <w:rPr>
          <w:b/>
          <w:bCs/>
          <w:highlight w:val="yellow"/>
          <w:lang w:val="en-US"/>
        </w:rPr>
        <w:t>release</w:t>
      </w:r>
      <w:r w:rsidR="00C62E3B" w:rsidRPr="00C62E3B">
        <w:rPr>
          <w:b/>
          <w:bCs/>
          <w:highlight w:val="yellow"/>
          <w:lang w:val="en-US"/>
        </w:rPr>
        <w:t>, even though a tendency of increased IL-8 levels was observed</w:t>
      </w:r>
      <w:r w:rsidRPr="000473F6">
        <w:rPr>
          <w:lang w:val="en-US"/>
        </w:rPr>
        <w:t xml:space="preserve"> (2.3 ± 0.8 fold increase</w:t>
      </w:r>
      <w:r w:rsidRPr="00D26506">
        <w:rPr>
          <w:lang w:val="en-US"/>
        </w:rPr>
        <w:t>)</w:t>
      </w:r>
      <w:r w:rsidRPr="00D26506">
        <w:rPr>
          <w:b/>
          <w:bCs/>
          <w:strike/>
          <w:highlight w:val="green"/>
          <w:lang w:val="en-US"/>
        </w:rPr>
        <w:t>, but resulted in a statistically significant</w:t>
      </w:r>
      <w:r w:rsidRPr="000473F6">
        <w:rPr>
          <w:lang w:val="en-US"/>
        </w:rPr>
        <w:t xml:space="preserve"> </w:t>
      </w:r>
      <w:r w:rsidR="00DD44F9" w:rsidRPr="005941DF">
        <w:rPr>
          <w:b/>
          <w:bCs/>
          <w:highlight w:val="yellow"/>
          <w:lang w:val="en-US"/>
        </w:rPr>
        <w:t>. However, TNF-α did significantly</w:t>
      </w:r>
      <w:r w:rsidR="00DD44F9">
        <w:rPr>
          <w:lang w:val="en-US"/>
        </w:rPr>
        <w:t xml:space="preserve"> </w:t>
      </w:r>
      <w:r w:rsidRPr="000473F6">
        <w:rPr>
          <w:lang w:val="en-US"/>
        </w:rPr>
        <w:t xml:space="preserve">(p </w:t>
      </w:r>
      <w:r w:rsidR="000867B7" w:rsidRPr="00D3733B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&gt;</w:t>
      </w:r>
      <w:r w:rsidR="000867B7">
        <w:rPr>
          <w:lang w:val="en-US"/>
        </w:rPr>
        <w:t xml:space="preserve"> </w:t>
      </w:r>
      <w:r w:rsidR="000867B7" w:rsidRPr="00D3733B">
        <w:rPr>
          <w:b/>
          <w:bCs/>
          <w:highlight w:val="yellow"/>
          <w:lang w:val="en-US"/>
        </w:rPr>
        <w:t>&lt;</w:t>
      </w:r>
      <w:r w:rsidRPr="000473F6">
        <w:rPr>
          <w:lang w:val="en-US"/>
        </w:rPr>
        <w:t xml:space="preserve"> 0.05, unpaired Student's T-test) </w:t>
      </w:r>
      <w:r w:rsidRPr="005941DF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upregulation of</w:t>
      </w:r>
      <w:r w:rsidR="00DD44F9">
        <w:rPr>
          <w:lang w:val="en-US"/>
        </w:rPr>
        <w:t xml:space="preserve"> </w:t>
      </w:r>
      <w:r w:rsidR="00DD44F9" w:rsidRPr="005941DF">
        <w:rPr>
          <w:b/>
          <w:bCs/>
          <w:highlight w:val="yellow"/>
          <w:lang w:val="en-US"/>
        </w:rPr>
        <w:t>trigger</w:t>
      </w:r>
      <w:r w:rsidRPr="000473F6">
        <w:rPr>
          <w:lang w:val="en-US"/>
        </w:rPr>
        <w:t xml:space="preserve"> IL-1α</w:t>
      </w:r>
      <w:r w:rsidR="005941DF">
        <w:rPr>
          <w:lang w:val="en-US"/>
        </w:rPr>
        <w:t xml:space="preserve"> r</w:t>
      </w:r>
      <w:r w:rsidR="005941DF" w:rsidRPr="005941DF">
        <w:rPr>
          <w:b/>
          <w:bCs/>
          <w:highlight w:val="yellow"/>
          <w:lang w:val="en-US"/>
        </w:rPr>
        <w:t>elease</w:t>
      </w:r>
      <w:r w:rsidRPr="000473F6">
        <w:rPr>
          <w:lang w:val="en-US"/>
        </w:rPr>
        <w:t xml:space="preserve"> (1.8 ± 0.5 fold increase).</w:t>
      </w:r>
    </w:p>
    <w:p w14:paraId="7D47696B" w14:textId="765D095B" w:rsidR="002835B6" w:rsidRDefault="002835B6" w:rsidP="00CC0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Figure 6, title</w:t>
      </w:r>
      <w:r w:rsidR="0032086B">
        <w:rPr>
          <w:lang w:val="en-US"/>
        </w:rPr>
        <w:t>, line 1</w:t>
      </w:r>
      <w:r>
        <w:rPr>
          <w:lang w:val="en-US"/>
        </w:rPr>
        <w:t xml:space="preserve">: </w:t>
      </w:r>
      <w:r w:rsidR="004F3C38" w:rsidRPr="004F3C38">
        <w:rPr>
          <w:lang w:val="en-US"/>
        </w:rPr>
        <w:t xml:space="preserve">Proinflammatory </w:t>
      </w:r>
      <w:r w:rsidR="004F3C38" w:rsidRPr="004F3C38">
        <w:rPr>
          <w:b/>
          <w:bCs/>
          <w:strike/>
          <w:highlight w:val="green"/>
          <w:lang w:val="en-US"/>
        </w:rPr>
        <w:t>reactions</w:t>
      </w:r>
      <w:r w:rsidR="004F3C38">
        <w:rPr>
          <w:lang w:val="en-US"/>
        </w:rPr>
        <w:t xml:space="preserve"> </w:t>
      </w:r>
      <w:r w:rsidR="004F3C38" w:rsidRPr="004F3C38">
        <w:rPr>
          <w:b/>
          <w:bCs/>
          <w:highlight w:val="yellow"/>
          <w:lang w:val="en-US"/>
        </w:rPr>
        <w:t>responses</w:t>
      </w:r>
      <w:r w:rsidR="004F3C38" w:rsidRPr="004F3C38">
        <w:rPr>
          <w:lang w:val="en-US"/>
        </w:rPr>
        <w:t xml:space="preserve"> in the reconstructed human epidermis. </w:t>
      </w:r>
      <w:r w:rsidR="004F3C38" w:rsidRPr="004F3C38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The concentration</w:t>
      </w:r>
      <w:r w:rsidR="004F3C38" w:rsidRPr="004F3C38">
        <w:rPr>
          <w:lang w:val="en-US"/>
        </w:rPr>
        <w:t xml:space="preserve"> </w:t>
      </w:r>
      <w:r w:rsidR="004F3C38" w:rsidRPr="004F3C38">
        <w:rPr>
          <w:b/>
          <w:bCs/>
          <w:highlight w:val="yellow"/>
          <w:lang w:val="en-US"/>
        </w:rPr>
        <w:t>Concentrations</w:t>
      </w:r>
      <w:r w:rsidR="004F3C38" w:rsidRPr="004F3C38">
        <w:rPr>
          <w:b/>
          <w:bCs/>
          <w:lang w:val="en-US"/>
        </w:rPr>
        <w:t xml:space="preserve"> </w:t>
      </w:r>
      <w:r w:rsidR="004F3C38" w:rsidRPr="004F3C38">
        <w:rPr>
          <w:lang w:val="en-US"/>
        </w:rPr>
        <w:t xml:space="preserve">of IL-8 release </w:t>
      </w:r>
      <w:r w:rsidR="004F3C38" w:rsidRPr="007A563F">
        <w:rPr>
          <w:b/>
          <w:bCs/>
          <w:strike/>
          <w:highlight w:val="green"/>
          <w:lang w:val="en-US"/>
        </w:rPr>
        <w:t>of</w:t>
      </w:r>
      <w:r w:rsidR="004F3C38" w:rsidRPr="004F3C38">
        <w:rPr>
          <w:lang w:val="en-US"/>
        </w:rPr>
        <w:t xml:space="preserve"> </w:t>
      </w:r>
      <w:r w:rsidR="007A563F" w:rsidRPr="007A563F">
        <w:rPr>
          <w:b/>
          <w:bCs/>
          <w:highlight w:val="yellow"/>
          <w:lang w:val="en-US"/>
        </w:rPr>
        <w:t>by</w:t>
      </w:r>
      <w:r w:rsidR="007A563F">
        <w:rPr>
          <w:lang w:val="en-US"/>
        </w:rPr>
        <w:t xml:space="preserve"> </w:t>
      </w:r>
      <w:r w:rsidR="004F3C38" w:rsidRPr="004F3C38">
        <w:rPr>
          <w:lang w:val="en-US"/>
        </w:rPr>
        <w:t>the RhE upon</w:t>
      </w:r>
    </w:p>
    <w:p w14:paraId="6A3CD0E2" w14:textId="151E5620" w:rsidR="0032086B" w:rsidRDefault="0032086B" w:rsidP="00CC0B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Figure 6, title, line 6: </w:t>
      </w:r>
      <w:r w:rsidRPr="0032086B">
        <w:rPr>
          <w:lang w:val="en-US"/>
        </w:rPr>
        <w:t xml:space="preserve">Asterisk denotes statistically significant </w:t>
      </w:r>
      <w:r w:rsidRPr="00DB7D90">
        <w:rPr>
          <w:b/>
          <w:bCs/>
          <w:strike/>
          <w:highlight w:val="green"/>
          <w:lang w:val="en-US"/>
        </w:rPr>
        <w:t>decrease</w:t>
      </w:r>
      <w:r w:rsidR="00DB7D90">
        <w:rPr>
          <w:lang w:val="en-US"/>
        </w:rPr>
        <w:t xml:space="preserve"> </w:t>
      </w:r>
      <w:r w:rsidR="00DB7D90" w:rsidRPr="00DB7D90">
        <w:rPr>
          <w:b/>
          <w:bCs/>
          <w:highlight w:val="yellow"/>
          <w:lang w:val="en-US"/>
        </w:rPr>
        <w:t>differences</w:t>
      </w:r>
      <w:r w:rsidRPr="0032086B">
        <w:rPr>
          <w:lang w:val="en-US"/>
        </w:rPr>
        <w:t xml:space="preserve"> compared to CTRL, *p &lt; 0.05, ****p &lt; 0.0001)</w:t>
      </w:r>
    </w:p>
    <w:p w14:paraId="4D0C65B1" w14:textId="77777777" w:rsidR="00D3733B" w:rsidRPr="00D3733B" w:rsidRDefault="00D3733B" w:rsidP="00D3733B">
      <w:pPr>
        <w:rPr>
          <w:lang w:val="en-US"/>
        </w:rPr>
      </w:pPr>
    </w:p>
    <w:p w14:paraId="1A8D8CFC" w14:textId="4E165067" w:rsidR="008241B3" w:rsidRDefault="0051092C" w:rsidP="008241B3">
      <w:pPr>
        <w:rPr>
          <w:lang w:val="en-US"/>
        </w:rPr>
      </w:pPr>
      <w:r>
        <w:rPr>
          <w:lang w:val="en-US"/>
        </w:rPr>
        <w:t>Discussion</w:t>
      </w:r>
    </w:p>
    <w:p w14:paraId="6AAD7A5F" w14:textId="6B7C68C2" w:rsidR="0006685C" w:rsidRDefault="00892BF1" w:rsidP="00391708">
      <w:pPr>
        <w:pStyle w:val="ListParagraph"/>
        <w:numPr>
          <w:ilvl w:val="0"/>
          <w:numId w:val="1"/>
        </w:numPr>
        <w:rPr>
          <w:lang w:val="en-US"/>
        </w:rPr>
      </w:pPr>
      <w:r w:rsidRPr="00391708">
        <w:rPr>
          <w:lang w:val="en-US"/>
        </w:rPr>
        <w:t>$</w:t>
      </w:r>
      <w:r w:rsidR="00F042B5">
        <w:rPr>
          <w:lang w:val="en-US"/>
        </w:rPr>
        <w:t>1</w:t>
      </w:r>
      <w:r w:rsidRPr="00391708">
        <w:rPr>
          <w:lang w:val="en-US"/>
        </w:rPr>
        <w:t xml:space="preserve">, Line </w:t>
      </w:r>
      <w:r w:rsidR="00F042B5">
        <w:rPr>
          <w:lang w:val="en-US"/>
        </w:rPr>
        <w:t>2</w:t>
      </w:r>
      <w:r w:rsidRPr="00391708">
        <w:rPr>
          <w:lang w:val="en-US"/>
        </w:rPr>
        <w:t xml:space="preserve">: </w:t>
      </w:r>
      <w:r w:rsidR="00F042B5" w:rsidRPr="00F042B5">
        <w:rPr>
          <w:lang w:val="en-US"/>
        </w:rPr>
        <w:t xml:space="preserve">parameters as required </w:t>
      </w:r>
      <w:r w:rsidR="00F042B5" w:rsidRPr="00F042B5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for</w:t>
      </w:r>
      <w:r w:rsidR="00F042B5" w:rsidRPr="00F042B5">
        <w:rPr>
          <w:lang w:val="en-US"/>
        </w:rPr>
        <w:t xml:space="preserve"> </w:t>
      </w:r>
      <w:r w:rsidR="00F042B5" w:rsidRPr="00F042B5">
        <w:rPr>
          <w:b/>
          <w:bCs/>
          <w:highlight w:val="yellow"/>
          <w:lang w:val="en-US"/>
        </w:rPr>
        <w:t>to address</w:t>
      </w:r>
      <w:r w:rsidR="00F042B5">
        <w:rPr>
          <w:lang w:val="en-US"/>
        </w:rPr>
        <w:t xml:space="preserve"> </w:t>
      </w:r>
      <w:r w:rsidR="00F042B5" w:rsidRPr="00F042B5">
        <w:rPr>
          <w:lang w:val="en-US"/>
        </w:rPr>
        <w:t>new</w:t>
      </w:r>
    </w:p>
    <w:p w14:paraId="1ECBDC08" w14:textId="5E805CDE" w:rsidR="00605C5F" w:rsidRDefault="00605C5F" w:rsidP="00391708">
      <w:pPr>
        <w:pStyle w:val="ListParagraph"/>
        <w:numPr>
          <w:ilvl w:val="0"/>
          <w:numId w:val="1"/>
        </w:numPr>
        <w:rPr>
          <w:lang w:val="en-US"/>
        </w:rPr>
      </w:pPr>
      <w:r w:rsidRPr="00605C5F">
        <w:rPr>
          <w:lang w:val="en-US"/>
        </w:rPr>
        <w:t xml:space="preserve">§2, line 2: Some of the steps in the protocol are crucial to assure </w:t>
      </w:r>
      <w:r w:rsidRPr="00605C5F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correct</w:t>
      </w:r>
      <w:r w:rsidRPr="00605C5F">
        <w:rPr>
          <w:rFonts w:ascii="Roboto" w:hAnsi="Roboto"/>
          <w:color w:val="000000"/>
          <w:shd w:val="clear" w:color="auto" w:fill="FFFFFF"/>
        </w:rPr>
        <w:t xml:space="preserve"> </w:t>
      </w:r>
      <w:r w:rsidRPr="00605C5F">
        <w:rPr>
          <w:b/>
          <w:bCs/>
          <w:highlight w:val="yellow"/>
          <w:lang w:val="en-US"/>
        </w:rPr>
        <w:t>proper</w:t>
      </w:r>
      <w:r w:rsidRPr="00605C5F">
        <w:rPr>
          <w:lang w:val="en-US"/>
        </w:rPr>
        <w:t xml:space="preserve"> keratinocyte </w:t>
      </w:r>
    </w:p>
    <w:p w14:paraId="36AFE1F5" w14:textId="692CF2E2" w:rsidR="00801CF4" w:rsidRDefault="00801CF4" w:rsidP="003917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§2, line 9: </w:t>
      </w:r>
      <w:r w:rsidRPr="00801CF4">
        <w:rPr>
          <w:lang w:val="en-US"/>
        </w:rPr>
        <w:t xml:space="preserve">therefore the current protocol </w:t>
      </w:r>
      <w:r w:rsidRPr="00801CF4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uses</w:t>
      </w:r>
      <w:r w:rsidRPr="00801CF4">
        <w:rPr>
          <w:lang w:val="en-US"/>
        </w:rPr>
        <w:t xml:space="preserve"> </w:t>
      </w:r>
      <w:r w:rsidRPr="00801CF4">
        <w:rPr>
          <w:b/>
          <w:bCs/>
          <w:highlight w:val="yellow"/>
          <w:lang w:val="en-US"/>
        </w:rPr>
        <w:t>includes the use of</w:t>
      </w:r>
      <w:r>
        <w:rPr>
          <w:lang w:val="en-US"/>
        </w:rPr>
        <w:t xml:space="preserve"> </w:t>
      </w:r>
      <w:r w:rsidRPr="00801CF4">
        <w:rPr>
          <w:lang w:val="en-US"/>
        </w:rPr>
        <w:t>keratinocytes in their third</w:t>
      </w:r>
    </w:p>
    <w:p w14:paraId="7C6EB5F1" w14:textId="76BD279E" w:rsidR="00CC339A" w:rsidRDefault="00CC339A" w:rsidP="003917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§2, line 17: </w:t>
      </w:r>
      <w:r w:rsidRPr="00CC339A">
        <w:rPr>
          <w:lang w:val="en-US"/>
        </w:rPr>
        <w:t xml:space="preserve">favors </w:t>
      </w:r>
      <w:r w:rsidRPr="00CC339A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 xml:space="preserve">the </w:t>
      </w:r>
      <w:r w:rsidRPr="00CC339A">
        <w:rPr>
          <w:lang w:val="en-US"/>
        </w:rPr>
        <w:t>keratinocyte differentiation and skin barrier formation and homeostasis</w:t>
      </w:r>
    </w:p>
    <w:p w14:paraId="51A5C3EB" w14:textId="18DE48D4" w:rsidR="00F1374B" w:rsidRDefault="00F1374B" w:rsidP="003917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§3, line 9: </w:t>
      </w:r>
      <w:r w:rsidRPr="00F1374B">
        <w:rPr>
          <w:lang w:val="en-US"/>
        </w:rPr>
        <w:t xml:space="preserve">However, several studies have reported </w:t>
      </w:r>
      <w:r w:rsidRPr="00F1374B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 xml:space="preserve">on </w:t>
      </w:r>
      <w:r w:rsidRPr="00F1374B">
        <w:rPr>
          <w:lang w:val="en-US"/>
        </w:rPr>
        <w:t>changes</w:t>
      </w:r>
    </w:p>
    <w:p w14:paraId="229CADAE" w14:textId="0F7C429F" w:rsidR="00607430" w:rsidRDefault="00607430" w:rsidP="003917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§3, line 14: </w:t>
      </w:r>
      <w:r w:rsidRPr="00607430">
        <w:rPr>
          <w:lang w:val="en-US"/>
        </w:rPr>
        <w:t xml:space="preserve">Silencing specific genes in keratinocytes </w:t>
      </w:r>
      <w:r w:rsidRPr="00390DDF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prior to seeding of the RhEs</w:t>
      </w:r>
      <w:r w:rsidR="00E61843" w:rsidRPr="00E61843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,</w:t>
      </w:r>
      <w:r w:rsidR="001A6266">
        <w:rPr>
          <w:lang w:val="en-US"/>
        </w:rPr>
        <w:t xml:space="preserve"> </w:t>
      </w:r>
      <w:r w:rsidR="001A6266" w:rsidRPr="00390DDF">
        <w:rPr>
          <w:b/>
          <w:bCs/>
          <w:highlight w:val="yellow"/>
          <w:lang w:val="en-US"/>
        </w:rPr>
        <w:t xml:space="preserve">before initiating the reconstitution process of </w:t>
      </w:r>
      <w:r w:rsidR="00390DDF" w:rsidRPr="00390DDF">
        <w:rPr>
          <w:b/>
          <w:bCs/>
          <w:highlight w:val="yellow"/>
          <w:lang w:val="en-US"/>
        </w:rPr>
        <w:t>the 3D model</w:t>
      </w:r>
      <w:r w:rsidR="00E61843">
        <w:rPr>
          <w:b/>
          <w:bCs/>
          <w:lang w:val="en-US"/>
        </w:rPr>
        <w:t xml:space="preserve"> </w:t>
      </w:r>
      <w:r w:rsidR="00E61843" w:rsidRPr="00E61843">
        <w:rPr>
          <w:lang w:val="en-US"/>
        </w:rPr>
        <w:t>is another approach</w:t>
      </w:r>
    </w:p>
    <w:p w14:paraId="2D148B0E" w14:textId="6986EC6B" w:rsidR="00532F4B" w:rsidRDefault="00DF3181" w:rsidP="00532F4B">
      <w:pPr>
        <w:rPr>
          <w:lang w:val="en-US"/>
        </w:rPr>
      </w:pPr>
      <w:r>
        <w:rPr>
          <w:lang w:val="en-US"/>
        </w:rPr>
        <w:t>Materials</w:t>
      </w:r>
    </w:p>
    <w:p w14:paraId="7828A766" w14:textId="0996DBB3" w:rsidR="00DF3181" w:rsidRPr="00DF3181" w:rsidRDefault="00DF3181" w:rsidP="00DF31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Line 5: </w:t>
      </w:r>
      <w:r w:rsidRPr="00DF3181">
        <w:rPr>
          <w:lang w:val="en-US"/>
        </w:rPr>
        <w:t>Calcium chloride</w:t>
      </w:r>
      <w:r>
        <w:rPr>
          <w:lang w:val="en-US"/>
        </w:rPr>
        <w:t xml:space="preserve"> </w:t>
      </w:r>
      <w:r w:rsidRPr="00DF3181">
        <w:rPr>
          <w:b/>
          <w:bCs/>
          <w:highlight w:val="yellow"/>
          <w:lang w:val="en-US"/>
        </w:rPr>
        <w:t>(CaCl</w:t>
      </w:r>
      <w:r w:rsidR="00FB2B56">
        <w:rPr>
          <w:b/>
          <w:bCs/>
          <w:highlight w:val="yellow"/>
          <w:vertAlign w:val="subscript"/>
          <w:lang w:val="en-US"/>
        </w:rPr>
        <w:t>2</w:t>
      </w:r>
      <w:r w:rsidRPr="00DF3181">
        <w:rPr>
          <w:b/>
          <w:bCs/>
          <w:highlight w:val="yellow"/>
          <w:lang w:val="en-US"/>
        </w:rPr>
        <w:t>)</w:t>
      </w:r>
    </w:p>
    <w:p w14:paraId="41C4B975" w14:textId="4435C837" w:rsidR="00DF3181" w:rsidRDefault="00266DE7" w:rsidP="00266DE7">
      <w:pPr>
        <w:rPr>
          <w:lang w:val="en-US"/>
        </w:rPr>
      </w:pPr>
      <w:r>
        <w:rPr>
          <w:lang w:val="en-US"/>
        </w:rPr>
        <w:t>References</w:t>
      </w:r>
    </w:p>
    <w:p w14:paraId="5E4ECB22" w14:textId="701740D4" w:rsidR="005312ED" w:rsidRDefault="005312ED" w:rsidP="005312E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Reference 30: </w:t>
      </w:r>
      <w:r w:rsidRPr="005312ED">
        <w:rPr>
          <w:lang w:val="en-US"/>
        </w:rPr>
        <w:t xml:space="preserve">Petracca, B., Rothen-Rutishauser, B., Valacchi, G., Eeman, M. Bench approaches to study the detrimental cutaneous impact of troposperic ozone. Journal of Exposure Science and Environmental Epidemiology. </w:t>
      </w:r>
      <w:r w:rsidR="00826F8B">
        <w:rPr>
          <w:lang w:val="en-US"/>
        </w:rPr>
        <w:t xml:space="preserve"> </w:t>
      </w:r>
      <w:r w:rsidR="00826F8B" w:rsidRPr="0018436F">
        <w:rPr>
          <w:b/>
          <w:bCs/>
          <w:highlight w:val="yellow"/>
          <w:lang w:val="en-US"/>
        </w:rPr>
        <w:t>31, 137</w:t>
      </w:r>
      <w:r w:rsidR="0018436F" w:rsidRPr="0018436F">
        <w:rPr>
          <w:b/>
          <w:bCs/>
          <w:highlight w:val="yellow"/>
          <w:lang w:val="en-US"/>
        </w:rPr>
        <w:t>-</w:t>
      </w:r>
      <w:r w:rsidR="00826F8B" w:rsidRPr="0018436F">
        <w:rPr>
          <w:b/>
          <w:bCs/>
          <w:highlight w:val="yellow"/>
          <w:lang w:val="en-US"/>
        </w:rPr>
        <w:t>148</w:t>
      </w:r>
      <w:r w:rsidR="0018436F" w:rsidRPr="0018436F">
        <w:rPr>
          <w:b/>
          <w:bCs/>
          <w:highlight w:val="yellow"/>
          <w:lang w:val="en-US"/>
        </w:rPr>
        <w:t xml:space="preserve"> </w:t>
      </w:r>
      <w:r w:rsidR="00826F8B" w:rsidRPr="0018436F">
        <w:rPr>
          <w:b/>
          <w:bCs/>
          <w:highlight w:val="yellow"/>
          <w:lang w:val="en-US"/>
        </w:rPr>
        <w:t>(2021)</w:t>
      </w:r>
      <w:r w:rsidR="00826F8B" w:rsidRPr="00826F8B">
        <w:rPr>
          <w:lang w:val="en-US"/>
        </w:rPr>
        <w:t xml:space="preserve"> </w:t>
      </w:r>
      <w:r w:rsidRPr="0018436F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(2020)</w:t>
      </w:r>
      <w:r w:rsidRPr="005312ED">
        <w:rPr>
          <w:lang w:val="en-US"/>
        </w:rPr>
        <w:t>.</w:t>
      </w:r>
    </w:p>
    <w:p w14:paraId="471F0AB0" w14:textId="6D9BE894" w:rsidR="00805829" w:rsidRDefault="001250D9" w:rsidP="005312ED">
      <w:pPr>
        <w:pStyle w:val="ListParagraph"/>
        <w:numPr>
          <w:ilvl w:val="0"/>
          <w:numId w:val="1"/>
        </w:numPr>
        <w:rPr>
          <w:lang w:val="en-US"/>
        </w:rPr>
      </w:pPr>
      <w:r w:rsidRPr="001250D9">
        <w:rPr>
          <w:lang w:val="nl-BE"/>
        </w:rPr>
        <w:t xml:space="preserve">Reference 74: van den Bogaard, E., et al. </w:t>
      </w:r>
      <w:r w:rsidRPr="001250D9">
        <w:rPr>
          <w:lang w:val="en-US"/>
        </w:rPr>
        <w:t xml:space="preserve">Perspective and consensus opinion: good practices for using organotypic skin and epidermal equivalents in experimental dermatology research. Journal of Investigative Dermatology. </w:t>
      </w:r>
      <w:r w:rsidRPr="005214F3">
        <w:rPr>
          <w:b/>
          <w:bCs/>
          <w:highlight w:val="yellow"/>
          <w:lang w:val="en-US"/>
        </w:rPr>
        <w:t>141</w:t>
      </w:r>
      <w:r w:rsidR="005214F3" w:rsidRPr="005214F3">
        <w:rPr>
          <w:b/>
          <w:bCs/>
          <w:highlight w:val="yellow"/>
          <w:lang w:val="en-US"/>
        </w:rPr>
        <w:t xml:space="preserve">, </w:t>
      </w:r>
      <w:r w:rsidRPr="005214F3">
        <w:rPr>
          <w:b/>
          <w:bCs/>
          <w:highlight w:val="yellow"/>
          <w:lang w:val="en-US"/>
        </w:rPr>
        <w:t>(1)</w:t>
      </w:r>
      <w:r w:rsidR="005214F3" w:rsidRPr="005214F3">
        <w:rPr>
          <w:b/>
          <w:bCs/>
          <w:highlight w:val="yellow"/>
          <w:lang w:val="en-US"/>
        </w:rPr>
        <w:t>,</w:t>
      </w:r>
      <w:r w:rsidRPr="005214F3">
        <w:rPr>
          <w:b/>
          <w:bCs/>
          <w:highlight w:val="yellow"/>
          <w:lang w:val="en-US"/>
        </w:rPr>
        <w:t xml:space="preserve"> 203</w:t>
      </w:r>
      <w:r w:rsidR="005214F3" w:rsidRPr="005214F3">
        <w:rPr>
          <w:b/>
          <w:bCs/>
          <w:highlight w:val="yellow"/>
          <w:lang w:val="en-US"/>
        </w:rPr>
        <w:t>-</w:t>
      </w:r>
      <w:r w:rsidRPr="005214F3">
        <w:rPr>
          <w:b/>
          <w:bCs/>
          <w:highlight w:val="yellow"/>
          <w:lang w:val="en-US"/>
        </w:rPr>
        <w:t>205 (2021)</w:t>
      </w:r>
      <w:r>
        <w:rPr>
          <w:lang w:val="en-US"/>
        </w:rPr>
        <w:t xml:space="preserve"> </w:t>
      </w:r>
      <w:r w:rsidRPr="005214F3">
        <w:rPr>
          <w:rFonts w:ascii="Roboto" w:hAnsi="Roboto"/>
          <w:b/>
          <w:bCs/>
          <w:strike/>
          <w:color w:val="000000"/>
          <w:highlight w:val="green"/>
          <w:shd w:val="clear" w:color="auto" w:fill="FFFFFF"/>
        </w:rPr>
        <w:t>(2020)</w:t>
      </w:r>
      <w:r w:rsidRPr="001250D9">
        <w:rPr>
          <w:lang w:val="en-US"/>
        </w:rPr>
        <w:t>.</w:t>
      </w:r>
    </w:p>
    <w:p w14:paraId="3CED20FC" w14:textId="3636B187" w:rsidR="00805829" w:rsidRPr="005312ED" w:rsidRDefault="00805829" w:rsidP="00EA742D">
      <w:pPr>
        <w:pStyle w:val="ListParagraph"/>
        <w:rPr>
          <w:lang w:val="en-US"/>
        </w:rPr>
      </w:pPr>
    </w:p>
    <w:sectPr w:rsidR="00805829" w:rsidRPr="00531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61507" w14:textId="77777777" w:rsidR="008576F7" w:rsidRDefault="008576F7" w:rsidP="0010350F">
      <w:pPr>
        <w:spacing w:after="0" w:line="240" w:lineRule="auto"/>
      </w:pPr>
      <w:r>
        <w:separator/>
      </w:r>
    </w:p>
  </w:endnote>
  <w:endnote w:type="continuationSeparator" w:id="0">
    <w:p w14:paraId="29AB4E16" w14:textId="77777777" w:rsidR="008576F7" w:rsidRDefault="008576F7" w:rsidP="0010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A25B2" w14:textId="77777777" w:rsidR="008576F7" w:rsidRDefault="008576F7" w:rsidP="0010350F">
      <w:pPr>
        <w:spacing w:after="0" w:line="240" w:lineRule="auto"/>
      </w:pPr>
      <w:r>
        <w:separator/>
      </w:r>
    </w:p>
  </w:footnote>
  <w:footnote w:type="continuationSeparator" w:id="0">
    <w:p w14:paraId="67F8388E" w14:textId="77777777" w:rsidR="008576F7" w:rsidRDefault="008576F7" w:rsidP="00103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F6575"/>
    <w:multiLevelType w:val="hybridMultilevel"/>
    <w:tmpl w:val="8264BA98"/>
    <w:lvl w:ilvl="0" w:tplc="87AC7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9"/>
    <w:rsid w:val="0000252C"/>
    <w:rsid w:val="0000732B"/>
    <w:rsid w:val="00012FA3"/>
    <w:rsid w:val="00024A36"/>
    <w:rsid w:val="0002512A"/>
    <w:rsid w:val="00026403"/>
    <w:rsid w:val="0003794A"/>
    <w:rsid w:val="0004318A"/>
    <w:rsid w:val="000473F6"/>
    <w:rsid w:val="000524CC"/>
    <w:rsid w:val="0005543C"/>
    <w:rsid w:val="00055509"/>
    <w:rsid w:val="000556B3"/>
    <w:rsid w:val="00063202"/>
    <w:rsid w:val="0006685C"/>
    <w:rsid w:val="00077CA1"/>
    <w:rsid w:val="000867B7"/>
    <w:rsid w:val="00090EDC"/>
    <w:rsid w:val="000B2C3E"/>
    <w:rsid w:val="000B31D6"/>
    <w:rsid w:val="000D047D"/>
    <w:rsid w:val="000D11B4"/>
    <w:rsid w:val="000D1237"/>
    <w:rsid w:val="000D6215"/>
    <w:rsid w:val="000D702C"/>
    <w:rsid w:val="000E508A"/>
    <w:rsid w:val="000F055E"/>
    <w:rsid w:val="0010350F"/>
    <w:rsid w:val="00111333"/>
    <w:rsid w:val="001143D6"/>
    <w:rsid w:val="00120F45"/>
    <w:rsid w:val="001250D9"/>
    <w:rsid w:val="001324B5"/>
    <w:rsid w:val="00134AC9"/>
    <w:rsid w:val="001558B1"/>
    <w:rsid w:val="001558C7"/>
    <w:rsid w:val="00166B39"/>
    <w:rsid w:val="00183832"/>
    <w:rsid w:val="0018436F"/>
    <w:rsid w:val="00190E63"/>
    <w:rsid w:val="00197433"/>
    <w:rsid w:val="001A11F2"/>
    <w:rsid w:val="001A1884"/>
    <w:rsid w:val="001A6266"/>
    <w:rsid w:val="001B731A"/>
    <w:rsid w:val="001B7EA0"/>
    <w:rsid w:val="001C0100"/>
    <w:rsid w:val="001C1ABA"/>
    <w:rsid w:val="001C2ED8"/>
    <w:rsid w:val="001C4EFE"/>
    <w:rsid w:val="001C5D63"/>
    <w:rsid w:val="001E1F3F"/>
    <w:rsid w:val="001E71E3"/>
    <w:rsid w:val="001E7216"/>
    <w:rsid w:val="001F05F0"/>
    <w:rsid w:val="001F2315"/>
    <w:rsid w:val="001F2FC0"/>
    <w:rsid w:val="001F5332"/>
    <w:rsid w:val="001F778A"/>
    <w:rsid w:val="00204785"/>
    <w:rsid w:val="00231048"/>
    <w:rsid w:val="00245408"/>
    <w:rsid w:val="002475CA"/>
    <w:rsid w:val="002627A3"/>
    <w:rsid w:val="002667BF"/>
    <w:rsid w:val="00266DE7"/>
    <w:rsid w:val="0027041E"/>
    <w:rsid w:val="00270A33"/>
    <w:rsid w:val="00270CF7"/>
    <w:rsid w:val="00275F9C"/>
    <w:rsid w:val="00282DE5"/>
    <w:rsid w:val="002835B6"/>
    <w:rsid w:val="00286875"/>
    <w:rsid w:val="002870F3"/>
    <w:rsid w:val="002971BE"/>
    <w:rsid w:val="002A138B"/>
    <w:rsid w:val="002A2CC0"/>
    <w:rsid w:val="002A2DD5"/>
    <w:rsid w:val="002A7CCF"/>
    <w:rsid w:val="002B20AE"/>
    <w:rsid w:val="002B2D52"/>
    <w:rsid w:val="002B61D5"/>
    <w:rsid w:val="002C3B30"/>
    <w:rsid w:val="002D6DA7"/>
    <w:rsid w:val="002E3953"/>
    <w:rsid w:val="002E57BA"/>
    <w:rsid w:val="002F008D"/>
    <w:rsid w:val="002F32F5"/>
    <w:rsid w:val="00300A5A"/>
    <w:rsid w:val="0030316C"/>
    <w:rsid w:val="00306765"/>
    <w:rsid w:val="003100C4"/>
    <w:rsid w:val="00310988"/>
    <w:rsid w:val="0032086B"/>
    <w:rsid w:val="00321317"/>
    <w:rsid w:val="00325D77"/>
    <w:rsid w:val="003262ED"/>
    <w:rsid w:val="00331E06"/>
    <w:rsid w:val="00337502"/>
    <w:rsid w:val="00344150"/>
    <w:rsid w:val="003475F4"/>
    <w:rsid w:val="003510D2"/>
    <w:rsid w:val="00367C44"/>
    <w:rsid w:val="0037168E"/>
    <w:rsid w:val="00377BF2"/>
    <w:rsid w:val="00390DDF"/>
    <w:rsid w:val="00391708"/>
    <w:rsid w:val="00393454"/>
    <w:rsid w:val="003947AA"/>
    <w:rsid w:val="00395998"/>
    <w:rsid w:val="003A4BFA"/>
    <w:rsid w:val="003A5DB7"/>
    <w:rsid w:val="003B6131"/>
    <w:rsid w:val="003B7D59"/>
    <w:rsid w:val="003C3320"/>
    <w:rsid w:val="003C6D5C"/>
    <w:rsid w:val="003C7754"/>
    <w:rsid w:val="003D5220"/>
    <w:rsid w:val="003D591C"/>
    <w:rsid w:val="003D601C"/>
    <w:rsid w:val="003E4B9D"/>
    <w:rsid w:val="004063F3"/>
    <w:rsid w:val="004139F8"/>
    <w:rsid w:val="004165D4"/>
    <w:rsid w:val="0042055F"/>
    <w:rsid w:val="00426652"/>
    <w:rsid w:val="00427020"/>
    <w:rsid w:val="0043439B"/>
    <w:rsid w:val="0043737E"/>
    <w:rsid w:val="004379DB"/>
    <w:rsid w:val="004407D2"/>
    <w:rsid w:val="00445826"/>
    <w:rsid w:val="00462306"/>
    <w:rsid w:val="0047092C"/>
    <w:rsid w:val="0047110A"/>
    <w:rsid w:val="004763FE"/>
    <w:rsid w:val="00487490"/>
    <w:rsid w:val="00493BF1"/>
    <w:rsid w:val="00494320"/>
    <w:rsid w:val="00495CB1"/>
    <w:rsid w:val="004969CB"/>
    <w:rsid w:val="004A1639"/>
    <w:rsid w:val="004B58DC"/>
    <w:rsid w:val="004B6BFF"/>
    <w:rsid w:val="004C0CF8"/>
    <w:rsid w:val="004D486E"/>
    <w:rsid w:val="004E0E1A"/>
    <w:rsid w:val="004E488D"/>
    <w:rsid w:val="004E538E"/>
    <w:rsid w:val="004E5ECA"/>
    <w:rsid w:val="004E6B93"/>
    <w:rsid w:val="004E6E2B"/>
    <w:rsid w:val="004F0114"/>
    <w:rsid w:val="004F2115"/>
    <w:rsid w:val="004F29AD"/>
    <w:rsid w:val="004F3C38"/>
    <w:rsid w:val="004F56DD"/>
    <w:rsid w:val="004F5D02"/>
    <w:rsid w:val="004F6529"/>
    <w:rsid w:val="005011B6"/>
    <w:rsid w:val="00503972"/>
    <w:rsid w:val="005054A4"/>
    <w:rsid w:val="00510580"/>
    <w:rsid w:val="0051092C"/>
    <w:rsid w:val="0051431F"/>
    <w:rsid w:val="00514598"/>
    <w:rsid w:val="00514748"/>
    <w:rsid w:val="00514959"/>
    <w:rsid w:val="005214F3"/>
    <w:rsid w:val="00525924"/>
    <w:rsid w:val="00530003"/>
    <w:rsid w:val="005312ED"/>
    <w:rsid w:val="00532F4B"/>
    <w:rsid w:val="00533FF4"/>
    <w:rsid w:val="00534C2F"/>
    <w:rsid w:val="0054185A"/>
    <w:rsid w:val="005502EF"/>
    <w:rsid w:val="005627F3"/>
    <w:rsid w:val="00565699"/>
    <w:rsid w:val="005810AC"/>
    <w:rsid w:val="0058184C"/>
    <w:rsid w:val="00587A3E"/>
    <w:rsid w:val="005916DD"/>
    <w:rsid w:val="005941DF"/>
    <w:rsid w:val="0059476A"/>
    <w:rsid w:val="00596378"/>
    <w:rsid w:val="005A4928"/>
    <w:rsid w:val="005A7B10"/>
    <w:rsid w:val="005B2459"/>
    <w:rsid w:val="005B3245"/>
    <w:rsid w:val="005B7440"/>
    <w:rsid w:val="005C0843"/>
    <w:rsid w:val="005C3AD8"/>
    <w:rsid w:val="005E4608"/>
    <w:rsid w:val="005E5705"/>
    <w:rsid w:val="005E5DAD"/>
    <w:rsid w:val="005F0B34"/>
    <w:rsid w:val="005F7711"/>
    <w:rsid w:val="00605C5F"/>
    <w:rsid w:val="0060610D"/>
    <w:rsid w:val="00607430"/>
    <w:rsid w:val="0061167B"/>
    <w:rsid w:val="006116BB"/>
    <w:rsid w:val="006126FB"/>
    <w:rsid w:val="0061412E"/>
    <w:rsid w:val="00616FF5"/>
    <w:rsid w:val="00627B5C"/>
    <w:rsid w:val="00627F18"/>
    <w:rsid w:val="0063080D"/>
    <w:rsid w:val="00632ECA"/>
    <w:rsid w:val="00636D91"/>
    <w:rsid w:val="00642F4D"/>
    <w:rsid w:val="00655820"/>
    <w:rsid w:val="00674F3B"/>
    <w:rsid w:val="00676D9B"/>
    <w:rsid w:val="00677639"/>
    <w:rsid w:val="006A66B8"/>
    <w:rsid w:val="006B1E19"/>
    <w:rsid w:val="006B5E82"/>
    <w:rsid w:val="006E3459"/>
    <w:rsid w:val="006E3C3F"/>
    <w:rsid w:val="006E7C4D"/>
    <w:rsid w:val="006F078E"/>
    <w:rsid w:val="006F1767"/>
    <w:rsid w:val="006F3958"/>
    <w:rsid w:val="006F6894"/>
    <w:rsid w:val="00706681"/>
    <w:rsid w:val="00710837"/>
    <w:rsid w:val="00710BE9"/>
    <w:rsid w:val="00711432"/>
    <w:rsid w:val="0071153B"/>
    <w:rsid w:val="007116D9"/>
    <w:rsid w:val="007138CD"/>
    <w:rsid w:val="00715853"/>
    <w:rsid w:val="007224CE"/>
    <w:rsid w:val="00733EDD"/>
    <w:rsid w:val="00735B81"/>
    <w:rsid w:val="00737C01"/>
    <w:rsid w:val="007426FA"/>
    <w:rsid w:val="00742891"/>
    <w:rsid w:val="0074692C"/>
    <w:rsid w:val="00753A21"/>
    <w:rsid w:val="00753F63"/>
    <w:rsid w:val="007654D5"/>
    <w:rsid w:val="00770103"/>
    <w:rsid w:val="0077473D"/>
    <w:rsid w:val="00775912"/>
    <w:rsid w:val="00780E13"/>
    <w:rsid w:val="00787E6A"/>
    <w:rsid w:val="00787F57"/>
    <w:rsid w:val="00792257"/>
    <w:rsid w:val="007A563F"/>
    <w:rsid w:val="007A6D8B"/>
    <w:rsid w:val="007B0655"/>
    <w:rsid w:val="007B4556"/>
    <w:rsid w:val="007D5ED2"/>
    <w:rsid w:val="007E34DF"/>
    <w:rsid w:val="007E3744"/>
    <w:rsid w:val="007F1220"/>
    <w:rsid w:val="007F4052"/>
    <w:rsid w:val="007F425C"/>
    <w:rsid w:val="007F49B1"/>
    <w:rsid w:val="007F5CBE"/>
    <w:rsid w:val="00801BEA"/>
    <w:rsid w:val="00801CF4"/>
    <w:rsid w:val="00804A61"/>
    <w:rsid w:val="00805829"/>
    <w:rsid w:val="00810D31"/>
    <w:rsid w:val="008147DC"/>
    <w:rsid w:val="00821760"/>
    <w:rsid w:val="008241B3"/>
    <w:rsid w:val="00824256"/>
    <w:rsid w:val="00826F8B"/>
    <w:rsid w:val="00833AE9"/>
    <w:rsid w:val="00836AFD"/>
    <w:rsid w:val="00837A3E"/>
    <w:rsid w:val="0084182C"/>
    <w:rsid w:val="0085000B"/>
    <w:rsid w:val="008576F7"/>
    <w:rsid w:val="00862631"/>
    <w:rsid w:val="00867352"/>
    <w:rsid w:val="008759FC"/>
    <w:rsid w:val="008866A9"/>
    <w:rsid w:val="00892BF1"/>
    <w:rsid w:val="008A3B8A"/>
    <w:rsid w:val="008A56CE"/>
    <w:rsid w:val="008B2486"/>
    <w:rsid w:val="008B41CE"/>
    <w:rsid w:val="008C030C"/>
    <w:rsid w:val="008C09DC"/>
    <w:rsid w:val="008C7D12"/>
    <w:rsid w:val="008D1137"/>
    <w:rsid w:val="008D59A3"/>
    <w:rsid w:val="008E2250"/>
    <w:rsid w:val="008E29A6"/>
    <w:rsid w:val="008E73FB"/>
    <w:rsid w:val="008F3555"/>
    <w:rsid w:val="008F405A"/>
    <w:rsid w:val="008F5BA3"/>
    <w:rsid w:val="0090009C"/>
    <w:rsid w:val="00901534"/>
    <w:rsid w:val="00907112"/>
    <w:rsid w:val="00912280"/>
    <w:rsid w:val="009178CB"/>
    <w:rsid w:val="0092048E"/>
    <w:rsid w:val="00925588"/>
    <w:rsid w:val="0092662A"/>
    <w:rsid w:val="00932AB7"/>
    <w:rsid w:val="00950A10"/>
    <w:rsid w:val="00950C06"/>
    <w:rsid w:val="0096660D"/>
    <w:rsid w:val="00967DC3"/>
    <w:rsid w:val="00985382"/>
    <w:rsid w:val="00993D54"/>
    <w:rsid w:val="00993ECC"/>
    <w:rsid w:val="00994FAB"/>
    <w:rsid w:val="009A790F"/>
    <w:rsid w:val="009B4E6D"/>
    <w:rsid w:val="009C5C08"/>
    <w:rsid w:val="009D3C2D"/>
    <w:rsid w:val="009E05A1"/>
    <w:rsid w:val="009E31F5"/>
    <w:rsid w:val="009E4B51"/>
    <w:rsid w:val="00A029BC"/>
    <w:rsid w:val="00A04496"/>
    <w:rsid w:val="00A21C47"/>
    <w:rsid w:val="00A44699"/>
    <w:rsid w:val="00A5261C"/>
    <w:rsid w:val="00A61857"/>
    <w:rsid w:val="00A62D76"/>
    <w:rsid w:val="00A77A22"/>
    <w:rsid w:val="00A77BD0"/>
    <w:rsid w:val="00A82C5E"/>
    <w:rsid w:val="00A92D1A"/>
    <w:rsid w:val="00A95E51"/>
    <w:rsid w:val="00AA1FF9"/>
    <w:rsid w:val="00AA7077"/>
    <w:rsid w:val="00AB026F"/>
    <w:rsid w:val="00AD13AB"/>
    <w:rsid w:val="00AD58C9"/>
    <w:rsid w:val="00AE0039"/>
    <w:rsid w:val="00AE0A75"/>
    <w:rsid w:val="00AE6AD9"/>
    <w:rsid w:val="00AF20BA"/>
    <w:rsid w:val="00AF433D"/>
    <w:rsid w:val="00B00DDB"/>
    <w:rsid w:val="00B0175E"/>
    <w:rsid w:val="00B02539"/>
    <w:rsid w:val="00B03B5B"/>
    <w:rsid w:val="00B05BDB"/>
    <w:rsid w:val="00B11A7D"/>
    <w:rsid w:val="00B2714F"/>
    <w:rsid w:val="00B301F8"/>
    <w:rsid w:val="00B33EBF"/>
    <w:rsid w:val="00B37641"/>
    <w:rsid w:val="00B4189B"/>
    <w:rsid w:val="00B46438"/>
    <w:rsid w:val="00B5581C"/>
    <w:rsid w:val="00B56CCA"/>
    <w:rsid w:val="00B617DA"/>
    <w:rsid w:val="00B62BE1"/>
    <w:rsid w:val="00B72BD2"/>
    <w:rsid w:val="00B811C5"/>
    <w:rsid w:val="00B838B6"/>
    <w:rsid w:val="00B85427"/>
    <w:rsid w:val="00B91081"/>
    <w:rsid w:val="00B96964"/>
    <w:rsid w:val="00BA56AC"/>
    <w:rsid w:val="00BA5786"/>
    <w:rsid w:val="00BA6F62"/>
    <w:rsid w:val="00BB07F4"/>
    <w:rsid w:val="00BB0BC2"/>
    <w:rsid w:val="00BC19C0"/>
    <w:rsid w:val="00BC367E"/>
    <w:rsid w:val="00BE3DDE"/>
    <w:rsid w:val="00BE5621"/>
    <w:rsid w:val="00BF5B69"/>
    <w:rsid w:val="00BF7A82"/>
    <w:rsid w:val="00C10A22"/>
    <w:rsid w:val="00C209FF"/>
    <w:rsid w:val="00C20CDF"/>
    <w:rsid w:val="00C237B0"/>
    <w:rsid w:val="00C262D1"/>
    <w:rsid w:val="00C2634A"/>
    <w:rsid w:val="00C37920"/>
    <w:rsid w:val="00C420FB"/>
    <w:rsid w:val="00C44EEA"/>
    <w:rsid w:val="00C61EF7"/>
    <w:rsid w:val="00C6246D"/>
    <w:rsid w:val="00C62E3B"/>
    <w:rsid w:val="00C72D6A"/>
    <w:rsid w:val="00C7414B"/>
    <w:rsid w:val="00C86B93"/>
    <w:rsid w:val="00CB29C8"/>
    <w:rsid w:val="00CB517B"/>
    <w:rsid w:val="00CC0B4A"/>
    <w:rsid w:val="00CC1224"/>
    <w:rsid w:val="00CC339A"/>
    <w:rsid w:val="00CC3C82"/>
    <w:rsid w:val="00CD271A"/>
    <w:rsid w:val="00CD40C0"/>
    <w:rsid w:val="00CD7961"/>
    <w:rsid w:val="00CD79F8"/>
    <w:rsid w:val="00CF2A04"/>
    <w:rsid w:val="00D014EE"/>
    <w:rsid w:val="00D016DA"/>
    <w:rsid w:val="00D066F0"/>
    <w:rsid w:val="00D15596"/>
    <w:rsid w:val="00D17DB1"/>
    <w:rsid w:val="00D2017A"/>
    <w:rsid w:val="00D26506"/>
    <w:rsid w:val="00D305FD"/>
    <w:rsid w:val="00D30F18"/>
    <w:rsid w:val="00D35B4A"/>
    <w:rsid w:val="00D3733B"/>
    <w:rsid w:val="00D407FA"/>
    <w:rsid w:val="00D57E85"/>
    <w:rsid w:val="00D6054F"/>
    <w:rsid w:val="00D6670E"/>
    <w:rsid w:val="00D66E54"/>
    <w:rsid w:val="00D66FFC"/>
    <w:rsid w:val="00D70D5B"/>
    <w:rsid w:val="00D911EC"/>
    <w:rsid w:val="00D92057"/>
    <w:rsid w:val="00D9326D"/>
    <w:rsid w:val="00DA072B"/>
    <w:rsid w:val="00DA2F1B"/>
    <w:rsid w:val="00DB705C"/>
    <w:rsid w:val="00DB7D90"/>
    <w:rsid w:val="00DD3D1D"/>
    <w:rsid w:val="00DD42C4"/>
    <w:rsid w:val="00DD44F9"/>
    <w:rsid w:val="00DD5848"/>
    <w:rsid w:val="00DE23AD"/>
    <w:rsid w:val="00DE334C"/>
    <w:rsid w:val="00DE3702"/>
    <w:rsid w:val="00DE7D8B"/>
    <w:rsid w:val="00DF0EB7"/>
    <w:rsid w:val="00DF3181"/>
    <w:rsid w:val="00DF77B0"/>
    <w:rsid w:val="00E02C43"/>
    <w:rsid w:val="00E1494A"/>
    <w:rsid w:val="00E14966"/>
    <w:rsid w:val="00E21981"/>
    <w:rsid w:val="00E21F6E"/>
    <w:rsid w:val="00E370D9"/>
    <w:rsid w:val="00E37342"/>
    <w:rsid w:val="00E4142A"/>
    <w:rsid w:val="00E42337"/>
    <w:rsid w:val="00E555D0"/>
    <w:rsid w:val="00E57A90"/>
    <w:rsid w:val="00E61843"/>
    <w:rsid w:val="00E62A9E"/>
    <w:rsid w:val="00E65279"/>
    <w:rsid w:val="00E66F80"/>
    <w:rsid w:val="00E7211C"/>
    <w:rsid w:val="00E73CEF"/>
    <w:rsid w:val="00E82B85"/>
    <w:rsid w:val="00E8638E"/>
    <w:rsid w:val="00E90DC0"/>
    <w:rsid w:val="00EA742D"/>
    <w:rsid w:val="00EB21F4"/>
    <w:rsid w:val="00EC3514"/>
    <w:rsid w:val="00ED5DC5"/>
    <w:rsid w:val="00ED5FF8"/>
    <w:rsid w:val="00EE3D42"/>
    <w:rsid w:val="00EE6013"/>
    <w:rsid w:val="00EE668A"/>
    <w:rsid w:val="00F011AA"/>
    <w:rsid w:val="00F013A7"/>
    <w:rsid w:val="00F042B5"/>
    <w:rsid w:val="00F06F7E"/>
    <w:rsid w:val="00F1123B"/>
    <w:rsid w:val="00F1374B"/>
    <w:rsid w:val="00F22D6D"/>
    <w:rsid w:val="00F3035E"/>
    <w:rsid w:val="00F30C64"/>
    <w:rsid w:val="00F346A0"/>
    <w:rsid w:val="00F42158"/>
    <w:rsid w:val="00F470CA"/>
    <w:rsid w:val="00F5131D"/>
    <w:rsid w:val="00F519BA"/>
    <w:rsid w:val="00F603D1"/>
    <w:rsid w:val="00F63EC7"/>
    <w:rsid w:val="00F66D75"/>
    <w:rsid w:val="00F7018E"/>
    <w:rsid w:val="00F716C8"/>
    <w:rsid w:val="00F71F53"/>
    <w:rsid w:val="00F73D99"/>
    <w:rsid w:val="00F763C0"/>
    <w:rsid w:val="00F85A21"/>
    <w:rsid w:val="00F85EE7"/>
    <w:rsid w:val="00F92E70"/>
    <w:rsid w:val="00F95411"/>
    <w:rsid w:val="00F97E00"/>
    <w:rsid w:val="00FA522A"/>
    <w:rsid w:val="00FA68E7"/>
    <w:rsid w:val="00FA77AC"/>
    <w:rsid w:val="00FB0D1A"/>
    <w:rsid w:val="00FB2B56"/>
    <w:rsid w:val="00FB4001"/>
    <w:rsid w:val="00FB4267"/>
    <w:rsid w:val="00FB4B89"/>
    <w:rsid w:val="00FC4124"/>
    <w:rsid w:val="00FD449B"/>
    <w:rsid w:val="00FE079B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DCC3E7"/>
  <w15:chartTrackingRefBased/>
  <w15:docId w15:val="{974ED86C-7FA0-4878-93BF-1E4A1C6B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8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1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1B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B3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7F5C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ove.com/t/61802/cultivating-three-dimensional-reconstructed-human-epidermis-at-large?status=a63808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30E3C0C99D4090B50218389C77E0" ma:contentTypeVersion="13" ma:contentTypeDescription="Create a new document." ma:contentTypeScope="" ma:versionID="dbde579f6051c9724662164276ba196f">
  <xsd:schema xmlns:xsd="http://www.w3.org/2001/XMLSchema" xmlns:xs="http://www.w3.org/2001/XMLSchema" xmlns:p="http://schemas.microsoft.com/office/2006/metadata/properties" xmlns:ns3="742238be-e4c0-4cef-8597-2e8bcd3d0721" xmlns:ns4="96cda2d5-8f16-4195-8ac1-6fadb26c65c5" targetNamespace="http://schemas.microsoft.com/office/2006/metadata/properties" ma:root="true" ma:fieldsID="9fe3cceff5bfc2a3fe910105ed63f477" ns3:_="" ns4:_="">
    <xsd:import namespace="742238be-e4c0-4cef-8597-2e8bcd3d0721"/>
    <xsd:import namespace="96cda2d5-8f16-4195-8ac1-6fadb26c6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238be-e4c0-4cef-8597-2e8bcd3d0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da2d5-8f16-4195-8ac1-6fadb26c6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3B52D-3027-419F-B1DC-C4DA460E8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B8287-5548-4307-9045-3D18495222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0EF8C-6793-4A50-BE4B-70742A0B34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46394D-6570-4467-8A07-A1B49FCA0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238be-e4c0-4cef-8597-2e8bcd3d0721"/>
    <ds:schemaRef ds:uri="96cda2d5-8f16-4195-8ac1-6fadb26c6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1112</Words>
  <Characters>5912</Characters>
  <Application>Microsoft Office Word</Application>
  <DocSecurity>0</DocSecurity>
  <Lines>103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Eeman, Marc (M)</dc:creator>
  <cp:keywords/>
  <dc:description/>
  <cp:lastModifiedBy>Eeman, Marc (M)</cp:lastModifiedBy>
  <cp:revision>31</cp:revision>
  <cp:lastPrinted>2021-05-03T13:51:00Z</cp:lastPrinted>
  <dcterms:created xsi:type="dcterms:W3CDTF">2021-05-04T12:57:00Z</dcterms:created>
  <dcterms:modified xsi:type="dcterms:W3CDTF">2021-05-04T13:35:00Z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QPDocumentId">
    <vt:lpwstr>8ccc397b-5750-4862-a9eb-afeb0599d206</vt:lpwstr>
  </property>
  <property fmtid="{D5CDD505-2E9C-101B-9397-08002B2CF9AE}" pid="3" name="Content_Steward">
    <vt:lpwstr>Eeman M ua06996</vt:lpwstr>
  </property>
  <property fmtid="{D5CDD505-2E9C-101B-9397-08002B2CF9AE}" pid="4" name="Update_Footer">
    <vt:lpwstr>No</vt:lpwstr>
  </property>
  <property fmtid="{D5CDD505-2E9C-101B-9397-08002B2CF9AE}" pid="5" name="Radio_Button">
    <vt:lpwstr>RadioButton2</vt:lpwstr>
  </property>
  <property fmtid="{D5CDD505-2E9C-101B-9397-08002B2CF9AE}" pid="6" name="Information_Classification">
    <vt:lpwstr/>
  </property>
  <property fmtid="{D5CDD505-2E9C-101B-9397-08002B2CF9AE}" pid="7" name="Record_Title_ID">
    <vt:lpwstr>72</vt:lpwstr>
  </property>
  <property fmtid="{D5CDD505-2E9C-101B-9397-08002B2CF9AE}" pid="8" name="Initial_Creation_Date">
    <vt:filetime>2020-09-12T07:07:59Z</vt:filetime>
  </property>
  <property fmtid="{D5CDD505-2E9C-101B-9397-08002B2CF9AE}" pid="9" name="Retention_Period_Start_Date">
    <vt:filetime>2021-05-04T12:56:20Z</vt:filetime>
  </property>
  <property fmtid="{D5CDD505-2E9C-101B-9397-08002B2CF9AE}" pid="10" name="Last_Reviewed_Date">
    <vt:lpwstr/>
  </property>
  <property fmtid="{D5CDD505-2E9C-101B-9397-08002B2CF9AE}" pid="11" name="Retention_Review_Frequency">
    <vt:lpwstr/>
  </property>
  <property fmtid="{D5CDD505-2E9C-101B-9397-08002B2CF9AE}" pid="12" name="ContentTypeId">
    <vt:lpwstr>0x010100B23330E3C0C99D4090B50218389C77E0</vt:lpwstr>
  </property>
</Properties>
</file>