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A7A2067" w:rsidR="006305D7" w:rsidRPr="00551F38" w:rsidRDefault="006305D7" w:rsidP="00393CC7">
      <w:pPr>
        <w:pStyle w:val="NormalWeb"/>
        <w:spacing w:before="0" w:beforeAutospacing="0" w:after="0" w:afterAutospacing="0"/>
        <w:rPr>
          <w:rFonts w:asciiTheme="minorHAnsi" w:hAnsiTheme="minorHAnsi" w:cstheme="minorHAnsi"/>
        </w:rPr>
      </w:pPr>
      <w:r w:rsidRPr="00551F38">
        <w:rPr>
          <w:rFonts w:asciiTheme="minorHAnsi" w:hAnsiTheme="minorHAnsi" w:cstheme="minorHAnsi"/>
          <w:b/>
          <w:bCs/>
        </w:rPr>
        <w:t>TITLE:</w:t>
      </w:r>
      <w:r w:rsidRPr="00551F38">
        <w:rPr>
          <w:rFonts w:asciiTheme="minorHAnsi" w:hAnsiTheme="minorHAnsi" w:cstheme="minorHAnsi"/>
        </w:rPr>
        <w:t xml:space="preserve"> </w:t>
      </w:r>
    </w:p>
    <w:p w14:paraId="59F82A61" w14:textId="0194117C" w:rsidR="00844CFD" w:rsidRPr="00551F38" w:rsidRDefault="00022D28" w:rsidP="00844CFD">
      <w:pPr>
        <w:rPr>
          <w:b/>
          <w:bCs/>
        </w:rPr>
      </w:pPr>
      <w:r w:rsidRPr="00551F38">
        <w:rPr>
          <w:b/>
          <w:bCs/>
        </w:rPr>
        <w:t>M</w:t>
      </w:r>
      <w:r w:rsidR="00844CFD" w:rsidRPr="00551F38">
        <w:rPr>
          <w:b/>
          <w:bCs/>
        </w:rPr>
        <w:t xml:space="preserve">easuring </w:t>
      </w:r>
      <w:r w:rsidRPr="00551F38">
        <w:rPr>
          <w:b/>
          <w:bCs/>
        </w:rPr>
        <w:t>V</w:t>
      </w:r>
      <w:r w:rsidR="00844CFD" w:rsidRPr="00551F38">
        <w:rPr>
          <w:b/>
          <w:bCs/>
        </w:rPr>
        <w:t xml:space="preserve">olatile and </w:t>
      </w:r>
      <w:r w:rsidRPr="00551F38">
        <w:rPr>
          <w:b/>
          <w:bCs/>
        </w:rPr>
        <w:t>N</w:t>
      </w:r>
      <w:r w:rsidR="00844CFD" w:rsidRPr="00551F38">
        <w:rPr>
          <w:b/>
          <w:bCs/>
        </w:rPr>
        <w:t>on</w:t>
      </w:r>
      <w:r w:rsidR="000B4BBD" w:rsidRPr="00551F38">
        <w:rPr>
          <w:b/>
          <w:bCs/>
        </w:rPr>
        <w:t>-</w:t>
      </w:r>
      <w:r w:rsidR="00844CFD" w:rsidRPr="00551F38">
        <w:rPr>
          <w:b/>
          <w:bCs/>
        </w:rPr>
        <w:t xml:space="preserve">volatile </w:t>
      </w:r>
      <w:r w:rsidRPr="00551F38">
        <w:rPr>
          <w:b/>
          <w:bCs/>
        </w:rPr>
        <w:t>A</w:t>
      </w:r>
      <w:r w:rsidR="00844CFD" w:rsidRPr="00551F38">
        <w:rPr>
          <w:b/>
          <w:bCs/>
        </w:rPr>
        <w:t xml:space="preserve">ntifungal </w:t>
      </w:r>
      <w:r w:rsidRPr="00551F38">
        <w:rPr>
          <w:b/>
          <w:bCs/>
        </w:rPr>
        <w:t>A</w:t>
      </w:r>
      <w:r w:rsidR="00844CFD" w:rsidRPr="00551F38">
        <w:rPr>
          <w:b/>
          <w:bCs/>
        </w:rPr>
        <w:t xml:space="preserve">ctivity of </w:t>
      </w:r>
      <w:r w:rsidRPr="00551F38">
        <w:rPr>
          <w:b/>
          <w:bCs/>
        </w:rPr>
        <w:t>B</w:t>
      </w:r>
      <w:r w:rsidR="00844CFD" w:rsidRPr="00551F38">
        <w:rPr>
          <w:b/>
          <w:bCs/>
        </w:rPr>
        <w:t xml:space="preserve">iocontrol </w:t>
      </w:r>
      <w:r w:rsidRPr="00551F38">
        <w:rPr>
          <w:b/>
          <w:bCs/>
        </w:rPr>
        <w:t>P</w:t>
      </w:r>
      <w:r w:rsidR="00844CFD" w:rsidRPr="00551F38">
        <w:rPr>
          <w:b/>
          <w:bCs/>
        </w:rPr>
        <w:t xml:space="preserve">roducts </w:t>
      </w:r>
    </w:p>
    <w:p w14:paraId="2E300B21" w14:textId="77777777" w:rsidR="007A4DD6" w:rsidRPr="00551F38" w:rsidRDefault="007A4DD6" w:rsidP="001B1519">
      <w:pPr>
        <w:rPr>
          <w:rFonts w:asciiTheme="minorHAnsi" w:hAnsiTheme="minorHAnsi" w:cstheme="minorHAnsi"/>
          <w:b/>
          <w:bCs/>
        </w:rPr>
      </w:pPr>
    </w:p>
    <w:p w14:paraId="3D080DA3" w14:textId="1A071778" w:rsidR="006305D7" w:rsidRPr="00551F38" w:rsidRDefault="006305D7" w:rsidP="001B1519">
      <w:pPr>
        <w:rPr>
          <w:rFonts w:asciiTheme="minorHAnsi" w:hAnsiTheme="minorHAnsi" w:cstheme="minorHAnsi"/>
          <w:color w:val="808080" w:themeColor="background1" w:themeShade="80"/>
        </w:rPr>
      </w:pPr>
      <w:r w:rsidRPr="00551F38">
        <w:rPr>
          <w:rFonts w:asciiTheme="minorHAnsi" w:hAnsiTheme="minorHAnsi" w:cstheme="minorHAnsi"/>
          <w:b/>
          <w:bCs/>
        </w:rPr>
        <w:t>AUTHORS</w:t>
      </w:r>
      <w:r w:rsidR="000B662E" w:rsidRPr="00551F38">
        <w:rPr>
          <w:rFonts w:asciiTheme="minorHAnsi" w:hAnsiTheme="minorHAnsi" w:cstheme="minorHAnsi"/>
          <w:b/>
          <w:bCs/>
        </w:rPr>
        <w:t xml:space="preserve"> </w:t>
      </w:r>
      <w:r w:rsidR="00086FF5" w:rsidRPr="00551F38">
        <w:rPr>
          <w:rFonts w:asciiTheme="minorHAnsi" w:hAnsiTheme="minorHAnsi" w:cstheme="minorHAnsi"/>
          <w:b/>
          <w:bCs/>
        </w:rPr>
        <w:t xml:space="preserve">AND </w:t>
      </w:r>
      <w:r w:rsidR="000B662E" w:rsidRPr="00551F38">
        <w:rPr>
          <w:rFonts w:asciiTheme="minorHAnsi" w:hAnsiTheme="minorHAnsi" w:cstheme="minorHAnsi"/>
          <w:b/>
          <w:bCs/>
        </w:rPr>
        <w:t>AFFILIATIONS</w:t>
      </w:r>
      <w:r w:rsidRPr="00551F38">
        <w:rPr>
          <w:rFonts w:asciiTheme="minorHAnsi" w:hAnsiTheme="minorHAnsi" w:cstheme="minorHAnsi"/>
          <w:b/>
          <w:bCs/>
        </w:rPr>
        <w:t xml:space="preserve">: </w:t>
      </w:r>
    </w:p>
    <w:p w14:paraId="60FCB589" w14:textId="059443FC" w:rsidR="00D04A95" w:rsidRPr="00551F38" w:rsidRDefault="00C27396" w:rsidP="001B1519">
      <w:pPr>
        <w:rPr>
          <w:rFonts w:asciiTheme="minorHAnsi" w:hAnsiTheme="minorHAnsi" w:cstheme="minorHAnsi"/>
          <w:color w:val="808080"/>
        </w:rPr>
      </w:pPr>
      <w:r w:rsidRPr="00551F38">
        <w:rPr>
          <w:rFonts w:asciiTheme="minorHAnsi" w:hAnsiTheme="minorHAnsi" w:cstheme="minorHAnsi"/>
          <w:color w:val="auto"/>
        </w:rPr>
        <w:t xml:space="preserve">Valentina </w:t>
      </w:r>
      <w:proofErr w:type="spellStart"/>
      <w:r w:rsidRPr="00551F38">
        <w:rPr>
          <w:rFonts w:asciiTheme="minorHAnsi" w:hAnsiTheme="minorHAnsi" w:cstheme="minorHAnsi"/>
          <w:color w:val="auto"/>
        </w:rPr>
        <w:t>Gligorijevic</w:t>
      </w:r>
      <w:proofErr w:type="spellEnd"/>
      <w:r w:rsidRPr="00551F38">
        <w:rPr>
          <w:rFonts w:asciiTheme="minorHAnsi" w:hAnsiTheme="minorHAnsi" w:cstheme="minorHAnsi"/>
          <w:color w:val="auto"/>
        </w:rPr>
        <w:t xml:space="preserve">, Coralie </w:t>
      </w:r>
      <w:proofErr w:type="spellStart"/>
      <w:r w:rsidRPr="00551F38">
        <w:rPr>
          <w:rFonts w:asciiTheme="minorHAnsi" w:hAnsiTheme="minorHAnsi" w:cstheme="minorHAnsi"/>
          <w:color w:val="auto"/>
        </w:rPr>
        <w:t>Benel</w:t>
      </w:r>
      <w:proofErr w:type="spellEnd"/>
      <w:r w:rsidRPr="00551F38">
        <w:rPr>
          <w:rFonts w:asciiTheme="minorHAnsi" w:hAnsiTheme="minorHAnsi" w:cstheme="minorHAnsi"/>
          <w:color w:val="auto"/>
        </w:rPr>
        <w:t>, Patrick Gonzalez</w:t>
      </w:r>
      <w:r w:rsidR="00047DCA" w:rsidRPr="00551F38">
        <w:rPr>
          <w:rFonts w:asciiTheme="minorHAnsi" w:hAnsiTheme="minorHAnsi" w:cstheme="minorHAnsi"/>
          <w:color w:val="auto"/>
        </w:rPr>
        <w:t>,</w:t>
      </w:r>
      <w:r w:rsidRPr="00551F38">
        <w:rPr>
          <w:rFonts w:asciiTheme="minorHAnsi" w:hAnsiTheme="minorHAnsi" w:cstheme="minorHAnsi"/>
          <w:color w:val="auto"/>
        </w:rPr>
        <w:t xml:space="preserve"> and Agnès Saint-Pol</w:t>
      </w:r>
    </w:p>
    <w:p w14:paraId="671C8ACD" w14:textId="25678E1E" w:rsidR="00C27396" w:rsidRPr="00551F38" w:rsidRDefault="00C27396" w:rsidP="001B1519">
      <w:pPr>
        <w:rPr>
          <w:rFonts w:asciiTheme="minorHAnsi" w:hAnsiTheme="minorHAnsi" w:cstheme="minorHAnsi"/>
          <w:color w:val="808080"/>
        </w:rPr>
      </w:pPr>
    </w:p>
    <w:p w14:paraId="10C3CC20" w14:textId="2B2DF530" w:rsidR="00C27396" w:rsidRPr="00551F38" w:rsidRDefault="00C27396" w:rsidP="001B1519">
      <w:pPr>
        <w:rPr>
          <w:rFonts w:asciiTheme="minorHAnsi" w:hAnsiTheme="minorHAnsi" w:cstheme="minorHAnsi"/>
          <w:color w:val="auto"/>
        </w:rPr>
      </w:pPr>
      <w:r w:rsidRPr="00551F38">
        <w:rPr>
          <w:rFonts w:asciiTheme="minorHAnsi" w:hAnsiTheme="minorHAnsi" w:cstheme="minorHAnsi"/>
          <w:color w:val="auto"/>
        </w:rPr>
        <w:t xml:space="preserve">Food </w:t>
      </w:r>
      <w:r w:rsidR="00844CFD" w:rsidRPr="00551F38">
        <w:rPr>
          <w:rFonts w:asciiTheme="minorHAnsi" w:hAnsiTheme="minorHAnsi" w:cstheme="minorHAnsi"/>
          <w:color w:val="auto"/>
        </w:rPr>
        <w:t>E</w:t>
      </w:r>
      <w:r w:rsidRPr="00551F38">
        <w:rPr>
          <w:rFonts w:asciiTheme="minorHAnsi" w:hAnsiTheme="minorHAnsi" w:cstheme="minorHAnsi"/>
          <w:color w:val="auto"/>
        </w:rPr>
        <w:t xml:space="preserve">ngineering </w:t>
      </w:r>
      <w:r w:rsidR="00844CFD" w:rsidRPr="00551F38">
        <w:rPr>
          <w:rFonts w:asciiTheme="minorHAnsi" w:hAnsiTheme="minorHAnsi" w:cstheme="minorHAnsi"/>
          <w:color w:val="auto"/>
        </w:rPr>
        <w:t>L</w:t>
      </w:r>
      <w:r w:rsidRPr="00551F38">
        <w:rPr>
          <w:rFonts w:asciiTheme="minorHAnsi" w:hAnsiTheme="minorHAnsi" w:cstheme="minorHAnsi"/>
          <w:color w:val="auto"/>
        </w:rPr>
        <w:t xml:space="preserve">aboratory, </w:t>
      </w:r>
      <w:proofErr w:type="spellStart"/>
      <w:r w:rsidRPr="00551F38">
        <w:rPr>
          <w:rFonts w:asciiTheme="minorHAnsi" w:hAnsiTheme="minorHAnsi" w:cstheme="minorHAnsi"/>
          <w:color w:val="auto"/>
        </w:rPr>
        <w:t>Sup’Biotech</w:t>
      </w:r>
      <w:proofErr w:type="spellEnd"/>
      <w:r w:rsidRPr="00551F38">
        <w:rPr>
          <w:rFonts w:asciiTheme="minorHAnsi" w:hAnsiTheme="minorHAnsi" w:cstheme="minorHAnsi"/>
          <w:color w:val="auto"/>
        </w:rPr>
        <w:t>, Villejuif, France</w:t>
      </w:r>
    </w:p>
    <w:p w14:paraId="33FB04C9" w14:textId="60B75B1F" w:rsidR="00C27396" w:rsidRPr="00551F38" w:rsidRDefault="00C27396" w:rsidP="001B1519">
      <w:pPr>
        <w:rPr>
          <w:rFonts w:asciiTheme="minorHAnsi" w:hAnsiTheme="minorHAnsi" w:cstheme="minorHAnsi"/>
          <w:color w:val="auto"/>
        </w:rPr>
      </w:pPr>
    </w:p>
    <w:p w14:paraId="752F9A89" w14:textId="55A7E310" w:rsidR="00C579FF" w:rsidRPr="00551F38" w:rsidRDefault="00C579FF" w:rsidP="001B1519">
      <w:pPr>
        <w:rPr>
          <w:rFonts w:asciiTheme="minorHAnsi" w:hAnsiTheme="minorHAnsi" w:cstheme="minorHAnsi"/>
          <w:color w:val="auto"/>
        </w:rPr>
      </w:pPr>
      <w:hyperlink r:id="rId8" w:history="1">
        <w:r w:rsidRPr="00551F38">
          <w:rPr>
            <w:rStyle w:val="Hyperlink"/>
            <w:rFonts w:asciiTheme="minorHAnsi" w:hAnsiTheme="minorHAnsi" w:cstheme="minorHAnsi"/>
          </w:rPr>
          <w:t>valentina.gligorijevic@supbiotech.fr</w:t>
        </w:r>
      </w:hyperlink>
    </w:p>
    <w:p w14:paraId="000E4E0A" w14:textId="137F6A82" w:rsidR="00C579FF" w:rsidRPr="00551F38" w:rsidRDefault="00C579FF" w:rsidP="001B1519">
      <w:pPr>
        <w:rPr>
          <w:rFonts w:asciiTheme="minorHAnsi" w:hAnsiTheme="minorHAnsi" w:cstheme="minorHAnsi"/>
          <w:color w:val="auto"/>
        </w:rPr>
      </w:pPr>
      <w:hyperlink r:id="rId9" w:history="1">
        <w:r w:rsidRPr="00551F38">
          <w:rPr>
            <w:rStyle w:val="Hyperlink"/>
            <w:rFonts w:asciiTheme="minorHAnsi" w:hAnsiTheme="minorHAnsi" w:cstheme="minorHAnsi"/>
          </w:rPr>
          <w:t>coralie.benel@supbiotech.fr</w:t>
        </w:r>
      </w:hyperlink>
    </w:p>
    <w:p w14:paraId="19819F8B" w14:textId="5DF55EB9" w:rsidR="00C579FF" w:rsidRPr="00551F38" w:rsidRDefault="00C579FF" w:rsidP="001B1519">
      <w:pPr>
        <w:rPr>
          <w:rFonts w:asciiTheme="minorHAnsi" w:hAnsiTheme="minorHAnsi" w:cstheme="minorHAnsi"/>
          <w:color w:val="auto"/>
        </w:rPr>
      </w:pPr>
      <w:hyperlink r:id="rId10" w:history="1">
        <w:r w:rsidRPr="00551F38">
          <w:rPr>
            <w:rStyle w:val="Hyperlink"/>
            <w:rFonts w:asciiTheme="minorHAnsi" w:hAnsiTheme="minorHAnsi" w:cstheme="minorHAnsi"/>
          </w:rPr>
          <w:t>patrick.gonzalez@supbiotech.fr</w:t>
        </w:r>
      </w:hyperlink>
    </w:p>
    <w:p w14:paraId="055EC0A7" w14:textId="2F96E6A3" w:rsidR="00C579FF" w:rsidRPr="00551F38" w:rsidRDefault="00C579FF" w:rsidP="001B1519">
      <w:pPr>
        <w:rPr>
          <w:rFonts w:asciiTheme="minorHAnsi" w:hAnsiTheme="minorHAnsi" w:cstheme="minorHAnsi"/>
          <w:color w:val="auto"/>
        </w:rPr>
      </w:pPr>
      <w:hyperlink r:id="rId11" w:history="1">
        <w:r w:rsidRPr="00551F38">
          <w:rPr>
            <w:rStyle w:val="Hyperlink"/>
            <w:rFonts w:asciiTheme="minorHAnsi" w:hAnsiTheme="minorHAnsi" w:cstheme="minorHAnsi"/>
          </w:rPr>
          <w:t>agnes.saint-pol@supbiotech.fr</w:t>
        </w:r>
      </w:hyperlink>
    </w:p>
    <w:p w14:paraId="0DCCD639" w14:textId="77777777" w:rsidR="00C579FF" w:rsidRPr="00551F38" w:rsidRDefault="00C579FF" w:rsidP="001B1519">
      <w:pPr>
        <w:rPr>
          <w:rFonts w:asciiTheme="minorHAnsi" w:hAnsiTheme="minorHAnsi" w:cstheme="minorHAnsi"/>
          <w:color w:val="auto"/>
        </w:rPr>
      </w:pPr>
    </w:p>
    <w:p w14:paraId="76EB63B4" w14:textId="44A54C34" w:rsidR="00C27396" w:rsidRPr="00551F38" w:rsidRDefault="00C27396" w:rsidP="001B1519">
      <w:pPr>
        <w:rPr>
          <w:rFonts w:asciiTheme="minorHAnsi" w:hAnsiTheme="minorHAnsi" w:cstheme="minorHAnsi"/>
          <w:color w:val="auto"/>
        </w:rPr>
      </w:pPr>
      <w:r w:rsidRPr="00551F38">
        <w:rPr>
          <w:rFonts w:asciiTheme="minorHAnsi" w:hAnsiTheme="minorHAnsi" w:cstheme="minorHAnsi"/>
          <w:color w:val="auto"/>
        </w:rPr>
        <w:t xml:space="preserve">Corresponding author: </w:t>
      </w:r>
    </w:p>
    <w:p w14:paraId="1BC7FB1E" w14:textId="51C32F19" w:rsidR="00C27396" w:rsidRPr="00551F38" w:rsidRDefault="00C27396" w:rsidP="001B1519">
      <w:pPr>
        <w:rPr>
          <w:rFonts w:asciiTheme="minorHAnsi" w:hAnsiTheme="minorHAnsi" w:cstheme="minorHAnsi"/>
          <w:color w:val="auto"/>
        </w:rPr>
      </w:pPr>
      <w:r w:rsidRPr="00551F38">
        <w:rPr>
          <w:rFonts w:asciiTheme="minorHAnsi" w:hAnsiTheme="minorHAnsi" w:cstheme="minorHAnsi"/>
          <w:color w:val="auto"/>
        </w:rPr>
        <w:t>Agnès Saint-Pol (agnes.saint-pol@supbiotech.fr)</w:t>
      </w:r>
    </w:p>
    <w:p w14:paraId="6C88EE13" w14:textId="77777777" w:rsidR="00C27396" w:rsidRPr="00551F38" w:rsidRDefault="00C27396" w:rsidP="001B1519">
      <w:pPr>
        <w:pStyle w:val="NormalWeb"/>
        <w:spacing w:before="0" w:beforeAutospacing="0" w:after="0" w:afterAutospacing="0"/>
        <w:rPr>
          <w:rFonts w:asciiTheme="minorHAnsi" w:hAnsiTheme="minorHAnsi" w:cstheme="minorHAnsi"/>
          <w:b/>
          <w:bCs/>
        </w:rPr>
      </w:pPr>
    </w:p>
    <w:p w14:paraId="71B79AC9" w14:textId="7604926F" w:rsidR="006305D7" w:rsidRPr="00551F38" w:rsidRDefault="006305D7" w:rsidP="001B1519">
      <w:pPr>
        <w:pStyle w:val="NormalWeb"/>
        <w:spacing w:before="0" w:beforeAutospacing="0" w:after="0" w:afterAutospacing="0"/>
        <w:rPr>
          <w:rFonts w:asciiTheme="minorHAnsi" w:hAnsiTheme="minorHAnsi" w:cstheme="minorHAnsi"/>
        </w:rPr>
      </w:pPr>
      <w:r w:rsidRPr="00551F38">
        <w:rPr>
          <w:rFonts w:asciiTheme="minorHAnsi" w:hAnsiTheme="minorHAnsi" w:cstheme="minorHAnsi"/>
          <w:b/>
          <w:bCs/>
        </w:rPr>
        <w:t>KEYWORDS</w:t>
      </w:r>
      <w:r w:rsidR="00D56C25" w:rsidRPr="00551F38">
        <w:rPr>
          <w:rFonts w:asciiTheme="minorHAnsi" w:hAnsiTheme="minorHAnsi" w:cstheme="minorHAnsi"/>
          <w:b/>
          <w:bCs/>
        </w:rPr>
        <w:t>:</w:t>
      </w:r>
    </w:p>
    <w:p w14:paraId="6C0B0781" w14:textId="1F2C85CF" w:rsidR="007A4DD6" w:rsidRPr="00551F38" w:rsidRDefault="00194776" w:rsidP="007A4DD6">
      <w:pPr>
        <w:rPr>
          <w:rFonts w:asciiTheme="minorHAnsi" w:hAnsiTheme="minorHAnsi" w:cstheme="minorHAnsi"/>
          <w:color w:val="808080" w:themeColor="background1" w:themeShade="80"/>
        </w:rPr>
      </w:pPr>
      <w:r w:rsidRPr="00551F38">
        <w:rPr>
          <w:rFonts w:asciiTheme="minorHAnsi" w:hAnsiTheme="minorHAnsi" w:cstheme="minorHAnsi"/>
          <w:color w:val="auto"/>
        </w:rPr>
        <w:t>Biocontrol,</w:t>
      </w:r>
      <w:r w:rsidR="00E67525" w:rsidRPr="00551F38">
        <w:rPr>
          <w:rFonts w:asciiTheme="minorHAnsi" w:hAnsiTheme="minorHAnsi" w:cstheme="minorHAnsi"/>
          <w:color w:val="auto"/>
        </w:rPr>
        <w:t xml:space="preserve"> fungal phytopathogens</w:t>
      </w:r>
      <w:r w:rsidR="00D56C25" w:rsidRPr="00551F38">
        <w:rPr>
          <w:rFonts w:asciiTheme="minorHAnsi" w:hAnsiTheme="minorHAnsi" w:cstheme="minorHAnsi"/>
          <w:color w:val="auto"/>
        </w:rPr>
        <w:t>,</w:t>
      </w:r>
      <w:r w:rsidR="00E67525" w:rsidRPr="00551F38">
        <w:rPr>
          <w:rFonts w:asciiTheme="minorHAnsi" w:hAnsiTheme="minorHAnsi" w:cstheme="minorHAnsi"/>
          <w:color w:val="auto"/>
        </w:rPr>
        <w:t xml:space="preserve"> fungal development, </w:t>
      </w:r>
      <w:r w:rsidRPr="00551F38">
        <w:rPr>
          <w:rFonts w:asciiTheme="minorHAnsi" w:hAnsiTheme="minorHAnsi" w:cstheme="minorHAnsi"/>
          <w:color w:val="auto"/>
        </w:rPr>
        <w:t xml:space="preserve">contact </w:t>
      </w:r>
      <w:r w:rsidR="00E67525" w:rsidRPr="00551F38">
        <w:rPr>
          <w:rFonts w:asciiTheme="minorHAnsi" w:hAnsiTheme="minorHAnsi" w:cstheme="minorHAnsi"/>
          <w:color w:val="auto"/>
        </w:rPr>
        <w:t>and</w:t>
      </w:r>
      <w:r w:rsidRPr="00551F38">
        <w:rPr>
          <w:rFonts w:asciiTheme="minorHAnsi" w:hAnsiTheme="minorHAnsi" w:cstheme="minorHAnsi"/>
          <w:color w:val="auto"/>
        </w:rPr>
        <w:t xml:space="preserve"> </w:t>
      </w:r>
      <w:r w:rsidR="003638D6" w:rsidRPr="00551F38">
        <w:rPr>
          <w:rFonts w:asciiTheme="minorHAnsi" w:hAnsiTheme="minorHAnsi" w:cstheme="minorHAnsi"/>
          <w:color w:val="auto"/>
        </w:rPr>
        <w:t>vapor-phase assay</w:t>
      </w:r>
      <w:r w:rsidR="00E67525" w:rsidRPr="00551F38">
        <w:rPr>
          <w:rFonts w:asciiTheme="minorHAnsi" w:hAnsiTheme="minorHAnsi" w:cstheme="minorHAnsi"/>
          <w:color w:val="auto"/>
        </w:rPr>
        <w:t>s</w:t>
      </w:r>
      <w:r w:rsidR="003638D6" w:rsidRPr="00551F38">
        <w:rPr>
          <w:rFonts w:asciiTheme="minorHAnsi" w:hAnsiTheme="minorHAnsi" w:cstheme="minorHAnsi"/>
          <w:color w:val="808080"/>
        </w:rPr>
        <w:t xml:space="preserve"> </w:t>
      </w:r>
    </w:p>
    <w:p w14:paraId="1CB4E390" w14:textId="77777777" w:rsidR="006305D7" w:rsidRPr="00551F38" w:rsidRDefault="006305D7" w:rsidP="001B1519">
      <w:pPr>
        <w:pStyle w:val="NormalWeb"/>
        <w:spacing w:before="0" w:beforeAutospacing="0" w:after="0" w:afterAutospacing="0"/>
        <w:rPr>
          <w:rFonts w:asciiTheme="minorHAnsi" w:hAnsiTheme="minorHAnsi" w:cstheme="minorHAnsi"/>
        </w:rPr>
      </w:pPr>
    </w:p>
    <w:p w14:paraId="628AC4B5" w14:textId="659B530C" w:rsidR="006305D7" w:rsidRPr="00551F38" w:rsidRDefault="00086FF5" w:rsidP="001B1519">
      <w:pPr>
        <w:rPr>
          <w:rFonts w:asciiTheme="minorHAnsi" w:hAnsiTheme="minorHAnsi" w:cstheme="minorHAnsi"/>
        </w:rPr>
      </w:pPr>
      <w:r w:rsidRPr="00551F38">
        <w:rPr>
          <w:rFonts w:asciiTheme="minorHAnsi" w:hAnsiTheme="minorHAnsi" w:cstheme="minorHAnsi"/>
          <w:b/>
          <w:bCs/>
        </w:rPr>
        <w:t>SUMMARY</w:t>
      </w:r>
      <w:r w:rsidR="006305D7" w:rsidRPr="00551F38">
        <w:rPr>
          <w:rFonts w:asciiTheme="minorHAnsi" w:hAnsiTheme="minorHAnsi" w:cstheme="minorHAnsi"/>
          <w:b/>
          <w:bCs/>
        </w:rPr>
        <w:t>:</w:t>
      </w:r>
      <w:r w:rsidR="006305D7" w:rsidRPr="00551F38">
        <w:rPr>
          <w:rFonts w:asciiTheme="minorHAnsi" w:hAnsiTheme="minorHAnsi" w:cstheme="minorHAnsi"/>
        </w:rPr>
        <w:t xml:space="preserve"> </w:t>
      </w:r>
    </w:p>
    <w:p w14:paraId="33D47AEA" w14:textId="330AB8F8" w:rsidR="00E67525" w:rsidRPr="00551F38" w:rsidRDefault="00E67525" w:rsidP="00E67525">
      <w:pPr>
        <w:tabs>
          <w:tab w:val="left" w:pos="0"/>
        </w:tabs>
        <w:rPr>
          <w:rFonts w:asciiTheme="minorHAnsi" w:hAnsiTheme="minorHAnsi" w:cstheme="minorHAnsi"/>
          <w:color w:val="auto"/>
        </w:rPr>
      </w:pPr>
      <w:r w:rsidRPr="00551F38">
        <w:rPr>
          <w:rFonts w:asciiTheme="minorHAnsi" w:hAnsiTheme="minorHAnsi" w:cstheme="minorHAnsi"/>
          <w:color w:val="auto"/>
        </w:rPr>
        <w:t xml:space="preserve">We describe a modified agar-based method designed to quantify </w:t>
      </w:r>
      <w:r w:rsidR="0089360B" w:rsidRPr="00551F38">
        <w:rPr>
          <w:rFonts w:asciiTheme="minorHAnsi" w:hAnsiTheme="minorHAnsi" w:cstheme="minorHAnsi"/>
          <w:color w:val="auto"/>
        </w:rPr>
        <w:t xml:space="preserve">the </w:t>
      </w:r>
      <w:r w:rsidR="008C2825" w:rsidRPr="00551F38">
        <w:rPr>
          <w:rFonts w:asciiTheme="minorHAnsi" w:hAnsiTheme="minorHAnsi" w:cstheme="minorHAnsi"/>
          <w:color w:val="auto"/>
        </w:rPr>
        <w:t>antifungal effects of plant</w:t>
      </w:r>
      <w:r w:rsidR="0089360B" w:rsidRPr="00551F38">
        <w:rPr>
          <w:rFonts w:asciiTheme="minorHAnsi" w:hAnsiTheme="minorHAnsi" w:cstheme="minorHAnsi"/>
          <w:color w:val="auto"/>
        </w:rPr>
        <w:t>-</w:t>
      </w:r>
      <w:r w:rsidR="008C2825" w:rsidRPr="00551F38">
        <w:rPr>
          <w:rFonts w:asciiTheme="minorHAnsi" w:hAnsiTheme="minorHAnsi" w:cstheme="minorHAnsi"/>
          <w:color w:val="auto"/>
        </w:rPr>
        <w:t>derived products.</w:t>
      </w:r>
      <w:r w:rsidR="00D56C25" w:rsidRPr="00551F38">
        <w:rPr>
          <w:rFonts w:asciiTheme="minorHAnsi" w:hAnsiTheme="minorHAnsi" w:cstheme="minorHAnsi"/>
          <w:color w:val="auto"/>
        </w:rPr>
        <w:t xml:space="preserve"> </w:t>
      </w:r>
      <w:r w:rsidR="00315431" w:rsidRPr="00551F38">
        <w:rPr>
          <w:rFonts w:asciiTheme="minorHAnsi" w:hAnsiTheme="minorHAnsi" w:cstheme="minorHAnsi"/>
          <w:color w:val="auto"/>
        </w:rPr>
        <w:t>Both v</w:t>
      </w:r>
      <w:r w:rsidRPr="00551F38">
        <w:rPr>
          <w:rFonts w:asciiTheme="minorHAnsi" w:hAnsiTheme="minorHAnsi" w:cstheme="minorHAnsi"/>
          <w:color w:val="auto"/>
        </w:rPr>
        <w:t xml:space="preserve">olatile and non-volatile contributions to </w:t>
      </w:r>
      <w:r w:rsidR="008C2825" w:rsidRPr="00551F38">
        <w:rPr>
          <w:rFonts w:asciiTheme="minorHAnsi" w:hAnsiTheme="minorHAnsi" w:cstheme="minorHAnsi"/>
          <w:color w:val="auto"/>
        </w:rPr>
        <w:t>the</w:t>
      </w:r>
      <w:r w:rsidR="00D83F24" w:rsidRPr="00551F38">
        <w:rPr>
          <w:rFonts w:asciiTheme="minorHAnsi" w:hAnsiTheme="minorHAnsi" w:cstheme="minorHAnsi"/>
          <w:color w:val="auto"/>
        </w:rPr>
        <w:t xml:space="preserve"> </w:t>
      </w:r>
      <w:r w:rsidRPr="00551F38">
        <w:rPr>
          <w:rFonts w:asciiTheme="minorHAnsi" w:hAnsiTheme="minorHAnsi" w:cstheme="minorHAnsi"/>
          <w:color w:val="auto"/>
        </w:rPr>
        <w:t>antifungal activity</w:t>
      </w:r>
      <w:r w:rsidR="008C2825" w:rsidRPr="00551F38">
        <w:rPr>
          <w:rFonts w:asciiTheme="minorHAnsi" w:hAnsiTheme="minorHAnsi" w:cstheme="minorHAnsi"/>
          <w:color w:val="auto"/>
        </w:rPr>
        <w:t xml:space="preserve"> can</w:t>
      </w:r>
      <w:r w:rsidRPr="00551F38">
        <w:rPr>
          <w:rFonts w:asciiTheme="minorHAnsi" w:hAnsiTheme="minorHAnsi" w:cstheme="minorHAnsi"/>
          <w:color w:val="auto"/>
        </w:rPr>
        <w:t xml:space="preserve"> </w:t>
      </w:r>
      <w:r w:rsidR="008C2825" w:rsidRPr="00551F38">
        <w:rPr>
          <w:rFonts w:asciiTheme="minorHAnsi" w:hAnsiTheme="minorHAnsi" w:cstheme="minorHAnsi"/>
          <w:color w:val="auto"/>
        </w:rPr>
        <w:t>be assessed</w:t>
      </w:r>
      <w:r w:rsidR="00315431" w:rsidRPr="00551F38">
        <w:rPr>
          <w:rFonts w:asciiTheme="minorHAnsi" w:hAnsiTheme="minorHAnsi" w:cstheme="minorHAnsi"/>
          <w:color w:val="auto"/>
        </w:rPr>
        <w:t xml:space="preserve"> through this protocol.</w:t>
      </w:r>
      <w:r w:rsidR="000B4BBD" w:rsidRPr="00551F38">
        <w:rPr>
          <w:rFonts w:asciiTheme="minorHAnsi" w:hAnsiTheme="minorHAnsi" w:cstheme="minorHAnsi"/>
          <w:color w:val="auto"/>
        </w:rPr>
        <w:t xml:space="preserve"> </w:t>
      </w:r>
      <w:r w:rsidR="00315431" w:rsidRPr="00551F38">
        <w:rPr>
          <w:rFonts w:asciiTheme="minorHAnsi" w:hAnsiTheme="minorHAnsi" w:cstheme="minorHAnsi"/>
          <w:color w:val="auto"/>
        </w:rPr>
        <w:t xml:space="preserve">In addition, </w:t>
      </w:r>
      <w:r w:rsidRPr="00551F38">
        <w:rPr>
          <w:rFonts w:asciiTheme="minorHAnsi" w:hAnsiTheme="minorHAnsi" w:cstheme="minorHAnsi"/>
          <w:color w:val="auto"/>
        </w:rPr>
        <w:t xml:space="preserve">efficacy against fungi </w:t>
      </w:r>
      <w:r w:rsidR="00315431" w:rsidRPr="00551F38">
        <w:rPr>
          <w:rFonts w:asciiTheme="minorHAnsi" w:hAnsiTheme="minorHAnsi" w:cstheme="minorHAnsi"/>
          <w:color w:val="auto"/>
        </w:rPr>
        <w:t>can be measured at</w:t>
      </w:r>
      <w:r w:rsidRPr="00551F38">
        <w:rPr>
          <w:rFonts w:asciiTheme="minorHAnsi" w:hAnsiTheme="minorHAnsi" w:cstheme="minorHAnsi"/>
          <w:color w:val="auto"/>
        </w:rPr>
        <w:t xml:space="preserve"> key </w:t>
      </w:r>
      <w:r w:rsidR="00315431" w:rsidRPr="00551F38">
        <w:rPr>
          <w:rFonts w:asciiTheme="minorHAnsi" w:hAnsiTheme="minorHAnsi" w:cstheme="minorHAnsi"/>
          <w:color w:val="auto"/>
        </w:rPr>
        <w:t xml:space="preserve">developmental </w:t>
      </w:r>
      <w:r w:rsidRPr="00551F38">
        <w:rPr>
          <w:rFonts w:asciiTheme="minorHAnsi" w:hAnsiTheme="minorHAnsi" w:cstheme="minorHAnsi"/>
          <w:color w:val="auto"/>
        </w:rPr>
        <w:t>stages</w:t>
      </w:r>
      <w:r w:rsidR="00D56C25" w:rsidRPr="00551F38">
        <w:rPr>
          <w:rFonts w:asciiTheme="minorHAnsi" w:hAnsiTheme="minorHAnsi" w:cstheme="minorHAnsi"/>
          <w:color w:val="auto"/>
        </w:rPr>
        <w:t xml:space="preserve"> </w:t>
      </w:r>
      <w:r w:rsidRPr="00551F38">
        <w:rPr>
          <w:rFonts w:asciiTheme="minorHAnsi" w:hAnsiTheme="minorHAnsi" w:cstheme="minorHAnsi"/>
          <w:color w:val="auto"/>
        </w:rPr>
        <w:t xml:space="preserve">in a single experimental setup. </w:t>
      </w:r>
    </w:p>
    <w:p w14:paraId="761028D6" w14:textId="734FB234" w:rsidR="006305D7" w:rsidRPr="00551F38" w:rsidRDefault="006305D7" w:rsidP="00874263">
      <w:pPr>
        <w:tabs>
          <w:tab w:val="left" w:pos="0"/>
        </w:tabs>
        <w:rPr>
          <w:rFonts w:asciiTheme="minorHAnsi" w:hAnsiTheme="minorHAnsi" w:cstheme="minorHAnsi"/>
          <w:color w:val="808080" w:themeColor="background1" w:themeShade="80"/>
        </w:rPr>
      </w:pPr>
    </w:p>
    <w:p w14:paraId="64FB8590" w14:textId="51403E24" w:rsidR="006305D7" w:rsidRPr="00551F38" w:rsidRDefault="006305D7" w:rsidP="001B1519">
      <w:pPr>
        <w:rPr>
          <w:rFonts w:asciiTheme="minorHAnsi" w:hAnsiTheme="minorHAnsi" w:cstheme="minorHAnsi"/>
          <w:color w:val="808080"/>
        </w:rPr>
      </w:pPr>
      <w:r w:rsidRPr="00551F38">
        <w:rPr>
          <w:rFonts w:asciiTheme="minorHAnsi" w:hAnsiTheme="minorHAnsi" w:cstheme="minorHAnsi"/>
          <w:b/>
          <w:bCs/>
        </w:rPr>
        <w:t>ABSTRACT:</w:t>
      </w:r>
      <w:r w:rsidRPr="00551F38">
        <w:rPr>
          <w:rFonts w:asciiTheme="minorHAnsi" w:hAnsiTheme="minorHAnsi" w:cstheme="minorHAnsi"/>
        </w:rPr>
        <w:t xml:space="preserve"> </w:t>
      </w:r>
    </w:p>
    <w:p w14:paraId="4AA42C01" w14:textId="17895495" w:rsidR="00657E45" w:rsidRPr="00551F38" w:rsidRDefault="00657E45" w:rsidP="00657E45">
      <w:pPr>
        <w:tabs>
          <w:tab w:val="left" w:pos="0"/>
        </w:tabs>
        <w:rPr>
          <w:rFonts w:asciiTheme="minorHAnsi" w:hAnsiTheme="minorHAnsi" w:cstheme="minorHAnsi"/>
          <w:color w:val="auto"/>
        </w:rPr>
      </w:pPr>
      <w:r w:rsidRPr="00551F38">
        <w:rPr>
          <w:rFonts w:asciiTheme="minorHAnsi" w:hAnsiTheme="minorHAnsi" w:cstheme="minorHAnsi"/>
          <w:color w:val="auto"/>
        </w:rPr>
        <w:t>The protocol</w:t>
      </w:r>
      <w:r w:rsidRPr="00551F38">
        <w:rPr>
          <w:rFonts w:asciiTheme="minorHAnsi" w:hAnsiTheme="minorHAnsi" w:cstheme="minorHAnsi"/>
          <w:color w:val="808080" w:themeColor="background1" w:themeShade="80"/>
        </w:rPr>
        <w:t xml:space="preserve"> </w:t>
      </w:r>
      <w:r w:rsidRPr="00551F38">
        <w:rPr>
          <w:rFonts w:asciiTheme="minorHAnsi" w:hAnsiTheme="minorHAnsi" w:cstheme="minorHAnsi"/>
          <w:color w:val="auto"/>
        </w:rPr>
        <w:t>described is based on a plug</w:t>
      </w:r>
      <w:r w:rsidR="00001BBC" w:rsidRPr="00551F38">
        <w:rPr>
          <w:rFonts w:asciiTheme="minorHAnsi" w:hAnsiTheme="minorHAnsi" w:cstheme="minorHAnsi"/>
          <w:color w:val="auto"/>
        </w:rPr>
        <w:t>-</w:t>
      </w:r>
      <w:r w:rsidRPr="00551F38">
        <w:rPr>
          <w:rFonts w:asciiTheme="minorHAnsi" w:hAnsiTheme="minorHAnsi" w:cstheme="minorHAnsi"/>
          <w:color w:val="auto"/>
        </w:rPr>
        <w:t>transfer techni</w:t>
      </w:r>
      <w:r w:rsidR="00E0332D" w:rsidRPr="00551F38">
        <w:rPr>
          <w:rFonts w:asciiTheme="minorHAnsi" w:hAnsiTheme="minorHAnsi" w:cstheme="minorHAnsi"/>
          <w:color w:val="auto"/>
        </w:rPr>
        <w:t>que</w:t>
      </w:r>
      <w:r w:rsidRPr="00551F38">
        <w:rPr>
          <w:rFonts w:asciiTheme="minorHAnsi" w:hAnsiTheme="minorHAnsi" w:cstheme="minorHAnsi"/>
          <w:color w:val="auto"/>
        </w:rPr>
        <w:t xml:space="preserve"> that allows accurate </w:t>
      </w:r>
      <w:r w:rsidR="00001BBC" w:rsidRPr="00551F38">
        <w:rPr>
          <w:rFonts w:asciiTheme="minorHAnsi" w:hAnsiTheme="minorHAnsi" w:cstheme="minorHAnsi"/>
          <w:color w:val="auto"/>
        </w:rPr>
        <w:t xml:space="preserve">determination </w:t>
      </w:r>
      <w:r w:rsidR="00903F7E" w:rsidRPr="00551F38">
        <w:rPr>
          <w:rFonts w:asciiTheme="minorHAnsi" w:hAnsiTheme="minorHAnsi" w:cstheme="minorHAnsi"/>
          <w:color w:val="auto"/>
        </w:rPr>
        <w:t>o</w:t>
      </w:r>
      <w:r w:rsidR="00944660" w:rsidRPr="00551F38">
        <w:rPr>
          <w:rFonts w:asciiTheme="minorHAnsi" w:hAnsiTheme="minorHAnsi" w:cstheme="minorHAnsi"/>
          <w:color w:val="auto"/>
        </w:rPr>
        <w:t xml:space="preserve">f </w:t>
      </w:r>
      <w:r w:rsidR="003E4B97" w:rsidRPr="00551F38">
        <w:rPr>
          <w:rFonts w:asciiTheme="minorHAnsi" w:hAnsiTheme="minorHAnsi" w:cstheme="minorHAnsi"/>
          <w:color w:val="auto"/>
        </w:rPr>
        <w:t xml:space="preserve">microorganism </w:t>
      </w:r>
      <w:r w:rsidR="000B668F" w:rsidRPr="00551F38">
        <w:rPr>
          <w:rFonts w:asciiTheme="minorHAnsi" w:hAnsiTheme="minorHAnsi" w:cstheme="minorHAnsi"/>
          <w:color w:val="auto"/>
        </w:rPr>
        <w:t>quantities</w:t>
      </w:r>
      <w:r w:rsidR="000B668F" w:rsidRPr="00551F38">
        <w:rPr>
          <w:rFonts w:asciiTheme="minorHAnsi" w:hAnsiTheme="minorHAnsi" w:cstheme="minorHAnsi"/>
          <w:color w:val="808080" w:themeColor="background1" w:themeShade="80"/>
        </w:rPr>
        <w:t xml:space="preserve"> </w:t>
      </w:r>
      <w:r w:rsidRPr="00551F38">
        <w:rPr>
          <w:rFonts w:asciiTheme="minorHAnsi" w:hAnsiTheme="minorHAnsi" w:cstheme="minorHAnsi"/>
          <w:color w:val="auto"/>
        </w:rPr>
        <w:t>and their developmental stage</w:t>
      </w:r>
      <w:r w:rsidR="000B4BBD" w:rsidRPr="00551F38">
        <w:rPr>
          <w:rFonts w:asciiTheme="minorHAnsi" w:hAnsiTheme="minorHAnsi" w:cstheme="minorHAnsi"/>
          <w:color w:val="auto"/>
        </w:rPr>
        <w:t>s</w:t>
      </w:r>
      <w:r w:rsidRPr="00551F38">
        <w:rPr>
          <w:rFonts w:asciiTheme="minorHAnsi" w:hAnsiTheme="minorHAnsi" w:cstheme="minorHAnsi"/>
          <w:color w:val="auto"/>
        </w:rPr>
        <w:t xml:space="preserve">. </w:t>
      </w:r>
      <w:r w:rsidR="000B668F" w:rsidRPr="00551F38">
        <w:rPr>
          <w:rFonts w:asciiTheme="minorHAnsi" w:hAnsiTheme="minorHAnsi" w:cstheme="minorHAnsi"/>
          <w:color w:val="auto"/>
        </w:rPr>
        <w:t xml:space="preserve">A </w:t>
      </w:r>
      <w:r w:rsidRPr="00551F38">
        <w:rPr>
          <w:rFonts w:asciiTheme="minorHAnsi" w:hAnsiTheme="minorHAnsi" w:cstheme="minorHAnsi"/>
          <w:color w:val="auto"/>
        </w:rPr>
        <w:t xml:space="preserve">specified number of spores </w:t>
      </w:r>
      <w:r w:rsidR="00384001" w:rsidRPr="00551F38">
        <w:rPr>
          <w:rFonts w:asciiTheme="minorHAnsi" w:hAnsiTheme="minorHAnsi" w:cstheme="minorHAnsi"/>
          <w:color w:val="auto"/>
        </w:rPr>
        <w:t>are</w:t>
      </w:r>
      <w:r w:rsidR="000B668F" w:rsidRPr="00551F38">
        <w:rPr>
          <w:rFonts w:asciiTheme="minorHAnsi" w:hAnsiTheme="minorHAnsi" w:cstheme="minorHAnsi"/>
          <w:color w:val="auto"/>
        </w:rPr>
        <w:t xml:space="preserve"> </w:t>
      </w:r>
      <w:r w:rsidRPr="00551F38">
        <w:rPr>
          <w:rFonts w:asciiTheme="minorHAnsi" w:hAnsiTheme="minorHAnsi" w:cstheme="minorHAnsi"/>
          <w:color w:val="auto"/>
        </w:rPr>
        <w:t xml:space="preserve">spread on </w:t>
      </w:r>
      <w:r w:rsidR="000B668F" w:rsidRPr="00551F38">
        <w:rPr>
          <w:rFonts w:asciiTheme="minorHAnsi" w:hAnsiTheme="minorHAnsi" w:cstheme="minorHAnsi"/>
          <w:color w:val="auto"/>
        </w:rPr>
        <w:t xml:space="preserve">an </w:t>
      </w:r>
      <w:r w:rsidRPr="00551F38">
        <w:rPr>
          <w:rFonts w:asciiTheme="minorHAnsi" w:hAnsiTheme="minorHAnsi" w:cstheme="minorHAnsi"/>
          <w:color w:val="auto"/>
        </w:rPr>
        <w:t>agar</w:t>
      </w:r>
      <w:r w:rsidR="0092534B" w:rsidRPr="00551F38">
        <w:rPr>
          <w:rFonts w:asciiTheme="minorHAnsi" w:hAnsiTheme="minorHAnsi" w:cstheme="minorHAnsi"/>
          <w:color w:val="auto"/>
        </w:rPr>
        <w:t xml:space="preserve"> </w:t>
      </w:r>
      <w:r w:rsidRPr="00551F38">
        <w:rPr>
          <w:rFonts w:asciiTheme="minorHAnsi" w:hAnsiTheme="minorHAnsi" w:cstheme="minorHAnsi"/>
          <w:color w:val="auto"/>
        </w:rPr>
        <w:t>plate. This agar</w:t>
      </w:r>
      <w:r w:rsidR="0092534B" w:rsidRPr="00551F38">
        <w:rPr>
          <w:rFonts w:asciiTheme="minorHAnsi" w:hAnsiTheme="minorHAnsi" w:cstheme="minorHAnsi"/>
          <w:color w:val="auto"/>
        </w:rPr>
        <w:t xml:space="preserve"> </w:t>
      </w:r>
      <w:r w:rsidRPr="00551F38">
        <w:rPr>
          <w:rFonts w:asciiTheme="minorHAnsi" w:hAnsiTheme="minorHAnsi" w:cstheme="minorHAnsi"/>
          <w:color w:val="auto"/>
        </w:rPr>
        <w:t xml:space="preserve">plate is incubated for a defined </w:t>
      </w:r>
      <w:r w:rsidR="000B4BBD" w:rsidRPr="00551F38">
        <w:rPr>
          <w:rFonts w:asciiTheme="minorHAnsi" w:hAnsiTheme="minorHAnsi" w:cstheme="minorHAnsi"/>
          <w:color w:val="auto"/>
        </w:rPr>
        <w:t>period</w:t>
      </w:r>
      <w:r w:rsidRPr="00551F38">
        <w:rPr>
          <w:rFonts w:asciiTheme="minorHAnsi" w:hAnsiTheme="minorHAnsi" w:cstheme="minorHAnsi"/>
          <w:color w:val="auto"/>
        </w:rPr>
        <w:t xml:space="preserve"> to allow the fungi to reach the expected developmental stage, except for spores where incubation is not required. Agar</w:t>
      </w:r>
      <w:r w:rsidR="00630A9A" w:rsidRPr="00551F38">
        <w:rPr>
          <w:rFonts w:asciiTheme="minorHAnsi" w:hAnsiTheme="minorHAnsi" w:cstheme="minorHAnsi"/>
          <w:color w:val="auto"/>
        </w:rPr>
        <w:t xml:space="preserve"> </w:t>
      </w:r>
      <w:r w:rsidRPr="00551F38">
        <w:rPr>
          <w:rFonts w:asciiTheme="minorHAnsi" w:hAnsiTheme="minorHAnsi" w:cstheme="minorHAnsi"/>
          <w:color w:val="auto"/>
        </w:rPr>
        <w:t>plug</w:t>
      </w:r>
      <w:r w:rsidR="00630A9A" w:rsidRPr="00551F38">
        <w:rPr>
          <w:rFonts w:asciiTheme="minorHAnsi" w:hAnsiTheme="minorHAnsi" w:cstheme="minorHAnsi"/>
          <w:color w:val="auto"/>
        </w:rPr>
        <w:t>s</w:t>
      </w:r>
      <w:r w:rsidRPr="00551F38">
        <w:rPr>
          <w:rFonts w:asciiTheme="minorHAnsi" w:hAnsiTheme="minorHAnsi" w:cstheme="minorHAnsi"/>
          <w:color w:val="auto"/>
        </w:rPr>
        <w:t xml:space="preserve"> covered by spores, hyphae</w:t>
      </w:r>
      <w:r w:rsidR="00630A9A" w:rsidRPr="00551F38">
        <w:rPr>
          <w:rFonts w:asciiTheme="minorHAnsi" w:hAnsiTheme="minorHAnsi" w:cstheme="minorHAnsi"/>
          <w:color w:val="auto"/>
        </w:rPr>
        <w:t>,</w:t>
      </w:r>
      <w:r w:rsidRPr="00551F38">
        <w:rPr>
          <w:rFonts w:asciiTheme="minorHAnsi" w:hAnsiTheme="minorHAnsi" w:cstheme="minorHAnsi"/>
          <w:color w:val="auto"/>
        </w:rPr>
        <w:t xml:space="preserve"> or mycelium are next withdrawn and transferred on</w:t>
      </w:r>
      <w:r w:rsidR="00FB40E7" w:rsidRPr="00551F38">
        <w:rPr>
          <w:rFonts w:asciiTheme="minorHAnsi" w:hAnsiTheme="minorHAnsi" w:cstheme="minorHAnsi"/>
          <w:color w:val="auto"/>
        </w:rPr>
        <w:t>to</w:t>
      </w:r>
      <w:r w:rsidRPr="00551F38">
        <w:rPr>
          <w:rFonts w:asciiTheme="minorHAnsi" w:hAnsiTheme="minorHAnsi" w:cstheme="minorHAnsi"/>
          <w:color w:val="auto"/>
        </w:rPr>
        <w:t xml:space="preserve"> agar medi</w:t>
      </w:r>
      <w:r w:rsidR="00966D09" w:rsidRPr="00551F38">
        <w:rPr>
          <w:rFonts w:asciiTheme="minorHAnsi" w:hAnsiTheme="minorHAnsi" w:cstheme="minorHAnsi"/>
          <w:color w:val="auto"/>
        </w:rPr>
        <w:t>a</w:t>
      </w:r>
      <w:r w:rsidRPr="00551F38">
        <w:rPr>
          <w:rFonts w:asciiTheme="minorHAnsi" w:hAnsiTheme="minorHAnsi" w:cstheme="minorHAnsi"/>
          <w:color w:val="auto"/>
        </w:rPr>
        <w:t xml:space="preserve"> containing the antifungal compound to be tested either placed at </w:t>
      </w:r>
      <w:r w:rsidR="00C64D2C" w:rsidRPr="00551F38">
        <w:rPr>
          <w:rFonts w:asciiTheme="minorHAnsi" w:hAnsiTheme="minorHAnsi" w:cstheme="minorHAnsi"/>
          <w:color w:val="auto"/>
        </w:rPr>
        <w:t xml:space="preserve">a </w:t>
      </w:r>
      <w:r w:rsidRPr="00551F38">
        <w:rPr>
          <w:rFonts w:asciiTheme="minorHAnsi" w:hAnsiTheme="minorHAnsi" w:cstheme="minorHAnsi"/>
          <w:color w:val="auto"/>
        </w:rPr>
        <w:t>distance from the fungi</w:t>
      </w:r>
      <w:r w:rsidR="00E0332D" w:rsidRPr="00551F38">
        <w:rPr>
          <w:rFonts w:asciiTheme="minorHAnsi" w:hAnsiTheme="minorHAnsi" w:cstheme="minorHAnsi"/>
          <w:color w:val="auto"/>
        </w:rPr>
        <w:t xml:space="preserve"> or</w:t>
      </w:r>
      <w:r w:rsidRPr="00551F38">
        <w:rPr>
          <w:rFonts w:asciiTheme="minorHAnsi" w:hAnsiTheme="minorHAnsi" w:cstheme="minorHAnsi"/>
          <w:color w:val="auto"/>
        </w:rPr>
        <w:t xml:space="preserve"> in contact. This method is applicable to test both liquid extracts and solid samples (powders). It is particularly well suited </w:t>
      </w:r>
      <w:r w:rsidR="00966D09" w:rsidRPr="00551F38">
        <w:rPr>
          <w:rFonts w:asciiTheme="minorHAnsi" w:hAnsiTheme="minorHAnsi" w:cstheme="minorHAnsi"/>
          <w:color w:val="auto"/>
        </w:rPr>
        <w:t>f</w:t>
      </w:r>
      <w:r w:rsidRPr="00551F38">
        <w:rPr>
          <w:rFonts w:asciiTheme="minorHAnsi" w:hAnsiTheme="minorHAnsi" w:cstheme="minorHAnsi"/>
          <w:color w:val="auto"/>
        </w:rPr>
        <w:t>o</w:t>
      </w:r>
      <w:r w:rsidR="00966D09" w:rsidRPr="00551F38">
        <w:rPr>
          <w:rFonts w:asciiTheme="minorHAnsi" w:hAnsiTheme="minorHAnsi" w:cstheme="minorHAnsi"/>
          <w:color w:val="auto"/>
        </w:rPr>
        <w:t>r</w:t>
      </w:r>
      <w:r w:rsidRPr="00551F38">
        <w:rPr>
          <w:rFonts w:asciiTheme="minorHAnsi" w:hAnsiTheme="minorHAnsi" w:cstheme="minorHAnsi"/>
          <w:color w:val="auto"/>
        </w:rPr>
        <w:t xml:space="preserve"> quantify</w:t>
      </w:r>
      <w:r w:rsidR="00966D09" w:rsidRPr="00551F38">
        <w:rPr>
          <w:rFonts w:asciiTheme="minorHAnsi" w:hAnsiTheme="minorHAnsi" w:cstheme="minorHAnsi"/>
          <w:color w:val="auto"/>
        </w:rPr>
        <w:t>ing</w:t>
      </w:r>
      <w:r w:rsidRPr="00551F38">
        <w:rPr>
          <w:rFonts w:asciiTheme="minorHAnsi" w:hAnsiTheme="minorHAnsi" w:cstheme="minorHAnsi"/>
          <w:color w:val="auto"/>
        </w:rPr>
        <w:t xml:space="preserve"> the relative contributions of volatile and non-volatile agents in bioactive mixtures and </w:t>
      </w:r>
      <w:r w:rsidR="00966D09" w:rsidRPr="00551F38">
        <w:rPr>
          <w:rFonts w:asciiTheme="minorHAnsi" w:hAnsiTheme="minorHAnsi" w:cstheme="minorHAnsi"/>
          <w:color w:val="auto"/>
        </w:rPr>
        <w:t>f</w:t>
      </w:r>
      <w:r w:rsidRPr="00551F38">
        <w:rPr>
          <w:rFonts w:asciiTheme="minorHAnsi" w:hAnsiTheme="minorHAnsi" w:cstheme="minorHAnsi"/>
          <w:color w:val="auto"/>
        </w:rPr>
        <w:t>o</w:t>
      </w:r>
      <w:r w:rsidR="00966D09" w:rsidRPr="00551F38">
        <w:rPr>
          <w:rFonts w:asciiTheme="minorHAnsi" w:hAnsiTheme="minorHAnsi" w:cstheme="minorHAnsi"/>
          <w:color w:val="auto"/>
        </w:rPr>
        <w:t>r</w:t>
      </w:r>
      <w:r w:rsidRPr="00551F38">
        <w:rPr>
          <w:rFonts w:asciiTheme="minorHAnsi" w:hAnsiTheme="minorHAnsi" w:cstheme="minorHAnsi"/>
          <w:color w:val="auto"/>
        </w:rPr>
        <w:t xml:space="preserve"> determin</w:t>
      </w:r>
      <w:r w:rsidR="00966D09" w:rsidRPr="00551F38">
        <w:rPr>
          <w:rFonts w:asciiTheme="minorHAnsi" w:hAnsiTheme="minorHAnsi" w:cstheme="minorHAnsi"/>
          <w:color w:val="auto"/>
        </w:rPr>
        <w:t>ing</w:t>
      </w:r>
      <w:r w:rsidRPr="00551F38">
        <w:rPr>
          <w:rFonts w:asciiTheme="minorHAnsi" w:hAnsiTheme="minorHAnsi" w:cstheme="minorHAnsi"/>
          <w:color w:val="auto"/>
        </w:rPr>
        <w:t xml:space="preserve"> their effects</w:t>
      </w:r>
      <w:r w:rsidR="00966D09" w:rsidRPr="00551F38">
        <w:rPr>
          <w:rFonts w:asciiTheme="minorHAnsi" w:hAnsiTheme="minorHAnsi" w:cstheme="minorHAnsi"/>
          <w:color w:val="auto"/>
        </w:rPr>
        <w:t>,</w:t>
      </w:r>
      <w:r w:rsidRPr="00551F38">
        <w:rPr>
          <w:rFonts w:asciiTheme="minorHAnsi" w:hAnsiTheme="minorHAnsi" w:cstheme="minorHAnsi"/>
          <w:color w:val="auto"/>
        </w:rPr>
        <w:t xml:space="preserve"> specifically on spore</w:t>
      </w:r>
      <w:r w:rsidR="00966D09" w:rsidRPr="00551F38">
        <w:rPr>
          <w:rFonts w:asciiTheme="minorHAnsi" w:hAnsiTheme="minorHAnsi" w:cstheme="minorHAnsi"/>
          <w:color w:val="auto"/>
        </w:rPr>
        <w:t>s</w:t>
      </w:r>
      <w:r w:rsidRPr="00551F38">
        <w:rPr>
          <w:rFonts w:asciiTheme="minorHAnsi" w:hAnsiTheme="minorHAnsi" w:cstheme="minorHAnsi"/>
          <w:color w:val="auto"/>
        </w:rPr>
        <w:t xml:space="preserve">, early </w:t>
      </w:r>
      <w:r w:rsidR="000B4BBD" w:rsidRPr="00551F38">
        <w:rPr>
          <w:rFonts w:asciiTheme="minorHAnsi" w:hAnsiTheme="minorHAnsi" w:cstheme="minorHAnsi"/>
          <w:color w:val="auto"/>
        </w:rPr>
        <w:t>hyphae,</w:t>
      </w:r>
      <w:r w:rsidRPr="00551F38">
        <w:rPr>
          <w:rFonts w:asciiTheme="minorHAnsi" w:hAnsiTheme="minorHAnsi" w:cstheme="minorHAnsi"/>
          <w:color w:val="auto"/>
        </w:rPr>
        <w:t xml:space="preserve"> </w:t>
      </w:r>
      <w:r w:rsidR="00966D09" w:rsidRPr="00551F38">
        <w:rPr>
          <w:rFonts w:asciiTheme="minorHAnsi" w:hAnsiTheme="minorHAnsi" w:cstheme="minorHAnsi"/>
          <w:color w:val="auto"/>
        </w:rPr>
        <w:t>and</w:t>
      </w:r>
      <w:r w:rsidRPr="00551F38">
        <w:rPr>
          <w:rFonts w:asciiTheme="minorHAnsi" w:hAnsiTheme="minorHAnsi" w:cstheme="minorHAnsi"/>
          <w:color w:val="auto"/>
        </w:rPr>
        <w:t xml:space="preserve"> mycelium. </w:t>
      </w:r>
    </w:p>
    <w:p w14:paraId="6B470AC1" w14:textId="77777777" w:rsidR="00C579FF" w:rsidRPr="00551F38" w:rsidRDefault="00C579FF" w:rsidP="00657E45">
      <w:pPr>
        <w:tabs>
          <w:tab w:val="left" w:pos="0"/>
        </w:tabs>
        <w:rPr>
          <w:rFonts w:asciiTheme="minorHAnsi" w:hAnsiTheme="minorHAnsi" w:cstheme="minorHAnsi"/>
          <w:color w:val="auto"/>
        </w:rPr>
      </w:pPr>
    </w:p>
    <w:p w14:paraId="17390E43" w14:textId="258B479D" w:rsidR="00657E45" w:rsidRPr="00551F38" w:rsidRDefault="00657E45" w:rsidP="00657E45">
      <w:pPr>
        <w:tabs>
          <w:tab w:val="left" w:pos="0"/>
        </w:tabs>
        <w:rPr>
          <w:rFonts w:asciiTheme="minorHAnsi" w:hAnsiTheme="minorHAnsi" w:cstheme="minorHAnsi"/>
          <w:color w:val="auto"/>
        </w:rPr>
      </w:pPr>
      <w:r w:rsidRPr="00551F38">
        <w:rPr>
          <w:rFonts w:asciiTheme="minorHAnsi" w:hAnsiTheme="minorHAnsi" w:cstheme="minorHAnsi"/>
          <w:color w:val="auto"/>
        </w:rPr>
        <w:t xml:space="preserve">The method is highly relevant for the characterization of the antifungal activity of biocontrol products, notably plant-derived products. Indeed, </w:t>
      </w:r>
      <w:r w:rsidR="007A201A" w:rsidRPr="00551F38">
        <w:rPr>
          <w:rFonts w:asciiTheme="minorHAnsi" w:hAnsiTheme="minorHAnsi" w:cstheme="minorHAnsi"/>
          <w:color w:val="auto"/>
        </w:rPr>
        <w:t xml:space="preserve">for plant treatment, </w:t>
      </w:r>
      <w:r w:rsidRPr="00551F38">
        <w:rPr>
          <w:rFonts w:asciiTheme="minorHAnsi" w:hAnsiTheme="minorHAnsi" w:cstheme="minorHAnsi"/>
          <w:color w:val="auto"/>
        </w:rPr>
        <w:t xml:space="preserve">the results can be </w:t>
      </w:r>
      <w:r w:rsidR="00807CB5" w:rsidRPr="00551F38">
        <w:rPr>
          <w:rFonts w:asciiTheme="minorHAnsi" w:hAnsiTheme="minorHAnsi" w:cstheme="minorHAnsi"/>
          <w:color w:val="auto"/>
        </w:rPr>
        <w:t xml:space="preserve">used </w:t>
      </w:r>
      <w:r w:rsidRPr="00551F38">
        <w:rPr>
          <w:rFonts w:asciiTheme="minorHAnsi" w:hAnsiTheme="minorHAnsi" w:cstheme="minorHAnsi"/>
          <w:color w:val="auto"/>
        </w:rPr>
        <w:t xml:space="preserve">to guide the choice of mode of application and to establish the trigger thresholds.  </w:t>
      </w:r>
    </w:p>
    <w:p w14:paraId="4C7D5FD5" w14:textId="77777777" w:rsidR="006305D7" w:rsidRPr="00551F38" w:rsidRDefault="006305D7" w:rsidP="001B1519">
      <w:pPr>
        <w:rPr>
          <w:rFonts w:asciiTheme="minorHAnsi" w:hAnsiTheme="minorHAnsi" w:cstheme="minorHAnsi"/>
        </w:rPr>
      </w:pPr>
    </w:p>
    <w:p w14:paraId="00D25F73" w14:textId="4248CD6C" w:rsidR="006305D7" w:rsidRPr="00551F38" w:rsidRDefault="006305D7" w:rsidP="001B1519">
      <w:pPr>
        <w:rPr>
          <w:rFonts w:asciiTheme="minorHAnsi" w:hAnsiTheme="minorHAnsi" w:cstheme="minorHAnsi"/>
          <w:color w:val="808080"/>
        </w:rPr>
      </w:pPr>
      <w:r w:rsidRPr="00551F38">
        <w:rPr>
          <w:rFonts w:asciiTheme="minorHAnsi" w:hAnsiTheme="minorHAnsi" w:cstheme="minorHAnsi"/>
          <w:b/>
        </w:rPr>
        <w:t>INTRODUCTION</w:t>
      </w:r>
      <w:r w:rsidRPr="00551F38">
        <w:rPr>
          <w:rFonts w:asciiTheme="minorHAnsi" w:hAnsiTheme="minorHAnsi" w:cstheme="minorHAnsi"/>
          <w:b/>
          <w:bCs/>
        </w:rPr>
        <w:t>:</w:t>
      </w:r>
      <w:r w:rsidRPr="00551F38">
        <w:rPr>
          <w:rFonts w:asciiTheme="minorHAnsi" w:hAnsiTheme="minorHAnsi" w:cstheme="minorHAnsi"/>
          <w:color w:val="808080"/>
        </w:rPr>
        <w:t xml:space="preserve"> </w:t>
      </w:r>
    </w:p>
    <w:p w14:paraId="69999F20" w14:textId="13E48FA8" w:rsidR="00A441C3" w:rsidRPr="00551F38" w:rsidRDefault="00645317" w:rsidP="00C579FF">
      <w:pPr>
        <w:pStyle w:val="Default"/>
        <w:jc w:val="both"/>
        <w:rPr>
          <w:lang w:val="en-US"/>
        </w:rPr>
      </w:pPr>
      <w:r w:rsidRPr="00551F38">
        <w:rPr>
          <w:lang w:val="en-US"/>
        </w:rPr>
        <w:t xml:space="preserve">Global </w:t>
      </w:r>
      <w:r w:rsidR="0031385F" w:rsidRPr="00551F38">
        <w:rPr>
          <w:lang w:val="en-US"/>
        </w:rPr>
        <w:t xml:space="preserve">losses of </w:t>
      </w:r>
      <w:r w:rsidRPr="00551F38">
        <w:rPr>
          <w:lang w:val="en-US"/>
        </w:rPr>
        <w:t>fruit</w:t>
      </w:r>
      <w:r w:rsidR="0031385F" w:rsidRPr="00551F38">
        <w:rPr>
          <w:lang w:val="en-US"/>
        </w:rPr>
        <w:t>s</w:t>
      </w:r>
      <w:r w:rsidRPr="00551F38">
        <w:rPr>
          <w:lang w:val="en-US"/>
        </w:rPr>
        <w:t xml:space="preserve"> and vegetable</w:t>
      </w:r>
      <w:r w:rsidR="0031385F" w:rsidRPr="00551F38">
        <w:rPr>
          <w:lang w:val="en-US"/>
        </w:rPr>
        <w:t>s</w:t>
      </w:r>
      <w:r w:rsidRPr="00551F38">
        <w:rPr>
          <w:lang w:val="en-US"/>
        </w:rPr>
        <w:t xml:space="preserve"> can reach up to 50% of production</w:t>
      </w:r>
      <w:r w:rsidRPr="00551F38">
        <w:rPr>
          <w:lang w:val="en-US"/>
        </w:rPr>
        <w:fldChar w:fldCharType="begin" w:fldLock="1"/>
      </w:r>
      <w:r w:rsidR="00AB545D" w:rsidRPr="00551F38">
        <w:rPr>
          <w:lang w:val="en-US"/>
        </w:rPr>
        <w:instrText>ADDIN CSL_CITATION { "citationItems" : [ { "id" : "ITEM-1", "itemData" : { "ISBN" : "9789251072059", "author" : [ { "dropping-particle" : "", "family" : "FAO", "given" : "", "non-dropping-particle" : "", "parse-names" : false, "suffix" : "" } ], "id" : "ITEM-1", "issued" : { "date-parts" : [ [ "2011" ] ] }, "title" : "Global food losses and food waste \u2013 Extent, causes and prevention", "type" : "report" }, "uris" : [ "http://www.mendeley.com/documents/?uuid=26025374-5638-4242-836e-03e749a685e6" ] } ], "mendeley" : { "formattedCitation" : "&lt;sup&gt;1&lt;/sup&gt;", "plainTextFormattedCitation" : "1", "previouslyFormattedCitation" : "&lt;sup&gt;1&lt;/sup&gt;" }, "properties" : { "noteIndex" : 4 }, "schema" : "https://github.com/citation-style-language/schema/raw/master/csl-citation.json" }</w:instrText>
      </w:r>
      <w:r w:rsidRPr="00551F38">
        <w:rPr>
          <w:lang w:val="en-US"/>
        </w:rPr>
        <w:fldChar w:fldCharType="separate"/>
      </w:r>
      <w:r w:rsidRPr="00551F38">
        <w:rPr>
          <w:vertAlign w:val="superscript"/>
          <w:lang w:val="en-US"/>
        </w:rPr>
        <w:t>1</w:t>
      </w:r>
      <w:r w:rsidRPr="00551F38">
        <w:rPr>
          <w:lang w:val="en-US"/>
        </w:rPr>
        <w:fldChar w:fldCharType="end"/>
      </w:r>
      <w:r w:rsidRPr="00551F38">
        <w:rPr>
          <w:lang w:val="en-US"/>
        </w:rPr>
        <w:t xml:space="preserve"> and result </w:t>
      </w:r>
      <w:r w:rsidR="008C464C" w:rsidRPr="00551F38">
        <w:rPr>
          <w:lang w:val="en-US"/>
        </w:rPr>
        <w:t xml:space="preserve">mostly </w:t>
      </w:r>
      <w:r w:rsidRPr="00551F38">
        <w:rPr>
          <w:lang w:val="en-US"/>
        </w:rPr>
        <w:t>from food decay caused by fungi spoilage in field or during post-harvest storage</w:t>
      </w:r>
      <w:r w:rsidRPr="00551F38">
        <w:rPr>
          <w:lang w:val="en-US"/>
        </w:rPr>
        <w:fldChar w:fldCharType="begin" w:fldLock="1"/>
      </w:r>
      <w:r w:rsidR="00AB545D" w:rsidRPr="00551F38">
        <w:rPr>
          <w:lang w:val="en-US"/>
        </w:rPr>
        <w:instrText>ADDIN CSL_CITATION { "citationItems" : [ { "id" : "ITEM-1", "itemData" : { "DOI" : "10.1016/j.ijfoodmicro.2013.05.026", "ISSN" : "18793460", "abstract" : "Food decay by spoilage fungi causes considerable economic losses and constitutes a health risk for consumers due to the potential for fungi to produce mycotoxins. The indiscriminate use of synthetic antifungals has led to the development of resistant strains which has necessitated utilization of higher concentrations, with the consequent increase in toxic residues in food products. Numerous studies have demonstrated that plant extracts contain diverse bioactive components that can control mould growth. The metabolites produced by plants are a promising alternative because plants generate a wide variety of compounds, either as part of their development or in response to stress or pathogen attack. The aim of this article is to summarize the results from the literature on in vitro and in vivo experiments regarding the effects of plant-derived products for controlling fungal growth. Data from research work on the mode of action of these metabolites inside the fungal cell and the influence of abiotic external factors such as pH and temperature are also covered in the present review. Furthermore, an analysis on how the stress factor derived from the presence of plant extracts and essential oils affects secondary metabolism of the fungus, specifically mycotoxin synthesis, is developed. Finally, the effectiveness of using plant-derived compounds in combination with other natural antimicrobials and its application in food using novel technologies is discussed. \u00a9 2013 Elsevier B.V.", "author" : [ { "dropping-particle" : "", "family" : "Cruz Cabral", "given" : "Luc\u00eda", "non-dropping-particle" : "da", "parse-names" : false, "suffix" : "" }, { "dropping-particle" : "", "family" : "Fern\u00e1ndez Pinto", "given" : "Virginia", "non-dropping-particle" : "", "parse-names" : false, "suffix" : "" }, { "dropping-particle" : "", "family" : "Patriarca", "given" : "Andrea", "non-dropping-particle" : "", "parse-names" : false, "suffix" : "" } ], "container-title" : "International Journal of Food Microbiology", "id" : "ITEM-1", "issue" : "1", "issued" : { "date-parts" : [ [ "2013" ] ] }, "page" : "1-14", "publisher" : "Elsevier B.V.", "title" : "Application of plant derived compounds to control fungal spoilage and mycotoxin production in foods", "type" : "article-journal", "volume" : "166" }, "uris" : [ "http://www.mendeley.com/documents/?uuid=1d915dda-b1df-444b-adc0-6693a50c4ae9" ] }, { "id" : "ITEM-2", "itemData" : { "DOI" : "10.1016/j.postharvbio.2015.11.003", "ISSN" : "0925-5214", "author" : [ { "dropping-particle" : "", "family" : "Romanazzi", "given" : "Gianfranco", "non-dropping-particle" : "", "parse-names" : false, "suffix" : "" }, { "dropping-particle" : "", "family" : "Smilanick", "given" : "Joseph L", "non-dropping-particle" : "", "parse-names" : false, "suffix" : "" }, { "dropping-particle" : "", "family" : "Feliziani", "given" : "Erica", "non-dropping-particle" : "", "parse-names" : false, "suffix" : "" }, { "dropping-particle" : "", "family" : "Droby", "given" : "Samir", "non-dropping-particle" : "", "parse-names" : false, "suffix" : "" } ], "container-title" : "Postharvest Biology and Technology", "id" : "ITEM-2", "issued" : { "date-parts" : [ [ "2016" ] ] }, "page" : "69-76", "publisher" : "Elsevier B.V.", "title" : "Postharvest Biology and Technology Integrated management of postharvest gray mold on fruit crops", "type" : "article-journal", "volume" : "113" }, "uris" : [ "http://www.mendeley.com/documents/?uuid=bd325c20-7215-4f75-9dd6-3b44b049be6c" ] } ], "mendeley" : { "formattedCitation" : "&lt;sup&gt;2, 3&lt;/sup&gt;", "plainTextFormattedCitation" : "2, 3", "previouslyFormattedCitation" : "&lt;sup&gt;2, 3&lt;/sup&gt;" }, "properties" : { "noteIndex" : 4 }, "schema" : "https://github.com/citation-style-language/schema/raw/master/csl-citation.json" }</w:instrText>
      </w:r>
      <w:r w:rsidRPr="00551F38">
        <w:rPr>
          <w:lang w:val="en-US"/>
        </w:rPr>
        <w:fldChar w:fldCharType="separate"/>
      </w:r>
      <w:r w:rsidRPr="00551F38">
        <w:rPr>
          <w:vertAlign w:val="superscript"/>
          <w:lang w:val="en-US"/>
        </w:rPr>
        <w:t>2,3</w:t>
      </w:r>
      <w:r w:rsidRPr="00551F38">
        <w:rPr>
          <w:lang w:val="en-US"/>
        </w:rPr>
        <w:fldChar w:fldCharType="end"/>
      </w:r>
      <w:r w:rsidR="002F5A37" w:rsidRPr="00551F38">
        <w:rPr>
          <w:lang w:val="en-US"/>
        </w:rPr>
        <w:t>,</w:t>
      </w:r>
      <w:r w:rsidRPr="00551F38">
        <w:rPr>
          <w:lang w:val="en-US"/>
        </w:rPr>
        <w:t xml:space="preserve"> despite </w:t>
      </w:r>
      <w:r w:rsidR="0031385F" w:rsidRPr="00551F38">
        <w:rPr>
          <w:lang w:val="en-US"/>
        </w:rPr>
        <w:t xml:space="preserve">the </w:t>
      </w:r>
      <w:r w:rsidRPr="00551F38">
        <w:rPr>
          <w:lang w:val="en-US"/>
        </w:rPr>
        <w:lastRenderedPageBreak/>
        <w:t xml:space="preserve">extensive employment of synthetic fungicides since the middle of the </w:t>
      </w:r>
      <w:r w:rsidR="002F5A37" w:rsidRPr="00551F38">
        <w:rPr>
          <w:lang w:val="en-US"/>
        </w:rPr>
        <w:t xml:space="preserve">twentieth </w:t>
      </w:r>
      <w:r w:rsidRPr="00551F38">
        <w:rPr>
          <w:lang w:val="en-US"/>
        </w:rPr>
        <w:t>century</w:t>
      </w:r>
      <w:r w:rsidR="00A441C3" w:rsidRPr="00551F38">
        <w:rPr>
          <w:lang w:val="en-US"/>
        </w:rPr>
        <w:fldChar w:fldCharType="begin" w:fldLock="1"/>
      </w:r>
      <w:r w:rsidR="00A441C3" w:rsidRPr="00551F38">
        <w:rPr>
          <w:lang w:val="en-US"/>
        </w:rPr>
        <w:instrText>ADDIN CSL_CITATION { "citationItems" : [ { "id" : "ITEM-1", "itemData" : { "DOI" : "10.1094/apsnetfeature-2008-0308", "abstract" : "A short history of ebooks - also called digital books - from the first ebook in 1971 until now, with Project Gutenberg, Amazon, Adobe, Mobipocket, Google Books, the Internet Archive, and many others. This book is based on 100 interviews conducted worldwide and thousands of hours of web surfing during ten years. This book is also available in French and Spanish, with a longer and different text. All versions can be found online&lt;http://www.etudes-francaises.net/dossiers/ebook.htm&gt;.", "author" : [ { "dropping-particle" : "", "family" : "Morton", "given" : "V.", "non-dropping-particle" : "", "parse-names" : false, "suffix" : "" }, { "dropping-particle" : "", "family" : "Staub", "given" : "T.", "non-dropping-particle" : "", "parse-names" : false, "suffix" : "" } ], "container-title" : "APSnet Feature Articles", "id" : "ITEM-1", "issue" : "1755", "issued" : { "date-parts" : [ [ "2008" ] ] }, "page" : "1-12", "title" : "A Short History of Fungicides.", "type" : "article-journal" }, "uris" : [ "http://www.mendeley.com/documents/?uuid=70c03ba8-0d95-49f5-9492-475f2f0b2bfb" ] } ], "mendeley" : { "formattedCitation" : "&lt;sup&gt;4&lt;/sup&gt;", "plainTextFormattedCitation" : "4", "previouslyFormattedCitation" : "&lt;sup&gt;4&lt;/sup&gt;" }, "properties" : { "noteIndex" : 2 }, "schema" : "https://github.com/citation-style-language/schema/raw/master/csl-citation.json" }</w:instrText>
      </w:r>
      <w:r w:rsidR="00A441C3" w:rsidRPr="00551F38">
        <w:rPr>
          <w:lang w:val="en-US"/>
        </w:rPr>
        <w:fldChar w:fldCharType="separate"/>
      </w:r>
      <w:r w:rsidR="00A441C3" w:rsidRPr="00551F38">
        <w:rPr>
          <w:vertAlign w:val="superscript"/>
          <w:lang w:val="en-US"/>
        </w:rPr>
        <w:t>4</w:t>
      </w:r>
      <w:r w:rsidR="00A441C3" w:rsidRPr="00551F38">
        <w:rPr>
          <w:lang w:val="en-US"/>
        </w:rPr>
        <w:fldChar w:fldCharType="end"/>
      </w:r>
      <w:r w:rsidRPr="00551F38">
        <w:rPr>
          <w:lang w:val="en-US"/>
        </w:rPr>
        <w:t xml:space="preserve">. The use of </w:t>
      </w:r>
      <w:r w:rsidR="0031385F" w:rsidRPr="00551F38">
        <w:rPr>
          <w:lang w:val="en-US"/>
        </w:rPr>
        <w:t>these</w:t>
      </w:r>
      <w:r w:rsidRPr="00551F38">
        <w:rPr>
          <w:lang w:val="en-US"/>
        </w:rPr>
        <w:t xml:space="preserve"> substances is being reconsidered since it represents serious environmental and health hazards. As the harmful consequences of their use are showing up throughout ecosystems and evidence o</w:t>
      </w:r>
      <w:r w:rsidR="00431DB8" w:rsidRPr="00551F38">
        <w:rPr>
          <w:lang w:val="en-US"/>
        </w:rPr>
        <w:t>f</w:t>
      </w:r>
      <w:r w:rsidRPr="00551F38">
        <w:rPr>
          <w:lang w:val="en-US"/>
        </w:rPr>
        <w:t xml:space="preserve"> potential health </w:t>
      </w:r>
      <w:r w:rsidR="00431DB8" w:rsidRPr="00551F38">
        <w:rPr>
          <w:lang w:val="en-US"/>
        </w:rPr>
        <w:t xml:space="preserve">impacts </w:t>
      </w:r>
      <w:r w:rsidRPr="00551F38">
        <w:rPr>
          <w:lang w:val="en-US"/>
        </w:rPr>
        <w:t>ha</w:t>
      </w:r>
      <w:r w:rsidR="00431DB8" w:rsidRPr="00551F38">
        <w:rPr>
          <w:lang w:val="en-US"/>
        </w:rPr>
        <w:t>s</w:t>
      </w:r>
      <w:r w:rsidRPr="00551F38">
        <w:rPr>
          <w:lang w:val="en-US"/>
        </w:rPr>
        <w:t xml:space="preserve"> accumulated</w:t>
      </w:r>
      <w:r w:rsidRPr="00551F38">
        <w:rPr>
          <w:lang w:val="en-US"/>
        </w:rPr>
        <w:fldChar w:fldCharType="begin" w:fldLock="1"/>
      </w:r>
      <w:r w:rsidR="00A441C3" w:rsidRPr="00551F38">
        <w:rPr>
          <w:lang w:val="en-US"/>
        </w:rPr>
        <w:instrText>ADDIN CSL_CITATION { "citationItems" : [ { "id" : "ITEM-1", "itemData" : { "DOI" : "10.1016/j.physbeh.2017.03.040", "ISBN" : "0000000000", "author" : [ { "dropping-particle" : "", "family" : "T. T. Brandhorst and B. S. Klein", "given" : "", "non-dropping-particle" : "", "parse-names" : false, "suffix" : "" } ], "container-title" : "Food Chem Toxicol.", "id" : "ITEM-1", "issued" : { "date-parts" : [ [ "2019" ] ] }, "page" : "561-565", "title" : "Uncertainty surrounding the mechanism and safety of the post- harvest fungicide Fludioxonil", "type" : "article-journal", "volume" : "123" }, "uris" : [ "http://www.mendeley.com/documents/?uuid=51e0f9a6-c384-4c94-a858-c58ce18b1230" ] }, { "id" : "ITEM-2", "itemData" : { "DOI" : "10.1371/journal.pone.0224132", "ISBN" : "1111111111", "ISSN" : "19326203", "abstract" : "Succinate dehydrogenase (SDH) inhibitors (SDHIs) are used worldwide to limit the proliferation of molds on plants and plant products. However, as SDH, also known as respiratory chain (RC) complex II, is a universal component of mitochondria from living organisms, highly conserved through evolution, the specificity of these inhibitors toward fungi warrants investigation. We first establish that the human, honeybee, earthworm and fungal SDHs are all sensitive to the eight SDHIs tested, albeit with varying IC50 values, generally in the micro-molar range. In addition to SDH, we observed that five of the SDHIs, mostly from the latest generation, inhibit the activity of RC complex III. Finally, we show that the provision of glucose ad libitum in the cell culture medium, while simultaneously providing sufficient ATP and reducing power for antioxidant enzymes through glycolysis, allows the growth of RC-deficient cells, fully masking the deleterious effect of SDHIs. As a result, when glutamine is the major carbon source, the presence of SDHIs leads to time-dependent cell death. This process is significantly accelerated in fibroblasts derived from patients with neurological or neurodegenerative diseases due to RC impairment (encephalopathy originating from a partial SDH defect) and/or hypersensitivity to oxidative insults (Friedreich ataxia, familial Alzheimer\u2019s disease).", "author" : [ { "dropping-particle" : "", "family" : "B\u00e9nit", "given" : "Paule", "non-dropping-particle" : "", "parse-names" : false, "suffix" : "" }, { "dropping-particle" : "", "family" : "Kahn", "given" : "Agathe", "non-dropping-particle" : "", "parse-names" : false, "suffix" : "" }, { "dropping-particle" : "", "family" : "Chretien", "given" : "Dominique", "non-dropping-particle" : "", "parse-names" : false, "suffix" : "" }, { "dropping-particle" : "", "family" : "Bortoli", "given" : "Sylvie", "non-dropping-particle" : "", "parse-names" : false, "suffix" : "" }, { "dropping-particle" : "", "family" : "Huc", "given" : "Laurence", "non-dropping-particle" : "", "parse-names" : false, "suffix" : "" }, { "dropping-particle" : "", "family" : "Schiff", "given" : "Manuel", "non-dropping-particle" : "", "parse-names" : false, "suffix" : "" }, { "dropping-particle" : "", "family" : "Gimenez-Roqueplo", "given" : "Anne Paule", "non-dropping-particle" : "", "parse-names" : false, "suffix" : "" }, { "dropping-particle" : "", "family" : "Favier", "given" : "Judith", "non-dropping-particle" : "", "parse-names" : false, "suffix" : "" }, { "dropping-particle" : "", "family" : "Gressens", "given" : "Pierre", "non-dropping-particle" : "", "parse-names" : false, "suffix" : "" }, { "dropping-particle" : "", "family" : "Rak", "given" : "Malgorzata", "non-dropping-particle" : "", "parse-names" : false, "suffix" : "" }, { "dropping-particle" : "", "family" : "Rustin", "given" : "Pierre", "non-dropping-particle" : "", "parse-names" : false, "suffix" : "" } ], "container-title" : "PLoS ONE", "id" : "ITEM-2", "issue" : "11", "issued" : { "date-parts" : [ [ "2019" ] ] }, "page" : "1-20", "title" : "Evolutionarily conserved susceptibility of the mitochondrial respiratory chain to SDHI pesticides and its consequence on the impact of SDHIs on human cultured cells", "type" : "article-journal", "volume" : "14" }, "uris" : [ "http://www.mendeley.com/documents/?uuid=81b44c58-efb8-43a2-8a59-2196f9c1f23e" ] } ], "mendeley" : { "formattedCitation" : "&lt;sup&gt;5, 6&lt;/sup&gt;", "plainTextFormattedCitation" : "5, 6", "previouslyFormattedCitation" : "&lt;sup&gt;5, 6&lt;/sup&gt;" }, "properties" : { "noteIndex" : 3 }, "schema" : "https://github.com/citation-style-language/schema/raw/master/csl-citation.json" }</w:instrText>
      </w:r>
      <w:r w:rsidRPr="00551F38">
        <w:rPr>
          <w:lang w:val="en-US"/>
        </w:rPr>
        <w:fldChar w:fldCharType="separate"/>
      </w:r>
      <w:r w:rsidR="00A441C3" w:rsidRPr="00551F38">
        <w:rPr>
          <w:vertAlign w:val="superscript"/>
          <w:lang w:val="en-US"/>
        </w:rPr>
        <w:t>5,6</w:t>
      </w:r>
      <w:r w:rsidRPr="00551F38">
        <w:rPr>
          <w:lang w:val="en-US"/>
        </w:rPr>
        <w:fldChar w:fldCharType="end"/>
      </w:r>
      <w:r w:rsidRPr="00551F38">
        <w:rPr>
          <w:lang w:val="en-US"/>
        </w:rPr>
        <w:t>, novel alternatives to old prophylactic strategies</w:t>
      </w:r>
      <w:r w:rsidR="00F26A3B" w:rsidRPr="00551F38">
        <w:rPr>
          <w:lang w:val="en-US"/>
        </w:rPr>
        <w:t xml:space="preserve"> </w:t>
      </w:r>
      <w:r w:rsidR="00F26A3B" w:rsidRPr="00551F38">
        <w:rPr>
          <w:rFonts w:asciiTheme="minorHAnsi" w:hAnsiTheme="minorHAnsi" w:cstheme="minorHAnsi"/>
          <w:color w:val="auto"/>
          <w:lang w:val="en-US"/>
        </w:rPr>
        <w:t xml:space="preserve">are </w:t>
      </w:r>
      <w:r w:rsidR="00FD59AB" w:rsidRPr="00551F38">
        <w:rPr>
          <w:rFonts w:asciiTheme="minorHAnsi" w:hAnsiTheme="minorHAnsi" w:cstheme="minorHAnsi"/>
          <w:color w:val="auto"/>
          <w:lang w:val="en-US"/>
        </w:rPr>
        <w:t xml:space="preserve">being developed </w:t>
      </w:r>
      <w:r w:rsidR="00F26A3B" w:rsidRPr="00551F38">
        <w:rPr>
          <w:rFonts w:asciiTheme="minorHAnsi" w:hAnsiTheme="minorHAnsi" w:cstheme="minorHAnsi"/>
          <w:color w:val="auto"/>
          <w:lang w:val="en-US"/>
        </w:rPr>
        <w:t>for pre- and post-harvest treatments</w:t>
      </w:r>
      <w:r w:rsidR="00F26A3B" w:rsidRPr="00551F38">
        <w:rPr>
          <w:rFonts w:asciiTheme="minorHAnsi" w:hAnsiTheme="minorHAnsi" w:cstheme="minorHAnsi"/>
          <w:color w:val="auto"/>
          <w:lang w:val="en-US"/>
        </w:rPr>
        <w:fldChar w:fldCharType="begin" w:fldLock="1"/>
      </w:r>
      <w:r w:rsidR="00A441C3" w:rsidRPr="00551F38">
        <w:rPr>
          <w:rFonts w:asciiTheme="minorHAnsi" w:hAnsiTheme="minorHAnsi" w:cstheme="minorHAnsi"/>
          <w:color w:val="auto"/>
          <w:lang w:val="en-US"/>
        </w:rPr>
        <w:instrText>ADDIN CSL_CITATION { "citationItems" : [ { "id" : "ITEM-1", "itemData" : { "DOI" : "10.1016/j.cofs.2016.09.002", "ISSN" : "22147993", "abstract" : "The use of microorganisms to control pest and diseases at field conditions is now a reality. Several products are already in the market and their use is increasing every year. However, the situation in the control of postharvest diseases of fruits and vegetables is very different. The research in this area started later and despite the progress made especially in the last 20 years their commercial application is still very limited. In the present overview we discuss about this situation, expose the state of the art, the main concerns and difficulties to increase their commercial use in postharvest. We postulate than is necessary to show consistent efficacy under commercial conditions but this fact is not enough, because some BCAs with reliable performance are not in the market for a complex combination of legal and economic aspects. In the future, it will be necessary to improve the bridge between researchers and private companies.", "author" : [ { "dropping-particle" : "", "family" : "Usall", "given" : "Josep", "non-dropping-particle" : "", "parse-names" : false, "suffix" : "" }, { "dropping-particle" : "", "family" : "Torres", "given" : "Rosario", "non-dropping-particle" : "", "parse-names" : false, "suffix" : "" }, { "dropping-particle" : "", "family" : "Teixid\u00f3", "given" : "Neus", "non-dropping-particle" : "", "parse-names" : false, "suffix" : "" } ], "container-title" : "Current Opinion in Food Science", "id" : "ITEM-1", "issued" : { "date-parts" : [ [ "2016" ] ] }, "page" : "51-55", "title" : "Biological control of postharvest diseases on fruit: a suitable alternative?", "type" : "article-journal", "volume" : "11" }, "uris" : [ "http://www.mendeley.com/documents/?uuid=e10d85b5-bb08-4096-b6e0-8194e2adcd2b" ] }, { "id" : "ITEM-2", "itemData" : { "DOI" : "10.1016/j.postharvbio.2003.11.005", "ISSN" : "09255214", "abstract" : "Chemical fungicides provide the primary means for controlling postharvest fungal decay of fruit and vegetables. Continuous use of fungicides has faced two major obstacles - increasing public concern regarding contamination of perishables with fungicidal residues, and proliferation of resistance in the pathogen populations. The ultimate aim of recent research in this area has been the development and evaluation of various alternative control strategies to reduce dependency on synthetic fungicides. Several non-chemical treatments have been proposed for fungal decay control. Although these approaches have been shown to reduce postharvest rots of fruit and vegetables, each has limitations that can affect their commercial applicability. When used as stand-alone treatments, none of the non-chemical control methods has been clearly shown to offer a consistently economic level of disease control that warrants acceptance as an alternative to synthetic fungicides. Recently, the exploitation of natural products to control decay and prolong storage life of perishables has received more and more attention. Biologically active natural products have the potential to replace synthetic fungicides. This review deals with exploitation of some natural products such as flavour compounds, acetic acid, jasmonates, glucosinolates, propolis, fusapyrone and deoxyfusapyrone, chitosan, essential oils and plant extracts for the management of fungal rotting of fruit and vegetables, thereby prolonging shelf life. \u00a9 2003 Elsevier B.V. All rights reserved.", "author" : [ { "dropping-particle" : "", "family" : "Tripathi", "given" : "Pramila", "non-dropping-particle" : "", "parse-names" : false, "suffix" : "" }, { "dropping-particle" : "", "family" : "Dubey", "given" : "N. K.", "non-dropping-particle" : "", "parse-names" : false, "suffix" : "" } ], "container-title" : "Postharvest Biology and Technology", "id" : "ITEM-2", "issue" : "3", "issued" : { "date-parts" : [ [ "2004" ] ] }, "page" : "235-245", "title" : "Exploitation of natural products as an alternative strategy to control postharvest fungal rotting of fruit and vegetables", "type" : "article-journal", "volume" : "32" }, "uris" : [ "http://www.mendeley.com/documents/?uuid=47d21b37-3acc-4e94-aab2-81e8d18a3ff5" ] }, { "id" : "ITEM-3", "itemData" : { "DOI" : "10.1080/09583157.2018.1548574", "ISSN" : "13600478", "abstract" : "Botrytis cinerea is one of the most destructive pathogens of ve\u2060getables and fruits both in the field and storage. There have been several research activities focused on developing biocontrol strategies for the pathogen due to its resistance to the commonly used synthetic fungicides. Additionally, concerns have been raised over residual effect of current synthetic fungicides used for its control. Most of these research activities have focused on Trichoderma spp., Ulocladium spp., Bacillus subtilis, plant extracts and their essential oils with some commercial products available on the market for the control of B.\u00a0cinerea disease. This review summarises some of the current published information on the use of biocontrol agents and plant-based compounds for B.\u00a0cinerea control. Some limitations and future prospects were also mentioned.", "author" : [ { "dropping-particle" : "", "family" : "Abbey", "given" : "Joel A.", "non-dropping-particle" : "", "parse-names" : false, "suffix" : "" }, { "dropping-particle" : "", "family" : "Percival", "given" : "David", "non-dropping-particle" : "", "parse-names" : false, "suffix" : "" }, { "dropping-particle" : "", "family" : "Abbey", "given" : "Lord", "non-dropping-particle" : "", "parse-names" : false, "suffix" : "" }, { "dropping-particle" : "", "family" : "Asiedu", "given" : "Samuel K.", "non-dropping-particle" : "", "parse-names" : false, "suffix" : "" }, { "dropping-particle" : "", "family" : "Prithiviraj", "given" : "Balakrishnan", "non-dropping-particle" : "", "parse-names" : false, "suffix" : "" }, { "dropping-particle" : "", "family" : "Schilder", "given" : "Annemiek", "non-dropping-particle" : "", "parse-names" : false, "suffix" : "" } ], "container-title" : "Biocontrol Science and Technology", "id" : "ITEM-3", "issue" : "3", "issued" : { "date-parts" : [ [ "2019" ] ] }, "page" : "241-262", "publisher" : "Taylor &amp; Francis", "title" : "Biofungicides as alternative to synthetic fungicide control of grey mould (Botrytis cinerea)\u2013prospects and challenges", "type" : "article-journal", "volume" : "29" }, "uris" : [ "http://www.mendeley.com/documents/?uuid=e69c9a06-d56f-4be0-b7e5-65a6cd96bbfe" ] } ], "mendeley" : { "formattedCitation" : "&lt;sup&gt;7\u20139&lt;/sup&gt;", "plainTextFormattedCitation" : "7\u20139", "previouslyFormattedCitation" : "&lt;sup&gt;7\u20139&lt;/sup&gt;" }, "properties" : { "noteIndex" : 3 }, "schema" : "https://github.com/citation-style-language/schema/raw/master/csl-citation.json" }</w:instrText>
      </w:r>
      <w:r w:rsidR="00F26A3B" w:rsidRPr="00551F38">
        <w:rPr>
          <w:rFonts w:asciiTheme="minorHAnsi" w:hAnsiTheme="minorHAnsi" w:cstheme="minorHAnsi"/>
          <w:color w:val="auto"/>
          <w:lang w:val="en-US"/>
        </w:rPr>
        <w:fldChar w:fldCharType="separate"/>
      </w:r>
      <w:r w:rsidR="00A441C3" w:rsidRPr="00551F38">
        <w:rPr>
          <w:rFonts w:asciiTheme="minorHAnsi" w:hAnsiTheme="minorHAnsi" w:cstheme="minorHAnsi"/>
          <w:color w:val="auto"/>
          <w:vertAlign w:val="superscript"/>
          <w:lang w:val="en-US"/>
        </w:rPr>
        <w:t>7–9</w:t>
      </w:r>
      <w:r w:rsidR="00F26A3B" w:rsidRPr="00551F38">
        <w:rPr>
          <w:rFonts w:asciiTheme="minorHAnsi" w:hAnsiTheme="minorHAnsi" w:cstheme="minorHAnsi"/>
          <w:color w:val="auto"/>
          <w:lang w:val="en-US"/>
        </w:rPr>
        <w:fldChar w:fldCharType="end"/>
      </w:r>
      <w:r w:rsidRPr="00551F38">
        <w:rPr>
          <w:lang w:val="en-US"/>
        </w:rPr>
        <w:t xml:space="preserve">. </w:t>
      </w:r>
      <w:r w:rsidR="00384001" w:rsidRPr="00551F38">
        <w:rPr>
          <w:lang w:val="en-US"/>
        </w:rPr>
        <w:t>Hence</w:t>
      </w:r>
      <w:r w:rsidR="009C1A06" w:rsidRPr="00551F38">
        <w:rPr>
          <w:lang w:val="en-US"/>
        </w:rPr>
        <w:t xml:space="preserve"> t</w:t>
      </w:r>
      <w:r w:rsidRPr="00551F38">
        <w:rPr>
          <w:lang w:val="en-US"/>
        </w:rPr>
        <w:t xml:space="preserve">he challenge </w:t>
      </w:r>
      <w:r w:rsidR="009C1A06" w:rsidRPr="00551F38">
        <w:rPr>
          <w:lang w:val="en-US"/>
        </w:rPr>
        <w:t xml:space="preserve">we face </w:t>
      </w:r>
      <w:r w:rsidRPr="00551F38">
        <w:rPr>
          <w:lang w:val="en-US"/>
        </w:rPr>
        <w:t>is two-</w:t>
      </w:r>
      <w:r w:rsidR="00431DB8" w:rsidRPr="00551F38">
        <w:rPr>
          <w:lang w:val="en-US"/>
        </w:rPr>
        <w:t>fold</w:t>
      </w:r>
      <w:r w:rsidRPr="00551F38">
        <w:rPr>
          <w:lang w:val="en-US"/>
        </w:rPr>
        <w:t xml:space="preserve">. Novel fungicidal strategies </w:t>
      </w:r>
      <w:r w:rsidR="00431DB8" w:rsidRPr="00551F38">
        <w:rPr>
          <w:lang w:val="en-US"/>
        </w:rPr>
        <w:t>must</w:t>
      </w:r>
      <w:r w:rsidRPr="00551F38">
        <w:rPr>
          <w:lang w:val="en-US"/>
        </w:rPr>
        <w:t xml:space="preserve">, </w:t>
      </w:r>
      <w:r w:rsidR="00431DB8" w:rsidRPr="00551F38">
        <w:rPr>
          <w:lang w:val="en-US"/>
        </w:rPr>
        <w:t>firstly</w:t>
      </w:r>
      <w:r w:rsidRPr="00551F38">
        <w:rPr>
          <w:lang w:val="en-US"/>
        </w:rPr>
        <w:t>, maintain the levels of efficacy of food protection against phytopathogens and concomitantly, second</w:t>
      </w:r>
      <w:r w:rsidR="00431DB8" w:rsidRPr="00551F38">
        <w:rPr>
          <w:lang w:val="en-US"/>
        </w:rPr>
        <w:t>ly</w:t>
      </w:r>
      <w:r w:rsidRPr="00551F38">
        <w:rPr>
          <w:lang w:val="en-US"/>
        </w:rPr>
        <w:t xml:space="preserve">, contribute to dramatically </w:t>
      </w:r>
      <w:r w:rsidR="00AA79FC" w:rsidRPr="00551F38">
        <w:rPr>
          <w:lang w:val="en-US"/>
        </w:rPr>
        <w:t xml:space="preserve">reducing </w:t>
      </w:r>
      <w:r w:rsidRPr="00551F38">
        <w:rPr>
          <w:lang w:val="en-US"/>
        </w:rPr>
        <w:t>the environmental footprint of agricultural practices.</w:t>
      </w:r>
      <w:r w:rsidR="009A0FAE" w:rsidRPr="00551F38">
        <w:rPr>
          <w:lang w:val="en-US"/>
        </w:rPr>
        <w:t xml:space="preserve"> </w:t>
      </w:r>
      <w:r w:rsidRPr="00551F38">
        <w:rPr>
          <w:lang w:val="en-US"/>
        </w:rPr>
        <w:t>To fulfil</w:t>
      </w:r>
      <w:r w:rsidR="00C579FF" w:rsidRPr="00551F38">
        <w:rPr>
          <w:lang w:val="en-US"/>
        </w:rPr>
        <w:t>l</w:t>
      </w:r>
      <w:r w:rsidRPr="00551F38">
        <w:rPr>
          <w:lang w:val="en-US"/>
        </w:rPr>
        <w:t xml:space="preserve"> this ambitious goal, strategies inspired by the natural </w:t>
      </w:r>
      <w:r w:rsidR="00A01525" w:rsidRPr="00551F38">
        <w:rPr>
          <w:lang w:val="en-US"/>
        </w:rPr>
        <w:t>defenses</w:t>
      </w:r>
      <w:r w:rsidRPr="00551F38">
        <w:rPr>
          <w:lang w:val="en-US"/>
        </w:rPr>
        <w:t xml:space="preserve"> evolved in plants are being proposed as more than 1000 plants species have been highlighted for their antimicrobial properties</w:t>
      </w:r>
      <w:r w:rsidR="00AB545D" w:rsidRPr="00551F38">
        <w:rPr>
          <w:lang w:val="en-US"/>
        </w:rPr>
        <w:fldChar w:fldCharType="begin" w:fldLock="1"/>
      </w:r>
      <w:r w:rsidR="00A441C3" w:rsidRPr="00551F38">
        <w:rPr>
          <w:lang w:val="en-US"/>
        </w:rPr>
        <w:instrText>ADDIN CSL_CITATION { "citationItems" : [ { "id" : "ITEM-1", "itemData" : { "DOI" : "10.1016/j.postharvbio.2003.11.005", "ISSN" : "09255214", "abstract" : "Chemical fungicides provide the primary means for controlling postharvest fungal decay of fruit and vegetables. Continuous use of fungicides has faced two major obstacles - increasing public concern regarding contamination of perishables with fungicidal residues, and proliferation of resistance in the pathogen populations. The ultimate aim of recent research in this area has been the development and evaluation of various alternative control strategies to reduce dependency on synthetic fungicides. Several non-chemical treatments have been proposed for fungal decay control. Although these approaches have been shown to reduce postharvest rots of fruit and vegetables, each has limitations that can affect their commercial applicability. When used as stand-alone treatments, none of the non-chemical control methods has been clearly shown to offer a consistently economic level of disease control that warrants acceptance as an alternative to synthetic fungicides. Recently, the exploitation of natural products to control decay and prolong storage life of perishables has received more and more attention. Biologically active natural products have the potential to replace synthetic fungicides. This review deals with exploitation of some natural products such as flavour compounds, acetic acid, jasmonates, glucosinolates, propolis, fusapyrone and deoxyfusapyrone, chitosan, essential oils and plant extracts for the management of fungal rotting of fruit and vegetables, thereby prolonging shelf life. \u00a9 2003 Elsevier B.V. All rights reserved.", "author" : [ { "dropping-particle" : "", "family" : "Tripathi", "given" : "Pramila", "non-dropping-particle" : "", "parse-names" : false, "suffix" : "" }, { "dropping-particle" : "", "family" : "Dubey", "given" : "N. K.", "non-dropping-particle" : "", "parse-names" : false, "suffix" : "" } ], "container-title" : "Postharvest Biology and Technology", "id" : "ITEM-1", "issue" : "3", "issued" : { "date-parts" : [ [ "2004" ] ] }, "page" : "235-245", "title" : "Exploitation of natural products as an alternative strategy to control postharvest fungal rotting of fruit and vegetables", "type" : "article-journal", "volume" : "32" }, "uris" : [ "http://www.mendeley.com/documents/?uuid=47d21b37-3acc-4e94-aab2-81e8d18a3ff5" ] } ], "mendeley" : { "formattedCitation" : "&lt;sup&gt;8&lt;/sup&gt;", "plainTextFormattedCitation" : "8", "previouslyFormattedCitation" : "&lt;sup&gt;8&lt;/sup&gt;" }, "properties" : { "noteIndex" : 2 }, "schema" : "https://github.com/citation-style-language/schema/raw/master/csl-citation.json" }</w:instrText>
      </w:r>
      <w:r w:rsidR="00AB545D" w:rsidRPr="00551F38">
        <w:rPr>
          <w:lang w:val="en-US"/>
        </w:rPr>
        <w:fldChar w:fldCharType="separate"/>
      </w:r>
      <w:r w:rsidR="00A441C3" w:rsidRPr="00551F38">
        <w:rPr>
          <w:vertAlign w:val="superscript"/>
          <w:lang w:val="en-US"/>
        </w:rPr>
        <w:t>8</w:t>
      </w:r>
      <w:r w:rsidR="00AB545D" w:rsidRPr="00551F38">
        <w:rPr>
          <w:lang w:val="en-US"/>
        </w:rPr>
        <w:fldChar w:fldCharType="end"/>
      </w:r>
      <w:r w:rsidRPr="00551F38">
        <w:rPr>
          <w:lang w:val="en-US"/>
        </w:rPr>
        <w:t xml:space="preserve">. For instance, plants which have developed natural fungicides to fight phytopathogens are a novel resource </w:t>
      </w:r>
      <w:r w:rsidR="00F40B24" w:rsidRPr="00551F38">
        <w:rPr>
          <w:lang w:val="en-US"/>
        </w:rPr>
        <w:t>in exploring the</w:t>
      </w:r>
      <w:r w:rsidRPr="00551F38">
        <w:rPr>
          <w:lang w:val="en-US"/>
        </w:rPr>
        <w:t xml:space="preserve"> develop</w:t>
      </w:r>
      <w:r w:rsidR="00F40B24" w:rsidRPr="00551F38">
        <w:rPr>
          <w:lang w:val="en-US"/>
        </w:rPr>
        <w:t>ment of</w:t>
      </w:r>
      <w:r w:rsidRPr="00551F38">
        <w:rPr>
          <w:lang w:val="en-US"/>
        </w:rPr>
        <w:t xml:space="preserve"> new biocontrol products</w:t>
      </w:r>
      <w:r w:rsidR="00AB545D" w:rsidRPr="00551F38">
        <w:rPr>
          <w:lang w:val="en-US"/>
        </w:rPr>
        <w:fldChar w:fldCharType="begin" w:fldLock="1"/>
      </w:r>
      <w:r w:rsidR="00AB545D" w:rsidRPr="00551F38">
        <w:rPr>
          <w:lang w:val="en-US"/>
        </w:rPr>
        <w:instrText>ADDIN CSL_CITATION { "citationItems" : [ { "id" : "ITEM-1", "itemData" : { "DOI" : "10.1016/j.ijfoodmicro.2013.05.026", "ISSN" : "18793460", "abstract" : "Food decay by spoilage fungi causes considerable economic losses and constitutes a health risk for consumers due to the potential for fungi to produce mycotoxins. The indiscriminate use of synthetic antifungals has led to the development of resistant strains which has necessitated utilization of higher concentrations, with the consequent increase in toxic residues in food products. Numerous studies have demonstrated that plant extracts contain diverse bioactive components that can control mould growth. The metabolites produced by plants are a promising alternative because plants generate a wide variety of compounds, either as part of their development or in response to stress or pathogen attack. The aim of this article is to summarize the results from the literature on in vitro and in vivo experiments regarding the effects of plant-derived products for controlling fungal growth. Data from research work on the mode of action of these metabolites inside the fungal cell and the influence of abiotic external factors such as pH and temperature are also covered in the present review. Furthermore, an analysis on how the stress factor derived from the presence of plant extracts and essential oils affects secondary metabolism of the fungus, specifically mycotoxin synthesis, is developed. Finally, the effectiveness of using plant-derived compounds in combination with other natural antimicrobials and its application in food using novel technologies is discussed. \u00a9 2013 Elsevier B.V.", "author" : [ { "dropping-particle" : "", "family" : "Cruz Cabral", "given" : "Luc\u00eda", "non-dropping-particle" : "da", "parse-names" : false, "suffix" : "" }, { "dropping-particle" : "", "family" : "Fern\u00e1ndez Pinto", "given" : "Virginia", "non-dropping-particle" : "", "parse-names" : false, "suffix" : "" }, { "dropping-particle" : "", "family" : "Patriarca", "given" : "Andrea", "non-dropping-particle" : "", "parse-names" : false, "suffix" : "" } ], "container-title" : "International Journal of Food Microbiology", "id" : "ITEM-1", "issue" : "1", "issued" : { "date-parts" : [ [ "2013" ] ] }, "page" : "1-14", "publisher" : "Elsevier B.V.", "title" : "Application of plant derived compounds to control fungal spoilage and mycotoxin production in foods", "type" : "article-journal", "volume" : "166" }, "uris" : [ "http://www.mendeley.com/documents/?uuid=1d915dda-b1df-444b-adc0-6693a50c4ae9" ] } ], "mendeley" : { "formattedCitation" : "&lt;sup&gt;2&lt;/sup&gt;", "plainTextFormattedCitation" : "2", "previouslyFormattedCitation" : "&lt;sup&gt;2&lt;/sup&gt;" }, "properties" : { "noteIndex" : 2 }, "schema" : "https://github.com/citation-style-language/schema/raw/master/csl-citation.json" }</w:instrText>
      </w:r>
      <w:r w:rsidR="00AB545D" w:rsidRPr="00551F38">
        <w:rPr>
          <w:lang w:val="en-US"/>
        </w:rPr>
        <w:fldChar w:fldCharType="separate"/>
      </w:r>
      <w:r w:rsidR="00AB545D" w:rsidRPr="00551F38">
        <w:rPr>
          <w:vertAlign w:val="superscript"/>
          <w:lang w:val="en-US"/>
        </w:rPr>
        <w:t>2</w:t>
      </w:r>
      <w:r w:rsidR="00AB545D" w:rsidRPr="00551F38">
        <w:rPr>
          <w:lang w:val="en-US"/>
        </w:rPr>
        <w:fldChar w:fldCharType="end"/>
      </w:r>
      <w:r w:rsidRPr="00551F38">
        <w:rPr>
          <w:lang w:val="en-US"/>
        </w:rPr>
        <w:t xml:space="preserve">. Essential oils are flagship molecules </w:t>
      </w:r>
      <w:r w:rsidR="00F40B24" w:rsidRPr="00551F38">
        <w:rPr>
          <w:lang w:val="en-US"/>
        </w:rPr>
        <w:t>of this type</w:t>
      </w:r>
      <w:r w:rsidRPr="00551F38">
        <w:rPr>
          <w:lang w:val="en-US"/>
        </w:rPr>
        <w:t xml:space="preserve">. </w:t>
      </w:r>
      <w:r w:rsidR="00E81D7E" w:rsidRPr="00551F38">
        <w:rPr>
          <w:lang w:val="en-US"/>
        </w:rPr>
        <w:t xml:space="preserve">For example, </w:t>
      </w:r>
      <w:r w:rsidR="00E81D7E" w:rsidRPr="00551F38">
        <w:rPr>
          <w:i/>
          <w:iCs/>
          <w:lang w:val="en-US"/>
        </w:rPr>
        <w:t>Origanum</w:t>
      </w:r>
      <w:r w:rsidR="00E81D7E" w:rsidRPr="00551F38">
        <w:rPr>
          <w:lang w:val="en-US"/>
        </w:rPr>
        <w:t xml:space="preserve"> </w:t>
      </w:r>
      <w:r w:rsidR="00655B69" w:rsidRPr="00551F38">
        <w:rPr>
          <w:lang w:val="en-US"/>
        </w:rPr>
        <w:t xml:space="preserve">essential oil </w:t>
      </w:r>
      <w:r w:rsidR="00E81D7E" w:rsidRPr="00551F38">
        <w:rPr>
          <w:lang w:val="en-US"/>
        </w:rPr>
        <w:t>protect</w:t>
      </w:r>
      <w:r w:rsidR="0031385F" w:rsidRPr="00551F38">
        <w:rPr>
          <w:lang w:val="en-US"/>
        </w:rPr>
        <w:t>s</w:t>
      </w:r>
      <w:r w:rsidR="00E81D7E" w:rsidRPr="00551F38">
        <w:rPr>
          <w:lang w:val="en-US"/>
        </w:rPr>
        <w:t xml:space="preserve"> tomato plants</w:t>
      </w:r>
      <w:r w:rsidR="00655B69" w:rsidRPr="00551F38">
        <w:rPr>
          <w:lang w:val="en-US"/>
        </w:rPr>
        <w:t xml:space="preserve"> </w:t>
      </w:r>
      <w:r w:rsidR="000B5946" w:rsidRPr="00551F38">
        <w:rPr>
          <w:lang w:val="en-US"/>
        </w:rPr>
        <w:t>against gr</w:t>
      </w:r>
      <w:r w:rsidR="00F40B24" w:rsidRPr="00551F38">
        <w:rPr>
          <w:lang w:val="en-US"/>
        </w:rPr>
        <w:t>a</w:t>
      </w:r>
      <w:r w:rsidR="000B5946" w:rsidRPr="00551F38">
        <w:rPr>
          <w:lang w:val="en-US"/>
        </w:rPr>
        <w:t xml:space="preserve">y mold </w:t>
      </w:r>
      <w:r w:rsidR="0031385F" w:rsidRPr="00551F38">
        <w:rPr>
          <w:lang w:val="en-US"/>
        </w:rPr>
        <w:t>in</w:t>
      </w:r>
      <w:r w:rsidR="00655B69" w:rsidRPr="00551F38">
        <w:rPr>
          <w:lang w:val="en-US"/>
        </w:rPr>
        <w:t xml:space="preserve"> greenhouse</w:t>
      </w:r>
      <w:r w:rsidR="0031385F" w:rsidRPr="00551F38">
        <w:rPr>
          <w:lang w:val="en-US"/>
        </w:rPr>
        <w:t>s</w:t>
      </w:r>
      <w:r w:rsidR="00655B69" w:rsidRPr="00551F38">
        <w:rPr>
          <w:lang w:val="en-US"/>
        </w:rPr>
        <w:t xml:space="preserve"> </w:t>
      </w:r>
      <w:r w:rsidR="00655B69" w:rsidRPr="00551F38">
        <w:rPr>
          <w:lang w:val="en-US"/>
        </w:rPr>
        <w:fldChar w:fldCharType="begin" w:fldLock="1"/>
      </w:r>
      <w:r w:rsidR="00A441C3" w:rsidRPr="00551F38">
        <w:rPr>
          <w:lang w:val="en-US"/>
        </w:rPr>
        <w:instrText>ADDIN CSL_CITATION { "citationItems" : [ { "id" : "ITEM-1", "itemData" : { "DOI" : "10.1016/j.ijfoodmicro.2010.08.015", "ISSN" : "01681605", "abstract" : "The aim of this study was to find an alternative to synthetic fungicides currently used in the control of devastating fungal pathogen Botrytis cinerea, the causal agent of grey mould disease of tomato. Antifungal activities of essential oils obtained from aerial parts of aromatic plants, which belong to the Lamiacea family such as origanum (Origanum syriacum L. var. bevanii), lavender (Lavandula stoechas L. var. stoechas) and rosemary (Rosmarinus officinalis L.), were investigated against B. cinerea. Contact and volatile phase effects of different concentrations of the essential oils were found to inhibit the growth of B. cinerea in a dose-dependent manner. Volatile phase effects of essential oils were consistently found to be more effective on fungal growth than contact phase effect. A volatile vapour of origanum oil at 0.2\u03bcg/ml air was found to completely inhibit the growth of B. cinerea. Complete growth inhibition of pathogen by essential oil of lavender and rosemary was, however, observed at 1.6\u03bcg/ml air concentrations. For the determination of the contact phase effects of the tested essential oils, origanum oil at 12.8\u03bcg/ml was found to inhibit the growth of B. cinerea completely. Essential oils of rosemary and lavender were inhibitory at relatively higher concentrations (25.6\u03bcg/ml). Spore germination and germ tube elongation were also inhibited by the essential oils tested. Light and scanning electron microscopic (SEM) observations revealed that the essential oils cause considerable morphological degenerations of the fungal hyphae such as cytoplasmic coagulation, vacuolations, hyphal shrivelling and protoplast leakage and loss of conidiation. In vivo assays with the origanum essential oil, being the most efficient essential oil, under greenhouse conditions using susceptible tomato plants resulted in good protection against grey mould severity especially as a curative treatment. This study has demonstrated that the essential oils are potential and promising antifungal agents which could be used as biofungicide in the protection of tomato against B. cinerea. \u00a9 2010 Elsevier B.V.", "author" : [ { "dropping-particle" : "", "family" : "Soylu", "given" : "Emine Mine", "non-dropping-particle" : "", "parse-names" : false, "suffix" : "" }, { "dropping-particle" : "", "family" : "Kurt", "given" : "\u015eener", "non-dropping-particle" : "", "parse-names" : false, "suffix" : "" }, { "dropping-particle" : "", "family" : "Soylu", "given" : "Soner", "non-dropping-particle" : "", "parse-names" : false, "suffix" : "" } ], "container-title" : "International Journal of Food Microbiology", "id" : "ITEM-1", "issue" : "3", "issued" : { "date-parts" : [ [ "2010" ] ] }, "page" : "183-189", "title" : "In vitro and in vivo antifungal activities of the essential oils of various plants against tomato grey mould disease agent Botrytis cinerea", "type" : "article-journal", "volume" : "143" }, "uris" : [ "http://www.mendeley.com/documents/?uuid=f7cc1d48-0438-4a86-be54-d90e08fbfdae" ] } ], "mendeley" : { "formattedCitation" : "&lt;sup&gt;10&lt;/sup&gt;", "plainTextFormattedCitation" : "10", "previouslyFormattedCitation" : "&lt;sup&gt;10&lt;/sup&gt;" }, "properties" : { "noteIndex" : 2 }, "schema" : "https://github.com/citation-style-language/schema/raw/master/csl-citation.json" }</w:instrText>
      </w:r>
      <w:r w:rsidR="00655B69" w:rsidRPr="00551F38">
        <w:rPr>
          <w:lang w:val="en-US"/>
        </w:rPr>
        <w:fldChar w:fldCharType="separate"/>
      </w:r>
      <w:r w:rsidR="00A441C3" w:rsidRPr="00551F38">
        <w:rPr>
          <w:vertAlign w:val="superscript"/>
          <w:lang w:val="en-US"/>
        </w:rPr>
        <w:t>10</w:t>
      </w:r>
      <w:r w:rsidR="00655B69" w:rsidRPr="00551F38">
        <w:rPr>
          <w:lang w:val="en-US"/>
        </w:rPr>
        <w:fldChar w:fldCharType="end"/>
      </w:r>
      <w:r w:rsidR="00655B69" w:rsidRPr="00551F38">
        <w:rPr>
          <w:lang w:val="en-US"/>
        </w:rPr>
        <w:t xml:space="preserve"> and </w:t>
      </w:r>
      <w:r w:rsidR="00655B69" w:rsidRPr="00551F38">
        <w:rPr>
          <w:i/>
          <w:iCs/>
          <w:lang w:val="en-US"/>
        </w:rPr>
        <w:t>Solidago canadensis</w:t>
      </w:r>
      <w:r w:rsidR="00655B69" w:rsidRPr="00551F38">
        <w:rPr>
          <w:lang w:val="en-US"/>
        </w:rPr>
        <w:t xml:space="preserve"> L.</w:t>
      </w:r>
      <w:r w:rsidR="000B5946" w:rsidRPr="00551F38">
        <w:rPr>
          <w:lang w:val="en-US"/>
        </w:rPr>
        <w:t xml:space="preserve"> </w:t>
      </w:r>
      <w:r w:rsidR="00A441C3" w:rsidRPr="00551F38">
        <w:rPr>
          <w:lang w:val="en-US"/>
        </w:rPr>
        <w:t>and</w:t>
      </w:r>
      <w:r w:rsidR="000B5946" w:rsidRPr="00551F38">
        <w:rPr>
          <w:lang w:val="en-US"/>
        </w:rPr>
        <w:t xml:space="preserve"> cassia </w:t>
      </w:r>
      <w:r w:rsidR="00A441C3" w:rsidRPr="00551F38">
        <w:rPr>
          <w:lang w:val="en-US"/>
        </w:rPr>
        <w:t xml:space="preserve">essential </w:t>
      </w:r>
      <w:r w:rsidR="000B5946" w:rsidRPr="00551F38">
        <w:rPr>
          <w:lang w:val="en-US"/>
        </w:rPr>
        <w:t>oil</w:t>
      </w:r>
      <w:r w:rsidR="00A441C3" w:rsidRPr="00551F38">
        <w:rPr>
          <w:lang w:val="en-US"/>
        </w:rPr>
        <w:t>s</w:t>
      </w:r>
      <w:r w:rsidR="00655B69" w:rsidRPr="00551F38">
        <w:rPr>
          <w:lang w:val="en-US"/>
        </w:rPr>
        <w:t xml:space="preserve"> ha</w:t>
      </w:r>
      <w:r w:rsidR="000B5946" w:rsidRPr="00551F38">
        <w:rPr>
          <w:lang w:val="en-US"/>
        </w:rPr>
        <w:t>ve</w:t>
      </w:r>
      <w:r w:rsidR="00655B69" w:rsidRPr="00551F38">
        <w:rPr>
          <w:lang w:val="en-US"/>
        </w:rPr>
        <w:t xml:space="preserve"> </w:t>
      </w:r>
      <w:r w:rsidR="0031385F" w:rsidRPr="00551F38">
        <w:rPr>
          <w:lang w:val="en-US"/>
        </w:rPr>
        <w:t xml:space="preserve">been </w:t>
      </w:r>
      <w:r w:rsidR="00655B69" w:rsidRPr="00551F38">
        <w:rPr>
          <w:lang w:val="en-US"/>
        </w:rPr>
        <w:t>shown to preserve post-harvested strawberries from gr</w:t>
      </w:r>
      <w:r w:rsidR="00F40B24" w:rsidRPr="00551F38">
        <w:rPr>
          <w:lang w:val="en-US"/>
        </w:rPr>
        <w:t>a</w:t>
      </w:r>
      <w:r w:rsidR="00655B69" w:rsidRPr="00551F38">
        <w:rPr>
          <w:lang w:val="en-US"/>
        </w:rPr>
        <w:t>y mold damage</w:t>
      </w:r>
      <w:r w:rsidR="00E26078" w:rsidRPr="00551F38">
        <w:rPr>
          <w:lang w:val="en-US"/>
        </w:rPr>
        <w:fldChar w:fldCharType="begin" w:fldLock="1"/>
      </w:r>
      <w:r w:rsidR="00E26078" w:rsidRPr="00551F38">
        <w:rPr>
          <w:lang w:val="en-US"/>
        </w:rPr>
        <w:instrText>ADDIN CSL_CITATION { "citationItems" : [ { "id" : "ITEM-1", "itemData" : { "DOI" : "10.3389/fmicb.2016.01179", "ISSN" : "1664302X", "abstract" : "This study investigated the anti-fungal properties of Solidago canadensis L. essential oil (SCLEO) against Botrytis cinerea in vitro, and its ability to control gray mold and maintain quality in strawberry fruits. SCLEO exhibited dose-dependent antifungal activity against B. cinerea and profoundly altered mycelial morphology, cellular ultrastructure, and membrane permeability as evaluated by scanning electron microscopy, transmission electron microscopy, and fluorescence microscopy. SCLEO vapor at 0.1 mL/L maintained higher sensory acceptance and reduced decay of fresh strawberry fruit, and also reduced gray mold in artificially inoculated fruit. SCLEO treatment did not, however, stimulate phenylalanin ammonia-lyase, polyphenol oxidase, or chitinase, enzymes related to disease resistance. This suggests that SCLEO reduces gray mold by direct inhibition of pathogen growth. SCLEO vapor may provide a new and effective strategy for controlling postharvest disease and maintaining quality in strawberries.", "author" : [ { "dropping-particle" : "", "family" : "Liu", "given" : "Shumin", "non-dropping-particle" : "", "parse-names" : false, "suffix" : "" }, { "dropping-particle" : "", "family" : "Shao", "given" : "Xingfeng", "non-dropping-particle" : "", "parse-names" : false, "suffix" : "" }, { "dropping-particle" : "", "family" : "Wei", "given" : "Yanzhen", "non-dropping-particle" : "", "parse-names" : false, "suffix" : "" }, { "dropping-particle" : "", "family" : "Li", "given" : "Yonghua", "non-dropping-particle" : "", "parse-names" : false, "suffix" : "" }, { "dropping-particle" : "", "family" : "Xu", "given" : "Feng", "non-dropping-particle" : "", "parse-names" : false, "suffix" : "" }, { "dropping-particle" : "", "family" : "Wang", "given" : "Hongfei", "non-dropping-particle" : "", "parse-names" : false, "suffix" : "" } ], "container-title" : "Frontiers in Microbiology", "id" : "ITEM-1", "issue" : "AUG", "issued" : { "date-parts" : [ [ "2016" ] ] }, "page" : "0-9", "title" : "Solidago canadensis L. essential oil vapor effectively inhibits botrytis cinerea growth and preserves postharvest quality of strawberry as a food model system", "type" : "article-journal", "volume" : "7" }, "uris" : [ "http://www.mendeley.com/documents/?uuid=9dfc23f9-033e-4203-b45d-c2ed33a1b04d" ] }, { "id" : "ITEM-2", "itemData" : { "DOI" : "10.1016/j.foodcont.2012.04.036", "ISSN" : "09567135", "abstract" : "The inhibitory effects of cassia oil on the human pathogen . Escherichia coli serotype O157:H7 and the plant pathogen . Botrytis cinerea were tested . in vitro at different concentrations (200-800 ppm). Cassia oil exhibited antibacterial and antifungal activity against both pathogens. Cassia oil at 400-800 ppm inhibited the growth of . E. coli O157:H7 . in vitro and on the surface of treated strawberries. Cassia oil also completely inhibited the growth of . B. cinerea at 400-800 ppm. Spore germination and germ tube elongation of the pathogens in potato dextrose broth were strongly inhibited in the presence of 100 ppm cassia oil. Cassia oil at all concentrations reduced the percentage of decayed strawberries. Experiments on reducing the development of natural decay in strawberries gave similar results. None of the quality parameters tested (colour, total soluble solids, pH, total acidity and ascorbic acid) was affected by cassia oil treatment. Storage experiments on strawberry showed that the percentage weight loss was reduced by cassia oil treatment. Hence, cassia oil could be an alternative to synthetic chemicals for controlling human and plant pathogens on fruits such as strawberries during postharvest and storage. \u00a9 2012 Elsevier Ltd.", "author" : [ { "dropping-particle" : "", "family" : "El-Mogy", "given" : "Mohamed M.", "non-dropping-particle" : "", "parse-names" : false, "suffix" : "" }, { "dropping-particle" : "", "family" : "Alsanius", "given" : "Beatrix W.", "non-dropping-particle" : "", "parse-names" : false, "suffix" : "" } ], "container-title" : "Food Control", "id" : "ITEM-2", "issue" : "1", "issued" : { "date-parts" : [ [ "2012" ] ] }, "page" : "157-162", "publisher" : "Elsevier Ltd", "title" : "Cassia oil for controlling plant and human pathogens on fresh strawberries", "type" : "article-journal", "volume" : "28" }, "uris" : [ "http://www.mendeley.com/documents/?uuid=a0de6d8f-23b0-4c6d-83be-da65697ac3b5" ] } ], "mendeley" : { "formattedCitation" : "&lt;sup&gt;11, 12&lt;/sup&gt;", "plainTextFormattedCitation" : "11, 12", "previouslyFormattedCitation" : "&lt;sup&gt;11, 12&lt;/sup&gt;" }, "properties" : { "noteIndex" : 2 }, "schema" : "https://github.com/citation-style-language/schema/raw/master/csl-citation.json" }</w:instrText>
      </w:r>
      <w:r w:rsidR="00E26078" w:rsidRPr="00551F38">
        <w:rPr>
          <w:lang w:val="en-US"/>
        </w:rPr>
        <w:fldChar w:fldCharType="separate"/>
      </w:r>
      <w:r w:rsidR="00E26078" w:rsidRPr="00551F38">
        <w:rPr>
          <w:vertAlign w:val="superscript"/>
          <w:lang w:val="en-US"/>
        </w:rPr>
        <w:t>11,</w:t>
      </w:r>
      <w:r w:rsidR="00760580" w:rsidRPr="00551F38">
        <w:rPr>
          <w:vertAlign w:val="superscript"/>
          <w:lang w:val="en-US"/>
        </w:rPr>
        <w:t xml:space="preserve"> </w:t>
      </w:r>
      <w:r w:rsidR="00E26078" w:rsidRPr="00551F38">
        <w:rPr>
          <w:vertAlign w:val="superscript"/>
          <w:lang w:val="en-US"/>
        </w:rPr>
        <w:t>12</w:t>
      </w:r>
      <w:r w:rsidR="00E26078" w:rsidRPr="00551F38">
        <w:rPr>
          <w:lang w:val="en-US"/>
        </w:rPr>
        <w:fldChar w:fldCharType="end"/>
      </w:r>
      <w:r w:rsidR="00655B69" w:rsidRPr="00551F38">
        <w:rPr>
          <w:lang w:val="en-US"/>
        </w:rPr>
        <w:t xml:space="preserve">. </w:t>
      </w:r>
      <w:r w:rsidR="00A441C3" w:rsidRPr="00551F38">
        <w:rPr>
          <w:lang w:val="en-US"/>
        </w:rPr>
        <w:t xml:space="preserve">These examples illustrate that biocontrol and notably plant-derived products represent a solution that combines biological efficacy and environmental sustainability. </w:t>
      </w:r>
    </w:p>
    <w:p w14:paraId="3C7393DD" w14:textId="77777777" w:rsidR="00C579FF" w:rsidRPr="00551F38" w:rsidRDefault="00C579FF" w:rsidP="00C579FF">
      <w:pPr>
        <w:pStyle w:val="Default"/>
        <w:jc w:val="both"/>
        <w:rPr>
          <w:lang w:val="en-US"/>
        </w:rPr>
      </w:pPr>
    </w:p>
    <w:p w14:paraId="60132725" w14:textId="0349ACB7" w:rsidR="00645317" w:rsidRPr="00551F38" w:rsidRDefault="00E07414" w:rsidP="00C579FF">
      <w:pPr>
        <w:pStyle w:val="Default"/>
        <w:jc w:val="both"/>
        <w:rPr>
          <w:lang w:val="en-US"/>
        </w:rPr>
      </w:pPr>
      <w:r w:rsidRPr="00551F38">
        <w:rPr>
          <w:lang w:val="en-US"/>
        </w:rPr>
        <w:t>Thus,</w:t>
      </w:r>
      <w:r w:rsidR="00CD5328" w:rsidRPr="00551F38">
        <w:rPr>
          <w:lang w:val="en-US"/>
        </w:rPr>
        <w:t xml:space="preserve"> p</w:t>
      </w:r>
      <w:r w:rsidR="0031385F" w:rsidRPr="00551F38">
        <w:rPr>
          <w:lang w:val="en-US"/>
        </w:rPr>
        <w:t xml:space="preserve">lants </w:t>
      </w:r>
      <w:r w:rsidR="00600903" w:rsidRPr="00551F38">
        <w:rPr>
          <w:lang w:val="en-US"/>
        </w:rPr>
        <w:t>are</w:t>
      </w:r>
      <w:r w:rsidR="00CD5328" w:rsidRPr="00551F38">
        <w:rPr>
          <w:lang w:val="en-US"/>
        </w:rPr>
        <w:t xml:space="preserve"> </w:t>
      </w:r>
      <w:r w:rsidR="0031385F" w:rsidRPr="00551F38">
        <w:rPr>
          <w:lang w:val="en-US"/>
        </w:rPr>
        <w:t xml:space="preserve">an important </w:t>
      </w:r>
      <w:r w:rsidR="00273A42" w:rsidRPr="00551F38">
        <w:rPr>
          <w:lang w:val="en-US"/>
        </w:rPr>
        <w:t xml:space="preserve">resource </w:t>
      </w:r>
      <w:r w:rsidR="0031385F" w:rsidRPr="00551F38">
        <w:rPr>
          <w:lang w:val="en-US"/>
        </w:rPr>
        <w:t>of molecules of potential interest for the crop</w:t>
      </w:r>
      <w:r w:rsidR="00600903" w:rsidRPr="00551F38">
        <w:rPr>
          <w:lang w:val="en-US"/>
        </w:rPr>
        <w:t>-protection</w:t>
      </w:r>
      <w:r w:rsidR="0031385F" w:rsidRPr="00551F38">
        <w:rPr>
          <w:lang w:val="en-US"/>
        </w:rPr>
        <w:t xml:space="preserve"> industry. However only a handful of plant products have been proposed to be used as biocontrol products even</w:t>
      </w:r>
      <w:r w:rsidR="005516D1" w:rsidRPr="00551F38">
        <w:rPr>
          <w:lang w:val="en-US"/>
        </w:rPr>
        <w:t xml:space="preserve"> </w:t>
      </w:r>
      <w:r w:rsidR="0031385F" w:rsidRPr="00551F38">
        <w:rPr>
          <w:lang w:val="en-US"/>
        </w:rPr>
        <w:t xml:space="preserve">though they are generally </w:t>
      </w:r>
      <w:r w:rsidR="00A01525" w:rsidRPr="00551F38">
        <w:rPr>
          <w:lang w:val="en-US"/>
        </w:rPr>
        <w:t>recognized</w:t>
      </w:r>
      <w:r w:rsidR="0031385F" w:rsidRPr="00551F38">
        <w:rPr>
          <w:lang w:val="en-US"/>
        </w:rPr>
        <w:t xml:space="preserve"> as safe, non-phytotoxic and eco-friendly</w:t>
      </w:r>
      <w:r w:rsidR="0031385F" w:rsidRPr="00551F38">
        <w:rPr>
          <w:lang w:val="en-US"/>
        </w:rPr>
        <w:fldChar w:fldCharType="begin" w:fldLock="1"/>
      </w:r>
      <w:r w:rsidR="0031385F" w:rsidRPr="00551F38">
        <w:rPr>
          <w:lang w:val="en-US"/>
        </w:rPr>
        <w:instrText>ADDIN CSL_CITATION { "citationItems" : [ { "id" : "ITEM-1", "itemData" : { "DOI" : "10.1016/j.ijfoodmicro.2013.05.026", "ISSN" : "18793460", "abstract" : "Food decay by spoilage fungi causes considerable economic losses and constitutes a health risk for consumers due to the potential for fungi to produce mycotoxins. The indiscriminate use of synthetic antifungals has led to the development of resistant strains which has necessitated utilization of higher concentrations, with the consequent increase in toxic residues in food products. Numerous studies have demonstrated that plant extracts contain diverse bioactive components that can control mould growth. The metabolites produced by plants are a promising alternative because plants generate a wide variety of compounds, either as part of their development or in response to stress or pathogen attack. The aim of this article is to summarize the results from the literature on in vitro and in vivo experiments regarding the effects of plant-derived products for controlling fungal growth. Data from research work on the mode of action of these metabolites inside the fungal cell and the influence of abiotic external factors such as pH and temperature are also covered in the present review. Furthermore, an analysis on how the stress factor derived from the presence of plant extracts and essential oils affects secondary metabolism of the fungus, specifically mycotoxin synthesis, is developed. Finally, the effectiveness of using plant-derived compounds in combination with other natural antimicrobials and its application in food using novel technologies is discussed. \u00a9 2013 Elsevier B.V.", "author" : [ { "dropping-particle" : "", "family" : "Cruz Cabral", "given" : "Luc\u00eda", "non-dropping-particle" : "da", "parse-names" : false, "suffix" : "" }, { "dropping-particle" : "", "family" : "Fern\u00e1ndez Pinto", "given" : "Virginia", "non-dropping-particle" : "", "parse-names" : false, "suffix" : "" }, { "dropping-particle" : "", "family" : "Patriarca", "given" : "Andrea", "non-dropping-particle" : "", "parse-names" : false, "suffix" : "" } ], "container-title" : "International Journal of Food Microbiology", "id" : "ITEM-1", "issue" : "1", "issued" : { "date-parts" : [ [ "2013" ] ] }, "page" : "1-14", "publisher" : "Elsevier B.V.", "title" : "Application of plant derived compounds to control fungal spoilage and mycotoxin production in foods", "type" : "article-journal", "volume" : "166" }, "uris" : [ "http://www.mendeley.com/documents/?uuid=1d915dda-b1df-444b-adc0-6693a50c4ae9" ] } ], "mendeley" : { "formattedCitation" : "&lt;sup&gt;2&lt;/sup&gt;", "plainTextFormattedCitation" : "2", "previouslyFormattedCitation" : "&lt;sup&gt;2&lt;/sup&gt;" }, "properties" : { "noteIndex" : 2 }, "schema" : "https://github.com/citation-style-language/schema/raw/master/csl-citation.json" }</w:instrText>
      </w:r>
      <w:r w:rsidR="0031385F" w:rsidRPr="00551F38">
        <w:rPr>
          <w:lang w:val="en-US"/>
        </w:rPr>
        <w:fldChar w:fldCharType="separate"/>
      </w:r>
      <w:r w:rsidR="0031385F" w:rsidRPr="00551F38">
        <w:rPr>
          <w:vertAlign w:val="superscript"/>
          <w:lang w:val="en-US"/>
        </w:rPr>
        <w:t>2</w:t>
      </w:r>
      <w:r w:rsidR="0031385F" w:rsidRPr="00551F38">
        <w:rPr>
          <w:lang w:val="en-US"/>
        </w:rPr>
        <w:fldChar w:fldCharType="end"/>
      </w:r>
      <w:r w:rsidR="0031385F" w:rsidRPr="00551F38">
        <w:rPr>
          <w:lang w:val="en-US"/>
        </w:rPr>
        <w:t>. S</w:t>
      </w:r>
      <w:r w:rsidR="00DC4DE6" w:rsidRPr="00551F38">
        <w:rPr>
          <w:lang w:val="en-US"/>
        </w:rPr>
        <w:t>ome difficulties in the transposition from the lab to the field have been observed</w:t>
      </w:r>
      <w:r w:rsidR="002204EB" w:rsidRPr="00551F38">
        <w:rPr>
          <w:lang w:val="en-US"/>
        </w:rPr>
        <w:t>,</w:t>
      </w:r>
      <w:r w:rsidR="00DC4DE6" w:rsidRPr="00551F38">
        <w:rPr>
          <w:lang w:val="en-US"/>
        </w:rPr>
        <w:t xml:space="preserve"> </w:t>
      </w:r>
      <w:r w:rsidR="002204EB" w:rsidRPr="00551F38">
        <w:rPr>
          <w:lang w:val="en-US"/>
        </w:rPr>
        <w:t xml:space="preserve">such as </w:t>
      </w:r>
      <w:r w:rsidR="00DC4DE6" w:rsidRPr="00551F38">
        <w:rPr>
          <w:lang w:val="en-US"/>
        </w:rPr>
        <w:t xml:space="preserve">efficacy </w:t>
      </w:r>
      <w:r w:rsidR="002204EB" w:rsidRPr="00551F38">
        <w:rPr>
          <w:lang w:val="en-US"/>
        </w:rPr>
        <w:t xml:space="preserve">decreasing </w:t>
      </w:r>
      <w:r w:rsidR="00DC4DE6" w:rsidRPr="00551F38">
        <w:rPr>
          <w:lang w:val="en-US"/>
        </w:rPr>
        <w:t>once applied in vivo</w:t>
      </w:r>
      <w:r w:rsidR="00862A7A" w:rsidRPr="00551F38">
        <w:rPr>
          <w:lang w:val="en-US"/>
        </w:rPr>
        <w:fldChar w:fldCharType="begin" w:fldLock="1"/>
      </w:r>
      <w:r w:rsidR="00862A7A" w:rsidRPr="00551F38">
        <w:rPr>
          <w:lang w:val="en-US"/>
        </w:rPr>
        <w:instrText>ADDIN CSL_CITATION { "citationItems" : [ { "id" : "ITEM-1", "itemData" : { "DOI" : "10.1016/j.ijfoodmicro.2013.05.026", "ISSN" : "18793460", "abstract" : "Food decay by spoilage fungi causes considerable economic losses and constitutes a health risk for consumers due to the potential for fungi to produce mycotoxins. The indiscriminate use of synthetic antifungals has led to the development of resistant strains which has necessitated utilization of higher concentrations, with the consequent increase in toxic residues in food products. Numerous studies have demonstrated that plant extracts contain diverse bioactive components that can control mould growth. The metabolites produced by plants are a promising alternative because plants generate a wide variety of compounds, either as part of their development or in response to stress or pathogen attack. The aim of this article is to summarize the results from the literature on in vitro and in vivo experiments regarding the effects of plant-derived products for controlling fungal growth. Data from research work on the mode of action of these metabolites inside the fungal cell and the influence of abiotic external factors such as pH and temperature are also covered in the present review. Furthermore, an analysis on how the stress factor derived from the presence of plant extracts and essential oils affects secondary metabolism of the fungus, specifically mycotoxin synthesis, is developed. Finally, the effectiveness of using plant-derived compounds in combination with other natural antimicrobials and its application in food using novel technologies is discussed. \u00a9 2013 Elsevier B.V.", "author" : [ { "dropping-particle" : "", "family" : "Cruz Cabral", "given" : "Luc\u00eda", "non-dropping-particle" : "da", "parse-names" : false, "suffix" : "" }, { "dropping-particle" : "", "family" : "Fern\u00e1ndez Pinto", "given" : "Virginia", "non-dropping-particle" : "", "parse-names" : false, "suffix" : "" }, { "dropping-particle" : "", "family" : "Patriarca", "given" : "Andrea", "non-dropping-particle" : "", "parse-names" : false, "suffix" : "" } ], "container-title" : "International Journal of Food Microbiology", "id" : "ITEM-1", "issue" : "1", "issued" : { "date-parts" : [ [ "2013" ] ] }, "page" : "1-14", "publisher" : "Elsevier B.V.", "title" : "Application of plant derived compounds to control fungal spoilage and mycotoxin production in foods", "type" : "article-journal", "volume" : "166" }, "uris" : [ "http://www.mendeley.com/documents/?uuid=1d915dda-b1df-444b-adc0-6693a50c4ae9" ] }, { "id" : "ITEM-2", "itemData" : { "DOI" : "10.1080/09583157.2018.1548574", "ISSN" : "13600478", "abstract" : "Botrytis cinerea is one of the most destructive pathogens of ve\u2060getables and fruits both in the field and storage. There have been several research activities focused on developing biocontrol strategies for the pathogen due to its resistance to the commonly used synthetic fungicides. Additionally, concerns have been raised over residual effect of current synthetic fungicides used for its control. Most of these research activities have focused on Trichoderma spp., Ulocladium spp., Bacillus subtilis, plant extracts and their essential oils with some commercial products available on the market for the control of B.\u00a0cinerea disease. This review summarises some of the current published information on the use of biocontrol agents and plant-based compounds for B.\u00a0cinerea control. Some limitations and future prospects were also mentioned.", "author" : [ { "dropping-particle" : "", "family" : "Abbey", "given" : "Joel A.", "non-dropping-particle" : "", "parse-names" : false, "suffix" : "" }, { "dropping-particle" : "", "family" : "Percival", "given" : "David", "non-dropping-particle" : "", "parse-names" : false, "suffix" : "" }, { "dropping-particle" : "", "family" : "Abbey", "given" : "Lord", "non-dropping-particle" : "", "parse-names" : false, "suffix" : "" }, { "dropping-particle" : "", "family" : "Asiedu", "given" : "Samuel K.", "non-dropping-particle" : "", "parse-names" : false, "suffix" : "" }, { "dropping-particle" : "", "family" : "Prithiviraj", "given" : "Balakrishnan", "non-dropping-particle" : "", "parse-names" : false, "suffix" : "" }, { "dropping-particle" : "", "family" : "Schilder", "given" : "Annemiek", "non-dropping-particle" : "", "parse-names" : false, "suffix" : "" } ], "container-title" : "Biocontrol Science and Technology", "id" : "ITEM-2", "issue" : "3", "issued" : { "date-parts" : [ [ "2019" ] ] }, "page" : "241-262", "publisher" : "Taylor &amp; Francis", "title" : "Biofungicides as alternative to synthetic fungicide control of grey mould (Botrytis cinerea)\u2013prospects and challenges", "type" : "article-journal", "volume" : "29" }, "uris" : [ "http://www.mendeley.com/documents/?uuid=e69c9a06-d56f-4be0-b7e5-65a6cd96bbfe" ] } ], "mendeley" : { "formattedCitation" : "&lt;sup&gt;2, 9&lt;/sup&gt;", "plainTextFormattedCitation" : "2, 9", "previouslyFormattedCitation" : "&lt;sup&gt;2, 9&lt;/sup&gt;" }, "properties" : { "noteIndex" : 2 }, "schema" : "https://github.com/citation-style-language/schema/raw/master/csl-citation.json" }</w:instrText>
      </w:r>
      <w:r w:rsidR="00862A7A" w:rsidRPr="00551F38">
        <w:rPr>
          <w:lang w:val="en-US"/>
        </w:rPr>
        <w:fldChar w:fldCharType="separate"/>
      </w:r>
      <w:r w:rsidR="00862A7A" w:rsidRPr="00551F38">
        <w:rPr>
          <w:vertAlign w:val="superscript"/>
          <w:lang w:val="en-US"/>
        </w:rPr>
        <w:t>2, 9</w:t>
      </w:r>
      <w:r w:rsidR="00862A7A" w:rsidRPr="00551F38">
        <w:rPr>
          <w:lang w:val="en-US"/>
        </w:rPr>
        <w:fldChar w:fldCharType="end"/>
      </w:r>
      <w:r w:rsidR="00DC4DE6" w:rsidRPr="00551F38">
        <w:rPr>
          <w:lang w:val="en-US"/>
        </w:rPr>
        <w:t xml:space="preserve">. </w:t>
      </w:r>
      <w:r w:rsidRPr="00551F38">
        <w:rPr>
          <w:lang w:val="en-US"/>
        </w:rPr>
        <w:t>Thus,</w:t>
      </w:r>
      <w:r w:rsidR="002204EB" w:rsidRPr="00551F38">
        <w:rPr>
          <w:lang w:val="en-US"/>
        </w:rPr>
        <w:t xml:space="preserve"> i</w:t>
      </w:r>
      <w:r w:rsidR="00DC4DE6" w:rsidRPr="00551F38">
        <w:rPr>
          <w:lang w:val="en-US"/>
        </w:rPr>
        <w:t xml:space="preserve">t </w:t>
      </w:r>
      <w:r w:rsidR="002204EB" w:rsidRPr="00551F38">
        <w:rPr>
          <w:lang w:val="en-US"/>
        </w:rPr>
        <w:t xml:space="preserve">becomes </w:t>
      </w:r>
      <w:r w:rsidR="00DC4DE6" w:rsidRPr="00551F38">
        <w:rPr>
          <w:lang w:val="en-US"/>
        </w:rPr>
        <w:t>importan</w:t>
      </w:r>
      <w:r w:rsidR="002204EB" w:rsidRPr="00551F38">
        <w:rPr>
          <w:lang w:val="en-US"/>
        </w:rPr>
        <w:t>t</w:t>
      </w:r>
      <w:r w:rsidR="00DC4DE6" w:rsidRPr="00551F38">
        <w:rPr>
          <w:lang w:val="en-US"/>
        </w:rPr>
        <w:t xml:space="preserve"> to improve the ability of lab tests to better predict field efficacy. In this context, antifungal testing methods </w:t>
      </w:r>
      <w:r w:rsidR="002204EB" w:rsidRPr="00551F38">
        <w:rPr>
          <w:lang w:val="en-US"/>
        </w:rPr>
        <w:t>f</w:t>
      </w:r>
      <w:r w:rsidR="00DC4DE6" w:rsidRPr="00551F38">
        <w:rPr>
          <w:lang w:val="en-US"/>
        </w:rPr>
        <w:t>o</w:t>
      </w:r>
      <w:r w:rsidR="002204EB" w:rsidRPr="00551F38">
        <w:rPr>
          <w:lang w:val="en-US"/>
        </w:rPr>
        <w:t>r</w:t>
      </w:r>
      <w:r w:rsidR="00DC4DE6" w:rsidRPr="00551F38">
        <w:rPr>
          <w:lang w:val="en-US"/>
        </w:rPr>
        <w:t xml:space="preserve"> plant-derived products are necessary both to evaluate their antifungal efficacy and to define the</w:t>
      </w:r>
      <w:r w:rsidR="00882121" w:rsidRPr="00551F38">
        <w:rPr>
          <w:lang w:val="en-US"/>
        </w:rPr>
        <w:t>ir</w:t>
      </w:r>
      <w:r w:rsidR="00DC4DE6" w:rsidRPr="00551F38">
        <w:rPr>
          <w:lang w:val="en-US"/>
        </w:rPr>
        <w:t xml:space="preserve"> optimal conditions for </w:t>
      </w:r>
      <w:r w:rsidR="00882121" w:rsidRPr="00551F38">
        <w:rPr>
          <w:lang w:val="en-US"/>
        </w:rPr>
        <w:t>use</w:t>
      </w:r>
      <w:r w:rsidR="0031385F" w:rsidRPr="00551F38">
        <w:rPr>
          <w:lang w:val="en-US"/>
        </w:rPr>
        <w:t>.</w:t>
      </w:r>
      <w:r w:rsidR="00561A29" w:rsidRPr="00551F38">
        <w:rPr>
          <w:lang w:val="en-US"/>
        </w:rPr>
        <w:t xml:space="preserve"> </w:t>
      </w:r>
      <w:r w:rsidR="00DC4DE6" w:rsidRPr="00551F38">
        <w:rPr>
          <w:lang w:val="en-US"/>
        </w:rPr>
        <w:t xml:space="preserve">Specifically, biocontrol products are generally less efficient than chemical fungicides, </w:t>
      </w:r>
      <w:r w:rsidR="00882121" w:rsidRPr="00551F38">
        <w:rPr>
          <w:lang w:val="en-US"/>
        </w:rPr>
        <w:t xml:space="preserve">so </w:t>
      </w:r>
      <w:r w:rsidR="00DC4DE6" w:rsidRPr="00551F38">
        <w:rPr>
          <w:lang w:val="en-US"/>
        </w:rPr>
        <w:t xml:space="preserve">a </w:t>
      </w:r>
      <w:r w:rsidR="00083AD3" w:rsidRPr="00551F38">
        <w:rPr>
          <w:lang w:val="en-US"/>
        </w:rPr>
        <w:t xml:space="preserve">better </w:t>
      </w:r>
      <w:r w:rsidR="00DC4DE6" w:rsidRPr="00551F38">
        <w:rPr>
          <w:lang w:val="en-US"/>
        </w:rPr>
        <w:t xml:space="preserve">understanding of their mode of action is important </w:t>
      </w:r>
      <w:r w:rsidR="00083AD3" w:rsidRPr="00551F38">
        <w:rPr>
          <w:lang w:val="en-US"/>
        </w:rPr>
        <w:t>f</w:t>
      </w:r>
      <w:r w:rsidR="00DC4DE6" w:rsidRPr="00551F38">
        <w:rPr>
          <w:lang w:val="en-US"/>
        </w:rPr>
        <w:t>o</w:t>
      </w:r>
      <w:r w:rsidR="00083AD3" w:rsidRPr="00551F38">
        <w:rPr>
          <w:lang w:val="en-US"/>
        </w:rPr>
        <w:t>r</w:t>
      </w:r>
      <w:r w:rsidR="00DC4DE6" w:rsidRPr="00551F38">
        <w:rPr>
          <w:lang w:val="en-US"/>
        </w:rPr>
        <w:t xml:space="preserve"> propos</w:t>
      </w:r>
      <w:r w:rsidR="00083AD3" w:rsidRPr="00551F38">
        <w:rPr>
          <w:lang w:val="en-US"/>
        </w:rPr>
        <w:t>ing</w:t>
      </w:r>
      <w:r w:rsidR="00DC4DE6" w:rsidRPr="00551F38">
        <w:rPr>
          <w:lang w:val="en-US"/>
        </w:rPr>
        <w:t xml:space="preserve"> suitable formulations,</w:t>
      </w:r>
      <w:r w:rsidR="0031385F" w:rsidRPr="00551F38">
        <w:rPr>
          <w:lang w:val="en-US"/>
        </w:rPr>
        <w:t xml:space="preserve"> to</w:t>
      </w:r>
      <w:r w:rsidR="00DC4DE6" w:rsidRPr="00551F38">
        <w:rPr>
          <w:lang w:val="en-US"/>
        </w:rPr>
        <w:t xml:space="preserve"> identify the mode of application in fields, and </w:t>
      </w:r>
      <w:r w:rsidR="0031385F" w:rsidRPr="00551F38">
        <w:rPr>
          <w:lang w:val="en-US"/>
        </w:rPr>
        <w:t xml:space="preserve">to </w:t>
      </w:r>
      <w:r w:rsidR="00DC4DE6" w:rsidRPr="00551F38">
        <w:rPr>
          <w:lang w:val="en-US"/>
        </w:rPr>
        <w:t xml:space="preserve">define which developmental stage of the pathogen is vulnerable to the </w:t>
      </w:r>
      <w:r w:rsidR="0031385F" w:rsidRPr="00551F38">
        <w:rPr>
          <w:lang w:val="en-US"/>
        </w:rPr>
        <w:t xml:space="preserve">candidate </w:t>
      </w:r>
      <w:r w:rsidR="00DC4DE6" w:rsidRPr="00551F38">
        <w:rPr>
          <w:lang w:val="en-US"/>
        </w:rPr>
        <w:t>bioproduct.</w:t>
      </w:r>
    </w:p>
    <w:p w14:paraId="2C5CE5BF" w14:textId="77777777" w:rsidR="00C579FF" w:rsidRPr="00551F38" w:rsidRDefault="00C579FF" w:rsidP="00C579FF">
      <w:pPr>
        <w:pStyle w:val="Default"/>
        <w:jc w:val="both"/>
        <w:rPr>
          <w:lang w:val="en-US"/>
        </w:rPr>
      </w:pPr>
    </w:p>
    <w:p w14:paraId="442B11D7" w14:textId="609417AB" w:rsidR="001D30AC" w:rsidRPr="00551F38" w:rsidRDefault="004B71E8" w:rsidP="00C579FF">
      <w:pPr>
        <w:pStyle w:val="Default"/>
        <w:jc w:val="both"/>
        <w:rPr>
          <w:lang w:val="en-US"/>
        </w:rPr>
      </w:pPr>
      <w:r w:rsidRPr="00551F38">
        <w:rPr>
          <w:lang w:val="en-US"/>
        </w:rPr>
        <w:t>C</w:t>
      </w:r>
      <w:r w:rsidR="005F23F8" w:rsidRPr="00551F38">
        <w:rPr>
          <w:lang w:val="en-US"/>
        </w:rPr>
        <w:t xml:space="preserve">urrent approaches addressing antibacterial and antifungal activities include diffusion methods </w:t>
      </w:r>
      <w:r w:rsidR="00BD22BF" w:rsidRPr="00551F38">
        <w:rPr>
          <w:lang w:val="en-US"/>
        </w:rPr>
        <w:t>such as agar-</w:t>
      </w:r>
      <w:r w:rsidR="00BD790C" w:rsidRPr="00551F38">
        <w:rPr>
          <w:lang w:val="en-US"/>
        </w:rPr>
        <w:t>disk</w:t>
      </w:r>
      <w:r w:rsidR="00BD22BF" w:rsidRPr="00551F38">
        <w:rPr>
          <w:lang w:val="en-US"/>
        </w:rPr>
        <w:t xml:space="preserve"> diffusion, dilution, bioautography and flow cytometry</w:t>
      </w:r>
      <w:r w:rsidR="00BD22BF" w:rsidRPr="00551F38">
        <w:rPr>
          <w:lang w:val="en-US"/>
        </w:rPr>
        <w:fldChar w:fldCharType="begin" w:fldLock="1"/>
      </w:r>
      <w:r w:rsidR="00E26078" w:rsidRPr="00551F38">
        <w:rPr>
          <w:lang w:val="en-US"/>
        </w:rPr>
        <w:instrText>ADDIN CSL_CITATION { "citationItems" : [ { "id" : "ITEM-1", "itemData" : { "DOI" : "10.1016/j.jpha.2015.11.005", "ISSN" : "20951779", "abstract" : "In recent years, there has been a growing interest in researching and developing new antimicrobial agents from various sources to combat microbial resistance. Therefore, a greater attention has been paid to antimicrobial activity screening and evaluating methods. Several bioassays such as disk-diffusion, well diffusion and broth or agar dilution are well known and commonly used, but others such as flow cytofluorometric and bioluminescent methods are not widely used because they require specified equipment and further evaluation for reproducibility and standardization, even if they can provide rapid results of the antimicrobial agent's effects and a better understanding of their impact on the viability and cell damage inflicted to the tested microorganism. In this review article, an exhaustive list of in vitro antimicrobial susceptibility testing methods and detailed information on their advantages and limitations are reported.", "author" : [ { "dropping-particle" : "", "family" : "Balouiri", "given" : "Mounyr", "non-dropping-particle" : "", "parse-names" : false, "suffix" : "" }, { "dropping-particle" : "", "family" : "Sadiki", "given" : "Moulay", "non-dropping-particle" : "", "parse-names" : false, "suffix" : "" }, { "dropping-particle" : "", "family" : "Ibnsouda", "given" : "Saad Koraichi", "non-dropping-particle" : "", "parse-names" : false, "suffix" : "" } ], "container-title" : "Journal of Pharmaceutical Analysis", "id" : "ITEM-1", "issue" : "2", "issued" : { "date-parts" : [ [ "2016" ] ] }, "page" : "71-79", "publisher" : "Elsevier", "title" : "Methods for in vitro evaluating antimicrobial activity: A review", "type" : "article-journal", "volume" : "6" }, "uris" : [ "http://www.mendeley.com/documents/?uuid=b6355104-2b8b-4312-a87d-edac1f221164" ] } ], "mendeley" : { "formattedCitation" : "&lt;sup&gt;13&lt;/sup&gt;", "plainTextFormattedCitation" : "13", "previouslyFormattedCitation" : "&lt;sup&gt;13&lt;/sup&gt;" }, "properties" : { "noteIndex" : 3 }, "schema" : "https://github.com/citation-style-language/schema/raw/master/csl-citation.json" }</w:instrText>
      </w:r>
      <w:r w:rsidR="00BD22BF" w:rsidRPr="00551F38">
        <w:rPr>
          <w:lang w:val="en-US"/>
        </w:rPr>
        <w:fldChar w:fldCharType="separate"/>
      </w:r>
      <w:r w:rsidR="00E26078" w:rsidRPr="00551F38">
        <w:rPr>
          <w:vertAlign w:val="superscript"/>
          <w:lang w:val="en-US"/>
        </w:rPr>
        <w:t>13</w:t>
      </w:r>
      <w:r w:rsidR="00BD22BF" w:rsidRPr="00551F38">
        <w:rPr>
          <w:lang w:val="en-US"/>
        </w:rPr>
        <w:fldChar w:fldCharType="end"/>
      </w:r>
      <w:r w:rsidR="00BD22BF" w:rsidRPr="00551F38">
        <w:rPr>
          <w:lang w:val="en-US"/>
        </w:rPr>
        <w:t xml:space="preserve">. Most of these techniques, </w:t>
      </w:r>
      <w:r w:rsidR="00315431" w:rsidRPr="00551F38">
        <w:rPr>
          <w:lang w:val="en-US"/>
        </w:rPr>
        <w:t>and more specifically,</w:t>
      </w:r>
      <w:r w:rsidR="00932051" w:rsidRPr="00551F38">
        <w:rPr>
          <w:lang w:val="en-US"/>
        </w:rPr>
        <w:t xml:space="preserve"> </w:t>
      </w:r>
      <w:r w:rsidR="00BD22BF" w:rsidRPr="00551F38">
        <w:rPr>
          <w:lang w:val="en-US"/>
        </w:rPr>
        <w:t xml:space="preserve">the standard antifungal susceptibility </w:t>
      </w:r>
      <w:r w:rsidR="003638D6" w:rsidRPr="00551F38">
        <w:rPr>
          <w:lang w:val="en-US"/>
        </w:rPr>
        <w:t xml:space="preserve">testing </w:t>
      </w:r>
      <w:r w:rsidR="00552822" w:rsidRPr="00551F38">
        <w:rPr>
          <w:lang w:val="en-US"/>
        </w:rPr>
        <w:t>–</w:t>
      </w:r>
      <w:r w:rsidR="006F13AE" w:rsidRPr="00551F38">
        <w:rPr>
          <w:lang w:val="en-US"/>
        </w:rPr>
        <w:t xml:space="preserve"> </w:t>
      </w:r>
      <w:r w:rsidR="00BD22BF" w:rsidRPr="00551F38">
        <w:rPr>
          <w:lang w:val="en-US"/>
        </w:rPr>
        <w:t>agar-</w:t>
      </w:r>
      <w:r w:rsidR="00BD790C" w:rsidRPr="00551F38">
        <w:rPr>
          <w:lang w:val="en-US"/>
        </w:rPr>
        <w:t>disk</w:t>
      </w:r>
      <w:r w:rsidR="00BD22BF" w:rsidRPr="00551F38">
        <w:rPr>
          <w:lang w:val="en-US"/>
        </w:rPr>
        <w:t xml:space="preserve"> diffusion and dilution assays</w:t>
      </w:r>
      <w:r w:rsidR="006F13AE" w:rsidRPr="00551F38">
        <w:rPr>
          <w:lang w:val="en-US"/>
        </w:rPr>
        <w:t xml:space="preserve"> </w:t>
      </w:r>
      <w:r w:rsidR="00552822" w:rsidRPr="00551F38">
        <w:rPr>
          <w:lang w:val="en-US"/>
        </w:rPr>
        <w:t>–</w:t>
      </w:r>
      <w:r w:rsidR="00BD22BF" w:rsidRPr="00551F38">
        <w:rPr>
          <w:lang w:val="en-US"/>
        </w:rPr>
        <w:t xml:space="preserve"> are well-adapted </w:t>
      </w:r>
      <w:r w:rsidR="00552822" w:rsidRPr="00551F38">
        <w:rPr>
          <w:lang w:val="en-US"/>
        </w:rPr>
        <w:t>f</w:t>
      </w:r>
      <w:r w:rsidR="00BD22BF" w:rsidRPr="00551F38">
        <w:rPr>
          <w:lang w:val="en-US"/>
        </w:rPr>
        <w:t>o</w:t>
      </w:r>
      <w:r w:rsidR="00552822" w:rsidRPr="00551F38">
        <w:rPr>
          <w:lang w:val="en-US"/>
        </w:rPr>
        <w:t>r</w:t>
      </w:r>
      <w:r w:rsidR="00BD22BF" w:rsidRPr="00551F38">
        <w:rPr>
          <w:lang w:val="en-US"/>
        </w:rPr>
        <w:t xml:space="preserve"> evaluat</w:t>
      </w:r>
      <w:r w:rsidR="00552822" w:rsidRPr="00551F38">
        <w:rPr>
          <w:lang w:val="en-US"/>
        </w:rPr>
        <w:t>ing</w:t>
      </w:r>
      <w:r w:rsidR="00BD22BF" w:rsidRPr="00551F38">
        <w:rPr>
          <w:lang w:val="en-US"/>
        </w:rPr>
        <w:t xml:space="preserve"> </w:t>
      </w:r>
      <w:r w:rsidR="00552822" w:rsidRPr="00551F38">
        <w:rPr>
          <w:lang w:val="en-US"/>
        </w:rPr>
        <w:t xml:space="preserve">the </w:t>
      </w:r>
      <w:r w:rsidR="00BD22BF" w:rsidRPr="00551F38">
        <w:rPr>
          <w:lang w:val="en-US"/>
        </w:rPr>
        <w:t xml:space="preserve">antimicrobial activity of </w:t>
      </w:r>
      <w:r w:rsidR="00315431" w:rsidRPr="00551F38">
        <w:rPr>
          <w:lang w:val="en-US"/>
        </w:rPr>
        <w:t xml:space="preserve">soluble </w:t>
      </w:r>
      <w:r w:rsidR="00BD22BF" w:rsidRPr="00551F38">
        <w:rPr>
          <w:lang w:val="en-US"/>
        </w:rPr>
        <w:t>compounds on bacterial and fungal spore</w:t>
      </w:r>
      <w:r w:rsidR="00552822" w:rsidRPr="00551F38">
        <w:rPr>
          <w:lang w:val="en-US"/>
        </w:rPr>
        <w:t>s</w:t>
      </w:r>
      <w:r w:rsidR="00BD22BF" w:rsidRPr="00551F38">
        <w:rPr>
          <w:lang w:val="en-US"/>
        </w:rPr>
        <w:t xml:space="preserve"> </w:t>
      </w:r>
      <w:r w:rsidR="005F23F8" w:rsidRPr="00551F38">
        <w:rPr>
          <w:lang w:val="en-US"/>
        </w:rPr>
        <w:t xml:space="preserve">in liquid </w:t>
      </w:r>
      <w:r w:rsidR="00BD22BF" w:rsidRPr="00551F38">
        <w:rPr>
          <w:lang w:val="en-US"/>
        </w:rPr>
        <w:t>suspensions</w:t>
      </w:r>
      <w:r w:rsidR="00BD22BF" w:rsidRPr="00551F38">
        <w:rPr>
          <w:lang w:val="en-US"/>
        </w:rPr>
        <w:fldChar w:fldCharType="begin" w:fldLock="1"/>
      </w:r>
      <w:r w:rsidR="00E26078" w:rsidRPr="00551F38">
        <w:rPr>
          <w:lang w:val="en-US"/>
        </w:rPr>
        <w:instrText>ADDIN CSL_CITATION { "citationItems" : [ { "id" : "ITEM-1", "itemData" : { "DOI" : "10.1080/13693780701436794", "ISSN" : "13693786", "abstract" : "Antifungal susceptibility testing is a very dynamic field of medical mycology. Standardization of in vitro susceptibility tests by the Clinical and Laboratory Standards Institute (CLSI) and the European Committee for Antimicrobial Susceptibility Testing (EUCAST), and current availability of reference methods constituted the major remarkable steps in the field. Based on the established minimum inhibitory concentration (MIC) breakpoints, it is now possible to determine the susceptibilities of Candida strains to fluconazole, itraconazole, voriconazole, and flucytosine. Moreover, utility of fluconazole antifungal susceptibility tests as an adjunct in optimizing treatment of candidiasis has now been validated. While the MIC breakpoints and clinical significance of susceptibility testing for the remaining fungi and antifungal drugs remain yet unclear, modifications of the available methods as well as other methodologies are being intensively studied to overcome the present drawbacks and limitations. Among the other methods under investigation are Etest, colorimetric microdilution, agar dilution, determination of fungicidal activity, flow cytometry, and ergosterol quantitation. Etest offers the advantage of practical application and favorable agreement rates with the reference methods that are frequently above acceptable limits. However, MIC breakpoints for Etest remain to be evaluated and established. Development of commercially available, standardized colorimetric panels that are based on CLSI method parameters has added more to the antifungal susceptibility testing armamentarium. Flow cytometry, on the other hand, appears to offer rapid susceptibility testing but requires specified equipment and further evaluation for reproducibility and standardization. Ergosterol quantitation is another novel approach, which appears potentially beneficial particularly in discrimination of azole-resistant isolates from heavy trailers. The method is yet investigational and requires to be further studied. Developments in methodology and applications of antifungal susceptibility testing will hopefully provide enhanced utility in clinical guidance of antifungal therapy. However, and particularly in immunosuppressed host, in vitro susceptibility is and will remain only one of several factors that influence clinical outcome.", "author" : [ { "dropping-particle" : "", "family" : "Arikan", "given" : "Sevtap", "non-dropping-particle" : "", "parse-names" : false, "suffix" : "" } ], "container-title" : "Medical Mycology", "id" : "ITEM-1", "issue" : "7", "issued" : { "date-parts" : [ [ "2007" ] ] }, "page" : "569-587", "title" : "Current status of antifungal susceptibility testing methods", "type" : "article-journal", "volume" : "45" }, "uris" : [ "http://www.mendeley.com/documents/?uuid=8938b040-f0df-483d-b791-c4c07029598e" ] } ], "mendeley" : { "formattedCitation" : "&lt;sup&gt;14&lt;/sup&gt;", "plainTextFormattedCitation" : "14", "previouslyFormattedCitation" : "&lt;sup&gt;14&lt;/sup&gt;" }, "properties" : { "noteIndex" : 3 }, "schema" : "https://github.com/citation-style-language/schema/raw/master/csl-citation.json" }</w:instrText>
      </w:r>
      <w:r w:rsidR="00BD22BF" w:rsidRPr="00551F38">
        <w:rPr>
          <w:lang w:val="en-US"/>
        </w:rPr>
        <w:fldChar w:fldCharType="separate"/>
      </w:r>
      <w:r w:rsidR="00E26078" w:rsidRPr="00551F38">
        <w:rPr>
          <w:vertAlign w:val="superscript"/>
          <w:lang w:val="en-US"/>
        </w:rPr>
        <w:t>14</w:t>
      </w:r>
      <w:r w:rsidR="00BD22BF" w:rsidRPr="00551F38">
        <w:rPr>
          <w:lang w:val="en-US"/>
        </w:rPr>
        <w:fldChar w:fldCharType="end"/>
      </w:r>
      <w:r w:rsidR="00BD22BF" w:rsidRPr="00551F38">
        <w:rPr>
          <w:lang w:val="en-US"/>
        </w:rPr>
        <w:t xml:space="preserve">. </w:t>
      </w:r>
      <w:r w:rsidR="004A262B" w:rsidRPr="00551F38">
        <w:rPr>
          <w:lang w:val="en-US"/>
        </w:rPr>
        <w:t>However</w:t>
      </w:r>
      <w:r w:rsidR="005F23F8" w:rsidRPr="00551F38">
        <w:rPr>
          <w:lang w:val="en-US"/>
        </w:rPr>
        <w:t>,</w:t>
      </w:r>
      <w:r w:rsidR="004A262B" w:rsidRPr="00551F38">
        <w:rPr>
          <w:lang w:val="en-US"/>
        </w:rPr>
        <w:t xml:space="preserve"> t</w:t>
      </w:r>
      <w:r w:rsidR="00BD22BF" w:rsidRPr="00551F38">
        <w:rPr>
          <w:lang w:val="en-US"/>
        </w:rPr>
        <w:t xml:space="preserve">hese methods are generally not </w:t>
      </w:r>
      <w:r w:rsidR="0040503F" w:rsidRPr="00551F38">
        <w:rPr>
          <w:lang w:val="en-US"/>
        </w:rPr>
        <w:t>suitable</w:t>
      </w:r>
      <w:r w:rsidR="00552822" w:rsidRPr="00551F38">
        <w:rPr>
          <w:lang w:val="en-US"/>
        </w:rPr>
        <w:t xml:space="preserve"> f</w:t>
      </w:r>
      <w:r w:rsidR="004A262B" w:rsidRPr="00551F38">
        <w:rPr>
          <w:lang w:val="en-US"/>
        </w:rPr>
        <w:t>o</w:t>
      </w:r>
      <w:r w:rsidR="00552822" w:rsidRPr="00551F38">
        <w:rPr>
          <w:lang w:val="en-US"/>
        </w:rPr>
        <w:t xml:space="preserve">r </w:t>
      </w:r>
      <w:r w:rsidR="0040503F" w:rsidRPr="00551F38">
        <w:rPr>
          <w:lang w:val="en-US"/>
        </w:rPr>
        <w:t>test</w:t>
      </w:r>
      <w:r w:rsidR="00552822" w:rsidRPr="00551F38">
        <w:rPr>
          <w:lang w:val="en-US"/>
        </w:rPr>
        <w:t>ing</w:t>
      </w:r>
      <w:r w:rsidR="00BD22BF" w:rsidRPr="00551F38">
        <w:rPr>
          <w:lang w:val="en-US"/>
        </w:rPr>
        <w:t xml:space="preserve"> solid compounds such as </w:t>
      </w:r>
      <w:r w:rsidR="003638D6" w:rsidRPr="00551F38">
        <w:rPr>
          <w:lang w:val="en-US"/>
        </w:rPr>
        <w:t>dr</w:t>
      </w:r>
      <w:r w:rsidR="00370165" w:rsidRPr="00551F38">
        <w:rPr>
          <w:lang w:val="en-US"/>
        </w:rPr>
        <w:t xml:space="preserve">ied </w:t>
      </w:r>
      <w:r w:rsidR="00BD22BF" w:rsidRPr="00551F38">
        <w:rPr>
          <w:lang w:val="en-US"/>
        </w:rPr>
        <w:t xml:space="preserve">plant </w:t>
      </w:r>
      <w:r w:rsidR="003638D6" w:rsidRPr="00551F38">
        <w:rPr>
          <w:lang w:val="en-US"/>
        </w:rPr>
        <w:t>powder</w:t>
      </w:r>
      <w:r w:rsidR="00BD22BF" w:rsidRPr="00551F38">
        <w:rPr>
          <w:lang w:val="en-US"/>
        </w:rPr>
        <w:t xml:space="preserve"> </w:t>
      </w:r>
      <w:r w:rsidR="004A262B" w:rsidRPr="00551F38">
        <w:rPr>
          <w:lang w:val="en-US"/>
        </w:rPr>
        <w:t xml:space="preserve">or to </w:t>
      </w:r>
      <w:r w:rsidR="00BC2F04" w:rsidRPr="00551F38">
        <w:rPr>
          <w:lang w:val="en-US"/>
        </w:rPr>
        <w:t>quantif</w:t>
      </w:r>
      <w:r w:rsidR="004A262B" w:rsidRPr="00551F38">
        <w:rPr>
          <w:lang w:val="en-US"/>
        </w:rPr>
        <w:t>y</w:t>
      </w:r>
      <w:r w:rsidR="00BC2F04" w:rsidRPr="00551F38">
        <w:rPr>
          <w:lang w:val="en-US"/>
        </w:rPr>
        <w:t xml:space="preserve"> </w:t>
      </w:r>
      <w:r w:rsidR="00BD22BF" w:rsidRPr="00551F38">
        <w:rPr>
          <w:lang w:val="en-US"/>
        </w:rPr>
        <w:t>antifungal activity during mycelium growth as they require spore dilution or spore spreading on agar plate</w:t>
      </w:r>
      <w:r w:rsidR="006F3DD6" w:rsidRPr="00551F38">
        <w:rPr>
          <w:lang w:val="en-US"/>
        </w:rPr>
        <w:t>s</w:t>
      </w:r>
      <w:r w:rsidR="00BD22BF" w:rsidRPr="00551F38">
        <w:rPr>
          <w:lang w:val="en-US"/>
        </w:rPr>
        <w:t xml:space="preserve"> and/or dilution of antifungal compounds</w:t>
      </w:r>
      <w:r w:rsidR="00BD22BF" w:rsidRPr="00551F38">
        <w:rPr>
          <w:lang w:val="en-US"/>
        </w:rPr>
        <w:fldChar w:fldCharType="begin" w:fldLock="1"/>
      </w:r>
      <w:r w:rsidR="00E26078" w:rsidRPr="00551F38">
        <w:rPr>
          <w:lang w:val="en-US"/>
        </w:rPr>
        <w:instrText>ADDIN CSL_CITATION { "citationItems" : [ { "id" : "ITEM-1", "itemData" : { "DOI" : "10.1016/j.jpha.2015.11.005", "ISSN" : "20951779", "abstract" : "In recent years, there has been a growing interest in researching and developing new antimicrobial agents from various sources to combat microbial resistance. Therefore, a greater attention has been paid to antimicrobial activity screening and evaluating methods. Several bioassays such as disk-diffusion, well diffusion and broth or agar dilution are well known and commonly used, but others such as flow cytofluorometric and bioluminescent methods are not widely used because they require specified equipment and further evaluation for reproducibility and standardization, even if they can provide rapid results of the antimicrobial agent's effects and a better understanding of their impact on the viability and cell damage inflicted to the tested microorganism. In this review article, an exhaustive list of in vitro antimicrobial susceptibility testing methods and detailed information on their advantages and limitations are reported.", "author" : [ { "dropping-particle" : "", "family" : "Balouiri", "given" : "Mounyr", "non-dropping-particle" : "", "parse-names" : false, "suffix" : "" }, { "dropping-particle" : "", "family" : "Sadiki", "given" : "Moulay", "non-dropping-particle" : "", "parse-names" : false, "suffix" : "" }, { "dropping-particle" : "", "family" : "Ibnsouda", "given" : "Saad Koraichi", "non-dropping-particle" : "", "parse-names" : false, "suffix" : "" } ], "container-title" : "Journal of Pharmaceutical Analysis", "id" : "ITEM-1", "issue" : "2", "issued" : { "date-parts" : [ [ "2016" ] ] }, "page" : "71-79", "publisher" : "Elsevier", "title" : "Methods for in vitro evaluating antimicrobial activity: A review", "type" : "article-journal", "volume" : "6" }, "uris" : [ "http://www.mendeley.com/documents/?uuid=b6355104-2b8b-4312-a87d-edac1f221164" ] } ], "mendeley" : { "formattedCitation" : "&lt;sup&gt;13&lt;/sup&gt;", "plainTextFormattedCitation" : "13", "previouslyFormattedCitation" : "&lt;sup&gt;13&lt;/sup&gt;" }, "properties" : { "noteIndex" : 3 }, "schema" : "https://github.com/citation-style-language/schema/raw/master/csl-citation.json" }</w:instrText>
      </w:r>
      <w:r w:rsidR="00BD22BF" w:rsidRPr="00551F38">
        <w:rPr>
          <w:lang w:val="en-US"/>
        </w:rPr>
        <w:fldChar w:fldCharType="separate"/>
      </w:r>
      <w:r w:rsidR="00E26078" w:rsidRPr="00551F38">
        <w:rPr>
          <w:vertAlign w:val="superscript"/>
          <w:lang w:val="en-US"/>
        </w:rPr>
        <w:t>13</w:t>
      </w:r>
      <w:r w:rsidR="00BD22BF" w:rsidRPr="00551F38">
        <w:rPr>
          <w:lang w:val="en-US"/>
        </w:rPr>
        <w:fldChar w:fldCharType="end"/>
      </w:r>
      <w:r w:rsidR="00BD22BF" w:rsidRPr="00551F38">
        <w:rPr>
          <w:lang w:val="en-US"/>
        </w:rPr>
        <w:t xml:space="preserve">. </w:t>
      </w:r>
      <w:r w:rsidR="001D30AC" w:rsidRPr="00551F38">
        <w:rPr>
          <w:lang w:val="en-US"/>
        </w:rPr>
        <w:t>In the food</w:t>
      </w:r>
      <w:r w:rsidR="006F3DD6" w:rsidRPr="00551F38">
        <w:rPr>
          <w:lang w:val="en-US"/>
        </w:rPr>
        <w:t>-</w:t>
      </w:r>
      <w:r w:rsidR="001D30AC" w:rsidRPr="00551F38">
        <w:rPr>
          <w:lang w:val="en-US"/>
        </w:rPr>
        <w:t>poisoned method, agar plate</w:t>
      </w:r>
      <w:r w:rsidR="006F3DD6" w:rsidRPr="00551F38">
        <w:rPr>
          <w:lang w:val="en-US"/>
        </w:rPr>
        <w:t>s</w:t>
      </w:r>
      <w:r w:rsidR="001D30AC" w:rsidRPr="00551F38">
        <w:rPr>
          <w:lang w:val="en-US"/>
        </w:rPr>
        <w:t xml:space="preserve"> containing the antifungal agent are inoculated with </w:t>
      </w:r>
      <w:r w:rsidR="006F3DD6" w:rsidRPr="00551F38">
        <w:rPr>
          <w:lang w:val="en-US"/>
        </w:rPr>
        <w:t xml:space="preserve">a </w:t>
      </w:r>
      <w:r w:rsidR="001D30AC" w:rsidRPr="00551F38">
        <w:rPr>
          <w:lang w:val="en-US"/>
        </w:rPr>
        <w:t>5</w:t>
      </w:r>
      <w:r w:rsidR="007F1B4B" w:rsidRPr="00551F38">
        <w:rPr>
          <w:rFonts w:cstheme="minorHAnsi"/>
          <w:bCs/>
          <w:lang w:val="en-GB"/>
        </w:rPr>
        <w:t>–</w:t>
      </w:r>
      <w:r w:rsidR="001D30AC" w:rsidRPr="00551F38">
        <w:rPr>
          <w:lang w:val="en-US"/>
        </w:rPr>
        <w:t xml:space="preserve">7 mm diameter </w:t>
      </w:r>
      <w:r w:rsidR="00BD790C" w:rsidRPr="00551F38">
        <w:rPr>
          <w:lang w:val="en-US"/>
        </w:rPr>
        <w:t>disk</w:t>
      </w:r>
      <w:r w:rsidR="001D30AC" w:rsidRPr="00551F38">
        <w:rPr>
          <w:lang w:val="en-US"/>
        </w:rPr>
        <w:t xml:space="preserve"> </w:t>
      </w:r>
      <w:r w:rsidR="00966D8C" w:rsidRPr="00551F38">
        <w:rPr>
          <w:lang w:val="en-US"/>
        </w:rPr>
        <w:t>sampled</w:t>
      </w:r>
      <w:r w:rsidR="001D30AC" w:rsidRPr="00551F38">
        <w:rPr>
          <w:lang w:val="en-US"/>
        </w:rPr>
        <w:t xml:space="preserve"> from a 7</w:t>
      </w:r>
      <w:r w:rsidR="006F3DD6" w:rsidRPr="00551F38">
        <w:rPr>
          <w:lang w:val="en-US"/>
        </w:rPr>
        <w:t>-</w:t>
      </w:r>
      <w:r w:rsidR="000B4BBD" w:rsidRPr="00551F38">
        <w:rPr>
          <w:lang w:val="en-US"/>
        </w:rPr>
        <w:t>day</w:t>
      </w:r>
      <w:r w:rsidR="001D30AC" w:rsidRPr="00551F38">
        <w:rPr>
          <w:lang w:val="en-US"/>
        </w:rPr>
        <w:t xml:space="preserve"> old fungi</w:t>
      </w:r>
      <w:r w:rsidR="00966D8C" w:rsidRPr="00551F38">
        <w:rPr>
          <w:lang w:val="en-US"/>
        </w:rPr>
        <w:t xml:space="preserve"> </w:t>
      </w:r>
      <w:r w:rsidR="006F3DD6" w:rsidRPr="00551F38">
        <w:rPr>
          <w:lang w:val="en-US"/>
        </w:rPr>
        <w:t xml:space="preserve">culture </w:t>
      </w:r>
      <w:r w:rsidR="00966D8C" w:rsidRPr="00551F38">
        <w:rPr>
          <w:lang w:val="en-US"/>
        </w:rPr>
        <w:t xml:space="preserve">without </w:t>
      </w:r>
      <w:r w:rsidR="00F703A7" w:rsidRPr="00551F38">
        <w:rPr>
          <w:lang w:val="en-US"/>
        </w:rPr>
        <w:t>considering</w:t>
      </w:r>
      <w:r w:rsidR="00966D8C" w:rsidRPr="00551F38">
        <w:rPr>
          <w:lang w:val="en-US"/>
        </w:rPr>
        <w:t xml:space="preserve"> the precise quantity of starting mycelium</w:t>
      </w:r>
      <w:r w:rsidR="001D30AC" w:rsidRPr="00551F38">
        <w:rPr>
          <w:lang w:val="en-US"/>
        </w:rPr>
        <w:t>. After incubation, the antifungal activity is determined as a percent of radial</w:t>
      </w:r>
      <w:r w:rsidR="006F3DD6" w:rsidRPr="00551F38">
        <w:rPr>
          <w:lang w:val="en-US"/>
        </w:rPr>
        <w:t>-</w:t>
      </w:r>
      <w:r w:rsidR="001D30AC" w:rsidRPr="00551F38">
        <w:rPr>
          <w:lang w:val="en-US"/>
        </w:rPr>
        <w:t>growth inhibition</w:t>
      </w:r>
      <w:r w:rsidR="001D30AC" w:rsidRPr="00551F38">
        <w:rPr>
          <w:lang w:val="en-US"/>
        </w:rPr>
        <w:fldChar w:fldCharType="begin" w:fldLock="1"/>
      </w:r>
      <w:r w:rsidR="00E26078" w:rsidRPr="00551F38">
        <w:rPr>
          <w:lang w:val="en-US"/>
        </w:rPr>
        <w:instrText>ADDIN CSL_CITATION { "citationItems" : [ { "id" : "ITEM-1", "itemData" : { "DOI" : "10.18052/www.scipress.com/ilns.13.70", "abstract" : "&lt;p&gt; The aqueous extracts of leaf of &lt;italic&gt;Citrus aurantifolia&lt;/italic&gt; L were assessed &lt;italic&gt;in vitro&lt;/italic&gt; for inhibitory activity against &lt;italic&gt;Macrophomina&lt;/italic&gt; &lt;italic&gt;phaseolina&lt;/italic&gt; isolated from dry root rot specimens of Gingelly. The antifungal activity was determined by poison food technique. The extracts have shown dose dependent inhibition of mycelial growth of test fungi. The extracts were more effective in inhibiting &lt;italic&gt;Macrophomina&lt;/italic&gt; &lt;italic&gt;phaseolina&lt;/italic&gt; . The extracts of &lt;italic&gt;Citrus aurantifolia&lt;/italic&gt; were found effective against Gingelly dry root rot pathogens. Further field experiments are to be carried out to recommend the extracts against the disease. &lt;/p&gt;", "author" : [ { "dropping-particle" : "", "family" : "Balamurugan", "given" : "S.", "non-dropping-particle" : "", "parse-names" : false, "suffix" : "" } ], "container-title" : "International Letters of Natural Sciences", "id" : "ITEM-1", "issued" : { "date-parts" : [ [ "2014" ] ] }, "page" : "70-74", "title" : "&lt;i&gt;In Vitro&lt;/i&gt; Antifungal Activity of &lt;i&gt;Citrus aurantifolia&lt;/i&gt; Linn Plant Extracts against Phytopathogenic Fungi &lt;i&gt;Macrophomina phaseolina&lt;/i&gt;", "type" : "article-journal", "volume" : "13" }, "uris" : [ "http://www.mendeley.com/documents/?uuid=19e65725-3d0b-4cde-90aa-bca4c9de26ff" ] }, { "id" : "ITEM-2", "itemData" : { "author" : [ { "dropping-particle" : "", "family" : "Ameziane", "given" : "N", "non-dropping-particle" : "", "parse-names" : false, "suffix" : "" }, { "dropping-particle" : "", "family" : "Boubaker", "given" : "H", "non-dropping-particle" : "", "parse-names" : false, "suffix" : "" }, { "dropping-particle" : "", "family" : "Boudyach", "given" : "H", "non-dropping-particle" : "", "parse-names" : false, "suffix" : "" }, { "dropping-particle" : "", "family" : "Msanda", "given" : "F", "non-dropping-particle" : "", "parse-names" : false, "suffix" : "" }, { "dropping-particle" : "", "family" : "Jilal", "given" : "A", "non-dropping-particle" : "", "parse-names" : false, "suffix" : "" }, { "dropping-particle" : "", "family" : "Ait", "given" : "A", "non-dropping-particle" : "", "parse-names" : false, "suffix" : "" }, { "dropping-particle" : "", "family" : "Ameziane", "given" : "N", "non-dropping-particle" : "", "parse-names" : false, "suffix" : "" }, { "dropping-particle" : "", "family" : "Boubaker", "given" : "H", "non-dropping-particle" : "", "parse-names" : false, "suffix" : "" }, { "dropping-particle" : "", "family" : "Boudyach", "given" : "H", "non-dropping-particle" : "", "parse-names" : false, "suffix" : "" }, { "dropping-particle" : "", "family" : "Msanda", "given" : "F", "non-dropping-particle" : "", "parse-names" : false, "suffix" : "" }, { "dropping-particle" : "", "family" : "Jilal", "given" : "A", "non-dropping-particle" : "", "parse-names" : false, "suffix" : "" } ], "id" : "ITEM-2", "issued" : { "date-parts" : [ [ "2007" ] ] }, "title" : "Antifungal activity of Moroccan plants against citrus fruit pathogens To cite this version : HAL Id : hal-00886356", "type" : "article-journal" }, "uris" : [ "http://www.mendeley.com/documents/?uuid=5179e929-c100-4a4e-82d3-e52ee27efbbc" ] }, { "id" : "ITEM-3", "itemData" : { "abstract" : "A. (2007). Anti-fungal evaluation of some plant extracts against some plant pathogenic field and storage fungi. Journal of Agricultural Technology 4(1): 119-137. Aqueous extract of eight plants were screened for antifungal activity against Fusarium solani and Aspergillus flavus at 10% concentration by dry mycelial weight, spore germination and poisoned food techniques. The results revealed that Decalepis hamiltonii Wight &amp; Arn. (Asclepiadaceae) showed significant antifungal activity. The antifungal activity of aqueous extract of D. hamiltonii an edible plant, was further evaluated at different concentrations by poisoned food technique against eight species of Fusarium, ten species of Aspergillus, three species of Penicillium, two species of Drechslera and Alternaria alternata. These phytopathogenic fungi were isolated from Sorghum, Maize, and Paddy seeds. It was observed that aqueous extract showed significant antifungal activity against all the test pathogens. Species of P. chrysogenum was completely inhibited at 10% concentration. D. halodes and A. fumigatus were inhibited at 20% concentration, whereas F. lateritium and F. moniliforme, were inhibited at a higher concentration of 50%. D. hamiltonii was further subjected to different solvent extraction using petroleum ether, benzene, chloroform, methanol and ethanol to identify the solvent extract having high activity. It was observed that petroleum ether extract showed highly significant antifungal activity followed by benzene and chloroform extracts, whereas no activity was observed in methanol and ethanol extracts at 2000 \u00b5g/ml. This plant being an edible one can possible be exploited in the management of seed borne pathogenic fungi and prevention of biodeterioration of grains and mycotoxin elaboration during storage.", "author" : [ { "dropping-particle" : "", "family" : "Mohana", "given" : "D C", "non-dropping-particle" : "", "parse-names" : false, "suffix" : "" }, { "dropping-particle" : "", "family" : "Raveesha", "given" : "K A", "non-dropping-particle" : "", "parse-names" : false, "suffix" : "" } ], "container-title" : "Journal of Agricultural Technology", "id" : "ITEM-3", "issued" : { "date-parts" : [ [ "2007" ] ] }, "title" : "Anti-fungal evaluation of some plant extracts against some plant pathogenic field and storage fungi", "type" : "article-journal" }, "uris" : [ "http://www.mendeley.com/documents/?uuid=582f3bd0-f756-4d9c-9460-74af03764f77" ] } ], "mendeley" : { "formattedCitation" : "&lt;sup&gt;17\u201319&lt;/sup&gt;", "plainTextFormattedCitation" : "17\u201319", "previouslyFormattedCitation" : "&lt;sup&gt;17\u201319&lt;/sup&gt;" }, "properties" : { "noteIndex" : 3 }, "schema" : "https://github.com/citation-style-language/schema/raw/master/csl-citation.json" }</w:instrText>
      </w:r>
      <w:r w:rsidR="001D30AC" w:rsidRPr="00551F38">
        <w:rPr>
          <w:lang w:val="en-US"/>
        </w:rPr>
        <w:fldChar w:fldCharType="separate"/>
      </w:r>
      <w:r w:rsidR="00E26078" w:rsidRPr="00551F38">
        <w:rPr>
          <w:vertAlign w:val="superscript"/>
          <w:lang w:val="en-US"/>
        </w:rPr>
        <w:t>17–19</w:t>
      </w:r>
      <w:r w:rsidR="001D30AC" w:rsidRPr="00551F38">
        <w:rPr>
          <w:lang w:val="en-US"/>
        </w:rPr>
        <w:fldChar w:fldCharType="end"/>
      </w:r>
      <w:r w:rsidR="001D30AC" w:rsidRPr="00551F38">
        <w:rPr>
          <w:lang w:val="en-US"/>
        </w:rPr>
        <w:t xml:space="preserve">. </w:t>
      </w:r>
      <w:r w:rsidR="009C1A06" w:rsidRPr="00551F38">
        <w:rPr>
          <w:lang w:val="en-US"/>
        </w:rPr>
        <w:t>With t</w:t>
      </w:r>
      <w:r w:rsidR="001D30AC" w:rsidRPr="00551F38">
        <w:rPr>
          <w:lang w:val="en-US"/>
        </w:rPr>
        <w:t xml:space="preserve">his approach </w:t>
      </w:r>
      <w:r w:rsidR="00400DC8" w:rsidRPr="00551F38">
        <w:rPr>
          <w:lang w:val="en-US"/>
        </w:rPr>
        <w:t xml:space="preserve">we can </w:t>
      </w:r>
      <w:r w:rsidR="001D30AC" w:rsidRPr="00551F38">
        <w:rPr>
          <w:lang w:val="en-US"/>
        </w:rPr>
        <w:t>evaluate the antifungal activity on mycelial growth. By contrast, the agar</w:t>
      </w:r>
      <w:r w:rsidR="00760580" w:rsidRPr="00551F38">
        <w:rPr>
          <w:lang w:val="en-US"/>
        </w:rPr>
        <w:t>-</w:t>
      </w:r>
      <w:r w:rsidR="001D30AC" w:rsidRPr="00551F38">
        <w:rPr>
          <w:lang w:val="en-US"/>
        </w:rPr>
        <w:t>dilu</w:t>
      </w:r>
      <w:r w:rsidR="00567FA6" w:rsidRPr="00551F38">
        <w:rPr>
          <w:lang w:val="en-US"/>
        </w:rPr>
        <w:t>t</w:t>
      </w:r>
      <w:r w:rsidR="001D30AC" w:rsidRPr="00551F38">
        <w:rPr>
          <w:lang w:val="en-US"/>
        </w:rPr>
        <w:t xml:space="preserve">ion method is performed to determine the antifungal activity on spores directly inoculated </w:t>
      </w:r>
      <w:r w:rsidR="00315431" w:rsidRPr="00551F38">
        <w:rPr>
          <w:lang w:val="en-US"/>
        </w:rPr>
        <w:t>on</w:t>
      </w:r>
      <w:r w:rsidR="001D30AC" w:rsidRPr="00551F38">
        <w:rPr>
          <w:lang w:val="en-US"/>
        </w:rPr>
        <w:t xml:space="preserve"> the surface of the agar plate containing the antifungal compounds</w:t>
      </w:r>
      <w:r w:rsidR="001D30AC" w:rsidRPr="00551F38">
        <w:rPr>
          <w:lang w:val="en-US"/>
        </w:rPr>
        <w:fldChar w:fldCharType="begin" w:fldLock="1"/>
      </w:r>
      <w:r w:rsidR="00E26078" w:rsidRPr="00551F38">
        <w:rPr>
          <w:lang w:val="en-US"/>
        </w:rPr>
        <w:instrText>ADDIN CSL_CITATION { "citationItems" : [ { "id" : "ITEM-1", "itemData" : { "DOI" : "10.1016/j.jpha.2015.11.005", "ISSN" : "20951779", "abstract" : "In recent years, there has been a growing interest in researching and developing new antimicrobial agents from various sources to combat microbial resistance. Therefore, a greater attention has been paid to antimicrobial activity screening and evaluating methods. Several bioassays such as disk-diffusion, well diffusion and broth or agar dilution are well known and commonly used, but others such as flow cytofluorometric and bioluminescent methods are not widely used because they require specified equipment and further evaluation for reproducibility and standardization, even if they can provide rapid results of the antimicrobial agent's effects and a better understanding of their impact on the viability and cell damage inflicted to the tested microorganism. In this review article, an exhaustive list of in vitro antimicrobial susceptibility testing methods and detailed information on their advantages and limitations are reported.", "author" : [ { "dropping-particle" : "", "family" : "Balouiri", "given" : "Mounyr", "non-dropping-particle" : "", "parse-names" : false, "suffix" : "" }, { "dropping-particle" : "", "family" : "Sadiki", "given" : "Moulay", "non-dropping-particle" : "", "parse-names" : false, "suffix" : "" }, { "dropping-particle" : "", "family" : "Ibnsouda", "given" : "Saad Koraichi", "non-dropping-particle" : "", "parse-names" : false, "suffix" : "" } ], "container-title" : "Journal of Pharmaceutical Analysis", "id" : "ITEM-1", "issue" : "2", "issued" : { "date-parts" : [ [ "2016" ] ] }, "page" : "71-79", "publisher" : "Elsevier", "title" : "Methods for in vitro evaluating antimicrobial activity: A review", "type" : "article-journal", "volume" : "6" }, "uris" : [ "http://www.mendeley.com/documents/?uuid=b6355104-2b8b-4312-a87d-edac1f221164" ] }, { "id" : "ITEM-2", "itemData" : { "DOI" : "10.1016/j.mimet.2015.07.005", "ISSN" : "18728359", "abstract" : "A reference method for the antimicrobial susceptibility testing of common fungal pathogens such as dermatophytes, is currently lacking. In this study, we report the successful adaptation of solid agar-based spot culture growth inhibition assay (SPOTi) for dermatophytes, currently being used as a gold-standard in the anti-tubercular drug discovery field. The fungal-SPOTi assay correlated with the disc-diffusion method, and is validated using mycelial plugs. We propose the fungal-SPOTi as a high-throughput alternative to the disc-diffusion and broth micro-dilution anti-fungal assays to screen novel anti-fungals.", "author" : [ { "dropping-particle" : "", "family" : "Rizi", "given" : "Khalida", "non-dropping-particle" : "", "parse-names" : false, "suffix" : "" }, { "dropping-particle" : "", "family" : "Murdan", "given" : "Sudaxshina", "non-dropping-particle" : "", "parse-names" : false, "suffix" : "" }, { "dropping-particle" : "", "family" : "Danquah", "given" : "Cynthia A.", "non-dropping-particle" : "", "parse-names" : false, "suffix" : "" }, { "dropping-particle" : "", "family" : "Faull", "given" : "Jane", "non-dropping-particle" : "", "parse-names" : false, "suffix" : "" }, { "dropping-particle" : "", "family" : "Bhakta", "given" : "Sanjib", "non-dropping-particle" : "", "parse-names" : false, "suffix" : "" } ], "container-title" : "Journal of Microbiological Methods", "id" : "ITEM-2", "issued" : { "date-parts" : [ [ "2015" ] ] }, "page" : "36-40", "publisher" : "Elsevier B.V.", "title" : "Development of a rapid, reliable and quantitative method - \"SPOTi\" for testing antifungal efficacy", "type" : "article-journal", "volume" : "117" }, "uris" : [ "http://www.mendeley.com/documents/?uuid=82a30466-05e2-4a20-9a5e-06c521f05c42" ] }, { "id" : "ITEM-3", "itemData" : { "DOI" : "10.1128/JCM.41.12.5683", "author" : [ { "dropping-particle" : "", "family" : "Imhof", "given" : "Alexander", "non-dropping-particle" : "", "parse-names" : false, "suffix" : "" }, { "dropping-particle" : "", "family" : "Imhof", "given" : "Alexander", "non-dropping-particle" : "", "parse-names" : false, "suffix" : "" }, { "dropping-particle" : "", "family" : "Balajee", "given" : "S Arunmozhi", "non-dropping-particle" : "", "parse-names" : false, "suffix" : "" }, { "dropping-particle" : "", "family" : "Balajee", "given" : "S Arunmozhi", "non-dropping-particle" : "", "parse-names" : false, "suffix" : "" }, { "dropping-particle" : "", "family" : "Marr", "given" : "Kieren a", "non-dropping-particle" : "", "parse-names" : false, "suffix" : "" }, { "dropping-particle" : "", "family" : "Marr", "given" : "Kieren a", "non-dropping-particle" : "", "parse-names" : false, "suffix" : "" } ], "container-title" : "Microbiology", "id" : "ITEM-3", "issue" : "12", "issued" : { "date-parts" : [ [ "2003" ] ] }, "page" : "5683-5688", "title" : "New Methods To Assess Susceptibilities of", "type" : "article-journal", "volume" : "41" }, "uris" : [ "http://www.mendeley.com/documents/?uuid=e69f9e9f-21b2-4f92-a1a5-fddd8e208d79" ] } ], "mendeley" : { "formattedCitation" : "&lt;sup&gt;13, 20, 21&lt;/sup&gt;", "plainTextFormattedCitation" : "13, 20, 21", "previouslyFormattedCitation" : "&lt;sup&gt;13, 20, 21&lt;/sup&gt;" }, "properties" : { "noteIndex" : 3 }, "schema" : "https://github.com/citation-style-language/schema/raw/master/csl-citation.json" }</w:instrText>
      </w:r>
      <w:r w:rsidR="001D30AC" w:rsidRPr="00551F38">
        <w:rPr>
          <w:lang w:val="en-US"/>
        </w:rPr>
        <w:fldChar w:fldCharType="separate"/>
      </w:r>
      <w:r w:rsidR="00E26078" w:rsidRPr="00551F38">
        <w:rPr>
          <w:vertAlign w:val="superscript"/>
          <w:lang w:val="en-US"/>
        </w:rPr>
        <w:t>13, 20, 21</w:t>
      </w:r>
      <w:r w:rsidR="001D30AC" w:rsidRPr="00551F38">
        <w:rPr>
          <w:lang w:val="en-US"/>
        </w:rPr>
        <w:fldChar w:fldCharType="end"/>
      </w:r>
      <w:r w:rsidR="001D30AC" w:rsidRPr="00551F38">
        <w:rPr>
          <w:lang w:val="en-US"/>
        </w:rPr>
        <w:t xml:space="preserve">. These </w:t>
      </w:r>
      <w:r w:rsidR="001D30AC" w:rsidRPr="00551F38">
        <w:rPr>
          <w:lang w:val="en-US"/>
        </w:rPr>
        <w:lastRenderedPageBreak/>
        <w:t>two approaches give complementary results on antifungal activity</w:t>
      </w:r>
      <w:r w:rsidR="00D50B06" w:rsidRPr="00551F38">
        <w:rPr>
          <w:lang w:val="en-US"/>
        </w:rPr>
        <w:t>. However</w:t>
      </w:r>
      <w:r w:rsidR="001D30AC" w:rsidRPr="00551F38">
        <w:rPr>
          <w:lang w:val="en-US"/>
        </w:rPr>
        <w:t xml:space="preserve"> these </w:t>
      </w:r>
      <w:r w:rsidR="00D50B06" w:rsidRPr="00551F38">
        <w:rPr>
          <w:lang w:val="en-US"/>
        </w:rPr>
        <w:t xml:space="preserve">are </w:t>
      </w:r>
      <w:r w:rsidR="001D30AC" w:rsidRPr="00551F38">
        <w:rPr>
          <w:lang w:val="en-US"/>
        </w:rPr>
        <w:t>two independent techniques used in parallel</w:t>
      </w:r>
      <w:r w:rsidR="00D50B06" w:rsidRPr="00551F38">
        <w:rPr>
          <w:lang w:val="en-US"/>
        </w:rPr>
        <w:t xml:space="preserve"> that</w:t>
      </w:r>
      <w:r w:rsidR="001D30AC" w:rsidRPr="00551F38">
        <w:rPr>
          <w:lang w:val="en-US"/>
        </w:rPr>
        <w:t xml:space="preserve"> do not provide accurate</w:t>
      </w:r>
      <w:r w:rsidR="004D1B29" w:rsidRPr="00551F38">
        <w:rPr>
          <w:lang w:val="en-US"/>
        </w:rPr>
        <w:t xml:space="preserve"> side-by-side comparison</w:t>
      </w:r>
      <w:r w:rsidR="001D30AC" w:rsidRPr="00551F38">
        <w:rPr>
          <w:lang w:val="en-US"/>
        </w:rPr>
        <w:t xml:space="preserve"> </w:t>
      </w:r>
      <w:r w:rsidR="004D1B29" w:rsidRPr="00551F38">
        <w:rPr>
          <w:lang w:val="en-US"/>
        </w:rPr>
        <w:t>of</w:t>
      </w:r>
      <w:r w:rsidR="001D30AC" w:rsidRPr="00551F38">
        <w:rPr>
          <w:lang w:val="en-US"/>
        </w:rPr>
        <w:t xml:space="preserve"> the relative efficacy of antifungal compounds on spores and mycelium</w:t>
      </w:r>
      <w:r w:rsidR="001D30AC" w:rsidRPr="00551F38">
        <w:rPr>
          <w:lang w:val="en-US"/>
        </w:rPr>
        <w:fldChar w:fldCharType="begin" w:fldLock="1"/>
      </w:r>
      <w:r w:rsidR="00E26078" w:rsidRPr="00551F38">
        <w:rPr>
          <w:lang w:val="en-US"/>
        </w:rPr>
        <w:instrText>ADDIN CSL_CITATION { "citationItems" : [ { "id" : "ITEM-1", "itemData" : { "DOI" : "10.1080/03235401003633832", "ISSN" : "14772906", "abstract" : "The antifungal activity for several medicinal plants against the early blight fungus (Alternaria solani) has been investigated. These plants were Syrian marjoram (Majorana syriaca), rosemary (Rosmarinus officinalis), Greek sage (Salvia fruticosa), roselle (Hibiscus sabdariffa) and cotton lavender (Santolina chamaecyparissus). The inhibitory effect of these extracts on the radial mycelial growth as well as on spore germination was measured in vitro at various concentrations of crude extract (0.5 g dry plant powder/ml medium). Extracts of M. syriaca and H. sabdariffa were most effective causing total inhibition of mycelial growth and spore germination at 8-10% concentration. Extract of R. officinalis also caused total inhibition of the above two parameters but at double the concentration (20%). Extracts of S. fructicosa and S. chamaecyparissus produced relatively moderate antifungal activity. At 25% concentration, these extracts showed an incomplete inhibition in mycelial growth being around 75-85% and 70-90%, respectively. However, at this same concentration both plant extracts produced total inhibition of spore germination. Results of this study indicated that both extracts of M. syriaca and H. sabdariffa were strong inhibitors of this fungus and to levels comparable to standard fungicides. Further studies are required to determine the effect of these extracts in vivo to evaluate their potential as natural treatments for this disease. \u00a9 2010 Taylor &amp; Francis.", "author" : [ { "dropping-particle" : "", "family" : "Goussous", "given" : "Saba J.", "non-dropping-particle" : "", "parse-names" : false, "suffix" : "" }, { "dropping-particle" : "", "family" : "Abu el-Samen", "given" : "Firas M.", "non-dropping-particle" : "", "parse-names" : false, "suffix" : "" }, { "dropping-particle" : "", "family" : "Tahhan", "given" : "Ragheb A.", "non-dropping-particle" : "", "parse-names" : false, "suffix" : "" } ], "container-title" : "Archives of Phytopathology and Plant Protection", "id" : "ITEM-1", "issue" : "17", "issued" : { "date-parts" : [ [ "2010" ] ] }, "page" : "1745-1757", "title" : "Antifungal activity of several medicinal plants extracts against the early blight pathogen (Alternaria solani)", "type" : "article-journal", "volume" : "43" }, "uris" : [ "http://www.mendeley.com/documents/?uuid=cb2d44c3-c82b-4243-9a42-adbc4f23882c" ] }, { "id" : "ITEM-2", "itemData" : { "abstract" : "A. (2007). Anti-fungal evaluation of some plant extracts against some plant pathogenic field and storage fungi. Journal of Agricultural Technology 4(1): 119-137. Aqueous extract of eight plants were screened for antifungal activity against Fusarium solani and Aspergillus flavus at 10% concentration by dry mycelial weight, spore germination and poisoned food techniques. The results revealed that Decalepis hamiltonii Wight &amp; Arn. (Asclepiadaceae) showed significant antifungal activity. The antifungal activity of aqueous extract of D. hamiltonii an edible plant, was further evaluated at different concentrations by poisoned food technique against eight species of Fusarium, ten species of Aspergillus, three species of Penicillium, two species of Drechslera and Alternaria alternata. These phytopathogenic fungi were isolated from Sorghum, Maize, and Paddy seeds. It was observed that aqueous extract showed significant antifungal activity against all the test pathogens. Species of P. chrysogenum was completely inhibited at 10% concentration. D. halodes and A. fumigatus were inhibited at 20% concentration, whereas F. lateritium and F. moniliforme, were inhibited at a higher concentration of 50%. D. hamiltonii was further subjected to different solvent extraction using petroleum ether, benzene, chloroform, methanol and ethanol to identify the solvent extract having high activity. It was observed that petroleum ether extract showed highly significant antifungal activity followed by benzene and chloroform extracts, whereas no activity was observed in methanol and ethanol extracts at 2000 \u00b5g/ml. This plant being an edible one can possible be exploited in the management of seed borne pathogenic fungi and prevention of biodeterioration of grains and mycotoxin elaboration during storage.", "author" : [ { "dropping-particle" : "", "family" : "Mohana", "given" : "D C", "non-dropping-particle" : "", "parse-names" : false, "suffix" : "" }, { "dropping-particle" : "", "family" : "Raveesha", "given" : "K A", "non-dropping-particle" : "", "parse-names" : false, "suffix" : "" } ], "container-title" : "Journal of Agricultural Technology", "id" : "ITEM-2", "issued" : { "date-parts" : [ [ "2007" ] ] }, "title" : "Anti-fungal evaluation of some plant extracts against some plant pathogenic field and storage fungi", "type" : "article-journal" }, "uris" : [ "http://www.mendeley.com/documents/?uuid=582f3bd0-f756-4d9c-9460-74af03764f77" ] }, { "id" : "ITEM-3", "itemData" : { "DOI" : "10.1016/j.mimet.2015.07.005", "ISSN" : "18728359", "abstract" : "A reference method for the antimicrobial susceptibility testing of common fungal pathogens such as dermatophytes, is currently lacking. In this study, we report the successful adaptation of solid agar-based spot culture growth inhibition assay (SPOTi) for dermatophytes, currently being used as a gold-standard in the anti-tubercular drug discovery field. The fungal-SPOTi assay correlated with the disc-diffusion method, and is validated using mycelial plugs. We propose the fungal-SPOTi as a high-throughput alternative to the disc-diffusion and broth micro-dilution anti-fungal assays to screen novel anti-fungals.", "author" : [ { "dropping-particle" : "", "family" : "Rizi", "given" : "Khalida", "non-dropping-particle" : "", "parse-names" : false, "suffix" : "" }, { "dropping-particle" : "", "family" : "Murdan", "given" : "Sudaxshina", "non-dropping-particle" : "", "parse-names" : false, "suffix" : "" }, { "dropping-particle" : "", "family" : "Danquah", "given" : "Cynthia A.", "non-dropping-particle" : "", "parse-names" : false, "suffix" : "" }, { "dropping-particle" : "", "family" : "Faull", "given" : "Jane", "non-dropping-particle" : "", "parse-names" : false, "suffix" : "" }, { "dropping-particle" : "", "family" : "Bhakta", "given" : "Sanjib", "non-dropping-particle" : "", "parse-names" : false, "suffix" : "" } ], "container-title" : "Journal of Microbiological Methods", "id" : "ITEM-3", "issued" : { "date-parts" : [ [ "2015" ] ] }, "page" : "36-40", "publisher" : "Elsevier B.V.", "title" : "Development of a rapid, reliable and quantitative method - \"SPOTi\" for testing antifungal efficacy", "type" : "article-journal", "volume" : "117" }, "uris" : [ "http://www.mendeley.com/documents/?uuid=82a30466-05e2-4a20-9a5e-06c521f05c42" ] } ], "mendeley" : { "formattedCitation" : "&lt;sup&gt;17, 20, 22&lt;/sup&gt;", "plainTextFormattedCitation" : "17, 20, 22", "previouslyFormattedCitation" : "&lt;sup&gt;17, 20, 22&lt;/sup&gt;" }, "properties" : { "noteIndex" : 3 }, "schema" : "https://github.com/citation-style-language/schema/raw/master/csl-citation.json" }</w:instrText>
      </w:r>
      <w:r w:rsidR="001D30AC" w:rsidRPr="00551F38">
        <w:rPr>
          <w:lang w:val="en-US"/>
        </w:rPr>
        <w:fldChar w:fldCharType="separate"/>
      </w:r>
      <w:r w:rsidR="00E26078" w:rsidRPr="00551F38">
        <w:rPr>
          <w:vertAlign w:val="superscript"/>
          <w:lang w:val="en-US"/>
        </w:rPr>
        <w:t>17, 20, 22</w:t>
      </w:r>
      <w:r w:rsidR="001D30AC" w:rsidRPr="00551F38">
        <w:rPr>
          <w:lang w:val="en-US"/>
        </w:rPr>
        <w:fldChar w:fldCharType="end"/>
      </w:r>
      <w:r w:rsidR="002B6FBB" w:rsidRPr="00551F38">
        <w:rPr>
          <w:color w:val="FF0000"/>
          <w:lang w:val="en-US"/>
        </w:rPr>
        <w:t xml:space="preserve"> </w:t>
      </w:r>
      <w:r w:rsidR="002B6FBB" w:rsidRPr="00551F38">
        <w:rPr>
          <w:color w:val="auto"/>
          <w:lang w:val="en-US"/>
        </w:rPr>
        <w:t xml:space="preserve">as the quantity of starting fungal material differs </w:t>
      </w:r>
      <w:r w:rsidR="004D1B29" w:rsidRPr="00551F38">
        <w:rPr>
          <w:color w:val="auto"/>
          <w:lang w:val="en-US"/>
        </w:rPr>
        <w:t>in the two approaches</w:t>
      </w:r>
      <w:r w:rsidR="00D50B06" w:rsidRPr="00551F38">
        <w:rPr>
          <w:color w:val="auto"/>
          <w:lang w:val="en-US"/>
        </w:rPr>
        <w:t>.</w:t>
      </w:r>
      <w:r w:rsidR="000B4BBD" w:rsidRPr="00551F38">
        <w:rPr>
          <w:color w:val="auto"/>
          <w:lang w:val="en-US"/>
        </w:rPr>
        <w:t xml:space="preserve"> </w:t>
      </w:r>
      <w:r w:rsidR="001D30AC" w:rsidRPr="00551F38">
        <w:rPr>
          <w:lang w:val="en-US"/>
        </w:rPr>
        <w:t xml:space="preserve">Moreover, </w:t>
      </w:r>
      <w:r w:rsidR="003D542E" w:rsidRPr="00551F38">
        <w:rPr>
          <w:lang w:val="en-US"/>
        </w:rPr>
        <w:t>t</w:t>
      </w:r>
      <w:r w:rsidR="001D30AC" w:rsidRPr="00551F38">
        <w:rPr>
          <w:lang w:val="en-US"/>
        </w:rPr>
        <w:t>he antifungal activity of a plant</w:t>
      </w:r>
      <w:r w:rsidR="00874263" w:rsidRPr="00551F38">
        <w:rPr>
          <w:lang w:val="en-US"/>
        </w:rPr>
        <w:t>-</w:t>
      </w:r>
      <w:r w:rsidR="001D30AC" w:rsidRPr="00551F38">
        <w:rPr>
          <w:lang w:val="en-US"/>
        </w:rPr>
        <w:t>derived</w:t>
      </w:r>
      <w:r w:rsidR="00874263" w:rsidRPr="00551F38">
        <w:rPr>
          <w:lang w:val="en-US"/>
        </w:rPr>
        <w:t xml:space="preserve"> </w:t>
      </w:r>
      <w:r w:rsidR="001D30AC" w:rsidRPr="00551F38">
        <w:rPr>
          <w:lang w:val="en-US"/>
        </w:rPr>
        <w:t>product often results from the combination of antifungal molecules synthe</w:t>
      </w:r>
      <w:r w:rsidR="004D72FB" w:rsidRPr="00551F38">
        <w:rPr>
          <w:lang w:val="en-US"/>
        </w:rPr>
        <w:t>s</w:t>
      </w:r>
      <w:r w:rsidR="001D30AC" w:rsidRPr="00551F38">
        <w:rPr>
          <w:lang w:val="en-US"/>
        </w:rPr>
        <w:t>ized by plant</w:t>
      </w:r>
      <w:r w:rsidR="00DE7AC2" w:rsidRPr="00551F38">
        <w:rPr>
          <w:lang w:val="en-US"/>
        </w:rPr>
        <w:t>s</w:t>
      </w:r>
      <w:r w:rsidR="001D30AC" w:rsidRPr="00551F38">
        <w:rPr>
          <w:lang w:val="en-US"/>
        </w:rPr>
        <w:t xml:space="preserve"> to face pathogens. These molecules encompass proteins, peptides</w:t>
      </w:r>
      <w:r w:rsidR="001D30AC" w:rsidRPr="00551F38">
        <w:rPr>
          <w:lang w:val="en-US"/>
        </w:rPr>
        <w:fldChar w:fldCharType="begin" w:fldLock="1"/>
      </w:r>
      <w:r w:rsidR="00E26078" w:rsidRPr="00551F38">
        <w:rPr>
          <w:lang w:val="en-US"/>
        </w:rPr>
        <w:instrText>ADDIN CSL_CITATION { "citationItems" : [ { "id" : "ITEM-1", "itemData" : { "DOI" : "10.1016/j.peptides.2004.03.012", "ISSN" : "01969781", "abstract" : "Antifungal proteins and peptides, as their names imply, serve a protective function against fungal invasion. They are produced by a multitude of organisms including leguminous flowering plants, non-leguminous flowering plants, gymnosperms, fungi, bacteria, insects and mammals. The intent of the present review is to focus on the structural and functional characteristics of leguminous, as well as non-leguminous, antifungal proteins and peptides. A spectacular diversity of amino acid sequences has been reported. Some of the antifungal proteins and peptides are classified, based on their structures and/or functions, into groups including chitinases, glucanases, thaumatin-like proteins, thionins, and cyclophilin-like proteins. Some of the well-known proteins such as lectins, ribosome inactivating proteins, ribonucleases, deoxyribonucleases, peroxidases, and protease inhibitors exhibit antifungal activity. Different antifungal proteins may demonstrate different fungal specificities. The mechanisms of antifungal action of only some antifungal proteins including thaumatin-like proteins and chitinases have been elucidated. \u00a9 2004 Elsevier Inc. All rights reserved.", "author" : [ { "dropping-particle" : "", "family" : "Ng", "given" : "T. B.", "non-dropping-particle" : "", "parse-names" : false, "suffix" : "" } ], "container-title" : "Peptides", "id" : "ITEM-1", "issue" : "7", "issued" : { "date-parts" : [ [ "2004" ] ] }, "page" : "1215-1222", "title" : "Antifungal proteins and peptides of leguminous and non-leguminous origins", "type" : "article-journal", "volume" : "25" }, "uris" : [ "http://www.mendeley.com/documents/?uuid=a6a25ee1-e1c6-457c-98b3-b627b7fc2e1e" ] }, { "id" : "ITEM-2", "itemData" : { "DOI" : "10.1080/15592324.2018.1475175", "ISSN" : "15592324", "abstract" : "Plant peptides secreted as signal molecular to trigger cell-to-cell signaling are indispensable for plant growth and defense processes. Preciously, it is regraded some plant peptides function in plant growth and development, whereas others regulate defense response in plant-microbe interactions. However, this prejudice is got rid due to more and more evidence showed growth-related plant peptides also exhibit bifunctional roles in plant defense response against different microbial pathogens. Here we provide a mini-review of reported types of plant peptides, including their basic information, reported receptor ligands, and especially direct or indirect roles in plant immune responses.", "author" : [ { "dropping-particle" : "", "family" : "Hu", "given" : "Z.", "non-dropping-particle" : "", "parse-names" : false, "suffix" : "" }, { "dropping-particle" : "", "family" : "Zhang", "given" : "H.", "non-dropping-particle" : "", "parse-names" : false, "suffix" : "" }, { "dropping-particle" : "", "family" : "Shi", "given" : "K.", "non-dropping-particle" : "", "parse-names" : false, "suffix" : "" } ], "container-title" : "Plant Signaling and Behavior", "id" : "ITEM-2", "issue" : "8", "issued" : { "date-parts" : [ [ "2018" ] ] }, "title" : "Plant peptides in plant defense responses", "type" : "article-journal", "volume" : "13" }, "uris" : [ "http://www.mendeley.com/documents/?uuid=396f3cdc-19c3-4476-aaee-a29116f0ec5f" ] } ], "mendeley" : { "formattedCitation" : "&lt;sup&gt;23, 24&lt;/sup&gt;", "plainTextFormattedCitation" : "23, 24", "previouslyFormattedCitation" : "&lt;sup&gt;23, 24&lt;/sup&gt;" }, "properties" : { "noteIndex" : 3 }, "schema" : "https://github.com/citation-style-language/schema/raw/master/csl-citation.json" }</w:instrText>
      </w:r>
      <w:r w:rsidR="001D30AC" w:rsidRPr="00551F38">
        <w:rPr>
          <w:lang w:val="en-US"/>
        </w:rPr>
        <w:fldChar w:fldCharType="separate"/>
      </w:r>
      <w:r w:rsidR="00E26078" w:rsidRPr="00551F38">
        <w:rPr>
          <w:vertAlign w:val="superscript"/>
          <w:lang w:val="en-US"/>
        </w:rPr>
        <w:t>23, 24</w:t>
      </w:r>
      <w:r w:rsidR="001D30AC" w:rsidRPr="00551F38">
        <w:rPr>
          <w:lang w:val="en-US"/>
        </w:rPr>
        <w:fldChar w:fldCharType="end"/>
      </w:r>
      <w:r w:rsidR="00DE7AC2" w:rsidRPr="00551F38">
        <w:rPr>
          <w:lang w:val="en-US"/>
        </w:rPr>
        <w:t>,</w:t>
      </w:r>
      <w:r w:rsidR="001D30AC" w:rsidRPr="00551F38">
        <w:rPr>
          <w:lang w:val="en-US"/>
        </w:rPr>
        <w:t xml:space="preserve"> and</w:t>
      </w:r>
      <w:r w:rsidR="00874263" w:rsidRPr="00551F38">
        <w:rPr>
          <w:lang w:val="en-US"/>
        </w:rPr>
        <w:t xml:space="preserve"> </w:t>
      </w:r>
      <w:r w:rsidR="001D30AC" w:rsidRPr="00551F38">
        <w:rPr>
          <w:lang w:val="en-US"/>
        </w:rPr>
        <w:t>metabolites having wide chemical diversity and belonging to different classes of molecules such as polyphenols, terpenes, alcaloïds</w:t>
      </w:r>
      <w:r w:rsidR="001D30AC" w:rsidRPr="00551F38">
        <w:rPr>
          <w:lang w:val="en-US"/>
        </w:rPr>
        <w:fldChar w:fldCharType="begin" w:fldLock="1"/>
      </w:r>
      <w:r w:rsidR="00E26078" w:rsidRPr="00551F38">
        <w:rPr>
          <w:lang w:val="en-US"/>
        </w:rPr>
        <w:instrText>ADDIN CSL_CITATION { "citationItems" : [ { "id" : "ITEM-1", "itemData" : { "DOI" : "10.3390/ijms10083371", "ISSN" : "14220067", "abstract" : "Chemical defences represent a main trait of the plant innate immune system. Besides regulating the relationship between plants and their ecosystems, phytochemicals are involved both in resistance against pathogens and in tolerance towards abiotic stresses, such as atmospheric pollution. Plant defence metabolites arise from the main secondary metabolic routes, the phenylpropanoid, the isoprenoid and the alkaloid pathways. In plants, antibiotic compounds can be both preformed (phytoanticipins) and inducible (phytoalexins), the former including saponins, cyanogenic glycosides and glucosinolates. Chronic exposure to tropospheric ozone (O3) stimulates the carbon fluxes from the primary to the secondary metabolic pathways to a great extent, inducing a shift of the available resources in favour of the synthesis of secondary products. In some cases, the plant defence responses against pathogens and environmental pollutants may overlap, leading to the unspecific synthesis of similar molecules, such as phenylpropanoids. Exposure to ozone can also modify the pattern of biogenic volatile organic compounds (BVOC), emitted from plant in response to herbivore feeding, thus altering the tritrophic interaction among plant, phytophagy and their natural enemies. Finally, the synthesis of ethylene and polyamines can be regulated by ozone at level of S-adenosylmethionine (SAM), the biosynthetic precursor of both classes of hormones, which can, therefore, mutually inhibit their own biosynthesis with consequence on plant phenotype. \u00a9 2009 by the authors; licensee Molecular Diversity Preservation International.", "author" : [ { "dropping-particle" : "", "family" : "Iriti", "given" : "Marcello", "non-dropping-particle" : "", "parse-names" : false, "suffix" : "" }, { "dropping-particle" : "", "family" : "Faoro", "given" : "Franco", "non-dropping-particle" : "", "parse-names" : false, "suffix" : "" } ], "container-title" : "International Journal of Molecular Sciences", "id" : "ITEM-1", "issue" : "8", "issued" : { "date-parts" : [ [ "2009" ] ] }, "page" : "3371-3399", "title" : "Chemical diversity and defence metabolism: How plants cope with pathogens and ozone pollution", "type" : "article-journal", "volume" : "10" }, "uris" : [ "http://www.mendeley.com/documents/?uuid=306c5ebb-685b-44b6-ab1c-c15583164da7" ] } ], "mendeley" : { "formattedCitation" : "&lt;sup&gt;25&lt;/sup&gt;", "plainTextFormattedCitation" : "25", "previouslyFormattedCitation" : "&lt;sup&gt;25&lt;/sup&gt;" }, "properties" : { "noteIndex" : 3 }, "schema" : "https://github.com/citation-style-language/schema/raw/master/csl-citation.json" }</w:instrText>
      </w:r>
      <w:r w:rsidR="001D30AC" w:rsidRPr="00551F38">
        <w:rPr>
          <w:lang w:val="en-US"/>
        </w:rPr>
        <w:fldChar w:fldCharType="separate"/>
      </w:r>
      <w:r w:rsidR="00E26078" w:rsidRPr="00551F38">
        <w:rPr>
          <w:vertAlign w:val="superscript"/>
          <w:lang w:val="en-US"/>
        </w:rPr>
        <w:t>25</w:t>
      </w:r>
      <w:r w:rsidR="001D30AC" w:rsidRPr="00551F38">
        <w:rPr>
          <w:lang w:val="en-US"/>
        </w:rPr>
        <w:fldChar w:fldCharType="end"/>
      </w:r>
      <w:r w:rsidR="001D30AC" w:rsidRPr="00551F38">
        <w:rPr>
          <w:lang w:val="en-US"/>
        </w:rPr>
        <w:t>, glucosinolates</w:t>
      </w:r>
      <w:r w:rsidR="003D542E" w:rsidRPr="00551F38">
        <w:rPr>
          <w:lang w:val="en-US"/>
        </w:rPr>
        <w:fldChar w:fldCharType="begin" w:fldLock="1"/>
      </w:r>
      <w:r w:rsidR="00A441C3" w:rsidRPr="00551F38">
        <w:rPr>
          <w:lang w:val="en-US"/>
        </w:rPr>
        <w:instrText>ADDIN CSL_CITATION { "citationItems" : [ { "id" : "ITEM-1", "itemData" : { "DOI" : "10.1016/j.postharvbio.2003.11.005", "ISSN" : "09255214", "abstract" : "Chemical fungicides provide the primary means for controlling postharvest fungal decay of fruit and vegetables. Continuous use of fungicides has faced two major obstacles - increasing public concern regarding contamination of perishables with fungicidal residues, and proliferation of resistance in the pathogen populations. The ultimate aim of recent research in this area has been the development and evaluation of various alternative control strategies to reduce dependency on synthetic fungicides. Several non-chemical treatments have been proposed for fungal decay control. Although these approaches have been shown to reduce postharvest rots of fruit and vegetables, each has limitations that can affect their commercial applicability. When used as stand-alone treatments, none of the non-chemical control methods has been clearly shown to offer a consistently economic level of disease control that warrants acceptance as an alternative to synthetic fungicides. Recently, the exploitation of natural products to control decay and prolong storage life of perishables has received more and more attention. Biologically active natural products have the potential to replace synthetic fungicides. This review deals with exploitation of some natural products such as flavour compounds, acetic acid, jasmonates, glucosinolates, propolis, fusapyrone and deoxyfusapyrone, chitosan, essential oils and plant extracts for the management of fungal rotting of fruit and vegetables, thereby prolonging shelf life. \u00a9 2003 Elsevier B.V. All rights reserved.", "author" : [ { "dropping-particle" : "", "family" : "Tripathi", "given" : "Pramila", "non-dropping-particle" : "", "parse-names" : false, "suffix" : "" }, { "dropping-particle" : "", "family" : "Dubey", "given" : "N. K.", "non-dropping-particle" : "", "parse-names" : false, "suffix" : "" } ], "container-title" : "Postharvest Biology and Technology", "id" : "ITEM-1", "issue" : "3", "issued" : { "date-parts" : [ [ "2004" ] ] }, "page" : "235-245", "title" : "Exploitation of natural products as an alternative strategy to control postharvest fungal rotting of fruit and vegetables", "type" : "article-journal", "volume" : "32" }, "uris" : [ "http://www.mendeley.com/documents/?uuid=47d21b37-3acc-4e94-aab2-81e8d18a3ff5" ] } ], "mendeley" : { "formattedCitation" : "&lt;sup&gt;8&lt;/sup&gt;", "plainTextFormattedCitation" : "8", "previouslyFormattedCitation" : "&lt;sup&gt;8&lt;/sup&gt;" }, "properties" : { "noteIndex" : 2 }, "schema" : "https://github.com/citation-style-language/schema/raw/master/csl-citation.json" }</w:instrText>
      </w:r>
      <w:r w:rsidR="003D542E" w:rsidRPr="00551F38">
        <w:rPr>
          <w:lang w:val="en-US"/>
        </w:rPr>
        <w:fldChar w:fldCharType="separate"/>
      </w:r>
      <w:r w:rsidR="00A441C3" w:rsidRPr="00551F38">
        <w:rPr>
          <w:vertAlign w:val="superscript"/>
          <w:lang w:val="en-US"/>
        </w:rPr>
        <w:t>8</w:t>
      </w:r>
      <w:r w:rsidR="003D542E" w:rsidRPr="00551F38">
        <w:rPr>
          <w:lang w:val="en-US"/>
        </w:rPr>
        <w:fldChar w:fldCharType="end"/>
      </w:r>
      <w:r w:rsidR="006A68D2" w:rsidRPr="00551F38">
        <w:rPr>
          <w:lang w:val="en-US"/>
        </w:rPr>
        <w:t>,</w:t>
      </w:r>
      <w:r w:rsidR="001D30AC" w:rsidRPr="00551F38">
        <w:rPr>
          <w:lang w:val="en-US"/>
        </w:rPr>
        <w:t xml:space="preserve"> and organosulfur compounds</w:t>
      </w:r>
      <w:r w:rsidR="003D542E" w:rsidRPr="00551F38">
        <w:rPr>
          <w:lang w:val="en-US"/>
        </w:rPr>
        <w:fldChar w:fldCharType="begin" w:fldLock="1"/>
      </w:r>
      <w:r w:rsidR="00E26078" w:rsidRPr="00551F38">
        <w:rPr>
          <w:lang w:val="en-US"/>
        </w:rPr>
        <w:instrText>ADDIN CSL_CITATION { "citationItems" : [ { "id" : "ITEM-1", "itemData" : { "DOI" : "10.1007/s11101-013-9295-3", "ISBN" : "1110101392", "ISSN" : "1572980X", "abstract" : "The antimicrobial activity of garlic (Allium sativum L.) has been known since ancient times. The first citation dates back to the Egyptian period of fifteenth century BC when garlic was reported to be used in folk medicine as a remedy for microbial infections. Scientific investigations on garlic started in 1858 with the work of Pasteur who first noted antibacterial properties of garlic extracts. From that date to the discovery of antibiotics, garlic has been used against amoebic dysentery and epidemic diseases such as typhus, cholera, diphtheria, and tuberculosis. But what makes garlic and Allium species effective against pathogenic microbes? The volatile allicin and other thiosulfinates, giving pungency to Allium plants, are well-studied antimicrobial agents. The thiosulfinates can decompose to form additional sulfur constituents, including diallyl, methyl allyl, and dipropyl mono-, di-, tri- e tetra-sulfides, and (E)- and (Z)-ajoene without losing antimicrobial activity. Besides these compounds, onion and garlic are characterized by polar compounds of steroidal and phenolic origin, often glycosilated, not pungent and more stable during cooking, showing also antimicrobial activity. Recently, there has been increasing scientific attention given to such compounds. Nitrogen organic compounds, like alkaloids and polypeptides, have also been isolated from these plants and have shown antimicrobial activity. In this paper, the literature about the major volatile and non-volatile organic compounds of garlic and other Allium plants has been reviewed. Particular attention is given to the compounds possessing antimicrobial activity and to the correlation between the observed activity and the chemical structure of the tested compounds.", "author" : [ { "dropping-particle" : "", "family" : "Lanzotti", "given" : "Virginia", "non-dropping-particle" : "", "parse-names" : false, "suffix" : "" }, { "dropping-particle" : "", "family" : "Bonanomi", "given" : "Giuliano", "non-dropping-particle" : "", "parse-names" : false, "suffix" : "" }, { "dropping-particle" : "", "family" : "Scala", "given" : "Felice", "non-dropping-particle" : "", "parse-names" : false, "suffix" : "" } ], "container-title" : "Phytochemistry Reviews", "id" : "ITEM-1", "issue" : "4", "issued" : { "date-parts" : [ [ "2013" ] ] }, "page" : "751-772", "title" : "What makes Allium species effective against pathogenic microbes?", "type" : "article-journal", "volume" : "12" }, "uris" : [ "http://www.mendeley.com/documents/?uuid=9e39bfc4-6f52-430b-824b-48007aed711f" ] } ], "mendeley" : { "formattedCitation" : "&lt;sup&gt;26&lt;/sup&gt;", "plainTextFormattedCitation" : "26", "previouslyFormattedCitation" : "&lt;sup&gt;26&lt;/sup&gt;" }, "properties" : { "noteIndex" : 2 }, "schema" : "https://github.com/citation-style-language/schema/raw/master/csl-citation.json" }</w:instrText>
      </w:r>
      <w:r w:rsidR="003D542E" w:rsidRPr="00551F38">
        <w:rPr>
          <w:lang w:val="en-US"/>
        </w:rPr>
        <w:fldChar w:fldCharType="separate"/>
      </w:r>
      <w:r w:rsidR="00E26078" w:rsidRPr="00551F38">
        <w:rPr>
          <w:vertAlign w:val="superscript"/>
          <w:lang w:val="en-US"/>
        </w:rPr>
        <w:t>26</w:t>
      </w:r>
      <w:r w:rsidR="003D542E" w:rsidRPr="00551F38">
        <w:rPr>
          <w:lang w:val="en-US"/>
        </w:rPr>
        <w:fldChar w:fldCharType="end"/>
      </w:r>
      <w:r w:rsidR="001D30AC" w:rsidRPr="00551F38">
        <w:rPr>
          <w:lang w:val="en-US"/>
        </w:rPr>
        <w:t xml:space="preserve">. Some of these molecules are volatile or </w:t>
      </w:r>
      <w:r w:rsidR="006A68D2" w:rsidRPr="00551F38">
        <w:rPr>
          <w:lang w:val="en-US"/>
        </w:rPr>
        <w:t xml:space="preserve">become </w:t>
      </w:r>
      <w:r w:rsidR="001D30AC" w:rsidRPr="00551F38">
        <w:rPr>
          <w:lang w:val="en-US"/>
        </w:rPr>
        <w:t>volatile during pathogen attack</w:t>
      </w:r>
      <w:r w:rsidR="003D542E" w:rsidRPr="00551F38">
        <w:rPr>
          <w:lang w:val="en-US"/>
        </w:rPr>
        <w:fldChar w:fldCharType="begin" w:fldLock="1"/>
      </w:r>
      <w:r w:rsidR="00E26078" w:rsidRPr="00551F38">
        <w:rPr>
          <w:lang w:val="en-US"/>
        </w:rPr>
        <w:instrText>ADDIN CSL_CITATION { "citationItems" : [ { "id" : "ITEM-1", "itemData" : { "DOI" : "10.1016/j.copbio.2011.08.004", "ISSN" : "09581669", "abstract" : "The antimicrobial activity of Allium species has long been recognized, with allicin, other thiosulfinates, and their transformation products having antimicrobial activity. Alliums are inhibitory against all tested microorganisms such as bacteria, fungi, viruses, and parasites. Alliums inhibit multi-drug-resistant microorganisms and often work synergistically with common antimicrobials. Allium-derived antimicrobial compounds inhibit microorganisms by reacting with the sulfhydryl (SH) groups of cellular proteins. It used to be thought that allicin reacts only with cysteine and not with non-SH amino acids, but evidence has accumulated that allicin and other thiosulfinates also react with non-SH amino acids. \u00a9 2011 Elsevier Ltd.", "author" : [ { "dropping-particle" : "", "family" : "Kyung", "given" : "Kyu Hang", "non-dropping-particle" : "", "parse-names" : false, "suffix" : "" } ], "container-title" : "Current Opinion in Biotechnology", "id" : "ITEM-1", "issue" : "2", "issued" : { "date-parts" : [ [ "2012" ] ] }, "page" : "142-147", "publisher" : "Elsevier Ltd", "title" : "Antimicrobial properties of allium species", "type" : "article-journal", "volume" : "23" }, "uris" : [ "http://www.mendeley.com/documents/?uuid=b8876e32-6724-438f-b473-00443407058b" ] } ], "mendeley" : { "formattedCitation" : "&lt;sup&gt;27&lt;/sup&gt;", "plainTextFormattedCitation" : "27", "previouslyFormattedCitation" : "&lt;sup&gt;27&lt;/sup&gt;" }, "properties" : { "noteIndex" : 2 }, "schema" : "https://github.com/citation-style-language/schema/raw/master/csl-citation.json" }</w:instrText>
      </w:r>
      <w:r w:rsidR="003D542E" w:rsidRPr="00551F38">
        <w:rPr>
          <w:lang w:val="en-US"/>
        </w:rPr>
        <w:fldChar w:fldCharType="separate"/>
      </w:r>
      <w:r w:rsidR="00E26078" w:rsidRPr="00551F38">
        <w:rPr>
          <w:vertAlign w:val="superscript"/>
          <w:lang w:val="en-US"/>
        </w:rPr>
        <w:t>27</w:t>
      </w:r>
      <w:r w:rsidR="003D542E" w:rsidRPr="00551F38">
        <w:rPr>
          <w:lang w:val="en-US"/>
        </w:rPr>
        <w:fldChar w:fldCharType="end"/>
      </w:r>
      <w:r w:rsidR="001D30AC" w:rsidRPr="00551F38">
        <w:rPr>
          <w:lang w:val="en-US"/>
        </w:rPr>
        <w:t xml:space="preserve">. These agents are most often poorly water soluble and high vapor-pressure compounds </w:t>
      </w:r>
      <w:r w:rsidR="006A68D2" w:rsidRPr="00551F38">
        <w:rPr>
          <w:lang w:val="en-US"/>
        </w:rPr>
        <w:t xml:space="preserve">that </w:t>
      </w:r>
      <w:r w:rsidR="001D30AC" w:rsidRPr="00551F38">
        <w:rPr>
          <w:lang w:val="en-US"/>
        </w:rPr>
        <w:t>have to be recovered through water distillation as essential oils, some o</w:t>
      </w:r>
      <w:r w:rsidR="006A68D2" w:rsidRPr="00551F38">
        <w:rPr>
          <w:lang w:val="en-US"/>
        </w:rPr>
        <w:t>f</w:t>
      </w:r>
      <w:r w:rsidR="001D30AC" w:rsidRPr="00551F38">
        <w:rPr>
          <w:lang w:val="en-US"/>
        </w:rPr>
        <w:t xml:space="preserve"> wh</w:t>
      </w:r>
      <w:r w:rsidR="006A68D2" w:rsidRPr="00551F38">
        <w:rPr>
          <w:lang w:val="en-US"/>
        </w:rPr>
        <w:t>ose</w:t>
      </w:r>
      <w:r w:rsidR="001D30AC" w:rsidRPr="00551F38">
        <w:rPr>
          <w:lang w:val="en-US"/>
        </w:rPr>
        <w:t xml:space="preserve"> antimicrobial activities have been well established</w:t>
      </w:r>
      <w:r w:rsidR="001D30AC" w:rsidRPr="00551F38">
        <w:rPr>
          <w:lang w:val="en-US"/>
        </w:rPr>
        <w:fldChar w:fldCharType="begin" w:fldLock="1"/>
      </w:r>
      <w:r w:rsidR="00E26078" w:rsidRPr="00551F38">
        <w:rPr>
          <w:lang w:val="en-US"/>
        </w:rPr>
        <w:instrText>ADDIN CSL_CITATION { "citationItems" : [ { "id" : "ITEM-1", "itemData" : { "DOI" : "10.3389/fmicb.2012.00012", "ISSN" : "1664-302X", "PMID" : "22291693", "abstract" : "Essential oils are aromatic and volatile liquids extracted from plants. The chemicals in essential oils are secondary metabolites, which play an important role in plant defense as they often possess antimicrobial properties. The interest in essential oils and their application in food preservation has been amplified in recent years by an increasingly negative consumer perception of synthetic preservatives. Furthermore, food-borne diseases are a growing public health problem worldwide, calling for more effective preservation strategies. The antibacterial properties of essential oils and their constituents have been documented extensively. Pioneering work has also elucidated the mode of action of a few essential oil constituents, but detailed knowledge about most of the compounds' mode of action is still lacking. This knowledge is particularly important to predict their effect on different microorganisms, how they interact with food matrix components, and how they work in combination with other antimicrobial compounds. The main obstacle for using essential oil constituents as food preservatives is that they are most often not potent enough as single components, and they cause negative organoleptic effects when added in sufficient amounts to provide an antimicrobial effect. Exploiting synergies between several compounds has been suggested as a solution to this problem. However, little is known about which interactions lead to synergistic, additive, or antagonistic effects. Such knowledge could contribute to design of new and more potent antimicrobial blends, and to understand the interplay between the constituents of crude essential oils. The purpose of this review is to provide an overview of current knowledge about the antibacterial properties and antibacterial mode of action of essential oils and their constituents, and to identify research avenues that can facilitate implementation of essential oils as natural preservatives in foods.", "author" : [ { "dropping-particle" : "", "family" : "Hyldgaard", "given" : "Morten", "non-dropping-particle" : "", "parse-names" : false, "suffix" : "" }, { "dropping-particle" : "", "family" : "Mygind", "given" : "Tina", "non-dropping-particle" : "", "parse-names" : false, "suffix" : "" }, { "dropping-particle" : "", "family" : "Meyer", "given" : "Rikke Louise", "non-dropping-particle" : "", "parse-names" : false, "suffix" : "" } ], "container-title" : "Frontiers in microbiology", "id" : "ITEM-1", "issue" : "January", "issued" : { "date-parts" : [ [ "2012", "1" ] ] }, "page" : "12", "title" : "Essential oils in food preservation: mode of action, synergies, and interactions with food matrix components.", "type" : "article-journal", "volume" : "3" }, "uris" : [ "http://www.mendeley.com/documents/?uuid=457b5c9b-fcd0-4f48-849d-f12c2330a44b" ] } ], "mendeley" : { "formattedCitation" : "&lt;sup&gt;28&lt;/sup&gt;", "plainTextFormattedCitation" : "28", "previouslyFormattedCitation" : "&lt;sup&gt;28&lt;/sup&gt;" }, "properties" : { "noteIndex" : 4 }, "schema" : "https://github.com/citation-style-language/schema/raw/master/csl-citation.json" }</w:instrText>
      </w:r>
      <w:r w:rsidR="001D30AC" w:rsidRPr="00551F38">
        <w:rPr>
          <w:lang w:val="en-US"/>
        </w:rPr>
        <w:fldChar w:fldCharType="separate"/>
      </w:r>
      <w:r w:rsidR="00E26078" w:rsidRPr="00551F38">
        <w:rPr>
          <w:vertAlign w:val="superscript"/>
          <w:lang w:val="en-US"/>
        </w:rPr>
        <w:t>28</w:t>
      </w:r>
      <w:r w:rsidR="001D30AC" w:rsidRPr="00551F38">
        <w:rPr>
          <w:lang w:val="en-US"/>
        </w:rPr>
        <w:fldChar w:fldCharType="end"/>
      </w:r>
      <w:r w:rsidR="001D30AC" w:rsidRPr="00551F38">
        <w:rPr>
          <w:lang w:val="en-US"/>
        </w:rPr>
        <w:t>.</w:t>
      </w:r>
      <w:r w:rsidR="004116AE" w:rsidRPr="00551F38">
        <w:rPr>
          <w:lang w:val="en-US"/>
        </w:rPr>
        <w:t xml:space="preserve"> Vapor-phase mediated susceptibility assays have been developed to measure </w:t>
      </w:r>
      <w:r w:rsidR="006A68D2" w:rsidRPr="00551F38">
        <w:rPr>
          <w:lang w:val="en-US"/>
        </w:rPr>
        <w:t xml:space="preserve">the </w:t>
      </w:r>
      <w:r w:rsidR="004116AE" w:rsidRPr="00551F38">
        <w:rPr>
          <w:lang w:val="en-US"/>
        </w:rPr>
        <w:t>antimicrobial activity of volatile compounds following evaporation and migration via the vapor</w:t>
      </w:r>
      <w:r w:rsidR="006A68D2" w:rsidRPr="00551F38">
        <w:rPr>
          <w:lang w:val="en-US"/>
        </w:rPr>
        <w:t xml:space="preserve"> </w:t>
      </w:r>
      <w:r w:rsidR="004116AE" w:rsidRPr="00551F38">
        <w:rPr>
          <w:lang w:val="en-US"/>
        </w:rPr>
        <w:t>phase</w:t>
      </w:r>
      <w:r w:rsidR="004116AE" w:rsidRPr="00551F38">
        <w:rPr>
          <w:lang w:val="en-US"/>
        </w:rPr>
        <w:fldChar w:fldCharType="begin" w:fldLock="1"/>
      </w:r>
      <w:r w:rsidR="00E26078" w:rsidRPr="00551F38">
        <w:rPr>
          <w:lang w:val="en-US"/>
        </w:rPr>
        <w:instrText>ADDIN CSL_CITATION { "citationItems" : [ { "id" : "ITEM-1", "itemData" : { "ISSN" : "2148-9637", "abstract" : "Hospital-acquired infections caused by viruses, bacteria and fungi are a constant concern in the health system. In this respect the decontamination of hospital environments is a control measure which decreases the reservoirs of pathogenic microorganisms and their transmission. For that reason new products have been developed such as antimicrobial surfaces that prevent microbial contamination and cleaning vapour systems, in search of a potent disinfection method more friendly to the environment, less toxic, safer and biodegradable. In this way has been considered the use of microbicidal essential oils (EOs) in vapour-phase as an interesting alternative in the development of hospital decontamination devices. Although  in vitro  antimicrobial activity of EOs have been demonstrated, there are no standardized tests to evaluate these products in vapour-phase, the aim of this review is to present the different evaluation methods that have been used to establish the activity of the vapours of EOs and other disinfectants, with the purpose of provide a rational approach to the research, development and implementation of new biocide agents based on this natural product for cleaning in hospitals and healthcare", "author" : [ { "dropping-particle" : "", "family" : "Bueno", "given" : "Juan", "non-dropping-particle" : "", "parse-names" : false, "suffix" : "" } ], "container-title" : "Natural Volatiles &amp; Essential Oils", "id" : "ITEM-1", "issue" : "2", "issued" : { "date-parts" : [ [ "2015" ] ] }, "page" : "16-29", "title" : "Models of evaluation of antimicrobial activity of essential oils in vapour phase: a promising use in healthcare decontamination", "type" : "article-journal", "volume" : "2" }, "uris" : [ "http://www.mendeley.com/documents/?uuid=444082fe-8edb-4c4f-981a-26ca696de29d" ] } ], "mendeley" : { "formattedCitation" : "&lt;sup&gt;29&lt;/sup&gt;", "plainTextFormattedCitation" : "29", "previouslyFormattedCitation" : "&lt;sup&gt;29&lt;/sup&gt;" }, "properties" : { "noteIndex" : 4 }, "schema" : "https://github.com/citation-style-language/schema/raw/master/csl-citation.json" }</w:instrText>
      </w:r>
      <w:r w:rsidR="004116AE" w:rsidRPr="00551F38">
        <w:rPr>
          <w:lang w:val="en-US"/>
        </w:rPr>
        <w:fldChar w:fldCharType="separate"/>
      </w:r>
      <w:r w:rsidR="00E26078" w:rsidRPr="00551F38">
        <w:rPr>
          <w:vertAlign w:val="superscript"/>
          <w:lang w:val="en-US"/>
        </w:rPr>
        <w:t>29</w:t>
      </w:r>
      <w:r w:rsidR="004116AE" w:rsidRPr="00551F38">
        <w:rPr>
          <w:lang w:val="en-US"/>
        </w:rPr>
        <w:fldChar w:fldCharType="end"/>
      </w:r>
      <w:r w:rsidR="004116AE" w:rsidRPr="00551F38">
        <w:rPr>
          <w:lang w:val="en-US"/>
        </w:rPr>
        <w:t xml:space="preserve">. These methods are based on the introduction of antifungal compounds at </w:t>
      </w:r>
      <w:r w:rsidR="006A68D2" w:rsidRPr="00551F38">
        <w:rPr>
          <w:lang w:val="en-US"/>
        </w:rPr>
        <w:t xml:space="preserve">a </w:t>
      </w:r>
      <w:r w:rsidR="004116AE" w:rsidRPr="00551F38">
        <w:rPr>
          <w:lang w:val="en-US"/>
        </w:rPr>
        <w:t>distance from the microbial culture</w:t>
      </w:r>
      <w:r w:rsidR="004116AE" w:rsidRPr="00551F38">
        <w:rPr>
          <w:lang w:val="en-US"/>
        </w:rPr>
        <w:fldChar w:fldCharType="begin" w:fldLock="1"/>
      </w:r>
      <w:r w:rsidR="00E26078" w:rsidRPr="00551F38">
        <w:rPr>
          <w:lang w:val="en-US"/>
        </w:rPr>
        <w:instrText>ADDIN CSL_CITATION { "citationItems" : [ { "id" : "ITEM-1", "itemData" : { "ISSN" : "2148-9637", "abstract" : "Hospital-acquired infections caused by viruses, bacteria and fungi are a constant concern in the health system. In this respect the decontamination of hospital environments is a control measure which decreases the reservoirs of pathogenic microorganisms and their transmission. For that reason new products have been developed such as antimicrobial surfaces that prevent microbial contamination and cleaning vapour systems, in search of a potent disinfection method more friendly to the environment, less toxic, safer and biodegradable. In this way has been considered the use of microbicidal essential oils (EOs) in vapour-phase as an interesting alternative in the development of hospital decontamination devices. Although  in vitro  antimicrobial activity of EOs have been demonstrated, there are no standardized tests to evaluate these products in vapour-phase, the aim of this review is to present the different evaluation methods that have been used to establish the activity of the vapours of EOs and other disinfectants, with the purpose of provide a rational approach to the research, development and implementation of new biocide agents based on this natural product for cleaning in hospitals and healthcare", "author" : [ { "dropping-particle" : "", "family" : "Bueno", "given" : "Juan", "non-dropping-particle" : "", "parse-names" : false, "suffix" : "" } ], "container-title" : "Natural Volatiles &amp; Essential Oils", "id" : "ITEM-1", "issue" : "2", "issued" : { "date-parts" : [ [ "2015" ] ] }, "page" : "16-29", "title" : "Models of evaluation of antimicrobial activity of essential oils in vapour phase: a promising use in healthcare decontamination", "type" : "article-journal", "volume" : "2" }, "uris" : [ "http://www.mendeley.com/documents/?uuid=444082fe-8edb-4c4f-981a-26ca696de29d" ] }, { "id" : "ITEM-2", "itemData" : { "ISSN" : "22317546", "abstract" : "Staphylococcus aureus is an important human pathogen. In the present work, the bacterial inhibition efficacy of cinnamon and oregano essential oils (EOs) was evaluated and compared by using a disc volatilisation assay and a 96-well microplate assay. The comprehensive synergistic effects of their combinations were also indicated for eleven possible mixtures of cinnamon and oregano EOs at six dilution concentrations in both assays. The inhibition zones in the vapourphase at the highest test concentration of EOs (160 \u03bcL/L air) varied from 31.67 \u00b1 0.58 mm to 44.67 \u00b1 0.58 mm. The minimum inhibitory concentration (MIC) in the volatilisation assay was indicated at 5 \u03bcL/L air when the ratios of cinnamon and oregano EOs were 8:2 and 9:1, which also showed strong synergistic activities (FIC = 0.25). S. aureus was more sensitive to EOs in the vapour-phase than in the liquid-phase due to lower MICs in the vapour-phase. Time kill assays indicated that S. aureus was inhibited by oregano EO after exposure at 30 \u03bcL/L for 120 min. The optimal combinations of the EOs in the vapour phase have potential for applications in medical development or food preservation.", "author" : [ { "dropping-particle" : "", "family" : "Doi", "given" : "N. M.", "non-dropping-particle" : "", "parse-names" : false, "suffix" : "" }, { "dropping-particle" : "", "family" : "Sae-Eaw", "given" : "A.", "non-dropping-particle" : "", "parse-names" : false, "suffix" : "" }, { "dropping-particle" : "", "family" : "Suppakul", "given" : "P.", "non-dropping-particle" : "", "parse-names" : false, "suffix" : "" }, { "dropping-particle" : "", "family" : "Chompreeda", "given" : "P.", "non-dropping-particle" : "", "parse-names" : false, "suffix" : "" } ], "container-title" : "International Food Research Journal", "id" : "ITEM-2", "issue" : "2", "issued" : { "date-parts" : [ [ "2019" ] ] }, "page" : "459-467", "title" : "Assessment of synergistic effects on antimicrobial activity in vapour- and liquidphase of cinnamon and oregano essential oils against Staphylococcus aureus", "type" : "article-journal", "volume" : "26" }, "uris" : [ "http://www.mendeley.com/documents/?uuid=e04f80a2-4ef4-4082-8fee-2be5367f803e" ] }, { "id" : "ITEM-3", "itemData" : { "DOI" : "10.1111/lam.12804", "ISSN" : "1472765X", "abstract" : "The objectives of this study were to develop a new assay for the evaluation of the antimicrobial activities of essential oils (EOs) in vapour phase and to demonstrate the antimicrobial activities of commercial EOs against BRPs. To achieve the first objective, a microtube cap containing 100\u00a0\u03bcl of EO was embedded in an agar plate. An agar plug (diameter 13\u00a0mm) inoculated with a bacterial suspension containing108\u00a0CFU per ml was then placed over the cap and incubated at 37\u00b0C for 24\u00a0h. Subsequently, bacteria were recovered from the agar plug by immersion in 5\u00a0ml of broth for 10\u00a0min, followed by vortexing for 30\u00a0s, and the broths were then plated for enumeration. To demonstrate the usefulness of the assay, nine commercial EOs derived from the following specific plants: ajowan, carrot seed, cinnamon leaf, citronella, fennel, ginger grass, lavender, rosemary and thyme were first evaluated for their vapour phase antimicrobial activities against Mannheimia haemolytica serotype 1. Selected EOs were further tested against Pasteurella multocida and Histophilus somni. The EOs of ajowan, thyme and cinnamon leaf completely or partially inhibited BRPs growth. This new assay provided reproducible results on the vapour phase antimicrobial activities of EOs against BRPs. These results support further study of EOs as a potential mitigation strategy against BRPs. Significance and Impact of the Study: In this study, we present a new vapour phase assay for evaluating the antimicrobial activities of essential oils (EO) against bovine respiratory pathogens (BRPs). Using this assay, we identified EOs, such as ajowan, thyme and cinnamon leaf, that can effectively inhibit growth of the BRPs Mannheimia haemolytica serotype 1, Pasteurella multocida and Histophilus somni. This is the first study to demonstrate the vapour phase antimicrobial activity of EOs against BRPs.", "author" : [ { "dropping-particle" : "", "family" : "Amat", "given" : "S.", "non-dropping-particle" : "", "parse-names" : false, "suffix" : "" }, { "dropping-particle" : "", "family" : "Baines", "given" : "D.", "non-dropping-particle" : "", "parse-names" : false, "suffix" : "" }, { "dropping-particle" : "", "family" : "Alexander", "given" : "T. W.", "non-dropping-particle" : "", "parse-names" : false, "suffix" : "" } ], "container-title" : "Letters in Applied Microbiology", "id" : "ITEM-3", "issue" : "6", "issued" : { "date-parts" : [ [ "2017" ] ] }, "page" : "489-495", "title" : "A vapour phase assay for evaluating the antimicrobial activities of essential oils against bovine respiratory bacterial pathogens", "type" : "article-journal", "volume" : "65" }, "uris" : [ "http://www.mendeley.com/documents/?uuid=b94e3f9a-40c5-406a-8b92-d863f7fe8245" ] }, { "id" : "ITEM-4", "itemData" : { "DOI" : "10.1038/s41598-018-22395-6", "ISSN" : "20452322", "abstract" : "Multi-resistant microorganisms continue to challenge medicine and fuel the search for new antimicrobials. Here we show that essential oils and their components are a promising class of antifungals that can have specific anti-Candida activity via their vapour-phase. We quantify the vapour-phase-mediated antimicrobial activity (VMAA) of 175 essential oils and 37 essential oil components, representing more than a 1,000 unique molecules, against C. albicans and C. glabrata in a novel vapour-phase-mediated susceptibility assay. Approximately half of the tested essential oils and their components show growth-inhibitory VMAA. Moreover, an average greater activity was observed against the intrinsically more resistant C. glabrata, with essential oil component citronellal having a highly significant differential VMAA. In contrast, representatives of each class of antifungals currently used in clinical practice showed no VMAA. The vapour-phase-mediated susceptibility assay presented here thus allows for the simple detection of VMAA and can advance the search for novel (applications of existing) antimicrobials. This study represents the first comprehensive characterisation of essential oils and their components as a unique class of antifungals with antimicrobial properties that differentiate them from existing antifungal classes.", "author" : [ { "dropping-particle" : "", "family" : "Feyaerts", "given" : "Adam F.", "non-dropping-particle" : "", "parse-names" : false, "suffix" : "" }, { "dropping-particle" : "", "family" : "Math\u00e9", "given" : "Lotte", "non-dropping-particle" : "", "parse-names" : false, "suffix" : "" }, { "dropping-particle" : "", "family" : "Luyten", "given" : "Walter", "non-dropping-particle" : "", "parse-names" : false, "suffix" : "" }, { "dropping-particle" : "", "family" : "Graeve", "given" : "Stijn", "non-dropping-particle" : "De", "parse-names" : false, "suffix" : "" }, { "dropping-particle" : "", "family" : "Dyck", "given" : "Katrien", "non-dropping-particle" : "Van", "parse-names" : false, "suffix" : "" }, { "dropping-particle" : "", "family" : "Broekx", "given" : "Lize", "non-dropping-particle" : "", "parse-names" : false, "suffix" : "" }, { "dropping-particle" : "", "family" : "Dijck", "given" : "Patrick", "non-dropping-particle" : "Van", "parse-names" : false, "suffix" : "" } ], "container-title" : "Scientific Reports", "id" : "ITEM-4", "issue" : "1", "issued" : { "date-parts" : [ [ "2018" ] ] }, "page" : "1-10", "title" : "Essential oils and their components are a class of antifungals with potent vapour-phase-mediated anti-Candida activity", "type" : "article-journal", "volume" : "8" }, "uris" : [ "http://www.mendeley.com/documents/?uuid=adee364e-b187-4f07-80f1-7407f84bfa6b" ] }, { "id" : "ITEM-5", "itemData" : { "DOI" : "10.1371/journal.pone.0163147", "ISSN" : "19326203", "abstract" : "The aim of the present study was to determine the antibacterial activities of the phenolic essential oil (EO) compounds hinokitiol, carvacrol, thymol, and menthol against oral pathogens. Aggregatibacter actinomycetemcomitans, Streptococcus mutans, Methicillin-resistant Staphylococcus aureus (MRSA), and Escherichia. coli were used in this study. The minimum inhibitory concentrations (MICs), minimum bactericidal concentrations (MBCs), bacterial growth curves, temperature and pH stabilities, and synergistic effects of the liquid and vapor EO compounds were tested. The MIC/MBC of the EO compounds, ranging from the strongest to weakest, were hinokitiol (40-60 \u03bcg/mL/40-100 \u03bcg/mL), thymol (100-200 \u03bcg/mL/200-400 \u03bcg/mL), carvacrol (200-400 \u03bcg/mL/200-600 \u03bcg/mL), and menthol (500-more than 2500 \u03bcg/mL/1000-more than 2500 \u03bcg/mL). The antibacterial activities of the four EO phenolic compound based on the agar diffusion test and bacterial growth curves showed that the four EO phenolic compounds were stable under different temperatures for 24 h, but the thymol activity decreased when the temperature was higher than 80\u00b0C. The combination of liquid carvacrol with thymol did not show any synergistic effects. The activities of the vaporous carvacrol and thymol were inhibited by the presence of water. Continual violent shaking during culture enhanced the activity of menthol. Both liquid and vaporous hinokitiol were stable at different temperatures and pH conditions. The combination of vaporous hinokitiol with zinc oxide did not show synergistic effects. These results showed that the liquid and vapor phases of hinokitiol have strong anti-oral bacteria abilities. Hinokitiol has the potential to be applied in oral health care products, dental materials, and infection controls to exert antimicrobial activity.", "author" : [ { "dropping-particle" : "", "family" : "Wang", "given" : "Tong Hong", "non-dropping-particle" : "", "parse-names" : false, "suffix" : "" }, { "dropping-particle" : "", "family" : "Hsia", "given" : "Shih Min", "non-dropping-particle" : "", "parse-names" : false, "suffix" : "" }, { "dropping-particle" : "", "family" : "Wu", "given" : "Chi Hao", "non-dropping-particle" : "", "parse-names" : false, "suffix" : "" }, { "dropping-particle" : "", "family" : "Ko", "given" : "Shun Yao", "non-dropping-particle" : "", "parse-names" : false, "suffix" : "" }, { "dropping-particle" : "", "family" : "Chen", "given" : "Michael Yuanchien", "non-dropping-particle" : "", "parse-names" : false, "suffix" : "" }, { "dropping-particle" : "", "family" : "Shih", "given" : "Yin Hua", "non-dropping-particle" : "", "parse-names" : false, "suffix" : "" }, { "dropping-particle" : "", "family" : "Shieh", "given" : "Tzong Ming", "non-dropping-particle" : "", "parse-names" : false, "suffix" : "" }, { "dropping-particle" : "", "family" : "Chuang", "given" : "Li Chuan", "non-dropping-particle" : "", "parse-names" : false, "suffix" : "" }, { "dropping-particle" : "", "family" : "Wu", "given" : "Ching Yi", "non-dropping-particle" : "", "parse-names" : false, "suffix" : "" } ], "container-title" : "PLoS ONE", "id" : "ITEM-5", "issue" : "9", "issued" : { "date-parts" : [ [ "2016" ] ] }, "page" : "1-17", "title" : "Evaluation of the antibacterial potential of liquid and vapor phase phenolic essential oil compounds against oral microorganisms", "type" : "article-journal", "volume" : "11" }, "uris" : [ "http://www.mendeley.com/documents/?uuid=a0c9f1f1-67b5-49f7-a4e3-a59d7bd74135" ] } ], "mendeley" : { "formattedCitation" : "&lt;sup&gt;29\u201333&lt;/sup&gt;", "plainTextFormattedCitation" : "29\u201333", "previouslyFormattedCitation" : "&lt;sup&gt;29\u201333&lt;/sup&gt;" }, "properties" : { "noteIndex" : 4 }, "schema" : "https://github.com/citation-style-language/schema/raw/master/csl-citation.json" }</w:instrText>
      </w:r>
      <w:r w:rsidR="004116AE" w:rsidRPr="00551F38">
        <w:rPr>
          <w:lang w:val="en-US"/>
        </w:rPr>
        <w:fldChar w:fldCharType="separate"/>
      </w:r>
      <w:r w:rsidR="00E26078" w:rsidRPr="00551F38">
        <w:rPr>
          <w:vertAlign w:val="superscript"/>
          <w:lang w:val="en-US"/>
        </w:rPr>
        <w:t>29–33</w:t>
      </w:r>
      <w:r w:rsidR="004116AE" w:rsidRPr="00551F38">
        <w:rPr>
          <w:lang w:val="en-US"/>
        </w:rPr>
        <w:fldChar w:fldCharType="end"/>
      </w:r>
      <w:r w:rsidR="004116AE" w:rsidRPr="00551F38">
        <w:rPr>
          <w:lang w:val="en-US"/>
        </w:rPr>
        <w:t>. In the commonly used vapor</w:t>
      </w:r>
      <w:r w:rsidR="006A68D2" w:rsidRPr="00551F38">
        <w:rPr>
          <w:lang w:val="en-US"/>
        </w:rPr>
        <w:t>-</w:t>
      </w:r>
      <w:r w:rsidR="004116AE" w:rsidRPr="00551F38">
        <w:rPr>
          <w:lang w:val="en-US"/>
        </w:rPr>
        <w:t xml:space="preserve">phase agar assay, essential oils are deposited on </w:t>
      </w:r>
      <w:r w:rsidR="006A68D2" w:rsidRPr="00551F38">
        <w:rPr>
          <w:lang w:val="en-US"/>
        </w:rPr>
        <w:t xml:space="preserve">a </w:t>
      </w:r>
      <w:r w:rsidR="004116AE" w:rsidRPr="00551F38">
        <w:rPr>
          <w:lang w:val="en-US"/>
        </w:rPr>
        <w:t xml:space="preserve">paper </w:t>
      </w:r>
      <w:r w:rsidR="00BD790C" w:rsidRPr="00551F38">
        <w:rPr>
          <w:lang w:val="en-US"/>
        </w:rPr>
        <w:t>disk</w:t>
      </w:r>
      <w:r w:rsidR="004116AE" w:rsidRPr="00551F38">
        <w:rPr>
          <w:lang w:val="en-US"/>
        </w:rPr>
        <w:t xml:space="preserve"> and placed in the </w:t>
      </w:r>
      <w:r w:rsidR="00AB0F4A" w:rsidRPr="00551F38">
        <w:rPr>
          <w:lang w:val="en-US"/>
        </w:rPr>
        <w:t>center</w:t>
      </w:r>
      <w:r w:rsidR="004116AE" w:rsidRPr="00551F38">
        <w:rPr>
          <w:lang w:val="en-US"/>
        </w:rPr>
        <w:t xml:space="preserve"> of the cover of </w:t>
      </w:r>
      <w:r w:rsidR="006A68D2" w:rsidRPr="00551F38">
        <w:rPr>
          <w:lang w:val="en-US"/>
        </w:rPr>
        <w:t xml:space="preserve">the </w:t>
      </w:r>
      <w:r w:rsidR="004116AE" w:rsidRPr="00551F38">
        <w:rPr>
          <w:lang w:val="en-US"/>
        </w:rPr>
        <w:t xml:space="preserve">Petri dish at distance from </w:t>
      </w:r>
      <w:r w:rsidR="006A68D2" w:rsidRPr="00551F38">
        <w:rPr>
          <w:lang w:val="en-US"/>
        </w:rPr>
        <w:t xml:space="preserve">the </w:t>
      </w:r>
      <w:r w:rsidR="004116AE" w:rsidRPr="00551F38">
        <w:rPr>
          <w:lang w:val="en-US"/>
        </w:rPr>
        <w:t>bacterial or fungal spore suspension</w:t>
      </w:r>
      <w:r w:rsidR="006A68D2" w:rsidRPr="00551F38">
        <w:rPr>
          <w:lang w:val="en-US"/>
        </w:rPr>
        <w:t>,</w:t>
      </w:r>
      <w:r w:rsidR="004116AE" w:rsidRPr="00551F38">
        <w:rPr>
          <w:lang w:val="en-US"/>
        </w:rPr>
        <w:t xml:space="preserve"> which is spread on agar medium. The diameter of the zone of growth inhibition</w:t>
      </w:r>
      <w:r w:rsidR="00464C82" w:rsidRPr="00551F38">
        <w:rPr>
          <w:lang w:val="en-US"/>
        </w:rPr>
        <w:t xml:space="preserve"> </w:t>
      </w:r>
      <w:r w:rsidR="004116AE" w:rsidRPr="00551F38">
        <w:rPr>
          <w:lang w:val="en-US"/>
        </w:rPr>
        <w:t xml:space="preserve">is then measured </w:t>
      </w:r>
      <w:r w:rsidR="006A68D2" w:rsidRPr="00551F38">
        <w:rPr>
          <w:lang w:val="en-US"/>
        </w:rPr>
        <w:t xml:space="preserve">in the same way </w:t>
      </w:r>
      <w:r w:rsidR="004116AE" w:rsidRPr="00551F38">
        <w:rPr>
          <w:lang w:val="en-US"/>
        </w:rPr>
        <w:t xml:space="preserve">as for </w:t>
      </w:r>
      <w:r w:rsidR="006A68D2" w:rsidRPr="00551F38">
        <w:rPr>
          <w:lang w:val="en-US"/>
        </w:rPr>
        <w:t xml:space="preserve">the </w:t>
      </w:r>
      <w:r w:rsidR="004116AE" w:rsidRPr="00551F38">
        <w:rPr>
          <w:lang w:val="en-US"/>
        </w:rPr>
        <w:t>agar-</w:t>
      </w:r>
      <w:r w:rsidR="00BD790C" w:rsidRPr="00551F38">
        <w:rPr>
          <w:lang w:val="en-US"/>
        </w:rPr>
        <w:t>disk</w:t>
      </w:r>
      <w:r w:rsidR="004116AE" w:rsidRPr="00551F38">
        <w:rPr>
          <w:lang w:val="en-US"/>
        </w:rPr>
        <w:t xml:space="preserve"> diffusion method</w:t>
      </w:r>
      <w:r w:rsidR="004116AE" w:rsidRPr="00551F38">
        <w:rPr>
          <w:lang w:val="en-US"/>
        </w:rPr>
        <w:fldChar w:fldCharType="begin" w:fldLock="1"/>
      </w:r>
      <w:r w:rsidR="00E26078" w:rsidRPr="00551F38">
        <w:rPr>
          <w:lang w:val="en-US"/>
        </w:rPr>
        <w:instrText>ADDIN CSL_CITATION { "citationItems" : [ { "id" : "ITEM-1", "itemData" : { "ISSN" : "2148-9637", "abstract" : "Hospital-acquired infections caused by viruses, bacteria and fungi are a constant concern in the health system. In this respect the decontamination of hospital environments is a control measure which decreases the reservoirs of pathogenic microorganisms and their transmission. For that reason new products have been developed such as antimicrobial surfaces that prevent microbial contamination and cleaning vapour systems, in search of a potent disinfection method more friendly to the environment, less toxic, safer and biodegradable. In this way has been considered the use of microbicidal essential oils (EOs) in vapour-phase as an interesting alternative in the development of hospital decontamination devices. Although  in vitro  antimicrobial activity of EOs have been demonstrated, there are no standardized tests to evaluate these products in vapour-phase, the aim of this review is to present the different evaluation methods that have been used to establish the activity of the vapours of EOs and other disinfectants, with the purpose of provide a rational approach to the research, development and implementation of new biocide agents based on this natural product for cleaning in hospitals and healthcare", "author" : [ { "dropping-particle" : "", "family" : "Bueno", "given" : "Juan", "non-dropping-particle" : "", "parse-names" : false, "suffix" : "" } ], "container-title" : "Natural Volatiles &amp; Essential Oils", "id" : "ITEM-1", "issue" : "2", "issued" : { "date-parts" : [ [ "2015" ] ] }, "page" : "16-29", "title" : "Models of evaluation of antimicrobial activity of essential oils in vapour phase: a promising use in healthcare decontamination", "type" : "article-journal", "volume" : "2" }, "uris" : [ "http://www.mendeley.com/documents/?uuid=444082fe-8edb-4c4f-981a-26ca696de29d" ] }, { "id" : "ITEM-2", "itemData" : { "DOI" : "10.1371/journal.pone.0163147", "ISSN" : "19326203", "abstract" : "The aim of the present study was to determine the antibacterial activities of the phenolic essential oil (EO) compounds hinokitiol, carvacrol, thymol, and menthol against oral pathogens. Aggregatibacter actinomycetemcomitans, Streptococcus mutans, Methicillin-resistant Staphylococcus aureus (MRSA), and Escherichia. coli were used in this study. The minimum inhibitory concentrations (MICs), minimum bactericidal concentrations (MBCs), bacterial growth curves, temperature and pH stabilities, and synergistic effects of the liquid and vapor EO compounds were tested. The MIC/MBC of the EO compounds, ranging from the strongest to weakest, were hinokitiol (40-60 \u03bcg/mL/40-100 \u03bcg/mL), thymol (100-200 \u03bcg/mL/200-400 \u03bcg/mL), carvacrol (200-400 \u03bcg/mL/200-600 \u03bcg/mL), and menthol (500-more than 2500 \u03bcg/mL/1000-more than 2500 \u03bcg/mL). The antibacterial activities of the four EO phenolic compound based on the agar diffusion test and bacterial growth curves showed that the four EO phenolic compounds were stable under different temperatures for 24 h, but the thymol activity decreased when the temperature was higher than 80\u00b0C. The combination of liquid carvacrol with thymol did not show any synergistic effects. The activities of the vaporous carvacrol and thymol were inhibited by the presence of water. Continual violent shaking during culture enhanced the activity of menthol. Both liquid and vaporous hinokitiol were stable at different temperatures and pH conditions. The combination of vaporous hinokitiol with zinc oxide did not show synergistic effects. These results showed that the liquid and vapor phases of hinokitiol have strong anti-oral bacteria abilities. Hinokitiol has the potential to be applied in oral health care products, dental materials, and infection controls to exert antimicrobial activity.", "author" : [ { "dropping-particle" : "", "family" : "Wang", "given" : "Tong Hong", "non-dropping-particle" : "", "parse-names" : false, "suffix" : "" }, { "dropping-particle" : "", "family" : "Hsia", "given" : "Shih Min", "non-dropping-particle" : "", "parse-names" : false, "suffix" : "" }, { "dropping-particle" : "", "family" : "Wu", "given" : "Chi Hao", "non-dropping-particle" : "", "parse-names" : false, "suffix" : "" }, { "dropping-particle" : "", "family" : "Ko", "given" : "Shun Yao", "non-dropping-particle" : "", "parse-names" : false, "suffix" : "" }, { "dropping-particle" : "", "family" : "Chen", "given" : "Michael Yuanchien", "non-dropping-particle" : "", "parse-names" : false, "suffix" : "" }, { "dropping-particle" : "", "family" : "Shih", "given" : "Yin Hua", "non-dropping-particle" : "", "parse-names" : false, "suffix" : "" }, { "dropping-particle" : "", "family" : "Shieh", "given" : "Tzong Ming", "non-dropping-particle" : "", "parse-names" : false, "suffix" : "" }, { "dropping-particle" : "", "family" : "Chuang", "given" : "Li Chuan", "non-dropping-particle" : "", "parse-names" : false, "suffix" : "" }, { "dropping-particle" : "", "family" : "Wu", "given" : "Ching Yi", "non-dropping-particle" : "", "parse-names" : false, "suffix" : "" } ], "container-title" : "PLoS ONE", "id" : "ITEM-2", "issue" : "9", "issued" : { "date-parts" : [ [ "2016" ] ] }, "page" : "1-17", "title" : "Evaluation of the antibacterial potential of liquid and vapor phase phenolic essential oil compounds against oral microorganisms", "type" : "article-journal", "volume" : "11" }, "uris" : [ "http://www.mendeley.com/documents/?uuid=a0c9f1f1-67b5-49f7-a4e3-a59d7bd74135" ] } ], "mendeley" : { "formattedCitation" : "&lt;sup&gt;29, 33&lt;/sup&gt;", "manualFormatting" : "20, 24", "plainTextFormattedCitation" : "29, 33", "previouslyFormattedCitation" : "&lt;sup&gt;29, 33&lt;/sup&gt;" }, "properties" : { "noteIndex" : 4 }, "schema" : "https://github.com/citation-style-language/schema/raw/master/csl-citation.json" }</w:instrText>
      </w:r>
      <w:r w:rsidR="004116AE" w:rsidRPr="00551F38">
        <w:rPr>
          <w:lang w:val="en-US"/>
        </w:rPr>
        <w:fldChar w:fldCharType="separate"/>
      </w:r>
      <w:r w:rsidR="00123D65" w:rsidRPr="00551F38">
        <w:rPr>
          <w:vertAlign w:val="superscript"/>
          <w:lang w:val="en-US"/>
        </w:rPr>
        <w:t>20,</w:t>
      </w:r>
      <w:r w:rsidR="009340FF" w:rsidRPr="00551F38">
        <w:rPr>
          <w:vertAlign w:val="superscript"/>
          <w:lang w:val="en-US"/>
        </w:rPr>
        <w:t xml:space="preserve"> </w:t>
      </w:r>
      <w:r w:rsidR="00123D65" w:rsidRPr="00551F38">
        <w:rPr>
          <w:vertAlign w:val="superscript"/>
          <w:lang w:val="en-US"/>
        </w:rPr>
        <w:t>24</w:t>
      </w:r>
      <w:r w:rsidR="004116AE" w:rsidRPr="00551F38">
        <w:rPr>
          <w:lang w:val="en-US"/>
        </w:rPr>
        <w:fldChar w:fldCharType="end"/>
      </w:r>
      <w:r w:rsidR="004116AE" w:rsidRPr="00551F38">
        <w:rPr>
          <w:lang w:val="en-US"/>
        </w:rPr>
        <w:t xml:space="preserve">. Other approaches have been developed to provide quantitative measurement of </w:t>
      </w:r>
      <w:r w:rsidR="00107869" w:rsidRPr="00551F38">
        <w:rPr>
          <w:lang w:val="en-US"/>
        </w:rPr>
        <w:t xml:space="preserve">the </w:t>
      </w:r>
      <w:r w:rsidR="004116AE" w:rsidRPr="00551F38">
        <w:rPr>
          <w:lang w:val="en-US"/>
        </w:rPr>
        <w:t>vapor-phase antifungal susceptibility of essential oil</w:t>
      </w:r>
      <w:r w:rsidR="006A68D2" w:rsidRPr="00551F38">
        <w:rPr>
          <w:lang w:val="en-US"/>
        </w:rPr>
        <w:t>s</w:t>
      </w:r>
      <w:r w:rsidR="004116AE" w:rsidRPr="00551F38">
        <w:rPr>
          <w:lang w:val="en-US"/>
        </w:rPr>
        <w:t>, derived from the broth</w:t>
      </w:r>
      <w:r w:rsidR="00107869" w:rsidRPr="00551F38">
        <w:rPr>
          <w:lang w:val="en-US"/>
        </w:rPr>
        <w:t>-</w:t>
      </w:r>
      <w:r w:rsidR="004116AE" w:rsidRPr="00551F38">
        <w:rPr>
          <w:lang w:val="en-US"/>
        </w:rPr>
        <w:t xml:space="preserve">dilution method </w:t>
      </w:r>
      <w:r w:rsidR="00107869" w:rsidRPr="00551F38">
        <w:rPr>
          <w:lang w:val="en-US"/>
        </w:rPr>
        <w:t xml:space="preserve">from </w:t>
      </w:r>
      <w:r w:rsidR="004116AE" w:rsidRPr="00551F38">
        <w:rPr>
          <w:lang w:val="en-US"/>
        </w:rPr>
        <w:t xml:space="preserve">which an inhibitory </w:t>
      </w:r>
      <w:r w:rsidR="008D4C93" w:rsidRPr="00551F38">
        <w:rPr>
          <w:lang w:val="en-US"/>
        </w:rPr>
        <w:t>vapor</w:t>
      </w:r>
      <w:r w:rsidR="004116AE" w:rsidRPr="00551F38">
        <w:rPr>
          <w:lang w:val="en-US"/>
        </w:rPr>
        <w:t>-phase mediated antimicrobial activity</w:t>
      </w:r>
      <w:r w:rsidR="00107869" w:rsidRPr="00551F38">
        <w:rPr>
          <w:lang w:val="en-US"/>
        </w:rPr>
        <w:t xml:space="preserve"> was calculated</w:t>
      </w:r>
      <w:r w:rsidR="004116AE" w:rsidRPr="00551F38">
        <w:rPr>
          <w:lang w:val="en-US"/>
        </w:rPr>
        <w:fldChar w:fldCharType="begin" w:fldLock="1"/>
      </w:r>
      <w:r w:rsidR="00E26078" w:rsidRPr="00551F38">
        <w:rPr>
          <w:lang w:val="en-US"/>
        </w:rPr>
        <w:instrText>ADDIN CSL_CITATION { "citationItems" : [ { "id" : "ITEM-1", "itemData" : { "DOI" : "10.1038/s41598-018-22395-6", "ISSN" : "20452322", "abstract" : "Multi-resistant microorganisms continue to challenge medicine and fuel the search for new antimicrobials. Here we show that essential oils and their components are a promising class of antifungals that can have specific anti-Candida activity via their vapour-phase. We quantify the vapour-phase-mediated antimicrobial activity (VMAA) of 175 essential oils and 37 essential oil components, representing more than a 1,000 unique molecules, against C. albicans and C. glabrata in a novel vapour-phase-mediated susceptibility assay. Approximately half of the tested essential oils and their components show growth-inhibitory VMAA. Moreover, an average greater activity was observed against the intrinsically more resistant C. glabrata, with essential oil component citronellal having a highly significant differential VMAA. In contrast, representatives of each class of antifungals currently used in clinical practice showed no VMAA. The vapour-phase-mediated susceptibility assay presented here thus allows for the simple detection of VMAA and can advance the search for novel (applications of existing) antimicrobials. This study represents the first comprehensive characterisation of essential oils and their components as a unique class of antifungals with antimicrobial properties that differentiate them from existing antifungal classes.", "author" : [ { "dropping-particle" : "", "family" : "Feyaerts", "given" : "Adam F.", "non-dropping-particle" : "", "parse-names" : false, "suffix" : "" }, { "dropping-particle" : "", "family" : "Math\u00e9", "given" : "Lotte", "non-dropping-particle" : "", "parse-names" : false, "suffix" : "" }, { "dropping-particle" : "", "family" : "Luyten", "given" : "Walter", "non-dropping-particle" : "", "parse-names" : false, "suffix" : "" }, { "dropping-particle" : "", "family" : "Graeve", "given" : "Stijn", "non-dropping-particle" : "De", "parse-names" : false, "suffix" : "" }, { "dropping-particle" : "", "family" : "Dyck", "given" : "Katrien", "non-dropping-particle" : "Van", "parse-names" : false, "suffix" : "" }, { "dropping-particle" : "", "family" : "Broekx", "given" : "Lize", "non-dropping-particle" : "", "parse-names" : false, "suffix" : "" }, { "dropping-particle" : "", "family" : "Dijck", "given" : "Patrick", "non-dropping-particle" : "Van", "parse-names" : false, "suffix" : "" } ], "container-title" : "Scientific Reports", "id" : "ITEM-1", "issue" : "1", "issued" : { "date-parts" : [ [ "2018" ] ] }, "page" : "1-10", "title" : "Essential oils and their components are a class of antifungals with potent vapour-phase-mediated anti-Candida activity", "type" : "article-journal", "volume" : "8" }, "uris" : [ "http://www.mendeley.com/documents/?uuid=adee364e-b187-4f07-80f1-7407f84bfa6b" ] } ], "mendeley" : { "formattedCitation" : "&lt;sup&gt;32&lt;/sup&gt;", "plainTextFormattedCitation" : "32", "previouslyFormattedCitation" : "&lt;sup&gt;32&lt;/sup&gt;" }, "properties" : { "noteIndex" : 4 }, "schema" : "https://github.com/citation-style-language/schema/raw/master/csl-citation.json" }</w:instrText>
      </w:r>
      <w:r w:rsidR="004116AE" w:rsidRPr="00551F38">
        <w:rPr>
          <w:lang w:val="en-US"/>
        </w:rPr>
        <w:fldChar w:fldCharType="separate"/>
      </w:r>
      <w:r w:rsidR="00E26078" w:rsidRPr="00551F38">
        <w:rPr>
          <w:vertAlign w:val="superscript"/>
          <w:lang w:val="en-US"/>
        </w:rPr>
        <w:t>32</w:t>
      </w:r>
      <w:r w:rsidR="004116AE" w:rsidRPr="00551F38">
        <w:rPr>
          <w:lang w:val="en-US"/>
        </w:rPr>
        <w:fldChar w:fldCharType="end"/>
      </w:r>
      <w:r w:rsidR="00107869" w:rsidRPr="00551F38">
        <w:rPr>
          <w:lang w:val="en-US"/>
        </w:rPr>
        <w:t>,</w:t>
      </w:r>
      <w:r w:rsidR="004116AE" w:rsidRPr="00551F38">
        <w:rPr>
          <w:lang w:val="en-US"/>
        </w:rPr>
        <w:t xml:space="preserve"> or derived from agar-</w:t>
      </w:r>
      <w:r w:rsidR="00BD790C" w:rsidRPr="00551F38">
        <w:rPr>
          <w:lang w:val="en-US"/>
        </w:rPr>
        <w:t>disk</w:t>
      </w:r>
      <w:r w:rsidR="004116AE" w:rsidRPr="00551F38">
        <w:rPr>
          <w:lang w:val="en-US"/>
        </w:rPr>
        <w:t xml:space="preserve"> diffusion assay</w:t>
      </w:r>
      <w:r w:rsidR="007C52A0" w:rsidRPr="00551F38">
        <w:rPr>
          <w:lang w:val="en-US"/>
        </w:rPr>
        <w:t>s</w:t>
      </w:r>
      <w:r w:rsidR="004116AE" w:rsidRPr="00551F38">
        <w:rPr>
          <w:lang w:val="en-US"/>
        </w:rPr>
        <w:fldChar w:fldCharType="begin" w:fldLock="1"/>
      </w:r>
      <w:r w:rsidR="00E26078" w:rsidRPr="00551F38">
        <w:rPr>
          <w:lang w:val="en-US"/>
        </w:rPr>
        <w:instrText>ADDIN CSL_CITATION { "citationItems" : [ { "id" : "ITEM-1", "itemData" : { "DOI" : "10.1111/lam.12804", "ISSN" : "1472765X", "abstract" : "The objectives of this study were to develop a new assay for the evaluation of the antimicrobial activities of essential oils (EOs) in vapour phase and to demonstrate the antimicrobial activities of commercial EOs against BRPs. To achieve the first objective, a microtube cap containing 100\u00a0\u03bcl of EO was embedded in an agar plate. An agar plug (diameter 13\u00a0mm) inoculated with a bacterial suspension containing108\u00a0CFU per ml was then placed over the cap and incubated at 37\u00b0C for 24\u00a0h. Subsequently, bacteria were recovered from the agar plug by immersion in 5\u00a0ml of broth for 10\u00a0min, followed by vortexing for 30\u00a0s, and the broths were then plated for enumeration. To demonstrate the usefulness of the assay, nine commercial EOs derived from the following specific plants: ajowan, carrot seed, cinnamon leaf, citronella, fennel, ginger grass, lavender, rosemary and thyme were first evaluated for their vapour phase antimicrobial activities against Mannheimia haemolytica serotype 1. Selected EOs were further tested against Pasteurella multocida and Histophilus somni. The EOs of ajowan, thyme and cinnamon leaf completely or partially inhibited BRPs growth. This new assay provided reproducible results on the vapour phase antimicrobial activities of EOs against BRPs. These results support further study of EOs as a potential mitigation strategy against BRPs. Significance and Impact of the Study: In this study, we present a new vapour phase assay for evaluating the antimicrobial activities of essential oils (EO) against bovine respiratory pathogens (BRPs). Using this assay, we identified EOs, such as ajowan, thyme and cinnamon leaf, that can effectively inhibit growth of the BRPs Mannheimia haemolytica serotype 1, Pasteurella multocida and Histophilus somni. This is the first study to demonstrate the vapour phase antimicrobial activity of EOs against BRPs.", "author" : [ { "dropping-particle" : "", "family" : "Amat", "given" : "S.", "non-dropping-particle" : "", "parse-names" : false, "suffix" : "" }, { "dropping-particle" : "", "family" : "Baines", "given" : "D.", "non-dropping-particle" : "", "parse-names" : false, "suffix" : "" }, { "dropping-particle" : "", "family" : "Alexander", "given" : "T. W.", "non-dropping-particle" : "", "parse-names" : false, "suffix" : "" } ], "container-title" : "Letters in Applied Microbiology", "id" : "ITEM-1", "issue" : "6", "issued" : { "date-parts" : [ [ "2017" ] ] }, "page" : "489-495", "title" : "A vapour phase assay for evaluating the antimicrobial activities of essential oils against bovine respiratory bacterial pathogens", "type" : "article-journal", "volume" : "65" }, "uris" : [ "http://www.mendeley.com/documents/?uuid=b94e3f9a-40c5-406a-8b92-d863f7fe8245" ] } ], "mendeley" : { "formattedCitation" : "&lt;sup&gt;31&lt;/sup&gt;", "plainTextFormattedCitation" : "31", "previouslyFormattedCitation" : "&lt;sup&gt;31&lt;/sup&gt;" }, "properties" : { "noteIndex" : 4 }, "schema" : "https://github.com/citation-style-language/schema/raw/master/csl-citation.json" }</w:instrText>
      </w:r>
      <w:r w:rsidR="004116AE" w:rsidRPr="00551F38">
        <w:rPr>
          <w:lang w:val="en-US"/>
        </w:rPr>
        <w:fldChar w:fldCharType="separate"/>
      </w:r>
      <w:r w:rsidR="00E26078" w:rsidRPr="00551F38">
        <w:rPr>
          <w:vertAlign w:val="superscript"/>
          <w:lang w:val="en-US"/>
        </w:rPr>
        <w:t>31</w:t>
      </w:r>
      <w:r w:rsidR="004116AE" w:rsidRPr="00551F38">
        <w:rPr>
          <w:lang w:val="en-US"/>
        </w:rPr>
        <w:fldChar w:fldCharType="end"/>
      </w:r>
      <w:r w:rsidR="004116AE" w:rsidRPr="00551F38">
        <w:rPr>
          <w:lang w:val="en-US"/>
        </w:rPr>
        <w:t>.</w:t>
      </w:r>
      <w:r w:rsidR="0044776D" w:rsidRPr="00551F38">
        <w:rPr>
          <w:lang w:val="en-US"/>
        </w:rPr>
        <w:t xml:space="preserve"> </w:t>
      </w:r>
      <w:r w:rsidR="002B6FBB" w:rsidRPr="00551F38">
        <w:rPr>
          <w:color w:val="auto"/>
          <w:lang w:val="en-US"/>
        </w:rPr>
        <w:t>These methods are generally specific to vapor-phase activity stud</w:t>
      </w:r>
      <w:r w:rsidR="001A4BD8" w:rsidRPr="00551F38">
        <w:rPr>
          <w:color w:val="auto"/>
          <w:lang w:val="en-US"/>
        </w:rPr>
        <w:t>ies</w:t>
      </w:r>
      <w:r w:rsidR="002B6FBB" w:rsidRPr="00551F38">
        <w:rPr>
          <w:color w:val="auto"/>
          <w:lang w:val="en-US"/>
        </w:rPr>
        <w:t xml:space="preserve"> and</w:t>
      </w:r>
      <w:r w:rsidR="002B6FBB" w:rsidRPr="00551F38">
        <w:rPr>
          <w:color w:val="FF0000"/>
          <w:lang w:val="en-US"/>
        </w:rPr>
        <w:t xml:space="preserve"> </w:t>
      </w:r>
      <w:r w:rsidR="004D1B29" w:rsidRPr="00551F38">
        <w:rPr>
          <w:color w:val="auto"/>
          <w:lang w:val="en-US"/>
        </w:rPr>
        <w:t>not</w:t>
      </w:r>
      <w:r w:rsidR="00FF76DC" w:rsidRPr="00551F38">
        <w:rPr>
          <w:color w:val="auto"/>
          <w:lang w:val="en-US"/>
        </w:rPr>
        <w:t xml:space="preserve"> appropriate</w:t>
      </w:r>
      <w:r w:rsidR="002B6FBB" w:rsidRPr="00551F38">
        <w:rPr>
          <w:color w:val="auto"/>
          <w:lang w:val="en-US"/>
        </w:rPr>
        <w:t xml:space="preserve"> to contact</w:t>
      </w:r>
      <w:r w:rsidR="007C52A0" w:rsidRPr="00551F38">
        <w:rPr>
          <w:color w:val="auto"/>
          <w:lang w:val="en-US"/>
        </w:rPr>
        <w:t>-</w:t>
      </w:r>
      <w:r w:rsidR="002B6FBB" w:rsidRPr="00551F38">
        <w:rPr>
          <w:color w:val="auto"/>
          <w:lang w:val="en-US"/>
        </w:rPr>
        <w:t>inhibition assays</w:t>
      </w:r>
      <w:r w:rsidR="00D50B06" w:rsidRPr="00551F38">
        <w:rPr>
          <w:color w:val="auto"/>
          <w:lang w:val="en-US"/>
        </w:rPr>
        <w:t>.</w:t>
      </w:r>
      <w:r w:rsidR="002C4D7D" w:rsidRPr="00551F38">
        <w:rPr>
          <w:color w:val="auto"/>
          <w:lang w:val="en-US"/>
        </w:rPr>
        <w:t xml:space="preserve"> </w:t>
      </w:r>
      <w:r w:rsidR="00D50B06" w:rsidRPr="00551F38">
        <w:rPr>
          <w:color w:val="auto"/>
          <w:lang w:val="en-US"/>
        </w:rPr>
        <w:t>This</w:t>
      </w:r>
      <w:r w:rsidR="002C4D7D" w:rsidRPr="00551F38">
        <w:rPr>
          <w:color w:val="auto"/>
          <w:lang w:val="en-US"/>
        </w:rPr>
        <w:t xml:space="preserve"> </w:t>
      </w:r>
      <w:r w:rsidR="004D1B29" w:rsidRPr="00551F38">
        <w:rPr>
          <w:color w:val="auto"/>
          <w:lang w:val="en-US"/>
        </w:rPr>
        <w:t xml:space="preserve">precludes </w:t>
      </w:r>
      <w:r w:rsidR="001A4BD8" w:rsidRPr="00551F38">
        <w:rPr>
          <w:color w:val="auto"/>
          <w:lang w:val="en-US"/>
        </w:rPr>
        <w:t>the determination of the relative contribution of volatile and non</w:t>
      </w:r>
      <w:r w:rsidR="003B5C17" w:rsidRPr="00551F38">
        <w:rPr>
          <w:color w:val="auto"/>
          <w:lang w:val="en-US"/>
        </w:rPr>
        <w:t>-</w:t>
      </w:r>
      <w:r w:rsidR="001A4BD8" w:rsidRPr="00551F38">
        <w:rPr>
          <w:color w:val="auto"/>
          <w:lang w:val="en-US"/>
        </w:rPr>
        <w:t xml:space="preserve">volatile agents </w:t>
      </w:r>
      <w:r w:rsidR="004D1B29" w:rsidRPr="00551F38">
        <w:rPr>
          <w:color w:val="auto"/>
          <w:lang w:val="en-US"/>
        </w:rPr>
        <w:t>to the antifungal activity of</w:t>
      </w:r>
      <w:r w:rsidR="001A4BD8" w:rsidRPr="00551F38">
        <w:rPr>
          <w:color w:val="auto"/>
          <w:lang w:val="en-US"/>
        </w:rPr>
        <w:t xml:space="preserve"> a complex </w:t>
      </w:r>
      <w:r w:rsidR="004D1B29" w:rsidRPr="00551F38">
        <w:rPr>
          <w:color w:val="auto"/>
          <w:lang w:val="en-US"/>
        </w:rPr>
        <w:t>bio</w:t>
      </w:r>
      <w:r w:rsidR="00D50B06" w:rsidRPr="00551F38">
        <w:rPr>
          <w:color w:val="auto"/>
          <w:lang w:val="en-US"/>
        </w:rPr>
        <w:t>active</w:t>
      </w:r>
      <w:r w:rsidR="004D1B29" w:rsidRPr="00551F38">
        <w:rPr>
          <w:color w:val="auto"/>
          <w:lang w:val="en-US"/>
        </w:rPr>
        <w:t xml:space="preserve"> </w:t>
      </w:r>
      <w:r w:rsidR="001A4BD8" w:rsidRPr="00551F38">
        <w:rPr>
          <w:color w:val="auto"/>
          <w:lang w:val="en-US"/>
        </w:rPr>
        <w:t>mixture.</w:t>
      </w:r>
    </w:p>
    <w:p w14:paraId="1E60B44F" w14:textId="77777777" w:rsidR="00551F38" w:rsidRPr="00551F38" w:rsidRDefault="00551F38" w:rsidP="00551F38">
      <w:pPr>
        <w:pStyle w:val="Default"/>
        <w:jc w:val="both"/>
        <w:rPr>
          <w:lang w:val="en-US"/>
        </w:rPr>
      </w:pPr>
    </w:p>
    <w:p w14:paraId="3355845D" w14:textId="1094251E" w:rsidR="008C790E" w:rsidRPr="00551F38" w:rsidRDefault="008C790E" w:rsidP="00551F38">
      <w:pPr>
        <w:pStyle w:val="Default"/>
        <w:jc w:val="both"/>
        <w:rPr>
          <w:color w:val="auto"/>
          <w:lang w:val="en-US"/>
        </w:rPr>
      </w:pPr>
      <w:r w:rsidRPr="00551F38">
        <w:rPr>
          <w:lang w:val="en-US"/>
        </w:rPr>
        <w:t xml:space="preserve">The quantitative method we have developed aims </w:t>
      </w:r>
      <w:r w:rsidR="00480FC4" w:rsidRPr="00551F38">
        <w:rPr>
          <w:lang w:val="en-US"/>
        </w:rPr>
        <w:t>to</w:t>
      </w:r>
      <w:r w:rsidRPr="00551F38">
        <w:rPr>
          <w:lang w:val="en-US"/>
        </w:rPr>
        <w:t xml:space="preserve"> measur</w:t>
      </w:r>
      <w:r w:rsidR="00480FC4" w:rsidRPr="00551F38">
        <w:rPr>
          <w:lang w:val="en-US"/>
        </w:rPr>
        <w:t>e</w:t>
      </w:r>
      <w:r w:rsidRPr="00551F38">
        <w:rPr>
          <w:lang w:val="en-US"/>
        </w:rPr>
        <w:t xml:space="preserve"> </w:t>
      </w:r>
      <w:r w:rsidR="00480FC4" w:rsidRPr="00551F38">
        <w:rPr>
          <w:lang w:val="en-US"/>
        </w:rPr>
        <w:t xml:space="preserve">the </w:t>
      </w:r>
      <w:r w:rsidRPr="00551F38">
        <w:rPr>
          <w:lang w:val="en-US"/>
        </w:rPr>
        <w:t>antifungal effect of dried</w:t>
      </w:r>
      <w:r w:rsidR="00480FC4" w:rsidRPr="00551F38">
        <w:rPr>
          <w:lang w:val="en-US"/>
        </w:rPr>
        <w:t>-</w:t>
      </w:r>
      <w:r w:rsidRPr="00551F38">
        <w:rPr>
          <w:lang w:val="en-US"/>
        </w:rPr>
        <w:t xml:space="preserve">plant powder on controlled quantities of spores and grown mycelium </w:t>
      </w:r>
      <w:r w:rsidRPr="00551F38">
        <w:rPr>
          <w:color w:val="auto"/>
          <w:lang w:val="en-US"/>
        </w:rPr>
        <w:t xml:space="preserve">deposited on the surface of </w:t>
      </w:r>
      <w:r w:rsidR="00480FC4" w:rsidRPr="00551F38">
        <w:rPr>
          <w:color w:val="auto"/>
          <w:lang w:val="en-US"/>
        </w:rPr>
        <w:t xml:space="preserve">an </w:t>
      </w:r>
      <w:r w:rsidRPr="00551F38">
        <w:rPr>
          <w:color w:val="auto"/>
          <w:lang w:val="en-US"/>
        </w:rPr>
        <w:t>agar medium to reproduce the aerial growth of phytopathogens during infection of plants</w:t>
      </w:r>
      <w:r w:rsidRPr="00551F38">
        <w:rPr>
          <w:color w:val="auto"/>
          <w:lang w:val="en-US"/>
        </w:rPr>
        <w:fldChar w:fldCharType="begin" w:fldLock="1"/>
      </w:r>
      <w:r w:rsidRPr="00551F38">
        <w:rPr>
          <w:color w:val="auto"/>
          <w:lang w:val="en-US"/>
        </w:rPr>
        <w:instrText>ADDIN CSL_CITATION { "citationItems" : [ { "id" : "ITEM-1", "itemData" : { "DOI" : "10.1186/s13568-016-0265-1", "ISSN" : "2191-0855", "PMID" : "27704469", "abstract" : "Mushroom cultivation is reported as an economically viable bio-technology process for conversion of various lignocellulosic wastes. Given the lack of technology know-how on the cultivation of mushroom, this study was conducted in Wondo Genet College of Forestry and Natural Resource, with the aim to assess the suitability of selected substrates (agricultural and/or forest wastes) for oyster mushroom cultivation. Accordingly, four substrates (cotton seed, paper waste, wheat straw, and sawdust) were tested for their efficacy in oyster mushroom production. Pure culture of oyster mushroom was obtained from Mycology laboratory, Department of Plant Biology and Biodiversity Management, Addis Ababa University. The pure culture was inoculated on potato dextrose agar for spawn preparation. Then, the spawn containing sorghum was inoculated with the fungal culture for the formation of fruiting bodies on the agricultural wastes. The oyster mushroom cultivation was undertaken under aseptic conditions, and the growth and development of mushroom were monitored daily. Results of the study revealed that oyster mushroom can grow on cotton seed, paper waste, sawdust and wheat straw, with varying growth performances. The highest biological and economic yield, as well as the highest percentage of biological efficiency of oyster mushroom was obtained from cotton seed, while the least was from sawdust. The study recommends cotton seed, followed by paper waste as suitable substrates for the cultivation of oyster mushroom. It also suggests that there is a need for further investigation on various aspects of oyster mushroom cultivation in Ethiopia to promote the industry.", "author" : [ { "dropping-particle" : "", "family" : "Girmay", "given" : "Zenebe", "non-dropping-particle" : "", "parse-names" : false, "suffix" : "" }, { "dropping-particle" : "", "family" : "Gorems", "given" : "Weldesemayat", "non-dropping-particle" : "", "parse-names" : false, "suffix" : "" }, { "dropping-particle" : "", "family" : "Birhanu", "given" : "Getachew", "non-dropping-particle" : "", "parse-names" : false, "suffix" : "" }, { "dropping-particle" : "", "family" : "Zewdie", "given" : "Solomon", "non-dropping-particle" : "", "parse-names" : false, "suffix" : "" } ], "container-title" : "AMB Express", "id" : "ITEM-1", "issue" : "1", "issued" : { "date-parts" : [ [ "2016", "12" ] ] }, "page" : "87", "publisher" : "Springer Berlin Heidelberg", "title" : "Growth and yield performance of Pleurotus ostreatus (Jacq. Fr.) Kumm (oyster mushroom) on different substrates.", "type" : "article-journal", "volume" : "6" }, "uris" : [ "http://www.mendeley.com/documents/?uuid=5775b42e-af26-4da8-b993-6973a7307a1a" ] } ], "mendeley" : { "formattedCitation" : "&lt;sup&gt;15&lt;/sup&gt;", "plainTextFormattedCitation" : "15", "previouslyFormattedCitation" : "&lt;sup&gt;15&lt;/sup&gt;" }, "properties" : { "noteIndex" : 2 }, "schema" : "https://github.com/citation-style-language/schema/raw/master/csl-citation.json" }</w:instrText>
      </w:r>
      <w:r w:rsidRPr="00551F38">
        <w:rPr>
          <w:color w:val="auto"/>
          <w:lang w:val="en-US"/>
        </w:rPr>
        <w:fldChar w:fldCharType="separate"/>
      </w:r>
      <w:r w:rsidRPr="00551F38">
        <w:rPr>
          <w:color w:val="auto"/>
          <w:vertAlign w:val="superscript"/>
          <w:lang w:val="en-US"/>
        </w:rPr>
        <w:t>15</w:t>
      </w:r>
      <w:r w:rsidRPr="00551F38">
        <w:rPr>
          <w:color w:val="auto"/>
          <w:lang w:val="en-US"/>
        </w:rPr>
        <w:fldChar w:fldCharType="end"/>
      </w:r>
      <w:r w:rsidRPr="00551F38">
        <w:rPr>
          <w:color w:val="auto"/>
          <w:lang w:val="en-US"/>
        </w:rPr>
        <w:t xml:space="preserve"> as well as </w:t>
      </w:r>
      <w:r w:rsidR="00480FC4" w:rsidRPr="00551F38">
        <w:rPr>
          <w:color w:val="auto"/>
          <w:lang w:val="en-US"/>
        </w:rPr>
        <w:t xml:space="preserve">an </w:t>
      </w:r>
      <w:r w:rsidRPr="00551F38">
        <w:rPr>
          <w:color w:val="auto"/>
          <w:lang w:val="en-US"/>
        </w:rPr>
        <w:t>interconnected mycelial network</w:t>
      </w:r>
      <w:r w:rsidRPr="00551F38">
        <w:rPr>
          <w:color w:val="auto"/>
          <w:lang w:val="en-US"/>
        </w:rPr>
        <w:fldChar w:fldCharType="begin" w:fldLock="1"/>
      </w:r>
      <w:r w:rsidRPr="00551F38">
        <w:rPr>
          <w:color w:val="auto"/>
          <w:lang w:val="en-US"/>
        </w:rPr>
        <w:instrText>ADDIN CSL_CITATION { "citationItems" : [ { "id" : "ITEM-1", "itemData" : { "DOI" : "10.3389/fmicb.2019.00619", "abstract" : "Cell-to-cell communication and cell fusion are fundamental biological processes across the tree of life. Survival is often dependent upon being able to identify nearby individuals and respond appropriately. Communication between genetically different individuals allows for the identification of potential mating partners, symbionts, prey, or predators. In contrast, communication between genetically similar (or identical) individuals is important for mediating the development of multicellular organisms or for coordinating density-dependent behaviors (i.e. quorum sensing). This review describes the molecular and genetic mechanisms that mediate cell-to-cell communication and cell fusion between cells of Ascomycete filamentous fungi, with a focus on Neurospora crassa. Filamentous fungi exist as a multicellular, multinuclear network of hyphae, and communication-mediated cell fusion is an important aspect of colony development at each stage of the life cycle. Asexual spore germination occurs in a density-dependent manner. Germinated spores (germlings) avoid spores that are genetically different at specific loci, while chemotropically engaging with cells that share identity at these recognition loci. Germlings with genetic identity at recognition loci undergo cell fusion when in close proximity, a fitness attribute that contributes to more rapid colony establishment. Communication and cell fusion also occur between hyphae in a colony, which are important for reinforcing colony architecture and supporting the development of complex structures such as aerial hyphae and sexual reproductive structures. Over 70 genes have been identified in filamentous fungi (primarily N. crassa) that are involved in kind recognition, chemotropic interactions, and cell fusion. While the hypothetical signal(s) and receptor(s) remain to be described, a dynamic molecular signaling network that regulates cell-cell interactions has been revealed, including two conserved MAP-Kinase cascades, a conserved STRIPAK complex, transcription factors, a NOX complex involved in the generation of reactive oxygen species, cell-integrity sensors, actin, components of the secretory pathway, and several other proteins. Together these pathways facilitate the integration of extracellular signals, direct polarized growth, and initiate a transcriptional program that reinforces signaling and prepares cells for downstream processes, such as membrane merger, cell fusion and adaptation to heterokaryon formation.", "author" : [ { "dropping-particle" : "", "family" : "Fischer", "given" : "Monika S.", "non-dropping-particle" : "", "parse-names" : false, "suffix" : "" }, { "dropping-particle" : "", "family" : "Glass", "given" : "N. Louise", "non-dropping-particle" : "", "parse-names" : false, "suffix" : "" } ], "container-title" : "Frontiers in Microbiology", "id" : "ITEM-1", "issue" : "March", "issued" : { "date-parts" : [ [ "2019" ] ] }, "page" : "1-20", "title" : "Communicate and Fuse: How Filamentous Fungi Establish and Maintain an Interconnected Mycelial Network", "type" : "article-journal", "volume" : "10" }, "uris" : [ "http://www.mendeley.com/documents/?uuid=0c408579-c830-4eb3-98e6-0c38cf2775bb" ] } ], "mendeley" : { "formattedCitation" : "&lt;sup&gt;16&lt;/sup&gt;", "plainTextFormattedCitation" : "16", "previouslyFormattedCitation" : "&lt;sup&gt;16&lt;/sup&gt;" }, "properties" : { "noteIndex" : 2 }, "schema" : "https://github.com/citation-style-language/schema/raw/master/csl-citation.json" }</w:instrText>
      </w:r>
      <w:r w:rsidRPr="00551F38">
        <w:rPr>
          <w:color w:val="auto"/>
          <w:lang w:val="en-US"/>
        </w:rPr>
        <w:fldChar w:fldCharType="separate"/>
      </w:r>
      <w:r w:rsidRPr="00551F38">
        <w:rPr>
          <w:color w:val="auto"/>
          <w:vertAlign w:val="superscript"/>
          <w:lang w:val="en-US"/>
        </w:rPr>
        <w:t>16</w:t>
      </w:r>
      <w:r w:rsidRPr="00551F38">
        <w:rPr>
          <w:color w:val="auto"/>
          <w:lang w:val="en-US"/>
        </w:rPr>
        <w:fldChar w:fldCharType="end"/>
      </w:r>
      <w:r w:rsidRPr="00551F38">
        <w:rPr>
          <w:color w:val="auto"/>
          <w:lang w:val="en-US"/>
        </w:rPr>
        <w:t xml:space="preserve">. The approach is a modified experimental setup based on </w:t>
      </w:r>
      <w:r w:rsidR="007B536B" w:rsidRPr="00551F38">
        <w:rPr>
          <w:color w:val="auto"/>
          <w:lang w:val="en-US"/>
        </w:rPr>
        <w:t xml:space="preserve">the </w:t>
      </w:r>
      <w:r w:rsidRPr="00551F38">
        <w:rPr>
          <w:color w:val="auto"/>
          <w:lang w:val="en-US"/>
        </w:rPr>
        <w:t>agar-dilution and food</w:t>
      </w:r>
      <w:r w:rsidR="007B536B" w:rsidRPr="00551F38">
        <w:rPr>
          <w:color w:val="auto"/>
          <w:lang w:val="en-US"/>
        </w:rPr>
        <w:t>-</w:t>
      </w:r>
      <w:r w:rsidRPr="00551F38">
        <w:rPr>
          <w:color w:val="auto"/>
          <w:lang w:val="en-US"/>
        </w:rPr>
        <w:t>poisoned method</w:t>
      </w:r>
      <w:r w:rsidR="007B536B" w:rsidRPr="00551F38">
        <w:rPr>
          <w:color w:val="auto"/>
          <w:lang w:val="en-US"/>
        </w:rPr>
        <w:t>s</w:t>
      </w:r>
      <w:r w:rsidR="009A0FAE" w:rsidRPr="00551F38">
        <w:rPr>
          <w:color w:val="auto"/>
          <w:lang w:val="en-US"/>
        </w:rPr>
        <w:t xml:space="preserve"> </w:t>
      </w:r>
      <w:r w:rsidRPr="00551F38">
        <w:rPr>
          <w:color w:val="auto"/>
          <w:lang w:val="en-US"/>
        </w:rPr>
        <w:t>that also allows, in the same experimental setup, side-by-side quantification of the contribution of both volatile and non-volatile antifungal metabolites. In this study, the method has been benchmarked against the activity of three well-characterized antifungal preparations.</w:t>
      </w:r>
    </w:p>
    <w:p w14:paraId="4B16756C" w14:textId="72C3A173" w:rsidR="008C790E" w:rsidRPr="00551F38" w:rsidRDefault="008C790E" w:rsidP="008C790E">
      <w:pPr>
        <w:pStyle w:val="Default"/>
        <w:ind w:firstLine="720"/>
        <w:jc w:val="both"/>
        <w:rPr>
          <w:lang w:val="en-US"/>
        </w:rPr>
      </w:pPr>
    </w:p>
    <w:p w14:paraId="3D4CD2F3" w14:textId="183AA9B2" w:rsidR="006305D7" w:rsidRPr="00551F38" w:rsidRDefault="006305D7" w:rsidP="009A0FAE">
      <w:pPr>
        <w:pStyle w:val="Default"/>
        <w:jc w:val="both"/>
        <w:rPr>
          <w:rFonts w:asciiTheme="minorHAnsi" w:hAnsiTheme="minorHAnsi" w:cstheme="minorHAnsi"/>
          <w:strike/>
          <w:color w:val="auto"/>
          <w:lang w:val="en-US"/>
        </w:rPr>
      </w:pPr>
      <w:r w:rsidRPr="00551F38">
        <w:rPr>
          <w:rFonts w:asciiTheme="minorHAnsi" w:hAnsiTheme="minorHAnsi" w:cstheme="minorHAnsi"/>
          <w:b/>
          <w:lang w:val="en-US"/>
        </w:rPr>
        <w:t>PROTOCOL:</w:t>
      </w:r>
    </w:p>
    <w:p w14:paraId="2C842A25" w14:textId="77777777" w:rsidR="0046282B" w:rsidRPr="00551F38" w:rsidRDefault="0046282B" w:rsidP="001B1519">
      <w:pPr>
        <w:rPr>
          <w:rFonts w:asciiTheme="minorHAnsi" w:hAnsiTheme="minorHAnsi" w:cstheme="minorHAnsi"/>
          <w:color w:val="808080" w:themeColor="background1" w:themeShade="80"/>
        </w:rPr>
      </w:pPr>
    </w:p>
    <w:p w14:paraId="4415C64E" w14:textId="0BBADEC4" w:rsidR="0046282B" w:rsidRPr="00551F38" w:rsidRDefault="00B83437" w:rsidP="000119B1">
      <w:pPr>
        <w:pStyle w:val="ListParagraph"/>
        <w:widowControl/>
        <w:numPr>
          <w:ilvl w:val="0"/>
          <w:numId w:val="30"/>
        </w:numPr>
        <w:autoSpaceDE/>
        <w:autoSpaceDN/>
        <w:adjustRightInd/>
        <w:spacing w:line="259" w:lineRule="auto"/>
        <w:ind w:left="0" w:firstLine="0"/>
        <w:rPr>
          <w:rFonts w:cstheme="minorHAnsi"/>
        </w:rPr>
      </w:pPr>
      <w:proofErr w:type="spellStart"/>
      <w:r w:rsidRPr="00551F38">
        <w:rPr>
          <w:rFonts w:cstheme="minorHAnsi"/>
          <w:b/>
          <w:bCs/>
        </w:rPr>
        <w:t>I</w:t>
      </w:r>
      <w:r w:rsidR="0046282B" w:rsidRPr="00551F38">
        <w:rPr>
          <w:rFonts w:cstheme="minorHAnsi"/>
          <w:b/>
          <w:bCs/>
        </w:rPr>
        <w:t>nocula</w:t>
      </w:r>
      <w:proofErr w:type="spellEnd"/>
      <w:r w:rsidR="0046282B" w:rsidRPr="00551F38">
        <w:rPr>
          <w:rFonts w:cstheme="minorHAnsi"/>
          <w:b/>
          <w:bCs/>
        </w:rPr>
        <w:t xml:space="preserve"> </w:t>
      </w:r>
      <w:r w:rsidRPr="00551F38">
        <w:rPr>
          <w:rFonts w:cstheme="minorHAnsi"/>
          <w:b/>
          <w:bCs/>
        </w:rPr>
        <w:t>preparation</w:t>
      </w:r>
    </w:p>
    <w:p w14:paraId="586457AB" w14:textId="77777777" w:rsidR="0046282B" w:rsidRPr="00551F38" w:rsidRDefault="0046282B" w:rsidP="009268CF">
      <w:pPr>
        <w:pStyle w:val="ListParagraph"/>
        <w:ind w:left="0"/>
        <w:rPr>
          <w:rFonts w:cstheme="minorHAnsi"/>
          <w:bCs/>
        </w:rPr>
      </w:pPr>
    </w:p>
    <w:p w14:paraId="1C841470" w14:textId="287A4F25" w:rsidR="0046282B" w:rsidRPr="00551F38" w:rsidRDefault="00AF3F6F" w:rsidP="009268CF">
      <w:pPr>
        <w:pStyle w:val="ListParagraph"/>
        <w:widowControl/>
        <w:numPr>
          <w:ilvl w:val="1"/>
          <w:numId w:val="30"/>
        </w:numPr>
        <w:autoSpaceDE/>
        <w:autoSpaceDN/>
        <w:adjustRightInd/>
        <w:spacing w:line="259" w:lineRule="auto"/>
        <w:ind w:left="0" w:firstLine="0"/>
        <w:rPr>
          <w:rFonts w:cstheme="minorHAnsi"/>
          <w:bCs/>
        </w:rPr>
      </w:pPr>
      <w:r w:rsidRPr="00551F38">
        <w:rPr>
          <w:rFonts w:cstheme="minorHAnsi"/>
          <w:bCs/>
        </w:rPr>
        <w:t>P</w:t>
      </w:r>
      <w:r w:rsidR="0046282B" w:rsidRPr="00551F38">
        <w:rPr>
          <w:rFonts w:cstheme="minorHAnsi"/>
          <w:bCs/>
        </w:rPr>
        <w:t xml:space="preserve">rior to </w:t>
      </w:r>
      <w:r w:rsidR="002401C8" w:rsidRPr="00551F38">
        <w:rPr>
          <w:rFonts w:cstheme="minorHAnsi"/>
          <w:bCs/>
        </w:rPr>
        <w:t xml:space="preserve">the </w:t>
      </w:r>
      <w:r w:rsidR="0046282B" w:rsidRPr="00551F38">
        <w:rPr>
          <w:rFonts w:cstheme="minorHAnsi"/>
          <w:bCs/>
        </w:rPr>
        <w:t xml:space="preserve">experiment, </w:t>
      </w:r>
      <w:r w:rsidR="00FD2150" w:rsidRPr="00551F38">
        <w:rPr>
          <w:rFonts w:cstheme="minorHAnsi"/>
          <w:bCs/>
        </w:rPr>
        <w:t xml:space="preserve">lay </w:t>
      </w:r>
      <w:r w:rsidRPr="00551F38">
        <w:rPr>
          <w:rFonts w:cstheme="minorHAnsi"/>
          <w:bCs/>
        </w:rPr>
        <w:t xml:space="preserve">5 µL of </w:t>
      </w:r>
      <w:r w:rsidR="00FD2150" w:rsidRPr="00551F38">
        <w:rPr>
          <w:rFonts w:cstheme="minorHAnsi"/>
          <w:bCs/>
          <w:i/>
          <w:iCs/>
        </w:rPr>
        <w:t>Trichoderma</w:t>
      </w:r>
      <w:r w:rsidR="00561A29" w:rsidRPr="00551F38">
        <w:rPr>
          <w:rFonts w:cstheme="minorHAnsi"/>
          <w:bCs/>
          <w:i/>
          <w:iCs/>
        </w:rPr>
        <w:t xml:space="preserve"> spp.</w:t>
      </w:r>
      <w:r w:rsidR="008A053D" w:rsidRPr="00551F38">
        <w:rPr>
          <w:rFonts w:cstheme="minorHAnsi"/>
          <w:bCs/>
        </w:rPr>
        <w:t xml:space="preserve"> </w:t>
      </w:r>
      <w:r w:rsidR="008A053D" w:rsidRPr="00551F38">
        <w:rPr>
          <w:rFonts w:cstheme="minorHAnsi"/>
          <w:bCs/>
          <w:color w:val="auto"/>
        </w:rPr>
        <w:t>SBT10-2018</w:t>
      </w:r>
      <w:r w:rsidR="00FD2150" w:rsidRPr="00551F38">
        <w:rPr>
          <w:rFonts w:cstheme="minorHAnsi"/>
          <w:bCs/>
          <w:color w:val="auto"/>
        </w:rPr>
        <w:t xml:space="preserve"> </w:t>
      </w:r>
      <w:r w:rsidRPr="00551F38">
        <w:rPr>
          <w:rFonts w:cstheme="minorHAnsi"/>
          <w:bCs/>
        </w:rPr>
        <w:t>spores stored at 4 °C on</w:t>
      </w:r>
      <w:r w:rsidR="003532DB" w:rsidRPr="00551F38">
        <w:rPr>
          <w:rFonts w:cstheme="minorHAnsi"/>
          <w:bCs/>
        </w:rPr>
        <w:t xml:space="preserve"> </w:t>
      </w:r>
      <w:r w:rsidR="00E04442" w:rsidRPr="00551F38">
        <w:rPr>
          <w:rFonts w:cstheme="minorHAnsi"/>
          <w:bCs/>
        </w:rPr>
        <w:t>p</w:t>
      </w:r>
      <w:r w:rsidRPr="00551F38">
        <w:rPr>
          <w:rFonts w:cstheme="minorHAnsi"/>
          <w:bCs/>
        </w:rPr>
        <w:t xml:space="preserve">otato </w:t>
      </w:r>
      <w:r w:rsidR="00E04442" w:rsidRPr="00551F38">
        <w:rPr>
          <w:rFonts w:cstheme="minorHAnsi"/>
          <w:bCs/>
        </w:rPr>
        <w:t>d</w:t>
      </w:r>
      <w:r w:rsidRPr="00551F38">
        <w:rPr>
          <w:rFonts w:cstheme="minorHAnsi"/>
          <w:bCs/>
        </w:rPr>
        <w:t xml:space="preserve">extrose </w:t>
      </w:r>
      <w:r w:rsidR="00E04442" w:rsidRPr="00551F38">
        <w:rPr>
          <w:rFonts w:cstheme="minorHAnsi"/>
          <w:bCs/>
        </w:rPr>
        <w:t>a</w:t>
      </w:r>
      <w:r w:rsidRPr="00551F38">
        <w:rPr>
          <w:rFonts w:cstheme="minorHAnsi"/>
          <w:bCs/>
        </w:rPr>
        <w:t xml:space="preserve">gar medium (PDA) and incubate </w:t>
      </w:r>
      <w:r w:rsidR="00E96560" w:rsidRPr="00551F38">
        <w:rPr>
          <w:rFonts w:cstheme="minorHAnsi"/>
          <w:bCs/>
        </w:rPr>
        <w:t xml:space="preserve">for </w:t>
      </w:r>
      <w:r w:rsidR="0046282B" w:rsidRPr="00551F38">
        <w:rPr>
          <w:rFonts w:cstheme="minorHAnsi"/>
          <w:bCs/>
        </w:rPr>
        <w:t>4</w:t>
      </w:r>
      <w:r w:rsidR="00E119AA" w:rsidRPr="00551F38">
        <w:rPr>
          <w:rFonts w:cstheme="minorHAnsi"/>
          <w:bCs/>
        </w:rPr>
        <w:t xml:space="preserve"> </w:t>
      </w:r>
      <w:r w:rsidR="0046282B" w:rsidRPr="00551F38">
        <w:rPr>
          <w:rFonts w:cstheme="minorHAnsi"/>
          <w:bCs/>
        </w:rPr>
        <w:t>days at 30°C with regular light exposure to promote conidia formation</w:t>
      </w:r>
      <w:r w:rsidR="00EE5858" w:rsidRPr="00551F38">
        <w:rPr>
          <w:rFonts w:cstheme="minorHAnsi"/>
          <w:bCs/>
        </w:rPr>
        <w:fldChar w:fldCharType="begin" w:fldLock="1"/>
      </w:r>
      <w:r w:rsidR="00E26078" w:rsidRPr="00551F38">
        <w:rPr>
          <w:rFonts w:cstheme="minorHAnsi"/>
          <w:bCs/>
        </w:rPr>
        <w:instrText>ADDIN CSL_CITATION { "citationItems" : [ { "id" : "ITEM-1", "itemData" : { "DOI" : "10.1099/mic.0.041715-0", "ISSN" : "1465-2080", "PMID" : "20688823", "abstract" : "Trichoderma spp. have served as models for asexual reproduction in filamentous fungi for over 50 years. Physical stimuli, such as light exposure and mechanical injury to the mycelium, trigger conidiation; however, conidiogenesis itself is a holistic response determined by the cell's metabolic state, as influenced by the environment and endogenous biological rhythms. Key environmental parameters are the carbon and nitrogen status and the C\u200a:\u200aN ratio, the ambient pH and the level of calcium ions. Recent advances in our understanding of the molecular biology of this fungus have revealed a conserved mechanism of environmental perception through the White Collar orthologues BLR-1 and BLR-2. Also implicated in the molecular regulation are the PacC pathways and the conidial regulator VELVET. Signal transduction cascades which link environmental signals to physiological outputs have also been revealed.", "author" : [ { "dropping-particle" : "", "family" : "Steyaert", "given" : "Johanna M", "non-dropping-particle" : "", "parse-names" : false, "suffix" : "" }, { "dropping-particle" : "", "family" : "Weld", "given" : "Richard J", "non-dropping-particle" : "", "parse-names" : false, "suffix" : "" }, { "dropping-particle" : "", "family" : "Mendoza-Mendoza", "given" : "Artemio", "non-dropping-particle" : "", "parse-names" : false, "suffix" : "" }, { "dropping-particle" : "", "family" : "Stewart", "given" : "Alison", "non-dropping-particle" : "", "parse-names" : false, "suffix" : "" } ], "container-title" : "Microbiology (Reading, England)", "id" : "ITEM-1", "issue" : "Pt 10", "issued" : { "date-parts" : [ [ "2010", "10" ] ] }, "page" : "2887-900", "title" : "Reproduction without sex: conidiation in the filamentous fungus Trichoderma.", "type" : "article-journal", "volume" : "156" }, "uris" : [ "http://www.mendeley.com/documents/?uuid=da7988fd-10f9-49cd-bd9f-a20a4cb7fc37" ] } ], "mendeley" : { "formattedCitation" : "&lt;sup&gt;42&lt;/sup&gt;", "plainTextFormattedCitation" : "42", "previouslyFormattedCitation" : "&lt;sup&gt;42&lt;/sup&gt;" }, "properties" : { "noteIndex" : -1 }, "schema" : "https://github.com/citation-style-language/schema/raw/master/csl-citation.json" }</w:instrText>
      </w:r>
      <w:r w:rsidR="00EE5858" w:rsidRPr="00551F38">
        <w:rPr>
          <w:rFonts w:cstheme="minorHAnsi"/>
          <w:bCs/>
        </w:rPr>
        <w:fldChar w:fldCharType="separate"/>
      </w:r>
      <w:r w:rsidR="00E26078" w:rsidRPr="00551F38">
        <w:rPr>
          <w:rFonts w:cstheme="minorHAnsi"/>
          <w:bCs/>
          <w:vertAlign w:val="superscript"/>
        </w:rPr>
        <w:t>42</w:t>
      </w:r>
      <w:r w:rsidR="00EE5858" w:rsidRPr="00551F38">
        <w:rPr>
          <w:rFonts w:cstheme="minorHAnsi"/>
          <w:bCs/>
        </w:rPr>
        <w:fldChar w:fldCharType="end"/>
      </w:r>
      <w:r w:rsidR="00EE5858" w:rsidRPr="00551F38">
        <w:rPr>
          <w:rFonts w:cstheme="minorHAnsi"/>
          <w:bCs/>
        </w:rPr>
        <w:t xml:space="preserve"> (</w:t>
      </w:r>
      <w:r w:rsidR="001531CB" w:rsidRPr="00551F38">
        <w:rPr>
          <w:rFonts w:cstheme="minorHAnsi"/>
          <w:b/>
        </w:rPr>
        <w:t>Figure</w:t>
      </w:r>
      <w:r w:rsidR="00EE5858" w:rsidRPr="00551F38">
        <w:rPr>
          <w:rFonts w:cstheme="minorHAnsi"/>
          <w:b/>
        </w:rPr>
        <w:t xml:space="preserve"> 1</w:t>
      </w:r>
      <w:r w:rsidR="00EE5858" w:rsidRPr="00551F38">
        <w:rPr>
          <w:rFonts w:cstheme="minorHAnsi"/>
          <w:bCs/>
        </w:rPr>
        <w:t>, panel A)</w:t>
      </w:r>
      <w:r w:rsidR="00CF451D" w:rsidRPr="00551F38">
        <w:rPr>
          <w:rFonts w:cstheme="minorHAnsi"/>
          <w:bCs/>
        </w:rPr>
        <w:t>.</w:t>
      </w:r>
    </w:p>
    <w:p w14:paraId="318FE4FD" w14:textId="5A00AD13" w:rsidR="00FD2150" w:rsidRPr="00551F38" w:rsidRDefault="00FD2150" w:rsidP="00FD2150">
      <w:pPr>
        <w:pStyle w:val="ListParagraph"/>
        <w:widowControl/>
        <w:autoSpaceDE/>
        <w:autoSpaceDN/>
        <w:adjustRightInd/>
        <w:spacing w:line="259" w:lineRule="auto"/>
        <w:ind w:left="0"/>
        <w:rPr>
          <w:rFonts w:cstheme="minorHAnsi"/>
          <w:bCs/>
          <w:highlight w:val="blue"/>
        </w:rPr>
      </w:pPr>
    </w:p>
    <w:p w14:paraId="1210D3F3" w14:textId="495C4FF5" w:rsidR="0046282B" w:rsidRPr="00551F38" w:rsidRDefault="00551F38" w:rsidP="00B83437">
      <w:pPr>
        <w:pStyle w:val="ListParagraph"/>
        <w:ind w:left="0"/>
        <w:rPr>
          <w:rFonts w:cstheme="minorHAnsi"/>
          <w:bCs/>
        </w:rPr>
      </w:pPr>
      <w:r>
        <w:rPr>
          <w:rFonts w:cstheme="minorHAnsi"/>
          <w:bCs/>
        </w:rPr>
        <w:lastRenderedPageBreak/>
        <w:t>NOTE:</w:t>
      </w:r>
      <w:r w:rsidR="00FD2150" w:rsidRPr="00551F38">
        <w:rPr>
          <w:rFonts w:cstheme="minorHAnsi"/>
          <w:bCs/>
        </w:rPr>
        <w:t xml:space="preserve"> </w:t>
      </w:r>
      <w:bookmarkStart w:id="0" w:name="_Hlk49505943"/>
      <w:r w:rsidR="00FD2150" w:rsidRPr="00551F38">
        <w:rPr>
          <w:rFonts w:cstheme="minorHAnsi"/>
          <w:bCs/>
          <w:i/>
          <w:iCs/>
        </w:rPr>
        <w:t>Trichoderma spp</w:t>
      </w:r>
      <w:r w:rsidR="00FD2150" w:rsidRPr="00551F38">
        <w:rPr>
          <w:rFonts w:cstheme="minorHAnsi"/>
          <w:bCs/>
        </w:rPr>
        <w:t xml:space="preserve">. </w:t>
      </w:r>
      <w:r w:rsidR="008A053D" w:rsidRPr="00551F38">
        <w:rPr>
          <w:rFonts w:cstheme="minorHAnsi"/>
          <w:bCs/>
          <w:color w:val="auto"/>
        </w:rPr>
        <w:t xml:space="preserve">SBT10-2018 </w:t>
      </w:r>
      <w:r w:rsidR="00FD2150" w:rsidRPr="00551F38">
        <w:rPr>
          <w:rFonts w:cstheme="minorHAnsi"/>
          <w:bCs/>
          <w:color w:val="auto"/>
        </w:rPr>
        <w:t xml:space="preserve">has </w:t>
      </w:r>
      <w:r w:rsidR="00FD2150" w:rsidRPr="00551F38">
        <w:rPr>
          <w:rFonts w:cstheme="minorHAnsi"/>
          <w:bCs/>
        </w:rPr>
        <w:t xml:space="preserve">been isolated from wood and is used as </w:t>
      </w:r>
      <w:r w:rsidR="00221947" w:rsidRPr="00551F38">
        <w:rPr>
          <w:rFonts w:cstheme="minorHAnsi"/>
          <w:bCs/>
        </w:rPr>
        <w:t xml:space="preserve">the </w:t>
      </w:r>
      <w:r w:rsidR="00FD2150" w:rsidRPr="00551F38">
        <w:rPr>
          <w:rFonts w:cstheme="minorHAnsi"/>
          <w:bCs/>
        </w:rPr>
        <w:t xml:space="preserve">model in this study for its rapid growth and </w:t>
      </w:r>
      <w:r w:rsidR="00221947" w:rsidRPr="00551F38">
        <w:rPr>
          <w:rFonts w:cstheme="minorHAnsi"/>
          <w:bCs/>
        </w:rPr>
        <w:t xml:space="preserve">ease of </w:t>
      </w:r>
      <w:r w:rsidR="00FD2150" w:rsidRPr="00551F38">
        <w:rPr>
          <w:rFonts w:cstheme="minorHAnsi"/>
          <w:bCs/>
        </w:rPr>
        <w:t>spore</w:t>
      </w:r>
      <w:r w:rsidR="00221947" w:rsidRPr="00551F38">
        <w:rPr>
          <w:rFonts w:cstheme="minorHAnsi"/>
          <w:bCs/>
        </w:rPr>
        <w:t xml:space="preserve"> recovery</w:t>
      </w:r>
      <w:r w:rsidR="00FD2150" w:rsidRPr="00551F38">
        <w:rPr>
          <w:rFonts w:cstheme="minorHAnsi"/>
          <w:bCs/>
        </w:rPr>
        <w:t>. This strain is preserved by our laborator</w:t>
      </w:r>
      <w:r w:rsidR="00B83437" w:rsidRPr="00551F38">
        <w:rPr>
          <w:rFonts w:cstheme="minorHAnsi"/>
          <w:bCs/>
        </w:rPr>
        <w:t>y</w:t>
      </w:r>
      <w:bookmarkEnd w:id="0"/>
      <w:r w:rsidR="00B83437" w:rsidRPr="00551F38">
        <w:rPr>
          <w:rFonts w:cstheme="minorHAnsi"/>
          <w:bCs/>
        </w:rPr>
        <w:t>.</w:t>
      </w:r>
    </w:p>
    <w:p w14:paraId="33764B5F" w14:textId="77777777" w:rsidR="003D3E21" w:rsidRPr="00551F38" w:rsidRDefault="003D3E21" w:rsidP="00B83437">
      <w:pPr>
        <w:pStyle w:val="ListParagraph"/>
        <w:ind w:left="0"/>
        <w:rPr>
          <w:rFonts w:cstheme="minorHAnsi"/>
          <w:bCs/>
        </w:rPr>
      </w:pPr>
    </w:p>
    <w:p w14:paraId="2A9FBACA" w14:textId="6D11CB39" w:rsidR="0046282B" w:rsidRPr="00551F38" w:rsidRDefault="0046282B" w:rsidP="009268CF">
      <w:pPr>
        <w:pStyle w:val="ListParagraph"/>
        <w:widowControl/>
        <w:numPr>
          <w:ilvl w:val="1"/>
          <w:numId w:val="30"/>
        </w:numPr>
        <w:autoSpaceDE/>
        <w:autoSpaceDN/>
        <w:adjustRightInd/>
        <w:spacing w:line="259" w:lineRule="auto"/>
        <w:ind w:left="0" w:firstLine="0"/>
        <w:rPr>
          <w:rFonts w:cstheme="minorHAnsi"/>
          <w:b/>
        </w:rPr>
      </w:pPr>
      <w:r w:rsidRPr="00551F38">
        <w:rPr>
          <w:rFonts w:cstheme="minorHAnsi"/>
          <w:b/>
        </w:rPr>
        <w:t xml:space="preserve">Recover conidia </w:t>
      </w:r>
      <w:r w:rsidRPr="00551F38">
        <w:rPr>
          <w:b/>
        </w:rPr>
        <w:t>(</w:t>
      </w:r>
      <w:r w:rsidR="001531CB" w:rsidRPr="00551F38">
        <w:rPr>
          <w:b/>
        </w:rPr>
        <w:t>Figure</w:t>
      </w:r>
      <w:r w:rsidR="00727A4D" w:rsidRPr="00551F38">
        <w:rPr>
          <w:b/>
        </w:rPr>
        <w:t xml:space="preserve"> 1, panel </w:t>
      </w:r>
      <w:r w:rsidR="005376FB" w:rsidRPr="00551F38">
        <w:rPr>
          <w:b/>
        </w:rPr>
        <w:t>A</w:t>
      </w:r>
      <w:r w:rsidR="00727A4D" w:rsidRPr="00551F38">
        <w:rPr>
          <w:b/>
        </w:rPr>
        <w:t>)</w:t>
      </w:r>
      <w:r w:rsidRPr="00551F38">
        <w:rPr>
          <w:rFonts w:cstheme="minorHAnsi"/>
          <w:b/>
        </w:rPr>
        <w:t xml:space="preserve"> </w:t>
      </w:r>
    </w:p>
    <w:p w14:paraId="4CCDA2FC" w14:textId="77777777" w:rsidR="0046282B" w:rsidRPr="00551F38" w:rsidRDefault="0046282B" w:rsidP="009268CF">
      <w:pPr>
        <w:pStyle w:val="ListParagraph"/>
        <w:ind w:left="0"/>
        <w:rPr>
          <w:rFonts w:cstheme="minorHAnsi"/>
          <w:bCs/>
        </w:rPr>
      </w:pPr>
    </w:p>
    <w:p w14:paraId="07F281F4" w14:textId="38286632" w:rsidR="0046282B" w:rsidRPr="00551F38" w:rsidRDefault="00CE1D79" w:rsidP="009268CF">
      <w:pPr>
        <w:pStyle w:val="ListParagraph"/>
        <w:widowControl/>
        <w:numPr>
          <w:ilvl w:val="2"/>
          <w:numId w:val="30"/>
        </w:numPr>
        <w:autoSpaceDE/>
        <w:autoSpaceDN/>
        <w:adjustRightInd/>
        <w:spacing w:line="259" w:lineRule="auto"/>
        <w:ind w:left="0" w:firstLine="0"/>
        <w:rPr>
          <w:rFonts w:cstheme="minorHAnsi"/>
          <w:bCs/>
          <w:highlight w:val="yellow"/>
        </w:rPr>
      </w:pPr>
      <w:r w:rsidRPr="00551F38">
        <w:rPr>
          <w:rFonts w:cstheme="minorHAnsi"/>
          <w:bCs/>
          <w:highlight w:val="yellow"/>
        </w:rPr>
        <w:t>L</w:t>
      </w:r>
      <w:r w:rsidR="0046282B" w:rsidRPr="00551F38">
        <w:rPr>
          <w:rFonts w:cstheme="minorHAnsi"/>
          <w:bCs/>
          <w:highlight w:val="yellow"/>
        </w:rPr>
        <w:t xml:space="preserve">ay </w:t>
      </w:r>
      <w:r w:rsidR="00324D74" w:rsidRPr="00551F38">
        <w:rPr>
          <w:highlight w:val="yellow"/>
        </w:rPr>
        <w:t>3</w:t>
      </w:r>
      <w:r w:rsidR="00324D74" w:rsidRPr="00551F38">
        <w:rPr>
          <w:rFonts w:cstheme="minorHAnsi"/>
          <w:bCs/>
          <w:highlight w:val="yellow"/>
        </w:rPr>
        <w:t xml:space="preserve"> </w:t>
      </w:r>
      <w:r w:rsidR="0046282B" w:rsidRPr="00551F38">
        <w:rPr>
          <w:rFonts w:cstheme="minorHAnsi"/>
          <w:bCs/>
          <w:highlight w:val="yellow"/>
        </w:rPr>
        <w:t>m</w:t>
      </w:r>
      <w:r w:rsidR="00222AFC" w:rsidRPr="00551F38">
        <w:rPr>
          <w:rFonts w:cstheme="minorHAnsi"/>
          <w:bCs/>
          <w:highlight w:val="yellow"/>
        </w:rPr>
        <w:t>L</w:t>
      </w:r>
      <w:r w:rsidR="0046282B" w:rsidRPr="00551F38">
        <w:rPr>
          <w:rFonts w:cstheme="minorHAnsi"/>
          <w:bCs/>
          <w:highlight w:val="yellow"/>
        </w:rPr>
        <w:t xml:space="preserve"> </w:t>
      </w:r>
      <w:r w:rsidR="0099387E" w:rsidRPr="00551F38">
        <w:rPr>
          <w:rFonts w:cstheme="minorHAnsi"/>
          <w:bCs/>
          <w:highlight w:val="yellow"/>
        </w:rPr>
        <w:t xml:space="preserve">of </w:t>
      </w:r>
      <w:r w:rsidR="0046282B" w:rsidRPr="00551F38">
        <w:rPr>
          <w:rFonts w:cstheme="minorHAnsi"/>
          <w:bCs/>
          <w:highlight w:val="yellow"/>
        </w:rPr>
        <w:t xml:space="preserve">0.05% </w:t>
      </w:r>
      <w:r w:rsidR="00F75C76">
        <w:rPr>
          <w:rFonts w:cstheme="minorHAnsi"/>
          <w:bCs/>
          <w:highlight w:val="yellow"/>
        </w:rPr>
        <w:t>T</w:t>
      </w:r>
      <w:r w:rsidR="0046282B" w:rsidRPr="00551F38">
        <w:rPr>
          <w:rFonts w:cstheme="minorHAnsi"/>
          <w:bCs/>
          <w:highlight w:val="yellow"/>
        </w:rPr>
        <w:t xml:space="preserve">ween-20 on the </w:t>
      </w:r>
      <w:r w:rsidR="00222AFC" w:rsidRPr="00551F38">
        <w:rPr>
          <w:rFonts w:cstheme="minorHAnsi"/>
          <w:bCs/>
          <w:i/>
          <w:iCs/>
          <w:highlight w:val="yellow"/>
        </w:rPr>
        <w:t>Trichoderma</w:t>
      </w:r>
      <w:r w:rsidR="0046282B" w:rsidRPr="00551F38">
        <w:rPr>
          <w:rFonts w:cstheme="minorHAnsi"/>
          <w:bCs/>
          <w:highlight w:val="yellow"/>
        </w:rPr>
        <w:t xml:space="preserve"> mycelium</w:t>
      </w:r>
      <w:r w:rsidR="00CF451D" w:rsidRPr="00551F38">
        <w:rPr>
          <w:rFonts w:cstheme="minorHAnsi"/>
          <w:bCs/>
          <w:highlight w:val="yellow"/>
        </w:rPr>
        <w:t>.</w:t>
      </w:r>
    </w:p>
    <w:p w14:paraId="2FE20CFE" w14:textId="0ACE8313" w:rsidR="005A1AF9" w:rsidRPr="00551F38" w:rsidRDefault="005A1AF9" w:rsidP="009268CF">
      <w:pPr>
        <w:pStyle w:val="ListParagraph"/>
        <w:widowControl/>
        <w:autoSpaceDE/>
        <w:autoSpaceDN/>
        <w:adjustRightInd/>
        <w:spacing w:line="259" w:lineRule="auto"/>
        <w:ind w:left="360"/>
        <w:rPr>
          <w:rFonts w:cstheme="minorHAnsi"/>
          <w:bCs/>
        </w:rPr>
      </w:pPr>
    </w:p>
    <w:p w14:paraId="3FCFF3D6" w14:textId="549AC493" w:rsidR="005A1AF9" w:rsidRPr="00551F38" w:rsidRDefault="005A1AF9" w:rsidP="009268CF">
      <w:pPr>
        <w:widowControl/>
        <w:autoSpaceDE/>
        <w:autoSpaceDN/>
        <w:adjustRightInd/>
        <w:spacing w:line="259" w:lineRule="auto"/>
        <w:rPr>
          <w:rFonts w:cstheme="minorHAnsi"/>
          <w:bCs/>
        </w:rPr>
      </w:pPr>
      <w:r w:rsidRPr="00551F38">
        <w:rPr>
          <w:rFonts w:cstheme="minorHAnsi"/>
          <w:bCs/>
          <w:highlight w:val="yellow"/>
        </w:rPr>
        <w:t>1.3.2   Use a rake to release conidia from conidiophores</w:t>
      </w:r>
      <w:r w:rsidR="00E96560" w:rsidRPr="00551F38">
        <w:rPr>
          <w:rFonts w:cstheme="minorHAnsi"/>
          <w:bCs/>
          <w:highlight w:val="yellow"/>
        </w:rPr>
        <w:t>;</w:t>
      </w:r>
      <w:r w:rsidRPr="00551F38">
        <w:rPr>
          <w:rFonts w:cstheme="minorHAnsi"/>
          <w:bCs/>
          <w:highlight w:val="yellow"/>
        </w:rPr>
        <w:t xml:space="preserve"> avoid pressing down on the mycelium to prevent hypha</w:t>
      </w:r>
      <w:r w:rsidR="00CE1D79" w:rsidRPr="00551F38">
        <w:rPr>
          <w:rFonts w:cstheme="minorHAnsi"/>
          <w:bCs/>
          <w:highlight w:val="yellow"/>
        </w:rPr>
        <w:t>e</w:t>
      </w:r>
      <w:r w:rsidRPr="00551F38">
        <w:rPr>
          <w:rFonts w:cstheme="minorHAnsi"/>
          <w:bCs/>
          <w:highlight w:val="yellow"/>
        </w:rPr>
        <w:t xml:space="preserve"> from being torn away</w:t>
      </w:r>
      <w:r w:rsidR="004E6160" w:rsidRPr="00551F38">
        <w:rPr>
          <w:rFonts w:cstheme="minorHAnsi"/>
          <w:bCs/>
          <w:highlight w:val="yellow"/>
        </w:rPr>
        <w:t>.</w:t>
      </w:r>
      <w:r w:rsidR="004E6160" w:rsidRPr="00551F38">
        <w:rPr>
          <w:rFonts w:cstheme="minorHAnsi"/>
          <w:bCs/>
        </w:rPr>
        <w:t xml:space="preserve"> </w:t>
      </w:r>
    </w:p>
    <w:p w14:paraId="2F872B19" w14:textId="27CA2565" w:rsidR="005A1AF9" w:rsidRPr="00551F38" w:rsidRDefault="005A1AF9" w:rsidP="009268CF">
      <w:pPr>
        <w:pStyle w:val="ListParagraph"/>
        <w:widowControl/>
        <w:autoSpaceDE/>
        <w:autoSpaceDN/>
        <w:adjustRightInd/>
        <w:spacing w:line="259" w:lineRule="auto"/>
        <w:ind w:left="0"/>
        <w:rPr>
          <w:rFonts w:cstheme="minorHAnsi"/>
          <w:bCs/>
        </w:rPr>
      </w:pPr>
    </w:p>
    <w:p w14:paraId="37CCFA4B" w14:textId="708560BA" w:rsidR="0046282B" w:rsidRPr="00551F38" w:rsidRDefault="0046282B" w:rsidP="009268CF">
      <w:pPr>
        <w:pStyle w:val="ListParagraph"/>
        <w:widowControl/>
        <w:numPr>
          <w:ilvl w:val="2"/>
          <w:numId w:val="36"/>
        </w:numPr>
        <w:autoSpaceDE/>
        <w:autoSpaceDN/>
        <w:adjustRightInd/>
        <w:spacing w:line="259" w:lineRule="auto"/>
        <w:ind w:left="0" w:firstLine="0"/>
        <w:rPr>
          <w:rFonts w:cstheme="minorHAnsi"/>
          <w:bCs/>
          <w:highlight w:val="yellow"/>
        </w:rPr>
      </w:pPr>
      <w:r w:rsidRPr="00551F38">
        <w:rPr>
          <w:rFonts w:cstheme="minorHAnsi"/>
          <w:bCs/>
          <w:highlight w:val="yellow"/>
        </w:rPr>
        <w:t>Recover the solution rapidly</w:t>
      </w:r>
      <w:r w:rsidR="0016558A" w:rsidRPr="00551F38">
        <w:rPr>
          <w:rFonts w:cstheme="minorHAnsi"/>
          <w:bCs/>
          <w:highlight w:val="yellow"/>
        </w:rPr>
        <w:t xml:space="preserve"> with a micropipette</w:t>
      </w:r>
      <w:r w:rsidRPr="00551F38">
        <w:rPr>
          <w:rFonts w:cstheme="minorHAnsi"/>
          <w:bCs/>
          <w:highlight w:val="yellow"/>
        </w:rPr>
        <w:t xml:space="preserve"> to avoid it be</w:t>
      </w:r>
      <w:r w:rsidR="00DD05C7" w:rsidRPr="00551F38">
        <w:rPr>
          <w:rFonts w:cstheme="minorHAnsi"/>
          <w:bCs/>
          <w:highlight w:val="yellow"/>
        </w:rPr>
        <w:t>ing</w:t>
      </w:r>
      <w:r w:rsidRPr="00551F38">
        <w:rPr>
          <w:rFonts w:cstheme="minorHAnsi"/>
          <w:bCs/>
          <w:highlight w:val="yellow"/>
        </w:rPr>
        <w:t xml:space="preserve"> absorbed by </w:t>
      </w:r>
      <w:r w:rsidR="00DD05C7" w:rsidRPr="00551F38">
        <w:rPr>
          <w:rFonts w:cstheme="minorHAnsi"/>
          <w:bCs/>
          <w:highlight w:val="yellow"/>
        </w:rPr>
        <w:t xml:space="preserve">the </w:t>
      </w:r>
      <w:r w:rsidRPr="00551F38">
        <w:rPr>
          <w:rFonts w:cstheme="minorHAnsi"/>
          <w:bCs/>
          <w:highlight w:val="yellow"/>
        </w:rPr>
        <w:t>agar medium and transfer into a</w:t>
      </w:r>
      <w:r w:rsidR="0016558A" w:rsidRPr="00551F38">
        <w:rPr>
          <w:rFonts w:cstheme="minorHAnsi"/>
          <w:bCs/>
          <w:highlight w:val="yellow"/>
        </w:rPr>
        <w:t xml:space="preserve"> 2 mL </w:t>
      </w:r>
      <w:r w:rsidRPr="00551F38">
        <w:rPr>
          <w:rFonts w:cstheme="minorHAnsi"/>
          <w:bCs/>
          <w:highlight w:val="yellow"/>
        </w:rPr>
        <w:t>tube</w:t>
      </w:r>
      <w:r w:rsidR="00CF451D" w:rsidRPr="00551F38">
        <w:rPr>
          <w:rFonts w:cstheme="minorHAnsi"/>
          <w:bCs/>
          <w:highlight w:val="yellow"/>
        </w:rPr>
        <w:t>.</w:t>
      </w:r>
    </w:p>
    <w:p w14:paraId="454674FF" w14:textId="77777777" w:rsidR="00546DDB" w:rsidRPr="00551F38" w:rsidRDefault="00546DDB" w:rsidP="00546DDB">
      <w:pPr>
        <w:pStyle w:val="ListParagraph"/>
        <w:widowControl/>
        <w:autoSpaceDE/>
        <w:autoSpaceDN/>
        <w:adjustRightInd/>
        <w:spacing w:line="259" w:lineRule="auto"/>
        <w:ind w:left="0"/>
        <w:rPr>
          <w:rFonts w:cstheme="minorHAnsi"/>
          <w:bCs/>
          <w:highlight w:val="yellow"/>
        </w:rPr>
      </w:pPr>
    </w:p>
    <w:p w14:paraId="7CA578FD" w14:textId="31640814" w:rsidR="0046282B" w:rsidRPr="00551F38" w:rsidRDefault="0046282B" w:rsidP="009268CF">
      <w:pPr>
        <w:pStyle w:val="ListParagraph"/>
        <w:widowControl/>
        <w:numPr>
          <w:ilvl w:val="2"/>
          <w:numId w:val="36"/>
        </w:numPr>
        <w:autoSpaceDE/>
        <w:autoSpaceDN/>
        <w:adjustRightInd/>
        <w:spacing w:line="259" w:lineRule="auto"/>
        <w:ind w:left="0" w:firstLine="0"/>
        <w:rPr>
          <w:rFonts w:cstheme="minorHAnsi"/>
          <w:bCs/>
        </w:rPr>
      </w:pPr>
      <w:r w:rsidRPr="00551F38">
        <w:rPr>
          <w:rFonts w:cstheme="minorHAnsi"/>
          <w:bCs/>
        </w:rPr>
        <w:t>Count the total number of spores using a hemocytometer and prepare a solution containing 3</w:t>
      </w:r>
      <w:r w:rsidR="00FD2150" w:rsidRPr="00551F38">
        <w:rPr>
          <w:rFonts w:cstheme="minorHAnsi"/>
          <w:bCs/>
        </w:rPr>
        <w:t xml:space="preserve"> x </w:t>
      </w:r>
      <w:r w:rsidRPr="00551F38">
        <w:rPr>
          <w:rFonts w:cstheme="minorHAnsi"/>
          <w:bCs/>
        </w:rPr>
        <w:t>10</w:t>
      </w:r>
      <w:r w:rsidRPr="00551F38">
        <w:rPr>
          <w:rFonts w:cstheme="minorHAnsi"/>
          <w:bCs/>
          <w:vertAlign w:val="superscript"/>
        </w:rPr>
        <w:t>6</w:t>
      </w:r>
      <w:r w:rsidRPr="00551F38">
        <w:rPr>
          <w:rFonts w:cstheme="minorHAnsi"/>
          <w:bCs/>
        </w:rPr>
        <w:t xml:space="preserve"> spores/m</w:t>
      </w:r>
      <w:r w:rsidR="00222AFC" w:rsidRPr="00551F38">
        <w:rPr>
          <w:rFonts w:cstheme="minorHAnsi"/>
          <w:bCs/>
        </w:rPr>
        <w:t>L</w:t>
      </w:r>
      <w:r w:rsidR="00CF451D" w:rsidRPr="00551F38">
        <w:rPr>
          <w:rFonts w:cstheme="minorHAnsi"/>
          <w:bCs/>
        </w:rPr>
        <w:t>.</w:t>
      </w:r>
    </w:p>
    <w:p w14:paraId="3505E024" w14:textId="28A8BA7E" w:rsidR="00FF7EB1" w:rsidRPr="00551F38" w:rsidRDefault="00FF7EB1" w:rsidP="006B4BB0">
      <w:pPr>
        <w:widowControl/>
        <w:autoSpaceDE/>
        <w:autoSpaceDN/>
        <w:adjustRightInd/>
        <w:spacing w:line="259" w:lineRule="auto"/>
        <w:rPr>
          <w:rFonts w:cstheme="minorHAnsi"/>
          <w:bCs/>
        </w:rPr>
      </w:pPr>
    </w:p>
    <w:p w14:paraId="7BE541ED" w14:textId="06112187" w:rsidR="006B4BB0" w:rsidRPr="00551F38" w:rsidRDefault="00551F38" w:rsidP="006B4BB0">
      <w:pPr>
        <w:widowControl/>
        <w:autoSpaceDE/>
        <w:autoSpaceDN/>
        <w:adjustRightInd/>
        <w:spacing w:line="259" w:lineRule="auto"/>
        <w:rPr>
          <w:rFonts w:asciiTheme="minorHAnsi" w:hAnsiTheme="minorHAnsi" w:cstheme="minorHAnsi"/>
          <w:bCs/>
          <w:color w:val="auto"/>
        </w:rPr>
      </w:pPr>
      <w:r>
        <w:rPr>
          <w:rFonts w:cstheme="minorHAnsi"/>
          <w:bCs/>
        </w:rPr>
        <w:t>NOTE:</w:t>
      </w:r>
      <w:r w:rsidR="006B4BB0" w:rsidRPr="00551F38">
        <w:rPr>
          <w:rFonts w:cstheme="minorHAnsi"/>
          <w:bCs/>
        </w:rPr>
        <w:t xml:space="preserve"> </w:t>
      </w:r>
      <w:r w:rsidR="006B4BB0" w:rsidRPr="00551F38">
        <w:rPr>
          <w:rFonts w:asciiTheme="minorHAnsi" w:hAnsiTheme="minorHAnsi" w:cstheme="minorHAnsi"/>
        </w:rPr>
        <w:t>This step must be performed carefully to prevent hyphae from being extracted. Spore preparation is then checked under microscope</w:t>
      </w:r>
      <w:r w:rsidR="003067CA" w:rsidRPr="00551F38">
        <w:rPr>
          <w:rFonts w:asciiTheme="minorHAnsi" w:hAnsiTheme="minorHAnsi" w:cstheme="minorHAnsi"/>
        </w:rPr>
        <w:t>.</w:t>
      </w:r>
      <w:r w:rsidR="006B4BB0" w:rsidRPr="00551F38">
        <w:rPr>
          <w:rFonts w:asciiTheme="minorHAnsi" w:hAnsiTheme="minorHAnsi" w:cstheme="minorHAnsi"/>
        </w:rPr>
        <w:t xml:space="preserve"> </w:t>
      </w:r>
      <w:r w:rsidR="007A6DFC" w:rsidRPr="00551F38">
        <w:rPr>
          <w:rFonts w:asciiTheme="minorHAnsi" w:hAnsiTheme="minorHAnsi" w:cstheme="minorHAnsi"/>
          <w:color w:val="auto"/>
          <w:lang w:val="en-GB"/>
        </w:rPr>
        <w:t>Eventually, for strains presenting highly aerial and fluffy mycelium, a step of filtration using 40 µM strainer filter can be added to eliminate residual mycelium fragment.</w:t>
      </w:r>
    </w:p>
    <w:p w14:paraId="6C0730B0" w14:textId="251F1996" w:rsidR="006B4BB0" w:rsidRPr="00551F38" w:rsidRDefault="006B4BB0" w:rsidP="00AB0F4A">
      <w:pPr>
        <w:widowControl/>
        <w:autoSpaceDE/>
        <w:autoSpaceDN/>
        <w:adjustRightInd/>
        <w:spacing w:line="259" w:lineRule="auto"/>
        <w:rPr>
          <w:rFonts w:cstheme="minorHAnsi"/>
          <w:bCs/>
        </w:rPr>
      </w:pPr>
    </w:p>
    <w:p w14:paraId="0E8E9EF4" w14:textId="3EFF2E0B" w:rsidR="00FF7EB1" w:rsidRPr="00551F38" w:rsidRDefault="00B83437" w:rsidP="009268CF">
      <w:pPr>
        <w:pStyle w:val="ListParagraph"/>
        <w:widowControl/>
        <w:numPr>
          <w:ilvl w:val="0"/>
          <w:numId w:val="30"/>
        </w:numPr>
        <w:autoSpaceDE/>
        <w:autoSpaceDN/>
        <w:adjustRightInd/>
        <w:spacing w:line="259" w:lineRule="auto"/>
        <w:ind w:left="0" w:firstLine="0"/>
        <w:rPr>
          <w:rFonts w:cstheme="minorHAnsi"/>
          <w:b/>
        </w:rPr>
      </w:pPr>
      <w:r w:rsidRPr="00551F38">
        <w:rPr>
          <w:rFonts w:cstheme="minorHAnsi"/>
          <w:b/>
        </w:rPr>
        <w:t>F</w:t>
      </w:r>
      <w:r w:rsidR="00FF7EB1" w:rsidRPr="00551F38">
        <w:rPr>
          <w:rFonts w:cstheme="minorHAnsi"/>
          <w:b/>
        </w:rPr>
        <w:t>ungal plates</w:t>
      </w:r>
      <w:r w:rsidRPr="00551F38">
        <w:rPr>
          <w:rFonts w:cstheme="minorHAnsi"/>
          <w:b/>
        </w:rPr>
        <w:t xml:space="preserve"> preparation</w:t>
      </w:r>
      <w:r w:rsidR="00CE1D79" w:rsidRPr="00551F38">
        <w:rPr>
          <w:rFonts w:cstheme="minorHAnsi"/>
          <w:b/>
        </w:rPr>
        <w:t xml:space="preserve"> </w:t>
      </w:r>
      <w:r w:rsidR="00FF7EB1" w:rsidRPr="00551F38">
        <w:rPr>
          <w:rFonts w:cstheme="minorHAnsi"/>
          <w:b/>
        </w:rPr>
        <w:t>(</w:t>
      </w:r>
      <w:r w:rsidR="001531CB" w:rsidRPr="00551F38">
        <w:rPr>
          <w:rFonts w:cstheme="minorHAnsi"/>
          <w:b/>
        </w:rPr>
        <w:t>Figure</w:t>
      </w:r>
      <w:r w:rsidR="00FF7EB1" w:rsidRPr="00551F38">
        <w:rPr>
          <w:rFonts w:cstheme="minorHAnsi"/>
          <w:b/>
        </w:rPr>
        <w:t xml:space="preserve"> 1</w:t>
      </w:r>
      <w:r w:rsidR="00D366E3" w:rsidRPr="00551F38">
        <w:rPr>
          <w:rFonts w:cstheme="minorHAnsi"/>
          <w:b/>
        </w:rPr>
        <w:t>, panel B</w:t>
      </w:r>
      <w:r w:rsidR="00FF7EB1" w:rsidRPr="00551F38">
        <w:rPr>
          <w:rFonts w:cstheme="minorHAnsi"/>
          <w:b/>
        </w:rPr>
        <w:t>)</w:t>
      </w:r>
    </w:p>
    <w:p w14:paraId="43FC60E1" w14:textId="77777777" w:rsidR="009268CF" w:rsidRPr="00551F38" w:rsidRDefault="009268CF" w:rsidP="009268CF">
      <w:pPr>
        <w:pStyle w:val="ListParagraph"/>
        <w:widowControl/>
        <w:autoSpaceDE/>
        <w:autoSpaceDN/>
        <w:adjustRightInd/>
        <w:spacing w:line="259" w:lineRule="auto"/>
        <w:ind w:left="0"/>
        <w:rPr>
          <w:rFonts w:cstheme="minorHAnsi"/>
          <w:b/>
        </w:rPr>
      </w:pPr>
    </w:p>
    <w:p w14:paraId="6727CD23" w14:textId="2C9DFA23" w:rsidR="00FF7EB1" w:rsidRPr="00551F38" w:rsidRDefault="00CE1D79" w:rsidP="009268CF">
      <w:pPr>
        <w:widowControl/>
        <w:autoSpaceDE/>
        <w:autoSpaceDN/>
        <w:adjustRightInd/>
        <w:spacing w:line="259" w:lineRule="auto"/>
        <w:rPr>
          <w:rFonts w:cstheme="minorHAnsi"/>
        </w:rPr>
      </w:pPr>
      <w:r w:rsidRPr="00551F38">
        <w:rPr>
          <w:rFonts w:cstheme="minorHAnsi"/>
          <w:bCs/>
          <w:highlight w:val="yellow"/>
        </w:rPr>
        <w:t xml:space="preserve">2.1 </w:t>
      </w:r>
      <w:r w:rsidR="00121EB3" w:rsidRPr="00551F38">
        <w:rPr>
          <w:rFonts w:cstheme="minorHAnsi"/>
          <w:bCs/>
          <w:highlight w:val="yellow"/>
        </w:rPr>
        <w:t xml:space="preserve">   </w:t>
      </w:r>
      <w:r w:rsidR="000931E3" w:rsidRPr="00551F38">
        <w:rPr>
          <w:rFonts w:cstheme="minorHAnsi"/>
          <w:bCs/>
          <w:highlight w:val="yellow"/>
        </w:rPr>
        <w:t>D</w:t>
      </w:r>
      <w:r w:rsidR="000931E3" w:rsidRPr="00551F38">
        <w:rPr>
          <w:rFonts w:cstheme="minorHAnsi"/>
          <w:highlight w:val="yellow"/>
        </w:rPr>
        <w:t xml:space="preserve">eposit </w:t>
      </w:r>
      <w:r w:rsidR="00FF7EB1" w:rsidRPr="00551F38">
        <w:rPr>
          <w:rFonts w:cstheme="minorHAnsi"/>
          <w:bCs/>
          <w:highlight w:val="yellow"/>
        </w:rPr>
        <w:t xml:space="preserve">100 µL of </w:t>
      </w:r>
      <w:r w:rsidR="00FF7EB1" w:rsidRPr="00551F38">
        <w:rPr>
          <w:rFonts w:cstheme="minorHAnsi"/>
          <w:highlight w:val="yellow"/>
        </w:rPr>
        <w:t>3</w:t>
      </w:r>
      <w:r w:rsidR="00FD2150" w:rsidRPr="00551F38">
        <w:rPr>
          <w:rFonts w:cstheme="minorHAnsi"/>
          <w:highlight w:val="yellow"/>
        </w:rPr>
        <w:t xml:space="preserve"> x </w:t>
      </w:r>
      <w:r w:rsidR="00FF7EB1" w:rsidRPr="00551F38">
        <w:rPr>
          <w:rFonts w:cstheme="minorHAnsi"/>
          <w:highlight w:val="yellow"/>
        </w:rPr>
        <w:t>10</w:t>
      </w:r>
      <w:r w:rsidR="00FF7EB1" w:rsidRPr="00551F38">
        <w:rPr>
          <w:rFonts w:cstheme="minorHAnsi"/>
          <w:highlight w:val="yellow"/>
          <w:vertAlign w:val="superscript"/>
        </w:rPr>
        <w:t>6</w:t>
      </w:r>
      <w:r w:rsidR="00FF7EB1" w:rsidRPr="00551F38">
        <w:rPr>
          <w:rFonts w:cstheme="minorHAnsi"/>
          <w:highlight w:val="yellow"/>
        </w:rPr>
        <w:t xml:space="preserve"> spores/mL </w:t>
      </w:r>
      <w:r w:rsidR="000931E3" w:rsidRPr="00551F38">
        <w:rPr>
          <w:rFonts w:cstheme="minorHAnsi"/>
          <w:highlight w:val="yellow"/>
        </w:rPr>
        <w:t xml:space="preserve">with a micropipette </w:t>
      </w:r>
      <w:r w:rsidR="00FF7EB1" w:rsidRPr="00551F38">
        <w:rPr>
          <w:rFonts w:cstheme="minorHAnsi"/>
          <w:highlight w:val="yellow"/>
        </w:rPr>
        <w:t xml:space="preserve">on </w:t>
      </w:r>
      <w:r w:rsidR="003067CA" w:rsidRPr="00551F38">
        <w:rPr>
          <w:rFonts w:cstheme="minorHAnsi"/>
          <w:highlight w:val="yellow"/>
        </w:rPr>
        <w:t xml:space="preserve">a </w:t>
      </w:r>
      <w:r w:rsidR="00FF7EB1" w:rsidRPr="00551F38">
        <w:rPr>
          <w:rFonts w:cstheme="minorHAnsi"/>
          <w:highlight w:val="yellow"/>
        </w:rPr>
        <w:t>9 cm diameter Petri dish containing PDA medium to obtain 4</w:t>
      </w:r>
      <w:r w:rsidR="009E7D6F" w:rsidRPr="00551F38">
        <w:rPr>
          <w:rFonts w:cstheme="minorHAnsi"/>
          <w:highlight w:val="yellow"/>
        </w:rPr>
        <w:t>,</w:t>
      </w:r>
      <w:r w:rsidR="00FF7EB1" w:rsidRPr="00551F38">
        <w:rPr>
          <w:rFonts w:cstheme="minorHAnsi"/>
          <w:highlight w:val="yellow"/>
        </w:rPr>
        <w:t>800</w:t>
      </w:r>
      <w:r w:rsidR="003067CA" w:rsidRPr="00551F38">
        <w:rPr>
          <w:rFonts w:cstheme="minorHAnsi"/>
          <w:highlight w:val="yellow"/>
        </w:rPr>
        <w:t xml:space="preserve"> </w:t>
      </w:r>
      <w:r w:rsidR="00FF7EB1" w:rsidRPr="00551F38">
        <w:rPr>
          <w:rFonts w:cstheme="minorHAnsi"/>
          <w:highlight w:val="yellow"/>
        </w:rPr>
        <w:t>spores/cm</w:t>
      </w:r>
      <w:r w:rsidR="00FF7EB1" w:rsidRPr="00551F38">
        <w:rPr>
          <w:rFonts w:cstheme="minorHAnsi"/>
          <w:highlight w:val="yellow"/>
          <w:vertAlign w:val="superscript"/>
        </w:rPr>
        <w:t>2</w:t>
      </w:r>
      <w:r w:rsidR="00FF7EB1" w:rsidRPr="00551F38">
        <w:rPr>
          <w:rFonts w:cstheme="minorHAnsi"/>
          <w:highlight w:val="yellow"/>
        </w:rPr>
        <w:t xml:space="preserve"> corresponding to 925 spores/5 mm diameter</w:t>
      </w:r>
      <w:r w:rsidR="00596059" w:rsidRPr="00551F38">
        <w:rPr>
          <w:rFonts w:cstheme="minorHAnsi"/>
          <w:highlight w:val="yellow"/>
        </w:rPr>
        <w:t>-</w:t>
      </w:r>
      <w:r w:rsidR="00FF7EB1" w:rsidRPr="00551F38">
        <w:rPr>
          <w:rFonts w:cstheme="minorHAnsi"/>
          <w:highlight w:val="yellow"/>
        </w:rPr>
        <w:t>agar plug</w:t>
      </w:r>
      <w:r w:rsidR="00CF451D" w:rsidRPr="00551F38">
        <w:rPr>
          <w:rFonts w:cstheme="minorHAnsi"/>
          <w:highlight w:val="yellow"/>
        </w:rPr>
        <w:t>.</w:t>
      </w:r>
      <w:r w:rsidR="00FF7EB1" w:rsidRPr="00551F38">
        <w:rPr>
          <w:rFonts w:cstheme="minorHAnsi"/>
          <w:highlight w:val="yellow"/>
        </w:rPr>
        <w:t xml:space="preserve"> </w:t>
      </w:r>
      <w:r w:rsidR="00FF7EB1" w:rsidRPr="00551F38">
        <w:rPr>
          <w:rFonts w:cstheme="minorHAnsi"/>
        </w:rPr>
        <w:t xml:space="preserve"> </w:t>
      </w:r>
    </w:p>
    <w:p w14:paraId="7CF5A3D5" w14:textId="77777777" w:rsidR="00FF7EB1" w:rsidRPr="00551F38" w:rsidRDefault="00FF7EB1" w:rsidP="009268CF">
      <w:pPr>
        <w:pStyle w:val="ListParagraph"/>
        <w:ind w:left="284" w:hanging="284"/>
        <w:rPr>
          <w:rFonts w:cstheme="minorHAnsi"/>
        </w:rPr>
      </w:pPr>
    </w:p>
    <w:p w14:paraId="769B26B3" w14:textId="64C4696E" w:rsidR="00FF7EB1" w:rsidRPr="00551F38" w:rsidRDefault="00FF7EB1" w:rsidP="009268CF">
      <w:pPr>
        <w:pStyle w:val="ListParagraph"/>
        <w:widowControl/>
        <w:numPr>
          <w:ilvl w:val="1"/>
          <w:numId w:val="37"/>
        </w:numPr>
        <w:autoSpaceDE/>
        <w:autoSpaceDN/>
        <w:adjustRightInd/>
        <w:spacing w:line="259" w:lineRule="auto"/>
        <w:ind w:left="0" w:firstLine="0"/>
        <w:rPr>
          <w:rFonts w:cstheme="minorHAnsi"/>
          <w:highlight w:val="yellow"/>
        </w:rPr>
      </w:pPr>
      <w:r w:rsidRPr="00551F38">
        <w:rPr>
          <w:rFonts w:cstheme="minorHAnsi"/>
          <w:highlight w:val="yellow"/>
        </w:rPr>
        <w:t>Add 10 g of 2 mm diameter glass beads</w:t>
      </w:r>
      <w:r w:rsidR="0048785C" w:rsidRPr="00551F38">
        <w:rPr>
          <w:rFonts w:cstheme="minorHAnsi"/>
          <w:highlight w:val="yellow"/>
        </w:rPr>
        <w:t xml:space="preserve"> with a sterile spatula</w:t>
      </w:r>
      <w:r w:rsidR="0099482A" w:rsidRPr="00551F38">
        <w:rPr>
          <w:rFonts w:cstheme="minorHAnsi"/>
          <w:highlight w:val="yellow"/>
        </w:rPr>
        <w:t xml:space="preserve"> </w:t>
      </w:r>
      <w:r w:rsidRPr="00551F38">
        <w:rPr>
          <w:rFonts w:cstheme="minorHAnsi"/>
          <w:highlight w:val="yellow"/>
        </w:rPr>
        <w:t>and perform forward and backward movements parallel and perpendicular to the operator</w:t>
      </w:r>
      <w:r w:rsidR="00596059" w:rsidRPr="00551F38">
        <w:rPr>
          <w:rFonts w:cstheme="minorHAnsi"/>
          <w:highlight w:val="yellow"/>
        </w:rPr>
        <w:t>’s arm</w:t>
      </w:r>
      <w:r w:rsidRPr="00551F38">
        <w:rPr>
          <w:rFonts w:cstheme="minorHAnsi"/>
          <w:highlight w:val="yellow"/>
        </w:rPr>
        <w:t xml:space="preserve"> to evenly distribute the spores on the surface of the agar</w:t>
      </w:r>
      <w:r w:rsidR="00D31830" w:rsidRPr="00551F38">
        <w:rPr>
          <w:rFonts w:cstheme="minorHAnsi"/>
          <w:highlight w:val="yellow"/>
        </w:rPr>
        <w:t>.</w:t>
      </w:r>
      <w:r w:rsidRPr="00551F38">
        <w:rPr>
          <w:rFonts w:cstheme="minorHAnsi"/>
          <w:highlight w:val="yellow"/>
        </w:rPr>
        <w:t xml:space="preserve"> </w:t>
      </w:r>
    </w:p>
    <w:p w14:paraId="392898D7" w14:textId="77777777" w:rsidR="00FF7EB1" w:rsidRPr="00551F38" w:rsidRDefault="00FF7EB1" w:rsidP="009268CF">
      <w:pPr>
        <w:ind w:left="284" w:hanging="284"/>
        <w:rPr>
          <w:rFonts w:cstheme="minorHAnsi"/>
        </w:rPr>
      </w:pPr>
    </w:p>
    <w:p w14:paraId="657C34AA" w14:textId="0B973DA7" w:rsidR="00FF7EB1" w:rsidRPr="00551F38" w:rsidRDefault="00FF7EB1" w:rsidP="009268CF">
      <w:pPr>
        <w:pStyle w:val="ListParagraph"/>
        <w:widowControl/>
        <w:numPr>
          <w:ilvl w:val="1"/>
          <w:numId w:val="37"/>
        </w:numPr>
        <w:autoSpaceDE/>
        <w:autoSpaceDN/>
        <w:adjustRightInd/>
        <w:spacing w:line="259" w:lineRule="auto"/>
        <w:ind w:left="0" w:firstLine="0"/>
        <w:rPr>
          <w:rFonts w:cstheme="minorHAnsi"/>
          <w:highlight w:val="yellow"/>
        </w:rPr>
      </w:pPr>
      <w:r w:rsidRPr="00551F38">
        <w:rPr>
          <w:rFonts w:cstheme="minorHAnsi"/>
          <w:highlight w:val="yellow"/>
        </w:rPr>
        <w:t xml:space="preserve">Rotate the plate by 90° and repeat </w:t>
      </w:r>
      <w:r w:rsidR="00275825" w:rsidRPr="00551F38">
        <w:rPr>
          <w:rFonts w:cstheme="minorHAnsi"/>
          <w:highlight w:val="yellow"/>
        </w:rPr>
        <w:t>the rotating movements (</w:t>
      </w:r>
      <w:r w:rsidR="00AE5DA4" w:rsidRPr="00551F38">
        <w:rPr>
          <w:rFonts w:cstheme="minorHAnsi"/>
          <w:highlight w:val="yellow"/>
        </w:rPr>
        <w:t xml:space="preserve">as in </w:t>
      </w:r>
      <w:r w:rsidRPr="00551F38">
        <w:rPr>
          <w:rFonts w:cstheme="minorHAnsi"/>
          <w:highlight w:val="yellow"/>
        </w:rPr>
        <w:t>s</w:t>
      </w:r>
      <w:r w:rsidR="00AE5DA4" w:rsidRPr="00551F38">
        <w:rPr>
          <w:rFonts w:cstheme="minorHAnsi"/>
          <w:highlight w:val="yellow"/>
        </w:rPr>
        <w:t>ection</w:t>
      </w:r>
      <w:r w:rsidRPr="00551F38">
        <w:rPr>
          <w:rFonts w:cstheme="minorHAnsi"/>
          <w:highlight w:val="yellow"/>
        </w:rPr>
        <w:t xml:space="preserve"> 2.2</w:t>
      </w:r>
      <w:r w:rsidR="00275825" w:rsidRPr="00551F38">
        <w:rPr>
          <w:rFonts w:cstheme="minorHAnsi"/>
          <w:highlight w:val="yellow"/>
        </w:rPr>
        <w:t>)</w:t>
      </w:r>
      <w:r w:rsidR="00596059" w:rsidRPr="00551F38">
        <w:rPr>
          <w:rFonts w:cstheme="minorHAnsi"/>
          <w:highlight w:val="yellow"/>
        </w:rPr>
        <w:t>;</w:t>
      </w:r>
      <w:r w:rsidRPr="00551F38">
        <w:rPr>
          <w:rFonts w:cstheme="minorHAnsi"/>
          <w:highlight w:val="yellow"/>
        </w:rPr>
        <w:t xml:space="preserve"> repeat these steps until the plate</w:t>
      </w:r>
      <w:r w:rsidR="00596059" w:rsidRPr="00551F38">
        <w:rPr>
          <w:rFonts w:cstheme="minorHAnsi"/>
          <w:highlight w:val="yellow"/>
        </w:rPr>
        <w:t xml:space="preserve"> has </w:t>
      </w:r>
      <w:r w:rsidR="006F759B" w:rsidRPr="00551F38">
        <w:rPr>
          <w:rFonts w:cstheme="minorHAnsi"/>
          <w:highlight w:val="yellow"/>
        </w:rPr>
        <w:t xml:space="preserve">been </w:t>
      </w:r>
      <w:r w:rsidR="00596059" w:rsidRPr="00551F38">
        <w:rPr>
          <w:rFonts w:cstheme="minorHAnsi"/>
          <w:highlight w:val="yellow"/>
        </w:rPr>
        <w:t>rotat</w:t>
      </w:r>
      <w:r w:rsidR="006F759B" w:rsidRPr="00551F38">
        <w:rPr>
          <w:rFonts w:cstheme="minorHAnsi"/>
          <w:highlight w:val="yellow"/>
        </w:rPr>
        <w:t>ed completely</w:t>
      </w:r>
      <w:r w:rsidR="00D31830" w:rsidRPr="00551F38">
        <w:rPr>
          <w:rFonts w:cstheme="minorHAnsi"/>
          <w:highlight w:val="yellow"/>
        </w:rPr>
        <w:t>.</w:t>
      </w:r>
    </w:p>
    <w:p w14:paraId="0D2CC3BF" w14:textId="77777777" w:rsidR="00FF7EB1" w:rsidRPr="00551F38" w:rsidRDefault="00FF7EB1" w:rsidP="009268CF">
      <w:pPr>
        <w:rPr>
          <w:rFonts w:cstheme="minorHAnsi"/>
        </w:rPr>
      </w:pPr>
    </w:p>
    <w:p w14:paraId="7590A65E" w14:textId="03783BE1" w:rsidR="0031385F" w:rsidRPr="00551F38" w:rsidRDefault="0031385F" w:rsidP="0031385F">
      <w:pPr>
        <w:widowControl/>
        <w:autoSpaceDE/>
        <w:autoSpaceDN/>
        <w:adjustRightInd/>
        <w:spacing w:line="259" w:lineRule="auto"/>
        <w:rPr>
          <w:rFonts w:cstheme="minorHAnsi"/>
        </w:rPr>
      </w:pPr>
      <w:r w:rsidRPr="00551F38">
        <w:rPr>
          <w:rFonts w:cstheme="minorHAnsi"/>
          <w:highlight w:val="yellow"/>
        </w:rPr>
        <w:t>2.4       Use the plate immediately to set</w:t>
      </w:r>
      <w:r w:rsidR="006F759B" w:rsidRPr="00551F38">
        <w:rPr>
          <w:rFonts w:cstheme="minorHAnsi"/>
          <w:highlight w:val="yellow"/>
        </w:rPr>
        <w:t xml:space="preserve"> </w:t>
      </w:r>
      <w:r w:rsidRPr="00551F38">
        <w:rPr>
          <w:rFonts w:cstheme="minorHAnsi"/>
          <w:highlight w:val="yellow"/>
        </w:rPr>
        <w:t>up experiments requiring spores or incubate the plates at 30 °C for 17 h or 24 h when early hyphae or mycelium</w:t>
      </w:r>
      <w:r w:rsidR="006F759B" w:rsidRPr="00551F38">
        <w:rPr>
          <w:rFonts w:cstheme="minorHAnsi"/>
          <w:highlight w:val="yellow"/>
        </w:rPr>
        <w:t>, respectively,</w:t>
      </w:r>
      <w:r w:rsidRPr="00551F38">
        <w:rPr>
          <w:rFonts w:cstheme="minorHAnsi"/>
          <w:highlight w:val="yellow"/>
        </w:rPr>
        <w:t xml:space="preserve"> are needed</w:t>
      </w:r>
      <w:r w:rsidR="00D31830" w:rsidRPr="00551F38">
        <w:rPr>
          <w:rFonts w:cstheme="minorHAnsi"/>
          <w:highlight w:val="yellow"/>
        </w:rPr>
        <w:t>.</w:t>
      </w:r>
      <w:r w:rsidRPr="00551F38">
        <w:rPr>
          <w:rFonts w:cstheme="minorHAnsi"/>
          <w:highlight w:val="yellow"/>
        </w:rPr>
        <w:t xml:space="preserve"> </w:t>
      </w:r>
    </w:p>
    <w:p w14:paraId="6ACD1A4F" w14:textId="77777777" w:rsidR="000119B1" w:rsidRPr="00551F38" w:rsidRDefault="000119B1" w:rsidP="000119B1">
      <w:pPr>
        <w:widowControl/>
        <w:autoSpaceDE/>
        <w:autoSpaceDN/>
        <w:adjustRightInd/>
        <w:spacing w:line="259" w:lineRule="auto"/>
        <w:rPr>
          <w:rFonts w:cstheme="minorHAnsi"/>
        </w:rPr>
      </w:pPr>
    </w:p>
    <w:p w14:paraId="209FFE58" w14:textId="60B12532" w:rsidR="00FF7EB1" w:rsidRPr="00551F38" w:rsidRDefault="00551F38" w:rsidP="000119B1">
      <w:pPr>
        <w:widowControl/>
        <w:autoSpaceDE/>
        <w:autoSpaceDN/>
        <w:adjustRightInd/>
        <w:spacing w:line="259" w:lineRule="auto"/>
        <w:rPr>
          <w:rFonts w:cstheme="minorHAnsi"/>
        </w:rPr>
      </w:pPr>
      <w:r>
        <w:rPr>
          <w:rFonts w:cstheme="minorHAnsi"/>
        </w:rPr>
        <w:t>NOTE:</w:t>
      </w:r>
      <w:r w:rsidR="00F010B7" w:rsidRPr="00551F38">
        <w:rPr>
          <w:rFonts w:cstheme="minorHAnsi"/>
        </w:rPr>
        <w:t xml:space="preserve"> </w:t>
      </w:r>
      <w:r w:rsidR="006F759B" w:rsidRPr="00551F38">
        <w:rPr>
          <w:rFonts w:cstheme="minorHAnsi"/>
        </w:rPr>
        <w:t>T</w:t>
      </w:r>
      <w:r w:rsidR="00F010B7" w:rsidRPr="00551F38">
        <w:rPr>
          <w:rFonts w:cstheme="minorHAnsi"/>
        </w:rPr>
        <w:t xml:space="preserve">o compare antifungal activity measured after mycelium plug-transfer and mycelium </w:t>
      </w:r>
      <w:r w:rsidR="00BD790C" w:rsidRPr="00551F38">
        <w:rPr>
          <w:rFonts w:cstheme="minorHAnsi"/>
        </w:rPr>
        <w:t>disk</w:t>
      </w:r>
      <w:r w:rsidR="00F010B7" w:rsidRPr="00551F38">
        <w:rPr>
          <w:rFonts w:cstheme="minorHAnsi"/>
        </w:rPr>
        <w:t xml:space="preserve">-transfer, </w:t>
      </w:r>
      <w:r w:rsidR="002D09BE" w:rsidRPr="00551F38">
        <w:rPr>
          <w:rFonts w:cstheme="minorHAnsi"/>
        </w:rPr>
        <w:t>us</w:t>
      </w:r>
      <w:r w:rsidR="00F010B7" w:rsidRPr="00551F38">
        <w:rPr>
          <w:rFonts w:cstheme="minorHAnsi"/>
        </w:rPr>
        <w:t>e</w:t>
      </w:r>
      <w:r w:rsidR="002D09BE" w:rsidRPr="00551F38">
        <w:rPr>
          <w:rFonts w:cstheme="minorHAnsi"/>
        </w:rPr>
        <w:t xml:space="preserve"> sterile tweezers</w:t>
      </w:r>
      <w:r w:rsidR="00F010B7" w:rsidRPr="00551F38">
        <w:rPr>
          <w:rFonts w:cstheme="minorHAnsi"/>
        </w:rPr>
        <w:t xml:space="preserve"> and</w:t>
      </w:r>
      <w:r w:rsidR="002D09BE" w:rsidRPr="00551F38">
        <w:rPr>
          <w:rFonts w:cstheme="minorHAnsi"/>
        </w:rPr>
        <w:t xml:space="preserve"> place sterile 5 mm cellulose </w:t>
      </w:r>
      <w:r w:rsidR="00BD790C" w:rsidRPr="00551F38">
        <w:rPr>
          <w:rFonts w:cstheme="minorHAnsi"/>
        </w:rPr>
        <w:t>disks</w:t>
      </w:r>
      <w:r w:rsidR="002D09BE" w:rsidRPr="00551F38">
        <w:rPr>
          <w:rFonts w:cstheme="minorHAnsi"/>
        </w:rPr>
        <w:t xml:space="preserve"> randomly onto the surface of </w:t>
      </w:r>
      <w:r w:rsidR="00033A96" w:rsidRPr="00551F38">
        <w:rPr>
          <w:rFonts w:cstheme="minorHAnsi"/>
        </w:rPr>
        <w:t xml:space="preserve">the </w:t>
      </w:r>
      <w:r w:rsidR="002D09BE" w:rsidRPr="00551F38">
        <w:rPr>
          <w:rFonts w:cstheme="minorHAnsi"/>
        </w:rPr>
        <w:t>agar plate after spore spreading.</w:t>
      </w:r>
    </w:p>
    <w:p w14:paraId="731F875B" w14:textId="77777777" w:rsidR="0046282B" w:rsidRPr="00551F38" w:rsidRDefault="0046282B" w:rsidP="009268CF">
      <w:pPr>
        <w:rPr>
          <w:rFonts w:ascii="Times New Roman" w:hAnsi="Times New Roman" w:cs="Times New Roman"/>
          <w:bCs/>
          <w:color w:val="auto"/>
        </w:rPr>
      </w:pPr>
    </w:p>
    <w:p w14:paraId="1B989B3B" w14:textId="65FE3AB3" w:rsidR="0046282B" w:rsidRPr="00551F38" w:rsidRDefault="00F60A2C" w:rsidP="000119B1">
      <w:pPr>
        <w:pStyle w:val="ListParagraph"/>
        <w:widowControl/>
        <w:numPr>
          <w:ilvl w:val="0"/>
          <w:numId w:val="30"/>
        </w:numPr>
        <w:autoSpaceDE/>
        <w:autoSpaceDN/>
        <w:adjustRightInd/>
        <w:spacing w:line="259" w:lineRule="auto"/>
        <w:ind w:hanging="720"/>
        <w:rPr>
          <w:rFonts w:cstheme="minorHAnsi"/>
          <w:b/>
        </w:rPr>
      </w:pPr>
      <w:r w:rsidRPr="00551F38">
        <w:rPr>
          <w:rFonts w:cstheme="minorHAnsi"/>
          <w:b/>
        </w:rPr>
        <w:t xml:space="preserve">Antifungal </w:t>
      </w:r>
      <w:r w:rsidR="0046282B" w:rsidRPr="00551F38">
        <w:rPr>
          <w:rFonts w:cstheme="minorHAnsi"/>
          <w:b/>
        </w:rPr>
        <w:t>compound</w:t>
      </w:r>
      <w:r w:rsidR="00033A96" w:rsidRPr="00551F38">
        <w:rPr>
          <w:rFonts w:cstheme="minorHAnsi"/>
          <w:b/>
        </w:rPr>
        <w:t>s</w:t>
      </w:r>
      <w:r w:rsidRPr="00551F38">
        <w:rPr>
          <w:rFonts w:cstheme="minorHAnsi"/>
          <w:b/>
        </w:rPr>
        <w:t xml:space="preserve"> preparation</w:t>
      </w:r>
    </w:p>
    <w:p w14:paraId="4887F2EF" w14:textId="77777777" w:rsidR="0046282B" w:rsidRPr="00551F38" w:rsidRDefault="0046282B" w:rsidP="009268CF">
      <w:pPr>
        <w:pStyle w:val="ListParagraph"/>
        <w:ind w:left="0"/>
        <w:rPr>
          <w:rFonts w:cstheme="minorHAnsi"/>
          <w:b/>
        </w:rPr>
      </w:pPr>
    </w:p>
    <w:p w14:paraId="227FA620" w14:textId="264D6B5E" w:rsidR="0046282B" w:rsidRPr="00F75C76" w:rsidRDefault="000119B1" w:rsidP="000119B1">
      <w:pPr>
        <w:pStyle w:val="ListParagraph"/>
        <w:widowControl/>
        <w:numPr>
          <w:ilvl w:val="1"/>
          <w:numId w:val="30"/>
        </w:numPr>
        <w:autoSpaceDE/>
        <w:autoSpaceDN/>
        <w:adjustRightInd/>
        <w:spacing w:line="259" w:lineRule="auto"/>
        <w:rPr>
          <w:rFonts w:cstheme="minorHAnsi"/>
          <w:bCs/>
        </w:rPr>
      </w:pPr>
      <w:r w:rsidRPr="00F75C76">
        <w:rPr>
          <w:rFonts w:cstheme="minorHAnsi"/>
          <w:bCs/>
        </w:rPr>
        <w:t xml:space="preserve">       </w:t>
      </w:r>
      <w:r w:rsidR="0046282B" w:rsidRPr="00F75C76">
        <w:rPr>
          <w:rFonts w:cstheme="minorHAnsi"/>
          <w:bCs/>
        </w:rPr>
        <w:t>Plant-derived product preparation</w:t>
      </w:r>
      <w:r w:rsidR="00A46BB6" w:rsidRPr="00F75C76">
        <w:rPr>
          <w:rFonts w:cstheme="minorHAnsi"/>
          <w:bCs/>
        </w:rPr>
        <w:t>:</w:t>
      </w:r>
      <w:r w:rsidR="0046282B" w:rsidRPr="00F75C76">
        <w:rPr>
          <w:rFonts w:cstheme="minorHAnsi"/>
          <w:bCs/>
        </w:rPr>
        <w:t xml:space="preserve"> </w:t>
      </w:r>
      <w:r w:rsidR="00A46BB6" w:rsidRPr="00F75C76">
        <w:rPr>
          <w:rFonts w:cstheme="minorHAnsi"/>
          <w:bCs/>
        </w:rPr>
        <w:t>g</w:t>
      </w:r>
      <w:r w:rsidR="0046282B" w:rsidRPr="00F75C76">
        <w:rPr>
          <w:rFonts w:cstheme="minorHAnsi"/>
          <w:bCs/>
        </w:rPr>
        <w:t>arlic</w:t>
      </w:r>
      <w:r w:rsidR="00A46BB6" w:rsidRPr="00F75C76">
        <w:rPr>
          <w:rFonts w:cstheme="minorHAnsi"/>
          <w:bCs/>
        </w:rPr>
        <w:t>-</w:t>
      </w:r>
      <w:r w:rsidR="00FF7EB1" w:rsidRPr="00F75C76">
        <w:rPr>
          <w:rFonts w:cstheme="minorHAnsi"/>
          <w:bCs/>
        </w:rPr>
        <w:t>powder</w:t>
      </w:r>
      <w:r w:rsidR="0046282B" w:rsidRPr="00F75C76">
        <w:rPr>
          <w:rFonts w:cstheme="minorHAnsi"/>
          <w:bCs/>
        </w:rPr>
        <w:t xml:space="preserve"> preparation </w:t>
      </w:r>
    </w:p>
    <w:p w14:paraId="1614D14D" w14:textId="77777777" w:rsidR="0046282B" w:rsidRPr="00551F38" w:rsidRDefault="0046282B" w:rsidP="009268CF">
      <w:pPr>
        <w:pStyle w:val="ListParagraph"/>
        <w:ind w:left="0"/>
        <w:rPr>
          <w:rFonts w:cstheme="minorHAnsi"/>
          <w:b/>
        </w:rPr>
      </w:pPr>
    </w:p>
    <w:p w14:paraId="37AE28E0" w14:textId="543F452F" w:rsidR="0046282B" w:rsidRPr="00551F38" w:rsidRDefault="0046282B" w:rsidP="000119B1">
      <w:pPr>
        <w:pStyle w:val="ListParagraph"/>
        <w:widowControl/>
        <w:numPr>
          <w:ilvl w:val="2"/>
          <w:numId w:val="30"/>
        </w:numPr>
        <w:autoSpaceDE/>
        <w:autoSpaceDN/>
        <w:adjustRightInd/>
        <w:spacing w:line="259" w:lineRule="auto"/>
        <w:ind w:left="0" w:firstLine="0"/>
        <w:rPr>
          <w:rFonts w:cstheme="minorHAnsi"/>
          <w:bCs/>
        </w:rPr>
      </w:pPr>
      <w:r w:rsidRPr="00551F38">
        <w:rPr>
          <w:rFonts w:cstheme="minorHAnsi"/>
          <w:bCs/>
        </w:rPr>
        <w:t>Peel the cloves of fresh garlic and cut the cloves into 2-3 mm wide slices using a scalpel blade</w:t>
      </w:r>
      <w:r w:rsidR="00D31830" w:rsidRPr="00551F38">
        <w:rPr>
          <w:rFonts w:cstheme="minorHAnsi"/>
          <w:bCs/>
        </w:rPr>
        <w:t>.</w:t>
      </w:r>
      <w:r w:rsidRPr="00551F38">
        <w:rPr>
          <w:rFonts w:cstheme="minorHAnsi"/>
          <w:bCs/>
        </w:rPr>
        <w:t xml:space="preserve"> </w:t>
      </w:r>
    </w:p>
    <w:p w14:paraId="2F62F22B" w14:textId="77777777" w:rsidR="0046282B" w:rsidRPr="00551F38" w:rsidRDefault="0046282B" w:rsidP="009268CF">
      <w:pPr>
        <w:pStyle w:val="ListParagraph"/>
        <w:ind w:left="0"/>
        <w:rPr>
          <w:rFonts w:cstheme="minorHAnsi"/>
          <w:bCs/>
        </w:rPr>
      </w:pPr>
    </w:p>
    <w:p w14:paraId="01F11878" w14:textId="7D64DA89" w:rsidR="0046282B" w:rsidRPr="00551F38" w:rsidRDefault="0046282B" w:rsidP="000119B1">
      <w:pPr>
        <w:pStyle w:val="ListParagraph"/>
        <w:widowControl/>
        <w:numPr>
          <w:ilvl w:val="2"/>
          <w:numId w:val="30"/>
        </w:numPr>
        <w:autoSpaceDE/>
        <w:autoSpaceDN/>
        <w:adjustRightInd/>
        <w:spacing w:line="259" w:lineRule="auto"/>
        <w:ind w:left="0" w:firstLine="0"/>
        <w:rPr>
          <w:rFonts w:cstheme="minorHAnsi"/>
          <w:bCs/>
        </w:rPr>
      </w:pPr>
      <w:r w:rsidRPr="00551F38">
        <w:rPr>
          <w:rFonts w:cstheme="minorHAnsi"/>
          <w:bCs/>
        </w:rPr>
        <w:t>Air</w:t>
      </w:r>
      <w:r w:rsidR="00BE1D00" w:rsidRPr="00551F38">
        <w:rPr>
          <w:rFonts w:cstheme="minorHAnsi"/>
          <w:bCs/>
        </w:rPr>
        <w:t>-</w:t>
      </w:r>
      <w:r w:rsidRPr="00551F38">
        <w:rPr>
          <w:rFonts w:cstheme="minorHAnsi"/>
          <w:bCs/>
        </w:rPr>
        <w:t xml:space="preserve">dry the slices </w:t>
      </w:r>
      <w:r w:rsidR="00A46BB6" w:rsidRPr="00551F38">
        <w:rPr>
          <w:rFonts w:cstheme="minorHAnsi"/>
          <w:bCs/>
        </w:rPr>
        <w:t xml:space="preserve">for </w:t>
      </w:r>
      <w:r w:rsidRPr="00551F38">
        <w:rPr>
          <w:rFonts w:cstheme="minorHAnsi"/>
          <w:bCs/>
        </w:rPr>
        <w:t>2 days at 40 °C</w:t>
      </w:r>
      <w:r w:rsidR="00D31830" w:rsidRPr="00551F38">
        <w:rPr>
          <w:rFonts w:cstheme="minorHAnsi"/>
          <w:bCs/>
        </w:rPr>
        <w:t>.</w:t>
      </w:r>
    </w:p>
    <w:p w14:paraId="19445397" w14:textId="77777777" w:rsidR="0046282B" w:rsidRPr="00551F38" w:rsidRDefault="0046282B" w:rsidP="009268CF">
      <w:pPr>
        <w:rPr>
          <w:rFonts w:cstheme="minorHAnsi"/>
          <w:bCs/>
        </w:rPr>
      </w:pPr>
    </w:p>
    <w:p w14:paraId="6D4790D6" w14:textId="3A0875EB" w:rsidR="0046282B" w:rsidRPr="00551F38" w:rsidRDefault="0046282B" w:rsidP="000119B1">
      <w:pPr>
        <w:pStyle w:val="ListParagraph"/>
        <w:widowControl/>
        <w:numPr>
          <w:ilvl w:val="2"/>
          <w:numId w:val="30"/>
        </w:numPr>
        <w:autoSpaceDE/>
        <w:autoSpaceDN/>
        <w:adjustRightInd/>
        <w:spacing w:line="259" w:lineRule="auto"/>
        <w:ind w:left="0" w:firstLine="0"/>
        <w:rPr>
          <w:rFonts w:cstheme="minorHAnsi"/>
          <w:bCs/>
        </w:rPr>
      </w:pPr>
      <w:r w:rsidRPr="00551F38">
        <w:rPr>
          <w:rFonts w:cstheme="minorHAnsi"/>
          <w:bCs/>
        </w:rPr>
        <w:t xml:space="preserve">Grind the slices </w:t>
      </w:r>
      <w:r w:rsidR="00DE1E4A" w:rsidRPr="00551F38">
        <w:rPr>
          <w:rFonts w:cstheme="minorHAnsi"/>
          <w:bCs/>
        </w:rPr>
        <w:t xml:space="preserve">for </w:t>
      </w:r>
      <w:r w:rsidRPr="00551F38">
        <w:rPr>
          <w:rFonts w:cstheme="minorHAnsi"/>
          <w:bCs/>
        </w:rPr>
        <w:t>3 x 15 seconds using a knife mill to obtain a fine powder</w:t>
      </w:r>
      <w:r w:rsidR="00D31830" w:rsidRPr="00551F38">
        <w:rPr>
          <w:rFonts w:cstheme="minorHAnsi"/>
          <w:bCs/>
        </w:rPr>
        <w:t>.</w:t>
      </w:r>
    </w:p>
    <w:p w14:paraId="6D8C4F6F" w14:textId="77777777" w:rsidR="0046282B" w:rsidRPr="00551F38" w:rsidRDefault="0046282B" w:rsidP="009268CF">
      <w:pPr>
        <w:pStyle w:val="ListParagraph"/>
        <w:ind w:left="0"/>
        <w:rPr>
          <w:rFonts w:cstheme="minorHAnsi"/>
          <w:bCs/>
        </w:rPr>
      </w:pPr>
    </w:p>
    <w:p w14:paraId="3AD05288" w14:textId="12BEDCA3" w:rsidR="0046282B" w:rsidRPr="00551F38" w:rsidRDefault="0046282B" w:rsidP="000119B1">
      <w:pPr>
        <w:pStyle w:val="ListParagraph"/>
        <w:widowControl/>
        <w:numPr>
          <w:ilvl w:val="2"/>
          <w:numId w:val="30"/>
        </w:numPr>
        <w:autoSpaceDE/>
        <w:autoSpaceDN/>
        <w:adjustRightInd/>
        <w:spacing w:line="259" w:lineRule="auto"/>
        <w:ind w:left="0" w:firstLine="0"/>
        <w:rPr>
          <w:rFonts w:cstheme="minorHAnsi"/>
          <w:bCs/>
        </w:rPr>
      </w:pPr>
      <w:r w:rsidRPr="00551F38">
        <w:rPr>
          <w:rFonts w:cstheme="minorHAnsi"/>
          <w:bCs/>
        </w:rPr>
        <w:t>Store the garlic powder at 4 °C in 50 mL tubes before use</w:t>
      </w:r>
      <w:r w:rsidR="00D31830" w:rsidRPr="00551F38">
        <w:rPr>
          <w:rFonts w:cstheme="minorHAnsi"/>
          <w:bCs/>
        </w:rPr>
        <w:t>.</w:t>
      </w:r>
    </w:p>
    <w:p w14:paraId="64FAF2F6" w14:textId="77777777" w:rsidR="0046282B" w:rsidRPr="00551F38" w:rsidRDefault="0046282B" w:rsidP="009268CF">
      <w:pPr>
        <w:pStyle w:val="ListParagraph"/>
        <w:rPr>
          <w:rFonts w:cstheme="minorHAnsi"/>
          <w:bCs/>
        </w:rPr>
      </w:pPr>
    </w:p>
    <w:p w14:paraId="0A47B31E" w14:textId="45BCB377" w:rsidR="0046282B" w:rsidRPr="00551F38" w:rsidRDefault="00551F38" w:rsidP="009268CF">
      <w:pPr>
        <w:pStyle w:val="ListParagraph"/>
        <w:ind w:left="0"/>
        <w:rPr>
          <w:rFonts w:cstheme="minorHAnsi"/>
          <w:bCs/>
        </w:rPr>
      </w:pPr>
      <w:r>
        <w:rPr>
          <w:rFonts w:cstheme="minorHAnsi"/>
          <w:bCs/>
        </w:rPr>
        <w:t>NOTE:</w:t>
      </w:r>
      <w:r w:rsidR="0046282B" w:rsidRPr="00551F38">
        <w:rPr>
          <w:rFonts w:cstheme="minorHAnsi"/>
          <w:bCs/>
        </w:rPr>
        <w:t xml:space="preserve"> As garlic is not autoclaved </w:t>
      </w:r>
      <w:r w:rsidR="0098335E" w:rsidRPr="00551F38">
        <w:rPr>
          <w:rFonts w:cstheme="minorHAnsi"/>
          <w:bCs/>
        </w:rPr>
        <w:t>(</w:t>
      </w:r>
      <w:r w:rsidR="0046282B" w:rsidRPr="00551F38">
        <w:rPr>
          <w:rFonts w:cstheme="minorHAnsi"/>
          <w:bCs/>
        </w:rPr>
        <w:t>to prevent the degradation of temperature</w:t>
      </w:r>
      <w:r w:rsidR="0098335E" w:rsidRPr="00551F38">
        <w:rPr>
          <w:rFonts w:cstheme="minorHAnsi"/>
          <w:bCs/>
        </w:rPr>
        <w:t>-</w:t>
      </w:r>
      <w:r w:rsidR="0046282B" w:rsidRPr="00551F38">
        <w:rPr>
          <w:rFonts w:cstheme="minorHAnsi"/>
          <w:bCs/>
        </w:rPr>
        <w:t>sensitive antifungal compounds</w:t>
      </w:r>
      <w:r w:rsidR="0098335E" w:rsidRPr="00551F38">
        <w:rPr>
          <w:rFonts w:cstheme="minorHAnsi"/>
          <w:bCs/>
        </w:rPr>
        <w:t>)</w:t>
      </w:r>
      <w:r w:rsidR="0046282B" w:rsidRPr="00551F38">
        <w:rPr>
          <w:rFonts w:cstheme="minorHAnsi"/>
          <w:bCs/>
        </w:rPr>
        <w:t xml:space="preserve"> clean the grinder, the </w:t>
      </w:r>
      <w:r w:rsidR="00047DCA" w:rsidRPr="00551F38">
        <w:rPr>
          <w:rFonts w:cstheme="minorHAnsi"/>
          <w:bCs/>
        </w:rPr>
        <w:t>scalpel,</w:t>
      </w:r>
      <w:r w:rsidR="0046282B" w:rsidRPr="00551F38">
        <w:rPr>
          <w:rFonts w:cstheme="minorHAnsi"/>
          <w:bCs/>
        </w:rPr>
        <w:t xml:space="preserve"> and the air-dryer with 70% ethanol</w:t>
      </w:r>
      <w:r w:rsidR="00E631F6" w:rsidRPr="00551F38">
        <w:rPr>
          <w:rFonts w:cstheme="minorHAnsi"/>
          <w:bCs/>
        </w:rPr>
        <w:t xml:space="preserve"> before use</w:t>
      </w:r>
      <w:r w:rsidR="00D31830" w:rsidRPr="00551F38">
        <w:rPr>
          <w:rFonts w:cstheme="minorHAnsi"/>
          <w:bCs/>
        </w:rPr>
        <w:t>.</w:t>
      </w:r>
      <w:r w:rsidR="0046282B" w:rsidRPr="00551F38">
        <w:rPr>
          <w:rFonts w:cstheme="minorHAnsi"/>
          <w:bCs/>
        </w:rPr>
        <w:t xml:space="preserve"> </w:t>
      </w:r>
    </w:p>
    <w:p w14:paraId="7BAF4103" w14:textId="77777777" w:rsidR="0046282B" w:rsidRPr="00F75C76" w:rsidRDefault="0046282B" w:rsidP="009268CF">
      <w:pPr>
        <w:pStyle w:val="ListParagraph"/>
        <w:rPr>
          <w:rFonts w:cstheme="minorHAnsi"/>
          <w:bCs/>
        </w:rPr>
      </w:pPr>
    </w:p>
    <w:p w14:paraId="0D5E1C5C" w14:textId="77777777" w:rsidR="0046282B" w:rsidRPr="00F75C76" w:rsidRDefault="0046282B" w:rsidP="000119B1">
      <w:pPr>
        <w:pStyle w:val="ListParagraph"/>
        <w:widowControl/>
        <w:numPr>
          <w:ilvl w:val="1"/>
          <w:numId w:val="30"/>
        </w:numPr>
        <w:autoSpaceDE/>
        <w:autoSpaceDN/>
        <w:adjustRightInd/>
        <w:spacing w:line="259" w:lineRule="auto"/>
        <w:ind w:left="709" w:hanging="709"/>
        <w:rPr>
          <w:rFonts w:cstheme="minorHAnsi"/>
          <w:bCs/>
        </w:rPr>
      </w:pPr>
      <w:r w:rsidRPr="00F75C76">
        <w:rPr>
          <w:rFonts w:cstheme="minorHAnsi"/>
          <w:bCs/>
        </w:rPr>
        <w:t>Essential oil preparation</w:t>
      </w:r>
    </w:p>
    <w:p w14:paraId="6E72AA18" w14:textId="77777777" w:rsidR="0046282B" w:rsidRPr="00551F38" w:rsidRDefault="0046282B" w:rsidP="009268CF">
      <w:pPr>
        <w:pStyle w:val="ListParagraph"/>
        <w:ind w:left="709"/>
        <w:rPr>
          <w:rFonts w:cstheme="minorHAnsi"/>
          <w:bCs/>
        </w:rPr>
      </w:pPr>
    </w:p>
    <w:p w14:paraId="3FF44F28" w14:textId="577DA6F6" w:rsidR="0046282B" w:rsidRPr="00551F38" w:rsidRDefault="0046282B" w:rsidP="000119B1">
      <w:pPr>
        <w:pStyle w:val="ListParagraph"/>
        <w:widowControl/>
        <w:numPr>
          <w:ilvl w:val="2"/>
          <w:numId w:val="30"/>
        </w:numPr>
        <w:autoSpaceDE/>
        <w:autoSpaceDN/>
        <w:adjustRightInd/>
        <w:spacing w:line="259" w:lineRule="auto"/>
        <w:ind w:left="0" w:firstLine="0"/>
        <w:rPr>
          <w:rFonts w:cstheme="minorHAnsi"/>
          <w:bCs/>
        </w:rPr>
      </w:pPr>
      <w:r w:rsidRPr="00551F38">
        <w:rPr>
          <w:rFonts w:cstheme="minorHAnsi"/>
          <w:bCs/>
        </w:rPr>
        <w:t xml:space="preserve">Prepare </w:t>
      </w:r>
      <w:r w:rsidR="00894E61" w:rsidRPr="00551F38">
        <w:rPr>
          <w:rFonts w:cstheme="minorHAnsi"/>
          <w:bCs/>
        </w:rPr>
        <w:t>0.5</w:t>
      </w:r>
      <w:r w:rsidR="00F75C76">
        <w:rPr>
          <w:rFonts w:cstheme="minorHAnsi"/>
          <w:bCs/>
        </w:rPr>
        <w:t>%</w:t>
      </w:r>
      <w:r w:rsidR="00894E61" w:rsidRPr="00551F38">
        <w:rPr>
          <w:rFonts w:cstheme="minorHAnsi"/>
          <w:bCs/>
        </w:rPr>
        <w:t>, 1</w:t>
      </w:r>
      <w:r w:rsidR="00F75C76">
        <w:rPr>
          <w:rFonts w:cstheme="minorHAnsi"/>
          <w:bCs/>
        </w:rPr>
        <w:t>%</w:t>
      </w:r>
      <w:r w:rsidR="00894E61" w:rsidRPr="00551F38">
        <w:rPr>
          <w:rFonts w:cstheme="minorHAnsi"/>
          <w:bCs/>
        </w:rPr>
        <w:t>, 2.5</w:t>
      </w:r>
      <w:r w:rsidR="00F75C76">
        <w:rPr>
          <w:rFonts w:cstheme="minorHAnsi"/>
          <w:bCs/>
        </w:rPr>
        <w:t>%</w:t>
      </w:r>
      <w:r w:rsidR="00894E61" w:rsidRPr="00551F38">
        <w:rPr>
          <w:rFonts w:cstheme="minorHAnsi"/>
          <w:bCs/>
        </w:rPr>
        <w:t>, 5</w:t>
      </w:r>
      <w:r w:rsidR="00F75C76">
        <w:rPr>
          <w:rFonts w:cstheme="minorHAnsi"/>
          <w:bCs/>
        </w:rPr>
        <w:t>%</w:t>
      </w:r>
      <w:r w:rsidR="00894E61" w:rsidRPr="00551F38">
        <w:rPr>
          <w:rFonts w:cstheme="minorHAnsi"/>
          <w:bCs/>
        </w:rPr>
        <w:t xml:space="preserve"> and 20</w:t>
      </w:r>
      <w:r w:rsidR="00F75C76">
        <w:rPr>
          <w:rFonts w:cstheme="minorHAnsi"/>
          <w:bCs/>
        </w:rPr>
        <w:t>%</w:t>
      </w:r>
      <w:r w:rsidR="00894E61" w:rsidRPr="00551F38">
        <w:rPr>
          <w:rFonts w:cstheme="minorHAnsi"/>
          <w:bCs/>
        </w:rPr>
        <w:t xml:space="preserve"> </w:t>
      </w:r>
      <w:r w:rsidR="004E6243" w:rsidRPr="00551F38">
        <w:rPr>
          <w:rFonts w:cstheme="minorHAnsi"/>
          <w:bCs/>
          <w:i/>
          <w:iCs/>
        </w:rPr>
        <w:t>T</w:t>
      </w:r>
      <w:r w:rsidRPr="00551F38">
        <w:rPr>
          <w:rFonts w:cstheme="minorHAnsi"/>
          <w:bCs/>
          <w:i/>
          <w:iCs/>
        </w:rPr>
        <w:t>hymus</w:t>
      </w:r>
      <w:r w:rsidR="004E6243" w:rsidRPr="00551F38">
        <w:rPr>
          <w:rFonts w:cstheme="minorHAnsi"/>
          <w:bCs/>
          <w:i/>
          <w:iCs/>
        </w:rPr>
        <w:t xml:space="preserve"> vulgaris</w:t>
      </w:r>
      <w:r w:rsidRPr="00551F38">
        <w:rPr>
          <w:rFonts w:cstheme="minorHAnsi"/>
          <w:bCs/>
        </w:rPr>
        <w:t xml:space="preserve"> essential oil solutions in 0.5</w:t>
      </w:r>
      <w:r w:rsidR="00F75C76">
        <w:rPr>
          <w:rFonts w:cstheme="minorHAnsi"/>
          <w:bCs/>
        </w:rPr>
        <w:t>%</w:t>
      </w:r>
      <w:r w:rsidRPr="00551F38">
        <w:rPr>
          <w:rFonts w:cstheme="minorHAnsi"/>
          <w:bCs/>
        </w:rPr>
        <w:t xml:space="preserve"> </w:t>
      </w:r>
      <w:r w:rsidR="00F75C76">
        <w:rPr>
          <w:rFonts w:cstheme="minorHAnsi"/>
          <w:bCs/>
        </w:rPr>
        <w:t>Tween</w:t>
      </w:r>
      <w:r w:rsidRPr="00551F38">
        <w:rPr>
          <w:rFonts w:cstheme="minorHAnsi"/>
          <w:bCs/>
        </w:rPr>
        <w:t>-80</w:t>
      </w:r>
      <w:r w:rsidR="00166E5C" w:rsidRPr="00551F38">
        <w:rPr>
          <w:rFonts w:cstheme="minorHAnsi"/>
          <w:bCs/>
        </w:rPr>
        <w:t>.</w:t>
      </w:r>
      <w:r w:rsidRPr="00551F38">
        <w:rPr>
          <w:rFonts w:cstheme="minorHAnsi"/>
          <w:bCs/>
        </w:rPr>
        <w:t xml:space="preserve"> </w:t>
      </w:r>
    </w:p>
    <w:p w14:paraId="1A8D95DD" w14:textId="77777777" w:rsidR="0046282B" w:rsidRPr="00551F38" w:rsidRDefault="0046282B" w:rsidP="009268CF">
      <w:pPr>
        <w:pStyle w:val="ListParagraph"/>
        <w:ind w:left="709"/>
        <w:rPr>
          <w:rFonts w:cstheme="minorHAnsi"/>
          <w:bCs/>
        </w:rPr>
      </w:pPr>
    </w:p>
    <w:p w14:paraId="44BAFB14" w14:textId="6F1289CA" w:rsidR="0046282B" w:rsidRPr="00551F38" w:rsidRDefault="0046282B" w:rsidP="000119B1">
      <w:pPr>
        <w:pStyle w:val="ListParagraph"/>
        <w:widowControl/>
        <w:numPr>
          <w:ilvl w:val="2"/>
          <w:numId w:val="30"/>
        </w:numPr>
        <w:autoSpaceDE/>
        <w:autoSpaceDN/>
        <w:adjustRightInd/>
        <w:spacing w:line="259" w:lineRule="auto"/>
        <w:ind w:left="709" w:hanging="709"/>
        <w:rPr>
          <w:rFonts w:cstheme="minorHAnsi"/>
          <w:bCs/>
        </w:rPr>
      </w:pPr>
      <w:r w:rsidRPr="00551F38">
        <w:rPr>
          <w:rFonts w:cstheme="minorHAnsi"/>
          <w:bCs/>
        </w:rPr>
        <w:t>Mix well to form an emulsion before adding it into the PDA medium (see section</w:t>
      </w:r>
      <w:r w:rsidR="00727A4D" w:rsidRPr="00551F38">
        <w:rPr>
          <w:rFonts w:cstheme="minorHAnsi"/>
          <w:bCs/>
        </w:rPr>
        <w:t xml:space="preserve"> </w:t>
      </w:r>
      <w:r w:rsidR="004F2CEC" w:rsidRPr="00551F38">
        <w:rPr>
          <w:rFonts w:cstheme="minorHAnsi"/>
          <w:bCs/>
        </w:rPr>
        <w:t>4</w:t>
      </w:r>
      <w:r w:rsidR="00727A4D" w:rsidRPr="00551F38">
        <w:rPr>
          <w:rFonts w:cstheme="minorHAnsi"/>
          <w:bCs/>
        </w:rPr>
        <w:t>.2)</w:t>
      </w:r>
      <w:r w:rsidR="00166E5C" w:rsidRPr="00551F38">
        <w:rPr>
          <w:rFonts w:cstheme="minorHAnsi"/>
          <w:bCs/>
        </w:rPr>
        <w:t>.</w:t>
      </w:r>
      <w:r w:rsidRPr="00551F38">
        <w:rPr>
          <w:rFonts w:cstheme="minorHAnsi"/>
          <w:bCs/>
        </w:rPr>
        <w:t xml:space="preserve"> </w:t>
      </w:r>
    </w:p>
    <w:p w14:paraId="543F0628" w14:textId="77777777" w:rsidR="0046282B" w:rsidRPr="00F75C76" w:rsidRDefault="0046282B" w:rsidP="009268CF">
      <w:pPr>
        <w:rPr>
          <w:rFonts w:cstheme="minorHAnsi"/>
          <w:bCs/>
        </w:rPr>
      </w:pPr>
    </w:p>
    <w:p w14:paraId="10DC08D9" w14:textId="77777777" w:rsidR="0046282B" w:rsidRPr="00F75C76" w:rsidRDefault="0046282B" w:rsidP="000119B1">
      <w:pPr>
        <w:pStyle w:val="ListParagraph"/>
        <w:widowControl/>
        <w:numPr>
          <w:ilvl w:val="1"/>
          <w:numId w:val="30"/>
        </w:numPr>
        <w:autoSpaceDE/>
        <w:autoSpaceDN/>
        <w:adjustRightInd/>
        <w:spacing w:line="259" w:lineRule="auto"/>
        <w:ind w:left="0" w:firstLine="0"/>
        <w:rPr>
          <w:rFonts w:cstheme="minorHAnsi"/>
          <w:bCs/>
        </w:rPr>
      </w:pPr>
      <w:r w:rsidRPr="00F75C76">
        <w:rPr>
          <w:rFonts w:cstheme="minorHAnsi"/>
          <w:bCs/>
        </w:rPr>
        <w:t>Carbendazim preparation</w:t>
      </w:r>
    </w:p>
    <w:p w14:paraId="644C17EA" w14:textId="77777777" w:rsidR="0046282B" w:rsidRPr="00551F38" w:rsidRDefault="0046282B" w:rsidP="009268CF">
      <w:pPr>
        <w:pStyle w:val="ListParagraph"/>
        <w:ind w:left="0"/>
        <w:rPr>
          <w:rFonts w:cstheme="minorHAnsi"/>
          <w:bCs/>
        </w:rPr>
      </w:pPr>
    </w:p>
    <w:p w14:paraId="563E56DB" w14:textId="42F270DB" w:rsidR="0046282B" w:rsidRPr="00551F38" w:rsidRDefault="0046282B" w:rsidP="004F2CEC">
      <w:pPr>
        <w:pStyle w:val="ListParagraph"/>
        <w:widowControl/>
        <w:numPr>
          <w:ilvl w:val="2"/>
          <w:numId w:val="30"/>
        </w:numPr>
        <w:autoSpaceDE/>
        <w:autoSpaceDN/>
        <w:adjustRightInd/>
        <w:spacing w:line="259" w:lineRule="auto"/>
        <w:ind w:left="0" w:firstLine="0"/>
        <w:rPr>
          <w:rFonts w:cstheme="minorHAnsi"/>
          <w:bCs/>
        </w:rPr>
      </w:pPr>
      <w:r w:rsidRPr="00551F38">
        <w:rPr>
          <w:rFonts w:cstheme="minorHAnsi"/>
          <w:bCs/>
        </w:rPr>
        <w:t xml:space="preserve">Weigh carbendazim to prepare a 200 mg/L ethanol solution </w:t>
      </w:r>
      <w:r w:rsidR="00536C37" w:rsidRPr="00551F38">
        <w:rPr>
          <w:rFonts w:cstheme="minorHAnsi"/>
          <w:bCs/>
        </w:rPr>
        <w:t>(</w:t>
      </w:r>
      <w:r w:rsidRPr="00551F38">
        <w:rPr>
          <w:rFonts w:cstheme="minorHAnsi"/>
          <w:bCs/>
        </w:rPr>
        <w:t>carbendazim is poorly soluble in water</w:t>
      </w:r>
      <w:r w:rsidR="00536C37" w:rsidRPr="00551F38">
        <w:rPr>
          <w:rFonts w:cstheme="minorHAnsi"/>
          <w:bCs/>
        </w:rPr>
        <w:t>)</w:t>
      </w:r>
      <w:r w:rsidR="00166E5C" w:rsidRPr="00551F38">
        <w:rPr>
          <w:rFonts w:cstheme="minorHAnsi"/>
          <w:bCs/>
        </w:rPr>
        <w:t>.</w:t>
      </w:r>
      <w:r w:rsidR="00DB5000" w:rsidRPr="00551F38">
        <w:rPr>
          <w:rFonts w:cstheme="minorHAnsi"/>
          <w:bCs/>
        </w:rPr>
        <w:t xml:space="preserve"> </w:t>
      </w:r>
    </w:p>
    <w:p w14:paraId="3096EA26" w14:textId="77777777" w:rsidR="0046282B" w:rsidRPr="00551F38" w:rsidRDefault="0046282B" w:rsidP="009268CF">
      <w:pPr>
        <w:pStyle w:val="ListParagraph"/>
        <w:ind w:left="710"/>
        <w:rPr>
          <w:rFonts w:cstheme="minorHAnsi"/>
          <w:bCs/>
        </w:rPr>
      </w:pPr>
    </w:p>
    <w:p w14:paraId="28A17E6F" w14:textId="7DA93403" w:rsidR="0046282B" w:rsidRPr="00551F38" w:rsidRDefault="004E6243" w:rsidP="00F60A2C">
      <w:pPr>
        <w:pStyle w:val="ListParagraph"/>
        <w:widowControl/>
        <w:numPr>
          <w:ilvl w:val="2"/>
          <w:numId w:val="30"/>
        </w:numPr>
        <w:autoSpaceDE/>
        <w:autoSpaceDN/>
        <w:adjustRightInd/>
        <w:spacing w:line="259" w:lineRule="auto"/>
        <w:ind w:left="0" w:firstLine="0"/>
        <w:rPr>
          <w:rFonts w:cstheme="minorHAnsi"/>
          <w:bCs/>
        </w:rPr>
      </w:pPr>
      <w:r w:rsidRPr="00551F38">
        <w:rPr>
          <w:rFonts w:cstheme="minorHAnsi"/>
          <w:bCs/>
        </w:rPr>
        <w:t xml:space="preserve">Store </w:t>
      </w:r>
      <w:r w:rsidR="00536C37" w:rsidRPr="00551F38">
        <w:rPr>
          <w:rFonts w:cstheme="minorHAnsi"/>
          <w:bCs/>
        </w:rPr>
        <w:t>the solution</w:t>
      </w:r>
      <w:r w:rsidR="00894E61" w:rsidRPr="00551F38">
        <w:rPr>
          <w:rFonts w:cstheme="minorHAnsi"/>
          <w:bCs/>
        </w:rPr>
        <w:t xml:space="preserve"> at room temperature</w:t>
      </w:r>
      <w:r w:rsidRPr="00551F38">
        <w:rPr>
          <w:rFonts w:cstheme="minorHAnsi"/>
          <w:bCs/>
        </w:rPr>
        <w:t xml:space="preserve"> before </w:t>
      </w:r>
      <w:r w:rsidR="00DB5000" w:rsidRPr="00551F38">
        <w:rPr>
          <w:rFonts w:cstheme="minorHAnsi"/>
          <w:bCs/>
        </w:rPr>
        <w:t>adding it into the PDA medium</w:t>
      </w:r>
      <w:r w:rsidR="004F2CEC" w:rsidRPr="00551F38">
        <w:rPr>
          <w:rFonts w:cstheme="minorHAnsi"/>
          <w:bCs/>
        </w:rPr>
        <w:t xml:space="preserve"> (see section 4.2)</w:t>
      </w:r>
      <w:r w:rsidR="00166E5C" w:rsidRPr="00551F38">
        <w:rPr>
          <w:rFonts w:cstheme="minorHAnsi"/>
          <w:bCs/>
        </w:rPr>
        <w:t>.</w:t>
      </w:r>
    </w:p>
    <w:p w14:paraId="567C3EDE" w14:textId="77777777" w:rsidR="0046282B" w:rsidRPr="00551F38" w:rsidRDefault="0046282B" w:rsidP="009268CF">
      <w:pPr>
        <w:pStyle w:val="ListParagraph"/>
        <w:ind w:left="2160"/>
        <w:rPr>
          <w:rFonts w:cstheme="minorHAnsi"/>
          <w:bCs/>
        </w:rPr>
      </w:pPr>
    </w:p>
    <w:p w14:paraId="59BC8FCB" w14:textId="48A82362" w:rsidR="00F703A7" w:rsidRPr="00551F38" w:rsidRDefault="00F703A7" w:rsidP="00F703A7">
      <w:pPr>
        <w:pStyle w:val="ListParagraph"/>
        <w:ind w:left="0"/>
        <w:rPr>
          <w:rFonts w:cstheme="minorHAnsi"/>
          <w:bCs/>
        </w:rPr>
      </w:pPr>
      <w:r w:rsidRPr="00551F38">
        <w:rPr>
          <w:rFonts w:cstheme="minorHAnsi"/>
          <w:bCs/>
        </w:rPr>
        <w:t xml:space="preserve">CAUTION: </w:t>
      </w:r>
      <w:r w:rsidR="00B22252" w:rsidRPr="00551F38">
        <w:rPr>
          <w:rFonts w:cstheme="minorHAnsi"/>
          <w:bCs/>
        </w:rPr>
        <w:t>C</w:t>
      </w:r>
      <w:r w:rsidRPr="00551F38">
        <w:rPr>
          <w:rFonts w:cstheme="minorHAnsi"/>
          <w:bCs/>
        </w:rPr>
        <w:t>arbendazim presents a health and environmental hazard</w:t>
      </w:r>
      <w:r w:rsidR="00B22252" w:rsidRPr="00551F38">
        <w:rPr>
          <w:rFonts w:cstheme="minorHAnsi"/>
          <w:bCs/>
        </w:rPr>
        <w:t>. W</w:t>
      </w:r>
      <w:r w:rsidRPr="00551F38">
        <w:rPr>
          <w:rFonts w:cstheme="minorHAnsi"/>
          <w:bCs/>
        </w:rPr>
        <w:t>ear gloves and mask when handling this product. Store it in a ventilated space</w:t>
      </w:r>
      <w:r w:rsidR="00B22252" w:rsidRPr="00551F38">
        <w:rPr>
          <w:rFonts w:cstheme="minorHAnsi"/>
          <w:bCs/>
        </w:rPr>
        <w:t>.</w:t>
      </w:r>
      <w:r w:rsidRPr="00551F38">
        <w:rPr>
          <w:rFonts w:cstheme="minorHAnsi"/>
          <w:bCs/>
        </w:rPr>
        <w:t xml:space="preserve"> </w:t>
      </w:r>
    </w:p>
    <w:p w14:paraId="35794EAA" w14:textId="77777777" w:rsidR="0046282B" w:rsidRPr="00551F38" w:rsidRDefault="0046282B" w:rsidP="009268CF">
      <w:pPr>
        <w:rPr>
          <w:rFonts w:ascii="Times New Roman" w:hAnsi="Times New Roman" w:cs="Times New Roman"/>
          <w:b/>
        </w:rPr>
      </w:pPr>
    </w:p>
    <w:p w14:paraId="09CB8D94" w14:textId="1E91A74D" w:rsidR="0046282B" w:rsidRPr="00551F38" w:rsidRDefault="00A132C2" w:rsidP="000119B1">
      <w:pPr>
        <w:pStyle w:val="ListParagraph"/>
        <w:widowControl/>
        <w:autoSpaceDE/>
        <w:autoSpaceDN/>
        <w:adjustRightInd/>
        <w:spacing w:line="259" w:lineRule="auto"/>
        <w:ind w:left="0"/>
        <w:rPr>
          <w:rFonts w:cstheme="minorHAnsi"/>
          <w:b/>
        </w:rPr>
      </w:pPr>
      <w:r w:rsidRPr="00551F38">
        <w:rPr>
          <w:rFonts w:cstheme="minorHAnsi"/>
          <w:b/>
        </w:rPr>
        <w:t xml:space="preserve"> </w:t>
      </w:r>
      <w:r w:rsidR="006E3AC6" w:rsidRPr="00551F38">
        <w:rPr>
          <w:rFonts w:cstheme="minorHAnsi"/>
          <w:b/>
        </w:rPr>
        <w:t xml:space="preserve">4. </w:t>
      </w:r>
      <w:r w:rsidR="0046282B" w:rsidRPr="00551F38">
        <w:rPr>
          <w:rFonts w:cstheme="minorHAnsi"/>
          <w:b/>
        </w:rPr>
        <w:t>Contact</w:t>
      </w:r>
      <w:r w:rsidR="0048606B" w:rsidRPr="00551F38">
        <w:rPr>
          <w:rFonts w:cstheme="minorHAnsi"/>
          <w:b/>
        </w:rPr>
        <w:t>-</w:t>
      </w:r>
      <w:r w:rsidR="0046282B" w:rsidRPr="00551F38">
        <w:rPr>
          <w:rFonts w:cstheme="minorHAnsi"/>
          <w:b/>
        </w:rPr>
        <w:t>inhibition assay</w:t>
      </w:r>
    </w:p>
    <w:p w14:paraId="6103149F" w14:textId="77777777" w:rsidR="0046282B" w:rsidRPr="00F75C76" w:rsidRDefault="0046282B" w:rsidP="009268CF">
      <w:pPr>
        <w:pStyle w:val="ListParagraph"/>
        <w:ind w:left="142" w:hanging="142"/>
        <w:rPr>
          <w:rFonts w:cstheme="minorHAnsi"/>
          <w:bCs/>
        </w:rPr>
      </w:pPr>
    </w:p>
    <w:p w14:paraId="4E3AF7E5" w14:textId="5709C0F6" w:rsidR="0046282B" w:rsidRPr="00F75C76" w:rsidRDefault="006E3AC6" w:rsidP="000119B1">
      <w:pPr>
        <w:pStyle w:val="ListParagraph"/>
        <w:widowControl/>
        <w:autoSpaceDE/>
        <w:autoSpaceDN/>
        <w:adjustRightInd/>
        <w:spacing w:line="259" w:lineRule="auto"/>
        <w:ind w:left="0"/>
        <w:rPr>
          <w:rFonts w:cstheme="minorHAnsi"/>
          <w:bCs/>
        </w:rPr>
      </w:pPr>
      <w:r w:rsidRPr="00F75C76">
        <w:rPr>
          <w:rFonts w:cstheme="minorHAnsi"/>
          <w:bCs/>
        </w:rPr>
        <w:t xml:space="preserve">4.1 </w:t>
      </w:r>
      <w:r w:rsidR="0046282B" w:rsidRPr="00F75C76">
        <w:rPr>
          <w:rFonts w:cstheme="minorHAnsi"/>
          <w:bCs/>
        </w:rPr>
        <w:t xml:space="preserve">Preparation of agar plates containing garlic powder </w:t>
      </w:r>
    </w:p>
    <w:p w14:paraId="4744E7C1" w14:textId="77777777" w:rsidR="0046282B" w:rsidRPr="00551F38" w:rsidRDefault="0046282B" w:rsidP="009268CF">
      <w:pPr>
        <w:pStyle w:val="ListParagraph"/>
        <w:ind w:left="426" w:hanging="142"/>
        <w:rPr>
          <w:rFonts w:cstheme="minorHAnsi"/>
          <w:bCs/>
        </w:rPr>
      </w:pPr>
    </w:p>
    <w:p w14:paraId="397BAF9B" w14:textId="6E3DD903" w:rsidR="0046282B" w:rsidRPr="00551F38" w:rsidRDefault="006E3AC6" w:rsidP="009268CF">
      <w:pPr>
        <w:pStyle w:val="ListParagraph"/>
        <w:widowControl/>
        <w:autoSpaceDE/>
        <w:autoSpaceDN/>
        <w:adjustRightInd/>
        <w:spacing w:line="259" w:lineRule="auto"/>
        <w:ind w:left="0"/>
        <w:rPr>
          <w:rFonts w:cstheme="minorHAnsi"/>
          <w:bCs/>
        </w:rPr>
      </w:pPr>
      <w:r w:rsidRPr="00551F38">
        <w:rPr>
          <w:rFonts w:cstheme="minorHAnsi"/>
          <w:bCs/>
        </w:rPr>
        <w:t xml:space="preserve">4.1.1 </w:t>
      </w:r>
      <w:r w:rsidR="0028651F" w:rsidRPr="00551F38">
        <w:rPr>
          <w:rFonts w:cstheme="minorHAnsi"/>
          <w:bCs/>
        </w:rPr>
        <w:t xml:space="preserve">   </w:t>
      </w:r>
      <w:r w:rsidR="0046282B" w:rsidRPr="00551F38">
        <w:rPr>
          <w:rFonts w:cstheme="minorHAnsi"/>
          <w:bCs/>
        </w:rPr>
        <w:t>Prepare and autoclave PDA medium</w:t>
      </w:r>
      <w:r w:rsidR="00166E5C" w:rsidRPr="00551F38">
        <w:rPr>
          <w:rFonts w:cstheme="minorHAnsi"/>
          <w:bCs/>
        </w:rPr>
        <w:t>.</w:t>
      </w:r>
      <w:r w:rsidR="0046282B" w:rsidRPr="00551F38">
        <w:rPr>
          <w:rFonts w:cstheme="minorHAnsi"/>
          <w:bCs/>
        </w:rPr>
        <w:t xml:space="preserve"> </w:t>
      </w:r>
    </w:p>
    <w:p w14:paraId="590C94A4" w14:textId="77777777" w:rsidR="0046282B" w:rsidRPr="00551F38" w:rsidRDefault="0046282B" w:rsidP="009268CF">
      <w:pPr>
        <w:pStyle w:val="ListParagraph"/>
        <w:ind w:left="0"/>
        <w:rPr>
          <w:rFonts w:cstheme="minorHAnsi"/>
          <w:bCs/>
        </w:rPr>
      </w:pPr>
    </w:p>
    <w:p w14:paraId="52AF2E6B" w14:textId="32DF08DD" w:rsidR="0046282B" w:rsidRPr="00551F38" w:rsidRDefault="00CE4B2D" w:rsidP="009268CF">
      <w:pPr>
        <w:pStyle w:val="ListParagraph"/>
        <w:widowControl/>
        <w:autoSpaceDE/>
        <w:autoSpaceDN/>
        <w:adjustRightInd/>
        <w:spacing w:line="259" w:lineRule="auto"/>
        <w:ind w:left="0"/>
        <w:rPr>
          <w:rFonts w:cstheme="minorHAnsi"/>
          <w:bCs/>
          <w:highlight w:val="yellow"/>
        </w:rPr>
      </w:pPr>
      <w:r w:rsidRPr="00551F38">
        <w:rPr>
          <w:rFonts w:cstheme="minorHAnsi"/>
          <w:bCs/>
          <w:highlight w:val="yellow"/>
        </w:rPr>
        <w:lastRenderedPageBreak/>
        <w:t xml:space="preserve">4.1.2 </w:t>
      </w:r>
      <w:r w:rsidR="0028651F" w:rsidRPr="00551F38">
        <w:rPr>
          <w:rFonts w:cstheme="minorHAnsi"/>
          <w:bCs/>
          <w:highlight w:val="yellow"/>
        </w:rPr>
        <w:t xml:space="preserve">   </w:t>
      </w:r>
      <w:r w:rsidR="0046282B" w:rsidRPr="00551F38">
        <w:rPr>
          <w:rFonts w:cstheme="minorHAnsi"/>
          <w:bCs/>
          <w:highlight w:val="yellow"/>
        </w:rPr>
        <w:t xml:space="preserve">Weigh the desired garlic powder quantity into </w:t>
      </w:r>
      <w:r w:rsidR="00B22252" w:rsidRPr="00551F38">
        <w:rPr>
          <w:rFonts w:cstheme="minorHAnsi"/>
          <w:bCs/>
          <w:highlight w:val="yellow"/>
        </w:rPr>
        <w:t xml:space="preserve">a </w:t>
      </w:r>
      <w:r w:rsidR="0046282B" w:rsidRPr="00551F38">
        <w:rPr>
          <w:rFonts w:cstheme="minorHAnsi"/>
          <w:bCs/>
          <w:highlight w:val="yellow"/>
        </w:rPr>
        <w:t>50 m</w:t>
      </w:r>
      <w:r w:rsidR="00222AFC" w:rsidRPr="00551F38">
        <w:rPr>
          <w:rFonts w:cstheme="minorHAnsi"/>
          <w:bCs/>
          <w:highlight w:val="yellow"/>
        </w:rPr>
        <w:t>L</w:t>
      </w:r>
      <w:r w:rsidR="0048785C" w:rsidRPr="00551F38">
        <w:rPr>
          <w:rFonts w:cstheme="minorHAnsi"/>
          <w:bCs/>
          <w:highlight w:val="yellow"/>
        </w:rPr>
        <w:t xml:space="preserve"> </w:t>
      </w:r>
      <w:r w:rsidR="0046282B" w:rsidRPr="00551F38">
        <w:rPr>
          <w:rFonts w:cstheme="minorHAnsi"/>
          <w:bCs/>
          <w:highlight w:val="yellow"/>
        </w:rPr>
        <w:t xml:space="preserve">tube using a sterile spatula, to obtain concentrations </w:t>
      </w:r>
      <w:r w:rsidR="0046282B" w:rsidRPr="00551F38">
        <w:rPr>
          <w:highlight w:val="yellow"/>
        </w:rPr>
        <w:t>generally</w:t>
      </w:r>
      <w:r w:rsidR="0046282B" w:rsidRPr="00551F38">
        <w:rPr>
          <w:rFonts w:cstheme="minorHAnsi"/>
          <w:bCs/>
          <w:highlight w:val="yellow"/>
        </w:rPr>
        <w:t xml:space="preserve"> ranging from</w:t>
      </w:r>
      <w:r w:rsidR="00727A4D" w:rsidRPr="00551F38">
        <w:rPr>
          <w:rFonts w:cstheme="minorHAnsi"/>
          <w:bCs/>
          <w:highlight w:val="yellow"/>
        </w:rPr>
        <w:t xml:space="preserve"> 0.25 mg/m</w:t>
      </w:r>
      <w:r w:rsidR="007466DB" w:rsidRPr="00551F38">
        <w:rPr>
          <w:rFonts w:cstheme="minorHAnsi"/>
          <w:bCs/>
          <w:highlight w:val="yellow"/>
        </w:rPr>
        <w:t>L</w:t>
      </w:r>
      <w:r w:rsidR="0046282B" w:rsidRPr="00551F38">
        <w:rPr>
          <w:rFonts w:cstheme="minorHAnsi"/>
          <w:bCs/>
          <w:highlight w:val="yellow"/>
        </w:rPr>
        <w:t xml:space="preserve"> to</w:t>
      </w:r>
      <w:r w:rsidR="00727A4D" w:rsidRPr="00551F38">
        <w:rPr>
          <w:rFonts w:cstheme="minorHAnsi"/>
          <w:bCs/>
          <w:highlight w:val="yellow"/>
        </w:rPr>
        <w:t xml:space="preserve"> 16</w:t>
      </w:r>
      <w:r w:rsidR="0046282B" w:rsidRPr="00551F38">
        <w:rPr>
          <w:rFonts w:cstheme="minorHAnsi"/>
          <w:bCs/>
          <w:highlight w:val="yellow"/>
        </w:rPr>
        <w:t xml:space="preserve"> mg/mL</w:t>
      </w:r>
      <w:r w:rsidR="00166E5C" w:rsidRPr="00551F38">
        <w:rPr>
          <w:rFonts w:cstheme="minorHAnsi"/>
          <w:bCs/>
          <w:highlight w:val="yellow"/>
        </w:rPr>
        <w:t>.</w:t>
      </w:r>
      <w:r w:rsidRPr="00551F38">
        <w:rPr>
          <w:rFonts w:cstheme="minorHAnsi"/>
          <w:bCs/>
          <w:highlight w:val="yellow"/>
        </w:rPr>
        <w:t xml:space="preserve"> </w:t>
      </w:r>
    </w:p>
    <w:p w14:paraId="2594ACB8" w14:textId="77777777" w:rsidR="0046282B" w:rsidRPr="00551F38" w:rsidRDefault="0046282B" w:rsidP="009268CF">
      <w:pPr>
        <w:pStyle w:val="ListParagraph"/>
        <w:ind w:left="0"/>
        <w:rPr>
          <w:rFonts w:cstheme="minorHAnsi"/>
          <w:bCs/>
        </w:rPr>
      </w:pPr>
    </w:p>
    <w:p w14:paraId="53B2CD42" w14:textId="6924F51E" w:rsidR="0046282B" w:rsidRPr="00551F38" w:rsidRDefault="0046282B" w:rsidP="0018604F">
      <w:pPr>
        <w:pStyle w:val="ListParagraph"/>
        <w:widowControl/>
        <w:numPr>
          <w:ilvl w:val="2"/>
          <w:numId w:val="33"/>
        </w:numPr>
        <w:autoSpaceDE/>
        <w:autoSpaceDN/>
        <w:adjustRightInd/>
        <w:spacing w:line="259" w:lineRule="auto"/>
        <w:ind w:left="0" w:firstLine="0"/>
        <w:rPr>
          <w:rFonts w:cstheme="minorHAnsi"/>
          <w:bCs/>
          <w:highlight w:val="yellow"/>
        </w:rPr>
      </w:pPr>
      <w:r w:rsidRPr="00551F38">
        <w:rPr>
          <w:rFonts w:cstheme="minorHAnsi"/>
          <w:bCs/>
          <w:highlight w:val="yellow"/>
        </w:rPr>
        <w:t xml:space="preserve">Add 10 mL </w:t>
      </w:r>
      <w:r w:rsidR="00F703A7" w:rsidRPr="00551F38">
        <w:rPr>
          <w:rFonts w:cstheme="minorHAnsi"/>
          <w:bCs/>
          <w:highlight w:val="yellow"/>
        </w:rPr>
        <w:t xml:space="preserve">of </w:t>
      </w:r>
      <w:r w:rsidRPr="00551F38">
        <w:rPr>
          <w:rFonts w:cstheme="minorHAnsi"/>
          <w:bCs/>
          <w:highlight w:val="yellow"/>
        </w:rPr>
        <w:t>PDA after having checked the temperature of the medium on the inside of the wrist</w:t>
      </w:r>
      <w:r w:rsidR="00867B11" w:rsidRPr="00551F38">
        <w:rPr>
          <w:rFonts w:cstheme="minorHAnsi"/>
          <w:bCs/>
          <w:highlight w:val="yellow"/>
        </w:rPr>
        <w:t>. T</w:t>
      </w:r>
      <w:r w:rsidRPr="00551F38">
        <w:rPr>
          <w:rFonts w:cstheme="minorHAnsi"/>
          <w:bCs/>
          <w:highlight w:val="yellow"/>
        </w:rPr>
        <w:t xml:space="preserve">he temperature must be as low as possible to </w:t>
      </w:r>
      <w:r w:rsidR="0045109E" w:rsidRPr="00551F38">
        <w:rPr>
          <w:rFonts w:cstheme="minorHAnsi"/>
          <w:bCs/>
          <w:highlight w:val="yellow"/>
        </w:rPr>
        <w:t xml:space="preserve">prevent </w:t>
      </w:r>
      <w:r w:rsidRPr="00551F38">
        <w:rPr>
          <w:rFonts w:cstheme="minorHAnsi"/>
          <w:bCs/>
          <w:highlight w:val="yellow"/>
        </w:rPr>
        <w:t>degradation of sensitive molecule</w:t>
      </w:r>
      <w:r w:rsidR="00CE4B2D" w:rsidRPr="00551F38">
        <w:rPr>
          <w:rFonts w:cstheme="minorHAnsi"/>
          <w:bCs/>
          <w:highlight w:val="yellow"/>
        </w:rPr>
        <w:t xml:space="preserve">s. Ideally, this temperature should </w:t>
      </w:r>
      <w:r w:rsidR="00E96AAF" w:rsidRPr="00551F38">
        <w:rPr>
          <w:rFonts w:cstheme="minorHAnsi"/>
          <w:bCs/>
          <w:highlight w:val="yellow"/>
        </w:rPr>
        <w:t>be 45</w:t>
      </w:r>
      <w:r w:rsidR="00CE4B2D" w:rsidRPr="00551F38">
        <w:rPr>
          <w:rFonts w:cstheme="minorHAnsi"/>
          <w:bCs/>
          <w:highlight w:val="yellow"/>
        </w:rPr>
        <w:t xml:space="preserve"> °C</w:t>
      </w:r>
      <w:r w:rsidR="00867B11" w:rsidRPr="00551F38">
        <w:rPr>
          <w:rFonts w:cstheme="minorHAnsi"/>
          <w:bCs/>
          <w:highlight w:val="yellow"/>
        </w:rPr>
        <w:t>.</w:t>
      </w:r>
      <w:r w:rsidR="008C64E6" w:rsidRPr="00551F38">
        <w:rPr>
          <w:rFonts w:cstheme="minorHAnsi"/>
          <w:bCs/>
          <w:highlight w:val="yellow"/>
        </w:rPr>
        <w:t xml:space="preserve"> </w:t>
      </w:r>
      <w:r w:rsidRPr="00551F38">
        <w:rPr>
          <w:rFonts w:cstheme="minorHAnsi"/>
          <w:bCs/>
          <w:highlight w:val="yellow"/>
        </w:rPr>
        <w:t xml:space="preserve"> </w:t>
      </w:r>
    </w:p>
    <w:p w14:paraId="0D794295" w14:textId="77777777" w:rsidR="0046282B" w:rsidRPr="00551F38" w:rsidRDefault="0046282B" w:rsidP="009268CF">
      <w:pPr>
        <w:pStyle w:val="ListParagraph"/>
        <w:ind w:left="0"/>
        <w:rPr>
          <w:rFonts w:cstheme="minorHAnsi"/>
          <w:bCs/>
        </w:rPr>
      </w:pPr>
    </w:p>
    <w:p w14:paraId="7FFC0D4A" w14:textId="4B001A49" w:rsidR="0046282B" w:rsidRPr="00551F38" w:rsidRDefault="0046282B" w:rsidP="009268CF">
      <w:pPr>
        <w:pStyle w:val="ListParagraph"/>
        <w:widowControl/>
        <w:numPr>
          <w:ilvl w:val="2"/>
          <w:numId w:val="33"/>
        </w:numPr>
        <w:autoSpaceDE/>
        <w:autoSpaceDN/>
        <w:adjustRightInd/>
        <w:spacing w:line="259" w:lineRule="auto"/>
        <w:ind w:left="0" w:firstLine="0"/>
        <w:rPr>
          <w:rFonts w:cstheme="minorHAnsi"/>
          <w:bCs/>
          <w:highlight w:val="yellow"/>
        </w:rPr>
      </w:pPr>
      <w:r w:rsidRPr="00551F38">
        <w:rPr>
          <w:rFonts w:cstheme="minorHAnsi"/>
          <w:bCs/>
          <w:highlight w:val="yellow"/>
        </w:rPr>
        <w:t>Homogenize carefully by turning the tube upside down to evenly distribute the powder into the PDA medium</w:t>
      </w:r>
      <w:r w:rsidR="00C72ACE" w:rsidRPr="00551F38">
        <w:rPr>
          <w:rFonts w:cstheme="minorHAnsi"/>
          <w:bCs/>
          <w:highlight w:val="yellow"/>
        </w:rPr>
        <w:t>. Q</w:t>
      </w:r>
      <w:r w:rsidRPr="00551F38">
        <w:rPr>
          <w:rFonts w:cstheme="minorHAnsi"/>
          <w:bCs/>
          <w:highlight w:val="yellow"/>
        </w:rPr>
        <w:t>uickly pour 10 mL into a 5 cm diameter Petri dish</w:t>
      </w:r>
      <w:r w:rsidR="003E5E1E" w:rsidRPr="00551F38">
        <w:rPr>
          <w:rFonts w:cstheme="minorHAnsi"/>
          <w:bCs/>
          <w:highlight w:val="yellow"/>
        </w:rPr>
        <w:t xml:space="preserve"> (</w:t>
      </w:r>
      <w:r w:rsidR="001531CB" w:rsidRPr="00551F38">
        <w:rPr>
          <w:rFonts w:cstheme="minorHAnsi"/>
          <w:b/>
          <w:highlight w:val="yellow"/>
        </w:rPr>
        <w:t>Figure</w:t>
      </w:r>
      <w:r w:rsidR="003E5E1E" w:rsidRPr="00551F38">
        <w:rPr>
          <w:rFonts w:cstheme="minorHAnsi"/>
          <w:b/>
          <w:highlight w:val="yellow"/>
        </w:rPr>
        <w:t xml:space="preserve"> 1</w:t>
      </w:r>
      <w:r w:rsidR="003E5E1E" w:rsidRPr="00551F38">
        <w:rPr>
          <w:rFonts w:cstheme="minorHAnsi"/>
          <w:bCs/>
          <w:highlight w:val="yellow"/>
        </w:rPr>
        <w:t>, panel C)</w:t>
      </w:r>
      <w:r w:rsidR="00867B11" w:rsidRPr="00551F38">
        <w:rPr>
          <w:rFonts w:cstheme="minorHAnsi"/>
          <w:bCs/>
          <w:highlight w:val="yellow"/>
        </w:rPr>
        <w:t>.</w:t>
      </w:r>
    </w:p>
    <w:p w14:paraId="0396D4CF" w14:textId="77777777" w:rsidR="0046282B" w:rsidRPr="00551F38" w:rsidRDefault="0046282B" w:rsidP="009268CF">
      <w:pPr>
        <w:pStyle w:val="ListParagraph"/>
        <w:ind w:left="0"/>
        <w:rPr>
          <w:rFonts w:cstheme="minorHAnsi"/>
          <w:bCs/>
        </w:rPr>
      </w:pPr>
    </w:p>
    <w:p w14:paraId="4C6EC5AA" w14:textId="1C9FB053" w:rsidR="0046282B" w:rsidRPr="00551F38" w:rsidRDefault="0046282B" w:rsidP="009268CF">
      <w:pPr>
        <w:pStyle w:val="ListParagraph"/>
        <w:widowControl/>
        <w:numPr>
          <w:ilvl w:val="2"/>
          <w:numId w:val="33"/>
        </w:numPr>
        <w:autoSpaceDE/>
        <w:autoSpaceDN/>
        <w:adjustRightInd/>
        <w:spacing w:line="259" w:lineRule="auto"/>
        <w:ind w:left="0" w:firstLine="0"/>
        <w:rPr>
          <w:rFonts w:cstheme="minorHAnsi"/>
          <w:bCs/>
          <w:highlight w:val="yellow"/>
        </w:rPr>
      </w:pPr>
      <w:r w:rsidRPr="00551F38">
        <w:rPr>
          <w:rFonts w:cstheme="minorHAnsi"/>
          <w:bCs/>
          <w:highlight w:val="yellow"/>
        </w:rPr>
        <w:t>W</w:t>
      </w:r>
      <w:r w:rsidR="00440ACD" w:rsidRPr="00551F38">
        <w:rPr>
          <w:rFonts w:cstheme="minorHAnsi"/>
          <w:bCs/>
          <w:highlight w:val="yellow"/>
        </w:rPr>
        <w:t xml:space="preserve">ith </w:t>
      </w:r>
      <w:r w:rsidR="00C72ACE" w:rsidRPr="00551F38">
        <w:rPr>
          <w:rFonts w:cstheme="minorHAnsi"/>
          <w:bCs/>
          <w:highlight w:val="yellow"/>
        </w:rPr>
        <w:t xml:space="preserve">the </w:t>
      </w:r>
      <w:r w:rsidR="00440ACD" w:rsidRPr="00551F38">
        <w:rPr>
          <w:rFonts w:cstheme="minorHAnsi"/>
          <w:bCs/>
          <w:highlight w:val="yellow"/>
        </w:rPr>
        <w:t>Petri dish placed at room temperature</w:t>
      </w:r>
      <w:r w:rsidR="00C72ACE" w:rsidRPr="00551F38">
        <w:rPr>
          <w:rFonts w:cstheme="minorHAnsi"/>
          <w:bCs/>
          <w:highlight w:val="yellow"/>
        </w:rPr>
        <w:t>, wait until the agar solidifies</w:t>
      </w:r>
      <w:r w:rsidR="00166E5C" w:rsidRPr="00551F38">
        <w:rPr>
          <w:rFonts w:cstheme="minorHAnsi"/>
          <w:bCs/>
          <w:highlight w:val="yellow"/>
        </w:rPr>
        <w:t>.</w:t>
      </w:r>
    </w:p>
    <w:p w14:paraId="50A1FB00" w14:textId="0E57E0C5" w:rsidR="0046282B" w:rsidRPr="00551F38" w:rsidRDefault="0046282B" w:rsidP="009268CF">
      <w:pPr>
        <w:widowControl/>
        <w:autoSpaceDE/>
        <w:autoSpaceDN/>
        <w:adjustRightInd/>
        <w:spacing w:line="259" w:lineRule="auto"/>
        <w:rPr>
          <w:rFonts w:cstheme="minorHAnsi"/>
        </w:rPr>
      </w:pPr>
    </w:p>
    <w:p w14:paraId="71270C95" w14:textId="33F6FBF8" w:rsidR="0046282B" w:rsidRPr="00551F38" w:rsidRDefault="0046282B" w:rsidP="009268CF">
      <w:pPr>
        <w:pStyle w:val="ListParagraph"/>
        <w:widowControl/>
        <w:numPr>
          <w:ilvl w:val="1"/>
          <w:numId w:val="33"/>
        </w:numPr>
        <w:autoSpaceDE/>
        <w:autoSpaceDN/>
        <w:adjustRightInd/>
        <w:spacing w:line="259" w:lineRule="auto"/>
        <w:ind w:left="0" w:firstLine="0"/>
        <w:rPr>
          <w:rFonts w:cstheme="minorHAnsi"/>
          <w:b/>
        </w:rPr>
      </w:pPr>
      <w:r w:rsidRPr="00551F38">
        <w:rPr>
          <w:rFonts w:cstheme="minorHAnsi"/>
          <w:b/>
        </w:rPr>
        <w:t>Preparation of agar plate</w:t>
      </w:r>
      <w:r w:rsidR="00CC3DF4" w:rsidRPr="00551F38">
        <w:rPr>
          <w:rFonts w:cstheme="minorHAnsi"/>
          <w:b/>
        </w:rPr>
        <w:t>s</w:t>
      </w:r>
      <w:r w:rsidRPr="00551F38">
        <w:rPr>
          <w:rFonts w:cstheme="minorHAnsi"/>
          <w:b/>
        </w:rPr>
        <w:t xml:space="preserve"> containing essential oil or carbendazim</w:t>
      </w:r>
    </w:p>
    <w:p w14:paraId="021AAB51" w14:textId="77777777" w:rsidR="0046282B" w:rsidRPr="00551F38" w:rsidRDefault="0046282B" w:rsidP="009268CF">
      <w:pPr>
        <w:pStyle w:val="ListParagraph"/>
        <w:ind w:left="0"/>
        <w:rPr>
          <w:rFonts w:cstheme="minorHAnsi"/>
          <w:bCs/>
        </w:rPr>
      </w:pPr>
    </w:p>
    <w:p w14:paraId="542AE737" w14:textId="0D57C01E" w:rsidR="0046282B" w:rsidRPr="00551F38" w:rsidRDefault="008C64E6" w:rsidP="009268CF">
      <w:pPr>
        <w:pStyle w:val="ListParagraph"/>
        <w:widowControl/>
        <w:autoSpaceDE/>
        <w:autoSpaceDN/>
        <w:adjustRightInd/>
        <w:spacing w:line="259" w:lineRule="auto"/>
        <w:ind w:left="0"/>
        <w:rPr>
          <w:rFonts w:cstheme="minorHAnsi"/>
          <w:bCs/>
        </w:rPr>
      </w:pPr>
      <w:r w:rsidRPr="00551F38">
        <w:rPr>
          <w:rFonts w:cstheme="minorHAnsi"/>
          <w:bCs/>
        </w:rPr>
        <w:t>4.2.1</w:t>
      </w:r>
      <w:r w:rsidR="0012647C" w:rsidRPr="00551F38">
        <w:rPr>
          <w:rFonts w:cstheme="minorHAnsi"/>
          <w:bCs/>
        </w:rPr>
        <w:t xml:space="preserve">     </w:t>
      </w:r>
      <w:r w:rsidR="0046282B" w:rsidRPr="00551F38">
        <w:rPr>
          <w:rFonts w:cstheme="minorHAnsi"/>
          <w:bCs/>
        </w:rPr>
        <w:t xml:space="preserve">Introduce 10 mL </w:t>
      </w:r>
      <w:r w:rsidR="00F703A7" w:rsidRPr="00551F38">
        <w:rPr>
          <w:rFonts w:cstheme="minorHAnsi"/>
          <w:bCs/>
        </w:rPr>
        <w:t xml:space="preserve">of </w:t>
      </w:r>
      <w:r w:rsidR="0046282B" w:rsidRPr="00551F38">
        <w:rPr>
          <w:rFonts w:cstheme="minorHAnsi"/>
          <w:bCs/>
        </w:rPr>
        <w:t>PDA into a 50 mL tube</w:t>
      </w:r>
      <w:r w:rsidR="00BE1D00" w:rsidRPr="00551F38">
        <w:rPr>
          <w:rFonts w:cstheme="minorHAnsi"/>
          <w:bCs/>
        </w:rPr>
        <w:t>.</w:t>
      </w:r>
      <w:r w:rsidR="0046282B" w:rsidRPr="00551F38">
        <w:rPr>
          <w:rFonts w:cstheme="minorHAnsi"/>
          <w:bCs/>
        </w:rPr>
        <w:t xml:space="preserve"> </w:t>
      </w:r>
      <w:r w:rsidR="00BE1D00" w:rsidRPr="00551F38">
        <w:rPr>
          <w:rFonts w:cstheme="minorHAnsi"/>
          <w:bCs/>
        </w:rPr>
        <w:t>C</w:t>
      </w:r>
      <w:r w:rsidR="0046282B" w:rsidRPr="00551F38">
        <w:rPr>
          <w:rFonts w:cstheme="minorHAnsi"/>
          <w:bCs/>
        </w:rPr>
        <w:t xml:space="preserve">heck the temperature as for section </w:t>
      </w:r>
      <w:r w:rsidRPr="00551F38">
        <w:rPr>
          <w:rFonts w:cstheme="minorHAnsi"/>
          <w:bCs/>
        </w:rPr>
        <w:t>4</w:t>
      </w:r>
      <w:r w:rsidR="0046282B" w:rsidRPr="00551F38">
        <w:rPr>
          <w:rFonts w:cstheme="minorHAnsi"/>
          <w:bCs/>
        </w:rPr>
        <w:t>.1.3</w:t>
      </w:r>
      <w:r w:rsidR="00BE1D00" w:rsidRPr="00551F38">
        <w:rPr>
          <w:rFonts w:cstheme="minorHAnsi"/>
          <w:bCs/>
        </w:rPr>
        <w:t>.</w:t>
      </w:r>
      <w:r w:rsidR="0046282B" w:rsidRPr="00551F38">
        <w:rPr>
          <w:rFonts w:cstheme="minorHAnsi"/>
          <w:bCs/>
        </w:rPr>
        <w:t xml:space="preserve"> </w:t>
      </w:r>
    </w:p>
    <w:p w14:paraId="0CF509F2" w14:textId="77777777" w:rsidR="0046282B" w:rsidRPr="00551F38" w:rsidRDefault="0046282B" w:rsidP="009268CF">
      <w:pPr>
        <w:pStyle w:val="ListParagraph"/>
        <w:ind w:left="0"/>
        <w:rPr>
          <w:rFonts w:cstheme="minorHAnsi"/>
          <w:bCs/>
        </w:rPr>
      </w:pPr>
    </w:p>
    <w:p w14:paraId="304642BA" w14:textId="7174DA49" w:rsidR="007466DB" w:rsidRPr="00551F38" w:rsidRDefault="0046282B" w:rsidP="009268CF">
      <w:pPr>
        <w:pStyle w:val="ListParagraph"/>
        <w:widowControl/>
        <w:numPr>
          <w:ilvl w:val="2"/>
          <w:numId w:val="33"/>
        </w:numPr>
        <w:autoSpaceDE/>
        <w:autoSpaceDN/>
        <w:adjustRightInd/>
        <w:spacing w:line="259" w:lineRule="auto"/>
        <w:ind w:left="0" w:firstLine="0"/>
        <w:rPr>
          <w:rFonts w:cstheme="minorHAnsi"/>
          <w:bCs/>
        </w:rPr>
      </w:pPr>
      <w:r w:rsidRPr="00551F38">
        <w:rPr>
          <w:rFonts w:cstheme="minorHAnsi"/>
          <w:bCs/>
        </w:rPr>
        <w:t xml:space="preserve">Add 100 µL of the different solutions of </w:t>
      </w:r>
      <w:r w:rsidR="004E59ED" w:rsidRPr="00551F38">
        <w:rPr>
          <w:rFonts w:cstheme="minorHAnsi"/>
          <w:bCs/>
          <w:i/>
          <w:iCs/>
        </w:rPr>
        <w:t>T</w:t>
      </w:r>
      <w:r w:rsidRPr="00551F38">
        <w:rPr>
          <w:rFonts w:cstheme="minorHAnsi"/>
          <w:bCs/>
          <w:i/>
          <w:iCs/>
        </w:rPr>
        <w:t>hymus</w:t>
      </w:r>
      <w:r w:rsidR="004E59ED" w:rsidRPr="00551F38">
        <w:rPr>
          <w:rFonts w:cstheme="minorHAnsi"/>
          <w:bCs/>
          <w:i/>
          <w:iCs/>
        </w:rPr>
        <w:t xml:space="preserve"> vulgaris</w:t>
      </w:r>
      <w:r w:rsidRPr="00551F38">
        <w:rPr>
          <w:rFonts w:cstheme="minorHAnsi"/>
          <w:bCs/>
        </w:rPr>
        <w:t xml:space="preserve"> essential oil in PDA to obtain </w:t>
      </w:r>
      <w:r w:rsidR="00894E61" w:rsidRPr="00551F38">
        <w:rPr>
          <w:rFonts w:cstheme="minorHAnsi"/>
          <w:bCs/>
        </w:rPr>
        <w:t>0.005</w:t>
      </w:r>
      <w:r w:rsidR="00F75C76">
        <w:rPr>
          <w:rFonts w:cstheme="minorHAnsi"/>
          <w:bCs/>
        </w:rPr>
        <w:t>%</w:t>
      </w:r>
      <w:r w:rsidR="00894E61" w:rsidRPr="00551F38">
        <w:rPr>
          <w:rFonts w:cstheme="minorHAnsi"/>
          <w:bCs/>
        </w:rPr>
        <w:t>, 0.01</w:t>
      </w:r>
      <w:r w:rsidR="00F75C76">
        <w:rPr>
          <w:rFonts w:cstheme="minorHAnsi"/>
          <w:bCs/>
        </w:rPr>
        <w:t>%</w:t>
      </w:r>
      <w:r w:rsidR="00894E61" w:rsidRPr="00551F38">
        <w:rPr>
          <w:rFonts w:cstheme="minorHAnsi"/>
          <w:bCs/>
        </w:rPr>
        <w:t>, 0.025</w:t>
      </w:r>
      <w:r w:rsidR="00F75C76">
        <w:rPr>
          <w:rFonts w:cstheme="minorHAnsi"/>
          <w:bCs/>
        </w:rPr>
        <w:t>%</w:t>
      </w:r>
      <w:r w:rsidR="00894E61" w:rsidRPr="00551F38">
        <w:rPr>
          <w:rFonts w:cstheme="minorHAnsi"/>
          <w:bCs/>
        </w:rPr>
        <w:t>, 0.05</w:t>
      </w:r>
      <w:r w:rsidR="00F75C76">
        <w:rPr>
          <w:rFonts w:cstheme="minorHAnsi"/>
          <w:bCs/>
        </w:rPr>
        <w:t>%</w:t>
      </w:r>
      <w:r w:rsidR="00894E61" w:rsidRPr="00551F38">
        <w:rPr>
          <w:rFonts w:cstheme="minorHAnsi"/>
          <w:bCs/>
        </w:rPr>
        <w:t xml:space="preserve"> and 0.2</w:t>
      </w:r>
      <w:r w:rsidR="00F75C76">
        <w:rPr>
          <w:rFonts w:cstheme="minorHAnsi"/>
          <w:bCs/>
        </w:rPr>
        <w:t>%</w:t>
      </w:r>
      <w:r w:rsidR="00894E61" w:rsidRPr="00551F38">
        <w:rPr>
          <w:rFonts w:cstheme="minorHAnsi"/>
          <w:bCs/>
        </w:rPr>
        <w:t xml:space="preserve"> </w:t>
      </w:r>
      <w:r w:rsidRPr="00551F38">
        <w:rPr>
          <w:rFonts w:cstheme="minorHAnsi"/>
          <w:bCs/>
        </w:rPr>
        <w:t xml:space="preserve">solutions (see section </w:t>
      </w:r>
      <w:r w:rsidR="008C64E6" w:rsidRPr="00551F38">
        <w:rPr>
          <w:rFonts w:cstheme="minorHAnsi"/>
          <w:bCs/>
        </w:rPr>
        <w:t>3</w:t>
      </w:r>
      <w:r w:rsidR="007466DB" w:rsidRPr="00551F38">
        <w:rPr>
          <w:rFonts w:cstheme="minorHAnsi"/>
          <w:bCs/>
        </w:rPr>
        <w:t>.2.1)</w:t>
      </w:r>
      <w:r w:rsidR="00166E5C" w:rsidRPr="00551F38">
        <w:rPr>
          <w:rFonts w:cstheme="minorHAnsi"/>
          <w:bCs/>
        </w:rPr>
        <w:t>.</w:t>
      </w:r>
      <w:r w:rsidR="00CC3DF4" w:rsidRPr="00551F38">
        <w:rPr>
          <w:rFonts w:cstheme="minorHAnsi"/>
          <w:bCs/>
        </w:rPr>
        <w:t xml:space="preserve"> </w:t>
      </w:r>
    </w:p>
    <w:p w14:paraId="2457BB00" w14:textId="77777777" w:rsidR="007466DB" w:rsidRPr="00551F38" w:rsidRDefault="007466DB" w:rsidP="009268CF">
      <w:pPr>
        <w:pStyle w:val="ListParagraph"/>
        <w:widowControl/>
        <w:autoSpaceDE/>
        <w:autoSpaceDN/>
        <w:adjustRightInd/>
        <w:spacing w:line="259" w:lineRule="auto"/>
        <w:ind w:left="0"/>
        <w:rPr>
          <w:rFonts w:cstheme="minorHAnsi"/>
          <w:bCs/>
        </w:rPr>
      </w:pPr>
    </w:p>
    <w:p w14:paraId="2F8B2EAE" w14:textId="6A1BAEEC" w:rsidR="0046282B" w:rsidRPr="00551F38" w:rsidRDefault="007466DB" w:rsidP="009268CF">
      <w:pPr>
        <w:pStyle w:val="ListParagraph"/>
        <w:widowControl/>
        <w:numPr>
          <w:ilvl w:val="2"/>
          <w:numId w:val="33"/>
        </w:numPr>
        <w:autoSpaceDE/>
        <w:autoSpaceDN/>
        <w:adjustRightInd/>
        <w:spacing w:line="259" w:lineRule="auto"/>
        <w:ind w:left="0" w:firstLine="0"/>
        <w:rPr>
          <w:rFonts w:cstheme="minorHAnsi"/>
          <w:bCs/>
        </w:rPr>
      </w:pPr>
      <w:r w:rsidRPr="00551F38">
        <w:rPr>
          <w:rFonts w:cstheme="minorHAnsi"/>
          <w:bCs/>
        </w:rPr>
        <w:t>Add the required volume</w:t>
      </w:r>
      <w:r w:rsidR="0046282B" w:rsidRPr="00551F38">
        <w:rPr>
          <w:rFonts w:cstheme="minorHAnsi"/>
          <w:bCs/>
        </w:rPr>
        <w:t xml:space="preserve"> of carbendazim</w:t>
      </w:r>
      <w:r w:rsidRPr="00551F38">
        <w:rPr>
          <w:rFonts w:cstheme="minorHAnsi"/>
          <w:bCs/>
        </w:rPr>
        <w:t xml:space="preserve"> from the 200 </w:t>
      </w:r>
      <w:r w:rsidR="00436A22" w:rsidRPr="00551F38">
        <w:rPr>
          <w:rFonts w:cstheme="minorHAnsi"/>
          <w:bCs/>
        </w:rPr>
        <w:t>m</w:t>
      </w:r>
      <w:r w:rsidRPr="00551F38">
        <w:rPr>
          <w:rFonts w:cstheme="minorHAnsi"/>
          <w:bCs/>
        </w:rPr>
        <w:t>g/L solution</w:t>
      </w:r>
      <w:r w:rsidR="0046282B" w:rsidRPr="00551F38">
        <w:rPr>
          <w:rFonts w:cstheme="minorHAnsi"/>
          <w:bCs/>
        </w:rPr>
        <w:t xml:space="preserve"> to obtain solutions ranging from 0</w:t>
      </w:r>
      <w:r w:rsidR="00FD2150" w:rsidRPr="00551F38">
        <w:rPr>
          <w:rFonts w:cstheme="minorHAnsi"/>
          <w:bCs/>
        </w:rPr>
        <w:t>.</w:t>
      </w:r>
      <w:r w:rsidRPr="00551F38">
        <w:rPr>
          <w:rFonts w:cstheme="minorHAnsi"/>
          <w:bCs/>
        </w:rPr>
        <w:t>06</w:t>
      </w:r>
      <w:r w:rsidR="0046282B" w:rsidRPr="00551F38">
        <w:rPr>
          <w:rFonts w:cstheme="minorHAnsi"/>
          <w:bCs/>
        </w:rPr>
        <w:t>25</w:t>
      </w:r>
      <w:r w:rsidR="006676F1" w:rsidRPr="00551F38">
        <w:rPr>
          <w:rFonts w:cstheme="minorHAnsi"/>
          <w:bCs/>
        </w:rPr>
        <w:t>–</w:t>
      </w:r>
      <w:r w:rsidRPr="00551F38">
        <w:rPr>
          <w:rFonts w:cstheme="minorHAnsi"/>
          <w:bCs/>
        </w:rPr>
        <w:t>2</w:t>
      </w:r>
      <w:r w:rsidR="0046282B" w:rsidRPr="00551F38">
        <w:rPr>
          <w:rFonts w:cstheme="minorHAnsi"/>
          <w:bCs/>
        </w:rPr>
        <w:t xml:space="preserve"> </w:t>
      </w:r>
      <w:r w:rsidR="00436A22" w:rsidRPr="00551F38">
        <w:rPr>
          <w:rFonts w:cstheme="minorHAnsi"/>
          <w:bCs/>
        </w:rPr>
        <w:t>m</w:t>
      </w:r>
      <w:r w:rsidR="0046282B" w:rsidRPr="00551F38">
        <w:rPr>
          <w:rFonts w:cstheme="minorHAnsi"/>
          <w:bCs/>
        </w:rPr>
        <w:t xml:space="preserve">g/L (see section </w:t>
      </w:r>
      <w:r w:rsidR="004A2B26" w:rsidRPr="00551F38">
        <w:rPr>
          <w:rFonts w:cstheme="minorHAnsi"/>
          <w:bCs/>
        </w:rPr>
        <w:t>3</w:t>
      </w:r>
      <w:r w:rsidR="0046282B" w:rsidRPr="00551F38">
        <w:rPr>
          <w:rFonts w:cstheme="minorHAnsi"/>
          <w:bCs/>
        </w:rPr>
        <w:t>.3.1)</w:t>
      </w:r>
      <w:r w:rsidR="00166E5C" w:rsidRPr="00551F38">
        <w:rPr>
          <w:rFonts w:cstheme="minorHAnsi"/>
          <w:bCs/>
        </w:rPr>
        <w:t>.</w:t>
      </w:r>
      <w:r w:rsidR="00CC3DF4" w:rsidRPr="00551F38">
        <w:rPr>
          <w:rFonts w:cstheme="minorHAnsi"/>
          <w:bCs/>
        </w:rPr>
        <w:t xml:space="preserve"> </w:t>
      </w:r>
    </w:p>
    <w:p w14:paraId="098A91AC" w14:textId="77777777" w:rsidR="0046282B" w:rsidRPr="00551F38" w:rsidRDefault="0046282B" w:rsidP="009268CF">
      <w:pPr>
        <w:pStyle w:val="ListParagraph"/>
        <w:ind w:left="0"/>
        <w:rPr>
          <w:rFonts w:cstheme="minorHAnsi"/>
          <w:bCs/>
        </w:rPr>
      </w:pPr>
    </w:p>
    <w:p w14:paraId="24031966" w14:textId="690B078A" w:rsidR="0046282B" w:rsidRPr="00551F38" w:rsidRDefault="0046282B" w:rsidP="009268CF">
      <w:pPr>
        <w:pStyle w:val="ListParagraph"/>
        <w:widowControl/>
        <w:numPr>
          <w:ilvl w:val="2"/>
          <w:numId w:val="33"/>
        </w:numPr>
        <w:autoSpaceDE/>
        <w:autoSpaceDN/>
        <w:adjustRightInd/>
        <w:spacing w:line="259" w:lineRule="auto"/>
        <w:ind w:left="0" w:firstLine="0"/>
        <w:rPr>
          <w:rFonts w:cstheme="minorHAnsi"/>
          <w:bCs/>
        </w:rPr>
      </w:pPr>
      <w:r w:rsidRPr="00551F38">
        <w:rPr>
          <w:rFonts w:cstheme="minorHAnsi"/>
          <w:bCs/>
        </w:rPr>
        <w:t>Homogenize carefully by turning the tube upside down, quickly pour 10 mL into a 5 cm diameter Petri dish</w:t>
      </w:r>
      <w:r w:rsidR="00436A22" w:rsidRPr="00551F38">
        <w:rPr>
          <w:rFonts w:cstheme="minorHAnsi"/>
          <w:bCs/>
        </w:rPr>
        <w:t xml:space="preserve"> (</w:t>
      </w:r>
      <w:r w:rsidR="001531CB" w:rsidRPr="00551F38">
        <w:rPr>
          <w:rFonts w:cstheme="minorHAnsi"/>
          <w:b/>
        </w:rPr>
        <w:t>Figure</w:t>
      </w:r>
      <w:r w:rsidR="00436A22" w:rsidRPr="00551F38">
        <w:rPr>
          <w:rFonts w:cstheme="minorHAnsi"/>
          <w:b/>
        </w:rPr>
        <w:t xml:space="preserve"> 1</w:t>
      </w:r>
      <w:r w:rsidR="00436A22" w:rsidRPr="00551F38">
        <w:rPr>
          <w:rFonts w:cstheme="minorHAnsi"/>
          <w:bCs/>
        </w:rPr>
        <w:t xml:space="preserve">, panel </w:t>
      </w:r>
      <w:r w:rsidR="003E5E1E" w:rsidRPr="00551F38">
        <w:rPr>
          <w:rFonts w:cstheme="minorHAnsi"/>
          <w:bCs/>
        </w:rPr>
        <w:t>C)</w:t>
      </w:r>
      <w:r w:rsidR="00166E5C" w:rsidRPr="00551F38">
        <w:rPr>
          <w:rFonts w:cstheme="minorHAnsi"/>
          <w:bCs/>
        </w:rPr>
        <w:t>.</w:t>
      </w:r>
    </w:p>
    <w:p w14:paraId="25F23473" w14:textId="77777777" w:rsidR="0046282B" w:rsidRPr="00551F38" w:rsidRDefault="0046282B" w:rsidP="009268CF">
      <w:pPr>
        <w:pStyle w:val="ListParagraph"/>
        <w:ind w:left="0"/>
        <w:rPr>
          <w:rFonts w:cstheme="minorHAnsi"/>
          <w:bCs/>
        </w:rPr>
      </w:pPr>
    </w:p>
    <w:p w14:paraId="425FDFCC" w14:textId="54F29027" w:rsidR="00E26E78" w:rsidRPr="00551F38" w:rsidRDefault="00E26E78" w:rsidP="00E26E78">
      <w:pPr>
        <w:pStyle w:val="ListParagraph"/>
        <w:widowControl/>
        <w:numPr>
          <w:ilvl w:val="2"/>
          <w:numId w:val="33"/>
        </w:numPr>
        <w:autoSpaceDE/>
        <w:autoSpaceDN/>
        <w:adjustRightInd/>
        <w:spacing w:line="259" w:lineRule="auto"/>
        <w:ind w:left="0" w:firstLine="0"/>
        <w:rPr>
          <w:rFonts w:cstheme="minorHAnsi"/>
          <w:bCs/>
          <w:highlight w:val="yellow"/>
        </w:rPr>
      </w:pPr>
      <w:r w:rsidRPr="00551F38">
        <w:rPr>
          <w:rFonts w:cstheme="minorHAnsi"/>
          <w:bCs/>
          <w:highlight w:val="yellow"/>
        </w:rPr>
        <w:t>With the Petri dish placed at room temperature, wait until the agar solidifies</w:t>
      </w:r>
      <w:r w:rsidR="00166E5C" w:rsidRPr="00551F38">
        <w:rPr>
          <w:rFonts w:cstheme="minorHAnsi"/>
          <w:bCs/>
          <w:highlight w:val="yellow"/>
        </w:rPr>
        <w:t>.</w:t>
      </w:r>
    </w:p>
    <w:p w14:paraId="54923EA8" w14:textId="77777777" w:rsidR="0046282B" w:rsidRPr="00551F38" w:rsidRDefault="0046282B" w:rsidP="009268CF">
      <w:pPr>
        <w:rPr>
          <w:rFonts w:cstheme="minorHAnsi"/>
        </w:rPr>
      </w:pPr>
    </w:p>
    <w:p w14:paraId="097AA42D" w14:textId="64FA37E3" w:rsidR="0046282B" w:rsidRPr="00551F38" w:rsidRDefault="000E2DFA" w:rsidP="009268CF">
      <w:pPr>
        <w:widowControl/>
        <w:autoSpaceDE/>
        <w:autoSpaceDN/>
        <w:adjustRightInd/>
        <w:spacing w:line="259" w:lineRule="auto"/>
        <w:rPr>
          <w:rFonts w:cstheme="minorHAnsi"/>
          <w:b/>
          <w:bCs/>
        </w:rPr>
      </w:pPr>
      <w:r w:rsidRPr="00551F38">
        <w:rPr>
          <w:rFonts w:cstheme="minorHAnsi"/>
          <w:b/>
          <w:bCs/>
        </w:rPr>
        <w:t>4.</w:t>
      </w:r>
      <w:r w:rsidR="00CC3DF4" w:rsidRPr="00551F38">
        <w:rPr>
          <w:rFonts w:cstheme="minorHAnsi"/>
          <w:b/>
          <w:bCs/>
        </w:rPr>
        <w:t>3</w:t>
      </w:r>
      <w:r w:rsidRPr="00551F38">
        <w:rPr>
          <w:rFonts w:cstheme="minorHAnsi"/>
          <w:b/>
          <w:bCs/>
        </w:rPr>
        <w:t xml:space="preserve"> </w:t>
      </w:r>
      <w:r w:rsidR="0046282B" w:rsidRPr="00551F38">
        <w:rPr>
          <w:rFonts w:cstheme="minorHAnsi"/>
          <w:b/>
          <w:bCs/>
        </w:rPr>
        <w:t>Contact inhibition assay</w:t>
      </w:r>
      <w:r w:rsidR="00816B06" w:rsidRPr="00551F38">
        <w:rPr>
          <w:rFonts w:cstheme="minorHAnsi"/>
          <w:b/>
          <w:bCs/>
        </w:rPr>
        <w:t xml:space="preserve"> (</w:t>
      </w:r>
      <w:r w:rsidR="001531CB" w:rsidRPr="00551F38">
        <w:rPr>
          <w:rFonts w:cstheme="minorHAnsi"/>
          <w:b/>
          <w:bCs/>
        </w:rPr>
        <w:t>Figure</w:t>
      </w:r>
      <w:r w:rsidR="00816B06" w:rsidRPr="00551F38">
        <w:rPr>
          <w:rFonts w:cstheme="minorHAnsi"/>
          <w:b/>
          <w:bCs/>
        </w:rPr>
        <w:t xml:space="preserve"> 1)</w:t>
      </w:r>
    </w:p>
    <w:p w14:paraId="40F91077" w14:textId="77777777" w:rsidR="0046282B" w:rsidRPr="00551F38" w:rsidRDefault="0046282B" w:rsidP="009268CF">
      <w:pPr>
        <w:pStyle w:val="ListParagraph"/>
        <w:ind w:left="284"/>
        <w:rPr>
          <w:rFonts w:cstheme="minorHAnsi"/>
        </w:rPr>
      </w:pPr>
    </w:p>
    <w:p w14:paraId="2DF96EF6" w14:textId="2E2D0F72" w:rsidR="0046282B" w:rsidRPr="00551F38" w:rsidRDefault="00CC3DF4" w:rsidP="009268CF">
      <w:pPr>
        <w:widowControl/>
        <w:autoSpaceDE/>
        <w:autoSpaceDN/>
        <w:adjustRightInd/>
        <w:spacing w:line="259" w:lineRule="auto"/>
        <w:rPr>
          <w:rFonts w:cstheme="minorHAnsi"/>
        </w:rPr>
      </w:pPr>
      <w:r w:rsidRPr="00551F38">
        <w:rPr>
          <w:rFonts w:cstheme="minorHAnsi"/>
          <w:highlight w:val="yellow"/>
        </w:rPr>
        <w:t xml:space="preserve">4.3.1 </w:t>
      </w:r>
      <w:r w:rsidR="0018604F" w:rsidRPr="00551F38">
        <w:rPr>
          <w:rFonts w:cstheme="minorHAnsi"/>
          <w:highlight w:val="yellow"/>
        </w:rPr>
        <w:t xml:space="preserve">   </w:t>
      </w:r>
      <w:r w:rsidR="00222DB1" w:rsidRPr="00551F38">
        <w:rPr>
          <w:rFonts w:cstheme="minorHAnsi"/>
          <w:highlight w:val="yellow"/>
        </w:rPr>
        <w:t>With a 5 mm diameter sterile stainless-steel tube, p</w:t>
      </w:r>
      <w:r w:rsidR="0046282B" w:rsidRPr="00551F38">
        <w:rPr>
          <w:rFonts w:cstheme="minorHAnsi"/>
          <w:highlight w:val="yellow"/>
        </w:rPr>
        <w:t xml:space="preserve">lot a circle in the </w:t>
      </w:r>
      <w:r w:rsidR="008D4C93" w:rsidRPr="00551F38">
        <w:rPr>
          <w:rFonts w:cstheme="minorHAnsi"/>
          <w:highlight w:val="yellow"/>
        </w:rPr>
        <w:t>center</w:t>
      </w:r>
      <w:r w:rsidR="0046282B" w:rsidRPr="00551F38">
        <w:rPr>
          <w:rFonts w:cstheme="minorHAnsi"/>
          <w:highlight w:val="yellow"/>
        </w:rPr>
        <w:t xml:space="preserve"> of Petri dishes containing either PDA </w:t>
      </w:r>
      <w:r w:rsidR="0048785C" w:rsidRPr="00551F38">
        <w:rPr>
          <w:highlight w:val="yellow"/>
        </w:rPr>
        <w:t>or PDA including antifungal compounds</w:t>
      </w:r>
      <w:r w:rsidR="0046282B" w:rsidRPr="00551F38">
        <w:rPr>
          <w:rFonts w:cstheme="minorHAnsi"/>
          <w:highlight w:val="yellow"/>
        </w:rPr>
        <w:t>. Dis</w:t>
      </w:r>
      <w:r w:rsidR="002A596F" w:rsidRPr="00551F38">
        <w:rPr>
          <w:rFonts w:cstheme="minorHAnsi"/>
          <w:highlight w:val="yellow"/>
        </w:rPr>
        <w:t xml:space="preserve">pose of </w:t>
      </w:r>
      <w:r w:rsidR="0046282B" w:rsidRPr="00551F38">
        <w:rPr>
          <w:rFonts w:cstheme="minorHAnsi"/>
          <w:highlight w:val="yellow"/>
        </w:rPr>
        <w:t>the agar</w:t>
      </w:r>
      <w:r w:rsidR="002A596F" w:rsidRPr="00551F38">
        <w:rPr>
          <w:rFonts w:cstheme="minorHAnsi"/>
          <w:highlight w:val="yellow"/>
        </w:rPr>
        <w:t xml:space="preserve"> </w:t>
      </w:r>
      <w:r w:rsidR="0046282B" w:rsidRPr="00551F38">
        <w:rPr>
          <w:rFonts w:cstheme="minorHAnsi"/>
          <w:highlight w:val="yellow"/>
        </w:rPr>
        <w:t xml:space="preserve">cylinder </w:t>
      </w:r>
      <w:r w:rsidR="002A596F" w:rsidRPr="00551F38">
        <w:rPr>
          <w:rFonts w:cstheme="minorHAnsi"/>
          <w:highlight w:val="yellow"/>
        </w:rPr>
        <w:t xml:space="preserve">using </w:t>
      </w:r>
      <w:r w:rsidR="0046282B" w:rsidRPr="00551F38">
        <w:rPr>
          <w:rFonts w:cstheme="minorHAnsi"/>
          <w:highlight w:val="yellow"/>
        </w:rPr>
        <w:t>a sterile toothpick (</w:t>
      </w:r>
      <w:r w:rsidRPr="00551F38">
        <w:rPr>
          <w:rFonts w:cstheme="minorHAnsi"/>
          <w:highlight w:val="yellow"/>
        </w:rPr>
        <w:t xml:space="preserve">panel </w:t>
      </w:r>
      <w:r w:rsidR="003E5E1E" w:rsidRPr="00551F38">
        <w:rPr>
          <w:rFonts w:cstheme="minorHAnsi"/>
          <w:highlight w:val="yellow"/>
        </w:rPr>
        <w:t>C</w:t>
      </w:r>
      <w:r w:rsidRPr="00551F38">
        <w:rPr>
          <w:rFonts w:cstheme="minorHAnsi"/>
          <w:highlight w:val="yellow"/>
        </w:rPr>
        <w:t>)</w:t>
      </w:r>
      <w:r w:rsidR="00222DB1" w:rsidRPr="00551F38">
        <w:rPr>
          <w:rFonts w:cstheme="minorHAnsi"/>
        </w:rPr>
        <w:t>.</w:t>
      </w:r>
    </w:p>
    <w:p w14:paraId="5522A304" w14:textId="77777777" w:rsidR="0046282B" w:rsidRPr="00551F38" w:rsidRDefault="0046282B" w:rsidP="009268CF">
      <w:pPr>
        <w:pStyle w:val="ListParagraph"/>
        <w:ind w:left="284"/>
        <w:rPr>
          <w:rFonts w:cstheme="minorHAnsi"/>
        </w:rPr>
      </w:pPr>
      <w:r w:rsidRPr="00551F38">
        <w:rPr>
          <w:rFonts w:cstheme="minorHAnsi"/>
        </w:rPr>
        <w:t xml:space="preserve"> </w:t>
      </w:r>
    </w:p>
    <w:p w14:paraId="2CD4AD84" w14:textId="0E3336DA" w:rsidR="0046282B" w:rsidRPr="00551F38" w:rsidRDefault="00171304" w:rsidP="00171304">
      <w:pPr>
        <w:widowControl/>
        <w:autoSpaceDE/>
        <w:autoSpaceDN/>
        <w:adjustRightInd/>
        <w:spacing w:line="259" w:lineRule="auto"/>
        <w:rPr>
          <w:rFonts w:cstheme="minorHAnsi"/>
          <w:highlight w:val="yellow"/>
        </w:rPr>
      </w:pPr>
      <w:r w:rsidRPr="00551F38">
        <w:rPr>
          <w:rFonts w:cstheme="minorHAnsi"/>
          <w:highlight w:val="yellow"/>
        </w:rPr>
        <w:t xml:space="preserve">4.3.2 </w:t>
      </w:r>
      <w:r w:rsidR="002A596F" w:rsidRPr="00551F38">
        <w:rPr>
          <w:rFonts w:cstheme="minorHAnsi"/>
          <w:highlight w:val="yellow"/>
        </w:rPr>
        <w:t>With a 5 mm diameter sterile stainless-steel tube, p</w:t>
      </w:r>
      <w:r w:rsidR="0046282B" w:rsidRPr="00551F38">
        <w:rPr>
          <w:rFonts w:cstheme="minorHAnsi"/>
          <w:highlight w:val="yellow"/>
        </w:rPr>
        <w:t xml:space="preserve">lot circles </w:t>
      </w:r>
      <w:r w:rsidR="002A596F" w:rsidRPr="00551F38">
        <w:rPr>
          <w:rFonts w:cstheme="minorHAnsi"/>
          <w:highlight w:val="yellow"/>
        </w:rPr>
        <w:t xml:space="preserve">randomly </w:t>
      </w:r>
      <w:r w:rsidR="0046282B" w:rsidRPr="00551F38">
        <w:rPr>
          <w:rFonts w:cstheme="minorHAnsi"/>
          <w:highlight w:val="yellow"/>
        </w:rPr>
        <w:t xml:space="preserve">into the fungal plates from section </w:t>
      </w:r>
      <w:r w:rsidR="00CC3DF4" w:rsidRPr="00551F38">
        <w:rPr>
          <w:rFonts w:cstheme="minorHAnsi"/>
          <w:highlight w:val="yellow"/>
        </w:rPr>
        <w:t>2</w:t>
      </w:r>
      <w:r w:rsidR="00222DB1" w:rsidRPr="00551F38">
        <w:rPr>
          <w:rFonts w:cstheme="minorHAnsi"/>
          <w:highlight w:val="yellow"/>
        </w:rPr>
        <w:t>. P</w:t>
      </w:r>
      <w:r w:rsidR="0046282B" w:rsidRPr="00551F38">
        <w:rPr>
          <w:rFonts w:cstheme="minorHAnsi"/>
          <w:highlight w:val="yellow"/>
        </w:rPr>
        <w:t>lot be</w:t>
      </w:r>
      <w:r w:rsidR="005A3749">
        <w:rPr>
          <w:rFonts w:cstheme="minorHAnsi"/>
          <w:highlight w:val="yellow"/>
        </w:rPr>
        <w:t>t</w:t>
      </w:r>
      <w:r w:rsidR="00F75C76">
        <w:rPr>
          <w:rFonts w:cstheme="minorHAnsi"/>
          <w:highlight w:val="yellow"/>
        </w:rPr>
        <w:t>ween</w:t>
      </w:r>
      <w:r w:rsidR="0046282B" w:rsidRPr="00551F38">
        <w:rPr>
          <w:rFonts w:cstheme="minorHAnsi"/>
          <w:highlight w:val="yellow"/>
        </w:rPr>
        <w:t xml:space="preserve"> 15</w:t>
      </w:r>
      <w:r w:rsidR="00631151" w:rsidRPr="00551F38">
        <w:rPr>
          <w:rFonts w:cstheme="minorHAnsi"/>
          <w:highlight w:val="yellow"/>
        </w:rPr>
        <w:t>–</w:t>
      </w:r>
      <w:r w:rsidR="0046282B" w:rsidRPr="00551F38">
        <w:rPr>
          <w:rFonts w:cstheme="minorHAnsi"/>
          <w:highlight w:val="yellow"/>
        </w:rPr>
        <w:t>20 circles per plate</w:t>
      </w:r>
      <w:r w:rsidR="00FD118F" w:rsidRPr="00551F38">
        <w:rPr>
          <w:rFonts w:cstheme="minorHAnsi"/>
          <w:highlight w:val="yellow"/>
        </w:rPr>
        <w:t xml:space="preserve"> (panel </w:t>
      </w:r>
      <w:r w:rsidR="003E5E1E" w:rsidRPr="00551F38">
        <w:rPr>
          <w:rFonts w:cstheme="minorHAnsi"/>
          <w:highlight w:val="yellow"/>
        </w:rPr>
        <w:t>B</w:t>
      </w:r>
      <w:r w:rsidR="00FD118F" w:rsidRPr="00551F38">
        <w:rPr>
          <w:rFonts w:cstheme="minorHAnsi"/>
          <w:highlight w:val="yellow"/>
        </w:rPr>
        <w:t>)</w:t>
      </w:r>
      <w:r w:rsidR="00631151" w:rsidRPr="00551F38">
        <w:rPr>
          <w:rFonts w:cstheme="minorHAnsi"/>
          <w:highlight w:val="yellow"/>
        </w:rPr>
        <w:t>.</w:t>
      </w:r>
    </w:p>
    <w:p w14:paraId="76116B5B" w14:textId="77777777" w:rsidR="0046282B" w:rsidRPr="00551F38" w:rsidRDefault="0046282B" w:rsidP="009268CF">
      <w:pPr>
        <w:rPr>
          <w:rFonts w:cstheme="minorHAnsi"/>
        </w:rPr>
      </w:pPr>
    </w:p>
    <w:p w14:paraId="15506A10" w14:textId="2F87792E" w:rsidR="0046282B" w:rsidRPr="00551F38" w:rsidRDefault="0046282B" w:rsidP="00171304">
      <w:pPr>
        <w:pStyle w:val="ListParagraph"/>
        <w:widowControl/>
        <w:numPr>
          <w:ilvl w:val="2"/>
          <w:numId w:val="39"/>
        </w:numPr>
        <w:autoSpaceDE/>
        <w:autoSpaceDN/>
        <w:adjustRightInd/>
        <w:spacing w:line="259" w:lineRule="auto"/>
        <w:ind w:left="0" w:firstLine="0"/>
        <w:rPr>
          <w:rFonts w:cstheme="minorHAnsi"/>
          <w:highlight w:val="yellow"/>
        </w:rPr>
      </w:pPr>
      <w:r w:rsidRPr="00551F38">
        <w:rPr>
          <w:rFonts w:cstheme="minorHAnsi"/>
          <w:highlight w:val="yellow"/>
        </w:rPr>
        <w:t xml:space="preserve">Carefully </w:t>
      </w:r>
      <w:r w:rsidR="00700479" w:rsidRPr="00551F38">
        <w:rPr>
          <w:rFonts w:cstheme="minorHAnsi"/>
          <w:highlight w:val="yellow"/>
        </w:rPr>
        <w:t>withdraw</w:t>
      </w:r>
      <w:r w:rsidRPr="00551F38">
        <w:rPr>
          <w:rFonts w:cstheme="minorHAnsi"/>
          <w:highlight w:val="yellow"/>
        </w:rPr>
        <w:t xml:space="preserve"> the agar-cylinders</w:t>
      </w:r>
      <w:r w:rsidR="00700479" w:rsidRPr="00551F38">
        <w:rPr>
          <w:rFonts w:cstheme="minorHAnsi"/>
          <w:highlight w:val="yellow"/>
        </w:rPr>
        <w:t xml:space="preserve"> covered by spores, early hyphae</w:t>
      </w:r>
      <w:r w:rsidR="00631151" w:rsidRPr="00551F38">
        <w:rPr>
          <w:rFonts w:cstheme="minorHAnsi"/>
          <w:highlight w:val="yellow"/>
        </w:rPr>
        <w:t>,</w:t>
      </w:r>
      <w:r w:rsidR="00700479" w:rsidRPr="00551F38">
        <w:rPr>
          <w:rFonts w:cstheme="minorHAnsi"/>
          <w:highlight w:val="yellow"/>
        </w:rPr>
        <w:t xml:space="preserve"> or mycelium</w:t>
      </w:r>
      <w:r w:rsidRPr="00551F38">
        <w:rPr>
          <w:rFonts w:cstheme="minorHAnsi"/>
          <w:highlight w:val="yellow"/>
        </w:rPr>
        <w:t xml:space="preserve"> with a sterile toothpick and place the plugs into the empty space of Petri dishes containing either PDA </w:t>
      </w:r>
      <w:r w:rsidR="000F03C7" w:rsidRPr="00551F38">
        <w:rPr>
          <w:rFonts w:cstheme="minorHAnsi"/>
          <w:highlight w:val="yellow"/>
        </w:rPr>
        <w:t>or</w:t>
      </w:r>
      <w:r w:rsidRPr="00551F38">
        <w:rPr>
          <w:rFonts w:cstheme="minorHAnsi"/>
          <w:highlight w:val="yellow"/>
        </w:rPr>
        <w:t xml:space="preserve"> PDA </w:t>
      </w:r>
      <w:r w:rsidR="000F03C7" w:rsidRPr="00551F38">
        <w:rPr>
          <w:rFonts w:cstheme="minorHAnsi"/>
          <w:highlight w:val="yellow"/>
        </w:rPr>
        <w:t>including</w:t>
      </w:r>
      <w:r w:rsidRPr="00551F38">
        <w:rPr>
          <w:rFonts w:cstheme="minorHAnsi"/>
          <w:highlight w:val="yellow"/>
        </w:rPr>
        <w:t xml:space="preserve"> antifungal compounds</w:t>
      </w:r>
      <w:r w:rsidR="00FD118F" w:rsidRPr="00551F38">
        <w:rPr>
          <w:rFonts w:cstheme="minorHAnsi"/>
          <w:highlight w:val="yellow"/>
        </w:rPr>
        <w:t xml:space="preserve"> (panel </w:t>
      </w:r>
      <w:r w:rsidR="003E5E1E" w:rsidRPr="00551F38">
        <w:rPr>
          <w:rFonts w:cstheme="minorHAnsi"/>
          <w:highlight w:val="yellow"/>
        </w:rPr>
        <w:t>C</w:t>
      </w:r>
      <w:r w:rsidR="00FD118F" w:rsidRPr="00551F38">
        <w:rPr>
          <w:rFonts w:cstheme="minorHAnsi"/>
          <w:highlight w:val="yellow"/>
        </w:rPr>
        <w:t>)</w:t>
      </w:r>
      <w:r w:rsidR="00166E5C" w:rsidRPr="00551F38">
        <w:rPr>
          <w:rFonts w:cstheme="minorHAnsi"/>
          <w:highlight w:val="yellow"/>
        </w:rPr>
        <w:t>.</w:t>
      </w:r>
    </w:p>
    <w:p w14:paraId="49019FC9" w14:textId="77777777" w:rsidR="0046282B" w:rsidRPr="00551F38" w:rsidRDefault="0046282B" w:rsidP="009268CF">
      <w:pPr>
        <w:rPr>
          <w:rFonts w:cstheme="minorHAnsi"/>
        </w:rPr>
      </w:pPr>
    </w:p>
    <w:p w14:paraId="052622B7" w14:textId="347B726C" w:rsidR="00F703A7" w:rsidRPr="00551F38" w:rsidRDefault="00631151" w:rsidP="00171304">
      <w:pPr>
        <w:pStyle w:val="ListParagraph"/>
        <w:widowControl/>
        <w:numPr>
          <w:ilvl w:val="2"/>
          <w:numId w:val="39"/>
        </w:numPr>
        <w:autoSpaceDE/>
        <w:autoSpaceDN/>
        <w:adjustRightInd/>
        <w:spacing w:line="259" w:lineRule="auto"/>
        <w:ind w:left="0" w:firstLine="0"/>
        <w:rPr>
          <w:rFonts w:cstheme="minorHAnsi"/>
        </w:rPr>
      </w:pPr>
      <w:r w:rsidRPr="00551F38">
        <w:rPr>
          <w:rFonts w:cstheme="minorHAnsi"/>
        </w:rPr>
        <w:lastRenderedPageBreak/>
        <w:t>I</w:t>
      </w:r>
      <w:r w:rsidR="00F703A7" w:rsidRPr="00551F38">
        <w:rPr>
          <w:rFonts w:cstheme="minorHAnsi"/>
        </w:rPr>
        <w:t>mmediately after spore spreading</w:t>
      </w:r>
      <w:r w:rsidRPr="00551F38">
        <w:rPr>
          <w:rFonts w:cstheme="minorHAnsi"/>
        </w:rPr>
        <w:t>, incubate the plates used</w:t>
      </w:r>
      <w:r w:rsidR="00F703A7" w:rsidRPr="00551F38">
        <w:rPr>
          <w:rFonts w:cstheme="minorHAnsi"/>
        </w:rPr>
        <w:t xml:space="preserve"> for 48</w:t>
      </w:r>
      <w:r w:rsidR="009E7D6F" w:rsidRPr="00551F38">
        <w:rPr>
          <w:rFonts w:cstheme="minorHAnsi"/>
        </w:rPr>
        <w:t xml:space="preserve"> </w:t>
      </w:r>
      <w:r w:rsidR="00F703A7" w:rsidRPr="00551F38">
        <w:rPr>
          <w:rFonts w:cstheme="minorHAnsi"/>
        </w:rPr>
        <w:t>h at 30 °C, 31 h for the plates containing early hyphae and, 24 h for the plates covered with mycelium (panel C)</w:t>
      </w:r>
      <w:r w:rsidR="00166E5C" w:rsidRPr="00551F38">
        <w:rPr>
          <w:rFonts w:cstheme="minorHAnsi"/>
        </w:rPr>
        <w:t>.</w:t>
      </w:r>
    </w:p>
    <w:p w14:paraId="7E73ED69" w14:textId="77777777" w:rsidR="0046282B" w:rsidRPr="00551F38" w:rsidRDefault="0046282B" w:rsidP="009268CF">
      <w:pPr>
        <w:pStyle w:val="ListParagraph"/>
        <w:rPr>
          <w:rFonts w:cstheme="minorHAnsi"/>
        </w:rPr>
      </w:pPr>
    </w:p>
    <w:p w14:paraId="4067E036" w14:textId="55201473" w:rsidR="0046282B" w:rsidRPr="00551F38" w:rsidRDefault="0046282B" w:rsidP="00171304">
      <w:pPr>
        <w:pStyle w:val="ListParagraph"/>
        <w:widowControl/>
        <w:numPr>
          <w:ilvl w:val="2"/>
          <w:numId w:val="39"/>
        </w:numPr>
        <w:autoSpaceDE/>
        <w:autoSpaceDN/>
        <w:adjustRightInd/>
        <w:spacing w:line="259" w:lineRule="auto"/>
        <w:ind w:left="0" w:firstLine="0"/>
        <w:rPr>
          <w:rFonts w:cstheme="minorHAnsi"/>
        </w:rPr>
      </w:pPr>
      <w:r w:rsidRPr="00551F38">
        <w:rPr>
          <w:rFonts w:cstheme="minorHAnsi"/>
        </w:rPr>
        <w:t>Measure the diameter of radial growth and calculate the percent of fungal</w:t>
      </w:r>
      <w:r w:rsidR="00617D1A" w:rsidRPr="00551F38">
        <w:rPr>
          <w:rFonts w:cstheme="minorHAnsi"/>
        </w:rPr>
        <w:t>-</w:t>
      </w:r>
      <w:r w:rsidRPr="00551F38">
        <w:rPr>
          <w:rFonts w:cstheme="minorHAnsi"/>
        </w:rPr>
        <w:t>growth inhibition over control using the formula</w:t>
      </w:r>
      <w:r w:rsidR="003E5E1E" w:rsidRPr="00551F38">
        <w:rPr>
          <w:rFonts w:cstheme="minorHAnsi"/>
        </w:rPr>
        <w:t xml:space="preserve"> (panel D)</w:t>
      </w:r>
    </w:p>
    <w:p w14:paraId="7026BEE5" w14:textId="73A65C3A" w:rsidR="0046282B" w:rsidRPr="00551F38" w:rsidRDefault="0046282B" w:rsidP="009268CF">
      <w:pPr>
        <w:pStyle w:val="ListParagraph"/>
        <w:ind w:left="284"/>
        <w:jc w:val="center"/>
        <w:rPr>
          <w:rFonts w:cstheme="minorHAnsi"/>
        </w:rPr>
      </w:pPr>
      <w:r w:rsidRPr="00551F38">
        <w:rPr>
          <w:rFonts w:cstheme="minorHAnsi"/>
        </w:rPr>
        <w:t xml:space="preserve">% fungal growth inhibition = </w:t>
      </w:r>
      <w:r w:rsidR="00D15AD9" w:rsidRPr="00551F38">
        <w:rPr>
          <w:rFonts w:cstheme="minorHAnsi"/>
        </w:rPr>
        <w:t>(</w:t>
      </w:r>
      <w:r w:rsidRPr="00551F38">
        <w:rPr>
          <w:rFonts w:cstheme="minorHAnsi"/>
        </w:rPr>
        <w:t>C – A/</w:t>
      </w:r>
      <w:proofErr w:type="gramStart"/>
      <w:r w:rsidRPr="00551F38">
        <w:rPr>
          <w:rFonts w:cstheme="minorHAnsi"/>
        </w:rPr>
        <w:t>C</w:t>
      </w:r>
      <w:r w:rsidR="00D15AD9" w:rsidRPr="00551F38">
        <w:rPr>
          <w:rFonts w:cstheme="minorHAnsi"/>
        </w:rPr>
        <w:t>)</w:t>
      </w:r>
      <w:r w:rsidRPr="00551F38">
        <w:rPr>
          <w:rFonts w:cstheme="minorHAnsi"/>
        </w:rPr>
        <w:t>*</w:t>
      </w:r>
      <w:proofErr w:type="gramEnd"/>
      <w:r w:rsidRPr="00551F38">
        <w:rPr>
          <w:rFonts w:cstheme="minorHAnsi"/>
        </w:rPr>
        <w:t xml:space="preserve"> 100</w:t>
      </w:r>
    </w:p>
    <w:p w14:paraId="19765BE4" w14:textId="65A8ADEA" w:rsidR="0046282B" w:rsidRPr="00551F38" w:rsidRDefault="00617D1A" w:rsidP="0018604F">
      <w:pPr>
        <w:pStyle w:val="ListParagraph"/>
        <w:ind w:left="0"/>
        <w:rPr>
          <w:rFonts w:cstheme="minorHAnsi"/>
        </w:rPr>
      </w:pPr>
      <w:r w:rsidRPr="00551F38">
        <w:rPr>
          <w:rFonts w:cstheme="minorHAnsi"/>
        </w:rPr>
        <w:t>w</w:t>
      </w:r>
      <w:r w:rsidR="0046282B" w:rsidRPr="00551F38">
        <w:rPr>
          <w:rFonts w:cstheme="minorHAnsi"/>
        </w:rPr>
        <w:t xml:space="preserve">here C is the diameter of radial </w:t>
      </w:r>
      <w:r w:rsidRPr="00551F38">
        <w:rPr>
          <w:rFonts w:cstheme="minorHAnsi"/>
        </w:rPr>
        <w:t xml:space="preserve">growth </w:t>
      </w:r>
      <w:r w:rsidR="0046282B" w:rsidRPr="00551F38">
        <w:rPr>
          <w:rFonts w:cstheme="minorHAnsi"/>
        </w:rPr>
        <w:t>in PDA medium and A the diameter of radial growth in PDA medium containing the antifungal compounds</w:t>
      </w:r>
      <w:r w:rsidR="00166E5C" w:rsidRPr="00551F38">
        <w:rPr>
          <w:rFonts w:cstheme="minorHAnsi"/>
        </w:rPr>
        <w:t>.</w:t>
      </w:r>
    </w:p>
    <w:p w14:paraId="48030C05" w14:textId="04E9EC64" w:rsidR="00634CEA" w:rsidRPr="00551F38" w:rsidRDefault="00634CEA" w:rsidP="009268CF">
      <w:pPr>
        <w:pStyle w:val="ListParagraph"/>
        <w:ind w:left="284"/>
        <w:rPr>
          <w:rFonts w:cstheme="minorHAnsi"/>
        </w:rPr>
      </w:pPr>
    </w:p>
    <w:p w14:paraId="1D1E7DF0" w14:textId="21B81FA0" w:rsidR="001B3EDB" w:rsidRPr="00551F38" w:rsidRDefault="00551F38" w:rsidP="009A0FAE">
      <w:pPr>
        <w:pStyle w:val="ListParagraph"/>
        <w:widowControl/>
        <w:autoSpaceDE/>
        <w:autoSpaceDN/>
        <w:adjustRightInd/>
        <w:spacing w:line="259" w:lineRule="auto"/>
        <w:ind w:left="0"/>
        <w:rPr>
          <w:rFonts w:cstheme="minorHAnsi"/>
        </w:rPr>
      </w:pPr>
      <w:r>
        <w:rPr>
          <w:rFonts w:cstheme="minorHAnsi"/>
        </w:rPr>
        <w:t>NOTE:</w:t>
      </w:r>
      <w:r w:rsidR="001B3EDB" w:rsidRPr="00551F38">
        <w:rPr>
          <w:rFonts w:cstheme="minorHAnsi"/>
        </w:rPr>
        <w:t xml:space="preserve"> </w:t>
      </w:r>
      <w:r w:rsidR="00617D1A" w:rsidRPr="00551F38">
        <w:rPr>
          <w:rFonts w:cstheme="minorHAnsi"/>
        </w:rPr>
        <w:t>T</w:t>
      </w:r>
      <w:r w:rsidR="001B3EDB" w:rsidRPr="00551F38">
        <w:rPr>
          <w:rFonts w:cstheme="minorHAnsi"/>
        </w:rPr>
        <w:t xml:space="preserve">o compare antifungal activity measured after mycelium plug-transfer and mycelium </w:t>
      </w:r>
      <w:r w:rsidR="00BD790C" w:rsidRPr="00551F38">
        <w:rPr>
          <w:rFonts w:cstheme="minorHAnsi"/>
        </w:rPr>
        <w:t>disk</w:t>
      </w:r>
      <w:r w:rsidR="001B3EDB" w:rsidRPr="00551F38">
        <w:rPr>
          <w:rFonts w:cstheme="minorHAnsi"/>
        </w:rPr>
        <w:t>-transfer, us</w:t>
      </w:r>
      <w:r w:rsidR="00617D1A" w:rsidRPr="00551F38">
        <w:rPr>
          <w:rFonts w:cstheme="minorHAnsi"/>
        </w:rPr>
        <w:t>ing</w:t>
      </w:r>
      <w:r w:rsidR="001B3EDB" w:rsidRPr="00551F38">
        <w:rPr>
          <w:rFonts w:cstheme="minorHAnsi"/>
        </w:rPr>
        <w:t xml:space="preserve"> sterile tweezers, transfer one 5 mm diameter </w:t>
      </w:r>
      <w:r w:rsidR="00BD790C" w:rsidRPr="00551F38">
        <w:rPr>
          <w:rFonts w:cstheme="minorHAnsi"/>
        </w:rPr>
        <w:t>disk</w:t>
      </w:r>
      <w:r w:rsidR="001B3EDB" w:rsidRPr="00551F38">
        <w:rPr>
          <w:rFonts w:cstheme="minorHAnsi"/>
        </w:rPr>
        <w:t xml:space="preserve"> </w:t>
      </w:r>
      <w:r w:rsidR="005A7716" w:rsidRPr="00551F38">
        <w:rPr>
          <w:rFonts w:cstheme="minorHAnsi"/>
        </w:rPr>
        <w:t xml:space="preserve">previously </w:t>
      </w:r>
      <w:r w:rsidR="001B3EDB" w:rsidRPr="00551F38">
        <w:rPr>
          <w:rFonts w:cstheme="minorHAnsi"/>
        </w:rPr>
        <w:t>deposited onto the surface of the fungal plates (section</w:t>
      </w:r>
      <w:r w:rsidR="008D4B31" w:rsidRPr="00551F38">
        <w:rPr>
          <w:rFonts w:cstheme="minorHAnsi"/>
        </w:rPr>
        <w:t xml:space="preserve"> </w:t>
      </w:r>
      <w:r w:rsidR="00B826AC" w:rsidRPr="00551F38">
        <w:rPr>
          <w:rFonts w:cstheme="minorHAnsi"/>
        </w:rPr>
        <w:t>2</w:t>
      </w:r>
      <w:r w:rsidR="00102ED2" w:rsidRPr="00551F38">
        <w:rPr>
          <w:rFonts w:cstheme="minorHAnsi"/>
        </w:rPr>
        <w:t xml:space="preserve"> note</w:t>
      </w:r>
      <w:r w:rsidR="001B3EDB" w:rsidRPr="00551F38">
        <w:rPr>
          <w:rFonts w:cstheme="minorHAnsi"/>
        </w:rPr>
        <w:t xml:space="preserve">) at the </w:t>
      </w:r>
      <w:r w:rsidR="008D4C93" w:rsidRPr="00551F38">
        <w:rPr>
          <w:rFonts w:cstheme="minorHAnsi"/>
        </w:rPr>
        <w:t>center</w:t>
      </w:r>
      <w:r w:rsidR="001B3EDB" w:rsidRPr="00551F38">
        <w:rPr>
          <w:rFonts w:cstheme="minorHAnsi"/>
        </w:rPr>
        <w:t xml:space="preserve"> of Petri dishes containing either PDA </w:t>
      </w:r>
      <w:r w:rsidR="000F03C7" w:rsidRPr="00551F38">
        <w:rPr>
          <w:rFonts w:cstheme="minorHAnsi"/>
        </w:rPr>
        <w:t>or</w:t>
      </w:r>
      <w:r w:rsidR="001B3EDB" w:rsidRPr="00551F38">
        <w:rPr>
          <w:rFonts w:cstheme="minorHAnsi"/>
        </w:rPr>
        <w:t xml:space="preserve"> PDA </w:t>
      </w:r>
      <w:r w:rsidR="00816B06" w:rsidRPr="00551F38">
        <w:rPr>
          <w:rFonts w:cstheme="minorHAnsi"/>
        </w:rPr>
        <w:t>containing</w:t>
      </w:r>
      <w:r w:rsidR="001B3EDB" w:rsidRPr="00551F38">
        <w:rPr>
          <w:rFonts w:cstheme="minorHAnsi"/>
        </w:rPr>
        <w:t xml:space="preserve"> antifungal compounds</w:t>
      </w:r>
      <w:r w:rsidR="008D4B31" w:rsidRPr="00551F38">
        <w:rPr>
          <w:rFonts w:cstheme="minorHAnsi"/>
        </w:rPr>
        <w:t xml:space="preserve"> </w:t>
      </w:r>
      <w:r w:rsidR="00102ED2" w:rsidRPr="00551F38">
        <w:rPr>
          <w:rFonts w:cstheme="minorHAnsi"/>
        </w:rPr>
        <w:t>and proceed exactly as for agar-plug transfer</w:t>
      </w:r>
      <w:r w:rsidR="005A7716" w:rsidRPr="00551F38">
        <w:rPr>
          <w:rFonts w:cstheme="minorHAnsi"/>
        </w:rPr>
        <w:t xml:space="preserve"> </w:t>
      </w:r>
    </w:p>
    <w:p w14:paraId="719B6E78" w14:textId="77777777" w:rsidR="00745453" w:rsidRPr="00551F38" w:rsidRDefault="00745453" w:rsidP="009A0FAE">
      <w:pPr>
        <w:rPr>
          <w:rFonts w:cstheme="minorHAnsi"/>
        </w:rPr>
      </w:pPr>
    </w:p>
    <w:p w14:paraId="6CB007AD" w14:textId="77777777" w:rsidR="0046282B" w:rsidRPr="00551F38" w:rsidRDefault="0046282B" w:rsidP="00171304">
      <w:pPr>
        <w:pStyle w:val="ListParagraph"/>
        <w:widowControl/>
        <w:numPr>
          <w:ilvl w:val="0"/>
          <w:numId w:val="39"/>
        </w:numPr>
        <w:autoSpaceDE/>
        <w:autoSpaceDN/>
        <w:adjustRightInd/>
        <w:spacing w:line="259" w:lineRule="auto"/>
        <w:ind w:left="284" w:hanging="284"/>
        <w:rPr>
          <w:rFonts w:cstheme="minorHAnsi"/>
          <w:b/>
        </w:rPr>
      </w:pPr>
      <w:r w:rsidRPr="00551F38">
        <w:rPr>
          <w:rFonts w:cstheme="minorHAnsi"/>
          <w:b/>
        </w:rPr>
        <w:t>Vapor-Phase inhibition assay</w:t>
      </w:r>
    </w:p>
    <w:p w14:paraId="38236D7C" w14:textId="77777777" w:rsidR="0046282B" w:rsidRPr="00551F38" w:rsidRDefault="0046282B" w:rsidP="009268CF">
      <w:pPr>
        <w:pStyle w:val="ListParagraph"/>
        <w:rPr>
          <w:rFonts w:cstheme="minorHAnsi"/>
          <w:b/>
        </w:rPr>
      </w:pPr>
    </w:p>
    <w:p w14:paraId="422C0EC8" w14:textId="58D010D5" w:rsidR="0046282B" w:rsidRPr="00551F38" w:rsidRDefault="00700479" w:rsidP="00700479">
      <w:pPr>
        <w:pStyle w:val="ListParagraph"/>
        <w:widowControl/>
        <w:numPr>
          <w:ilvl w:val="1"/>
          <w:numId w:val="38"/>
        </w:numPr>
        <w:autoSpaceDE/>
        <w:autoSpaceDN/>
        <w:adjustRightInd/>
        <w:spacing w:line="259" w:lineRule="auto"/>
        <w:rPr>
          <w:rFonts w:cstheme="minorHAnsi"/>
          <w:b/>
        </w:rPr>
      </w:pPr>
      <w:r w:rsidRPr="00551F38">
        <w:rPr>
          <w:rFonts w:cstheme="minorHAnsi"/>
          <w:bCs/>
        </w:rPr>
        <w:t xml:space="preserve">   </w:t>
      </w:r>
      <w:r w:rsidR="0046282B" w:rsidRPr="00551F38">
        <w:rPr>
          <w:rFonts w:cstheme="minorHAnsi"/>
          <w:b/>
        </w:rPr>
        <w:t xml:space="preserve">Preparation of agar plates containing garlic powder </w:t>
      </w:r>
    </w:p>
    <w:p w14:paraId="38BC9ADC" w14:textId="77777777" w:rsidR="00565D89" w:rsidRDefault="00565D89" w:rsidP="006D636B">
      <w:pPr>
        <w:pStyle w:val="ListParagraph"/>
        <w:ind w:left="0"/>
        <w:rPr>
          <w:rFonts w:cstheme="minorHAnsi"/>
          <w:bCs/>
        </w:rPr>
      </w:pPr>
    </w:p>
    <w:p w14:paraId="2F3FD53D" w14:textId="50EE95FA" w:rsidR="0046282B" w:rsidRPr="00551F38" w:rsidRDefault="00565D89" w:rsidP="006D636B">
      <w:pPr>
        <w:pStyle w:val="ListParagraph"/>
        <w:ind w:left="0"/>
        <w:rPr>
          <w:rFonts w:cstheme="minorHAnsi"/>
          <w:bCs/>
        </w:rPr>
      </w:pPr>
      <w:r>
        <w:rPr>
          <w:rFonts w:cstheme="minorHAnsi"/>
          <w:bCs/>
        </w:rPr>
        <w:t xml:space="preserve">5.1.1. </w:t>
      </w:r>
      <w:r w:rsidR="0046282B" w:rsidRPr="00551F38">
        <w:rPr>
          <w:rFonts w:cstheme="minorHAnsi"/>
          <w:bCs/>
        </w:rPr>
        <w:t>Proceed as in section 3.1</w:t>
      </w:r>
      <w:r w:rsidR="00166E5C" w:rsidRPr="00551F38">
        <w:rPr>
          <w:rFonts w:cstheme="minorHAnsi"/>
          <w:bCs/>
        </w:rPr>
        <w:t>.</w:t>
      </w:r>
    </w:p>
    <w:p w14:paraId="3EE4630C" w14:textId="77777777" w:rsidR="0046282B" w:rsidRPr="00551F38" w:rsidRDefault="0046282B" w:rsidP="009268CF">
      <w:pPr>
        <w:pStyle w:val="ListParagraph"/>
        <w:ind w:left="360"/>
        <w:rPr>
          <w:rFonts w:cstheme="minorHAnsi"/>
          <w:bCs/>
        </w:rPr>
      </w:pPr>
    </w:p>
    <w:p w14:paraId="5AB88DB0" w14:textId="203FF7D7" w:rsidR="0046282B" w:rsidRPr="00551F38" w:rsidRDefault="00700479" w:rsidP="00700479">
      <w:pPr>
        <w:pStyle w:val="ListParagraph"/>
        <w:widowControl/>
        <w:numPr>
          <w:ilvl w:val="1"/>
          <w:numId w:val="38"/>
        </w:numPr>
        <w:autoSpaceDE/>
        <w:autoSpaceDN/>
        <w:adjustRightInd/>
        <w:spacing w:line="259" w:lineRule="auto"/>
        <w:rPr>
          <w:rFonts w:cstheme="minorHAnsi"/>
          <w:b/>
        </w:rPr>
      </w:pPr>
      <w:r w:rsidRPr="00551F38">
        <w:rPr>
          <w:rFonts w:cstheme="minorHAnsi"/>
          <w:b/>
        </w:rPr>
        <w:t xml:space="preserve">   </w:t>
      </w:r>
      <w:r w:rsidR="0046282B" w:rsidRPr="00551F38">
        <w:rPr>
          <w:rFonts w:cstheme="minorHAnsi"/>
          <w:b/>
        </w:rPr>
        <w:t>Preparation of agar plate containing essential oil or carbendazim</w:t>
      </w:r>
    </w:p>
    <w:p w14:paraId="56C97003" w14:textId="77777777" w:rsidR="00565D89" w:rsidRDefault="00565D89" w:rsidP="006D636B">
      <w:pPr>
        <w:pStyle w:val="ListParagraph"/>
        <w:ind w:left="0"/>
        <w:rPr>
          <w:rFonts w:cstheme="minorHAnsi"/>
          <w:bCs/>
        </w:rPr>
      </w:pPr>
    </w:p>
    <w:p w14:paraId="752079F7" w14:textId="001F95FB" w:rsidR="0046282B" w:rsidRPr="00551F38" w:rsidRDefault="00565D89" w:rsidP="006D636B">
      <w:pPr>
        <w:pStyle w:val="ListParagraph"/>
        <w:ind w:left="0"/>
        <w:rPr>
          <w:rFonts w:cstheme="minorHAnsi"/>
          <w:bCs/>
        </w:rPr>
      </w:pPr>
      <w:r>
        <w:rPr>
          <w:rFonts w:cstheme="minorHAnsi"/>
          <w:bCs/>
        </w:rPr>
        <w:t>5.</w:t>
      </w:r>
      <w:r>
        <w:rPr>
          <w:rFonts w:cstheme="minorHAnsi"/>
          <w:bCs/>
        </w:rPr>
        <w:t>2</w:t>
      </w:r>
      <w:r>
        <w:rPr>
          <w:rFonts w:cstheme="minorHAnsi"/>
          <w:bCs/>
        </w:rPr>
        <w:t xml:space="preserve">.1. </w:t>
      </w:r>
      <w:r w:rsidR="0046282B" w:rsidRPr="00551F38">
        <w:rPr>
          <w:rFonts w:cstheme="minorHAnsi"/>
          <w:bCs/>
        </w:rPr>
        <w:t>Proceed as in section 3.2</w:t>
      </w:r>
      <w:r w:rsidR="00166E5C" w:rsidRPr="00551F38">
        <w:rPr>
          <w:rFonts w:cstheme="minorHAnsi"/>
          <w:bCs/>
        </w:rPr>
        <w:t>.</w:t>
      </w:r>
    </w:p>
    <w:p w14:paraId="79F4018C" w14:textId="77777777" w:rsidR="0046282B" w:rsidRPr="00551F38" w:rsidRDefault="0046282B" w:rsidP="009268CF">
      <w:pPr>
        <w:pStyle w:val="ListParagraph"/>
        <w:ind w:left="360"/>
        <w:rPr>
          <w:rFonts w:cstheme="minorHAnsi"/>
          <w:bCs/>
        </w:rPr>
      </w:pPr>
    </w:p>
    <w:p w14:paraId="20EC4BC7" w14:textId="6E0FD436" w:rsidR="0046282B" w:rsidRPr="00551F38" w:rsidRDefault="00700479" w:rsidP="00700479">
      <w:pPr>
        <w:pStyle w:val="ListParagraph"/>
        <w:widowControl/>
        <w:numPr>
          <w:ilvl w:val="1"/>
          <w:numId w:val="38"/>
        </w:numPr>
        <w:autoSpaceDE/>
        <w:autoSpaceDN/>
        <w:adjustRightInd/>
        <w:spacing w:line="259" w:lineRule="auto"/>
        <w:ind w:left="426" w:hanging="426"/>
        <w:rPr>
          <w:rFonts w:cstheme="minorHAnsi"/>
          <w:b/>
        </w:rPr>
      </w:pPr>
      <w:r w:rsidRPr="00551F38">
        <w:rPr>
          <w:rFonts w:cstheme="minorHAnsi"/>
          <w:b/>
        </w:rPr>
        <w:t xml:space="preserve">  </w:t>
      </w:r>
      <w:r w:rsidR="0046282B" w:rsidRPr="00551F38">
        <w:rPr>
          <w:rFonts w:cstheme="minorHAnsi"/>
          <w:b/>
        </w:rPr>
        <w:t>Preparation of fungal plates</w:t>
      </w:r>
    </w:p>
    <w:p w14:paraId="4757211E" w14:textId="77777777" w:rsidR="00565D89" w:rsidRDefault="00565D89" w:rsidP="006D636B">
      <w:pPr>
        <w:pStyle w:val="ListParagraph"/>
        <w:ind w:left="0"/>
        <w:rPr>
          <w:rFonts w:cstheme="minorHAnsi"/>
          <w:bCs/>
        </w:rPr>
      </w:pPr>
    </w:p>
    <w:p w14:paraId="2423C4C5" w14:textId="5B3625DB" w:rsidR="0046282B" w:rsidRPr="00551F38" w:rsidRDefault="00565D89" w:rsidP="006D636B">
      <w:pPr>
        <w:pStyle w:val="ListParagraph"/>
        <w:ind w:left="0"/>
        <w:rPr>
          <w:rFonts w:cstheme="minorHAnsi"/>
          <w:bCs/>
        </w:rPr>
      </w:pPr>
      <w:r>
        <w:rPr>
          <w:rFonts w:cstheme="minorHAnsi"/>
          <w:bCs/>
        </w:rPr>
        <w:t>5.</w:t>
      </w:r>
      <w:r>
        <w:rPr>
          <w:rFonts w:cstheme="minorHAnsi"/>
          <w:bCs/>
        </w:rPr>
        <w:t>3</w:t>
      </w:r>
      <w:r>
        <w:rPr>
          <w:rFonts w:cstheme="minorHAnsi"/>
          <w:bCs/>
        </w:rPr>
        <w:t xml:space="preserve">.1. </w:t>
      </w:r>
      <w:r w:rsidR="0046282B" w:rsidRPr="00551F38">
        <w:rPr>
          <w:rFonts w:cstheme="minorHAnsi"/>
          <w:bCs/>
        </w:rPr>
        <w:t>Proceed as in section 3.3</w:t>
      </w:r>
      <w:r w:rsidR="00166E5C" w:rsidRPr="00551F38">
        <w:rPr>
          <w:rFonts w:cstheme="minorHAnsi"/>
          <w:bCs/>
        </w:rPr>
        <w:t>.</w:t>
      </w:r>
    </w:p>
    <w:p w14:paraId="0B408B3E" w14:textId="77777777" w:rsidR="0046282B" w:rsidRPr="00551F38" w:rsidRDefault="0046282B" w:rsidP="009268CF">
      <w:pPr>
        <w:pStyle w:val="ListParagraph"/>
        <w:ind w:left="426"/>
        <w:rPr>
          <w:rFonts w:cstheme="minorHAnsi"/>
          <w:bCs/>
        </w:rPr>
      </w:pPr>
    </w:p>
    <w:p w14:paraId="462A7C8D" w14:textId="0FA4A60B" w:rsidR="0046282B" w:rsidRPr="00551F38" w:rsidRDefault="00700479" w:rsidP="00700479">
      <w:pPr>
        <w:pStyle w:val="ListParagraph"/>
        <w:widowControl/>
        <w:numPr>
          <w:ilvl w:val="1"/>
          <w:numId w:val="38"/>
        </w:numPr>
        <w:autoSpaceDE/>
        <w:autoSpaceDN/>
        <w:adjustRightInd/>
        <w:spacing w:line="259" w:lineRule="auto"/>
        <w:rPr>
          <w:rFonts w:cstheme="minorHAnsi"/>
          <w:b/>
          <w:bCs/>
        </w:rPr>
      </w:pPr>
      <w:r w:rsidRPr="00551F38">
        <w:rPr>
          <w:rFonts w:cstheme="minorHAnsi"/>
          <w:b/>
        </w:rPr>
        <w:t xml:space="preserve">  </w:t>
      </w:r>
      <w:r w:rsidR="0046282B" w:rsidRPr="00551F38">
        <w:rPr>
          <w:rFonts w:cstheme="minorHAnsi"/>
          <w:b/>
        </w:rPr>
        <w:t>Vapor-phase</w:t>
      </w:r>
      <w:r w:rsidR="0046282B" w:rsidRPr="00551F38">
        <w:rPr>
          <w:rFonts w:cstheme="minorHAnsi"/>
          <w:bCs/>
        </w:rPr>
        <w:t xml:space="preserve"> </w:t>
      </w:r>
      <w:r w:rsidR="0046282B" w:rsidRPr="00551F38">
        <w:rPr>
          <w:rFonts w:cstheme="minorHAnsi"/>
          <w:b/>
          <w:bCs/>
        </w:rPr>
        <w:t>antifungal inhibition assay</w:t>
      </w:r>
      <w:r w:rsidR="00816B06" w:rsidRPr="00551F38">
        <w:rPr>
          <w:rFonts w:cstheme="minorHAnsi"/>
          <w:b/>
          <w:bCs/>
        </w:rPr>
        <w:t xml:space="preserve"> (</w:t>
      </w:r>
      <w:r w:rsidR="001531CB" w:rsidRPr="00551F38">
        <w:rPr>
          <w:rFonts w:cstheme="minorHAnsi"/>
          <w:b/>
          <w:bCs/>
        </w:rPr>
        <w:t>Figure</w:t>
      </w:r>
      <w:r w:rsidR="00816B06" w:rsidRPr="00551F38">
        <w:rPr>
          <w:rFonts w:cstheme="minorHAnsi"/>
          <w:b/>
          <w:bCs/>
        </w:rPr>
        <w:t xml:space="preserve"> 1)</w:t>
      </w:r>
    </w:p>
    <w:p w14:paraId="66F8FB72" w14:textId="77777777" w:rsidR="0046282B" w:rsidRPr="00551F38" w:rsidRDefault="0046282B" w:rsidP="009268CF">
      <w:pPr>
        <w:pStyle w:val="ListParagraph"/>
        <w:ind w:left="360"/>
        <w:rPr>
          <w:rFonts w:cstheme="minorHAnsi"/>
          <w:b/>
          <w:bCs/>
        </w:rPr>
      </w:pPr>
    </w:p>
    <w:p w14:paraId="78D33687" w14:textId="58C060DD" w:rsidR="0046282B" w:rsidRPr="00551F38" w:rsidRDefault="0046282B" w:rsidP="00700479">
      <w:pPr>
        <w:pStyle w:val="ListParagraph"/>
        <w:widowControl/>
        <w:numPr>
          <w:ilvl w:val="2"/>
          <w:numId w:val="38"/>
        </w:numPr>
        <w:autoSpaceDE/>
        <w:autoSpaceDN/>
        <w:adjustRightInd/>
        <w:spacing w:line="259" w:lineRule="auto"/>
        <w:ind w:left="0" w:firstLine="0"/>
        <w:rPr>
          <w:rFonts w:cstheme="minorHAnsi"/>
          <w:highlight w:val="yellow"/>
        </w:rPr>
      </w:pPr>
      <w:r w:rsidRPr="00551F38">
        <w:rPr>
          <w:rFonts w:cstheme="minorHAnsi"/>
          <w:highlight w:val="yellow"/>
        </w:rPr>
        <w:t xml:space="preserve">Pour 10 mL </w:t>
      </w:r>
      <w:r w:rsidR="00FA3C47" w:rsidRPr="00551F38">
        <w:rPr>
          <w:rFonts w:cstheme="minorHAnsi"/>
          <w:highlight w:val="yellow"/>
        </w:rPr>
        <w:t xml:space="preserve">of </w:t>
      </w:r>
      <w:r w:rsidRPr="00551F38">
        <w:rPr>
          <w:rFonts w:cstheme="minorHAnsi"/>
          <w:highlight w:val="yellow"/>
        </w:rPr>
        <w:t xml:space="preserve">PDA medium into the lid of the 5 cm diameter Petri dishes containing either 10 mL PDA medium </w:t>
      </w:r>
      <w:r w:rsidR="000F03C7" w:rsidRPr="00551F38">
        <w:rPr>
          <w:rFonts w:cstheme="minorHAnsi"/>
          <w:highlight w:val="yellow"/>
        </w:rPr>
        <w:t>or</w:t>
      </w:r>
      <w:r w:rsidRPr="00551F38">
        <w:rPr>
          <w:rFonts w:cstheme="minorHAnsi"/>
          <w:highlight w:val="yellow"/>
        </w:rPr>
        <w:t xml:space="preserve"> 10 mL </w:t>
      </w:r>
      <w:r w:rsidR="00FA3C47" w:rsidRPr="00551F38">
        <w:rPr>
          <w:rFonts w:cstheme="minorHAnsi"/>
          <w:highlight w:val="yellow"/>
        </w:rPr>
        <w:t xml:space="preserve">of </w:t>
      </w:r>
      <w:r w:rsidRPr="00551F38">
        <w:rPr>
          <w:rFonts w:cstheme="minorHAnsi"/>
          <w:highlight w:val="yellow"/>
        </w:rPr>
        <w:t xml:space="preserve">PDA medium </w:t>
      </w:r>
      <w:r w:rsidR="000F03C7" w:rsidRPr="00551F38">
        <w:rPr>
          <w:rFonts w:cstheme="minorHAnsi"/>
          <w:highlight w:val="yellow"/>
        </w:rPr>
        <w:t>containing</w:t>
      </w:r>
      <w:r w:rsidRPr="00551F38">
        <w:rPr>
          <w:rFonts w:cstheme="minorHAnsi"/>
          <w:highlight w:val="yellow"/>
        </w:rPr>
        <w:t xml:space="preserve"> antifungal compounds into the bottom of the dishes. Wait until complete solidification</w:t>
      </w:r>
      <w:r w:rsidR="00C9279E" w:rsidRPr="00551F38">
        <w:rPr>
          <w:rFonts w:cstheme="minorHAnsi"/>
          <w:highlight w:val="yellow"/>
        </w:rPr>
        <w:t xml:space="preserve"> of the agar </w:t>
      </w:r>
      <w:r w:rsidR="00816B06" w:rsidRPr="00551F38">
        <w:rPr>
          <w:rFonts w:cstheme="minorHAnsi"/>
          <w:highlight w:val="yellow"/>
        </w:rPr>
        <w:t>at room temperature</w:t>
      </w:r>
      <w:r w:rsidR="00273BD6" w:rsidRPr="00551F38">
        <w:rPr>
          <w:rFonts w:cstheme="minorHAnsi"/>
          <w:highlight w:val="yellow"/>
        </w:rPr>
        <w:t xml:space="preserve"> (panel C)</w:t>
      </w:r>
      <w:r w:rsidR="00166E5C" w:rsidRPr="00551F38">
        <w:rPr>
          <w:rFonts w:cstheme="minorHAnsi"/>
          <w:highlight w:val="yellow"/>
        </w:rPr>
        <w:t>.</w:t>
      </w:r>
    </w:p>
    <w:p w14:paraId="59DFCB62" w14:textId="77777777" w:rsidR="0046282B" w:rsidRPr="00551F38" w:rsidRDefault="0046282B" w:rsidP="009268CF">
      <w:pPr>
        <w:pStyle w:val="ListParagraph"/>
        <w:ind w:left="1080" w:hanging="654"/>
        <w:rPr>
          <w:rFonts w:cstheme="minorHAnsi"/>
        </w:rPr>
      </w:pPr>
    </w:p>
    <w:p w14:paraId="4254131D" w14:textId="01AF2472" w:rsidR="002B790F" w:rsidRPr="00551F38" w:rsidRDefault="002B790F" w:rsidP="002B790F">
      <w:pPr>
        <w:pStyle w:val="ListParagraph"/>
        <w:widowControl/>
        <w:numPr>
          <w:ilvl w:val="2"/>
          <w:numId w:val="38"/>
        </w:numPr>
        <w:autoSpaceDE/>
        <w:autoSpaceDN/>
        <w:adjustRightInd/>
        <w:spacing w:line="259" w:lineRule="auto"/>
        <w:ind w:left="0" w:firstLine="0"/>
        <w:rPr>
          <w:rFonts w:cstheme="minorHAnsi"/>
          <w:highlight w:val="yellow"/>
        </w:rPr>
      </w:pPr>
      <w:r w:rsidRPr="00551F38">
        <w:rPr>
          <w:rFonts w:cstheme="minorHAnsi"/>
          <w:highlight w:val="yellow"/>
        </w:rPr>
        <w:t xml:space="preserve">Use a 50 mL </w:t>
      </w:r>
      <w:r w:rsidR="00166E5C" w:rsidRPr="00551F38">
        <w:rPr>
          <w:rFonts w:cstheme="minorHAnsi"/>
          <w:highlight w:val="yellow"/>
        </w:rPr>
        <w:t>centrifugal tube</w:t>
      </w:r>
      <w:r w:rsidRPr="00551F38">
        <w:rPr>
          <w:rFonts w:cstheme="minorHAnsi"/>
          <w:highlight w:val="yellow"/>
        </w:rPr>
        <w:t xml:space="preserve"> as a calibration tool to obtain a circle of PDA in the </w:t>
      </w:r>
      <w:r w:rsidR="008D4C93" w:rsidRPr="00551F38">
        <w:rPr>
          <w:rFonts w:cstheme="minorHAnsi"/>
          <w:highlight w:val="yellow"/>
        </w:rPr>
        <w:t>center</w:t>
      </w:r>
      <w:r w:rsidRPr="00551F38">
        <w:rPr>
          <w:rFonts w:cstheme="minorHAnsi"/>
          <w:highlight w:val="yellow"/>
        </w:rPr>
        <w:t xml:space="preserve"> of the lid</w:t>
      </w:r>
      <w:r w:rsidR="00B56765" w:rsidRPr="00551F38">
        <w:rPr>
          <w:rFonts w:cstheme="minorHAnsi"/>
          <w:highlight w:val="yellow"/>
        </w:rPr>
        <w:t>;</w:t>
      </w:r>
      <w:r w:rsidRPr="00551F38">
        <w:rPr>
          <w:rFonts w:cstheme="minorHAnsi"/>
          <w:highlight w:val="yellow"/>
        </w:rPr>
        <w:t xml:space="preserve"> remov</w:t>
      </w:r>
      <w:r w:rsidR="007A2E13" w:rsidRPr="00551F38">
        <w:rPr>
          <w:rFonts w:cstheme="minorHAnsi"/>
          <w:highlight w:val="yellow"/>
        </w:rPr>
        <w:t>e</w:t>
      </w:r>
      <w:r w:rsidRPr="00551F38">
        <w:rPr>
          <w:rFonts w:cstheme="minorHAnsi"/>
          <w:highlight w:val="yellow"/>
        </w:rPr>
        <w:t xml:space="preserve"> the PDA </w:t>
      </w:r>
      <w:r w:rsidR="008D4C93" w:rsidRPr="00551F38">
        <w:rPr>
          <w:rFonts w:cstheme="minorHAnsi"/>
          <w:highlight w:val="yellow"/>
        </w:rPr>
        <w:t>around</w:t>
      </w:r>
      <w:r w:rsidRPr="00551F38">
        <w:rPr>
          <w:rFonts w:cstheme="minorHAnsi"/>
          <w:highlight w:val="yellow"/>
        </w:rPr>
        <w:t xml:space="preserve"> the circle with a sterile spatula</w:t>
      </w:r>
      <w:r w:rsidR="007A2E13" w:rsidRPr="00551F38">
        <w:rPr>
          <w:rFonts w:cstheme="minorHAnsi"/>
          <w:highlight w:val="yellow"/>
        </w:rPr>
        <w:t xml:space="preserve"> </w:t>
      </w:r>
      <w:r w:rsidRPr="00551F38">
        <w:rPr>
          <w:rFonts w:cstheme="minorHAnsi"/>
          <w:highlight w:val="yellow"/>
        </w:rPr>
        <w:t>(panel C)</w:t>
      </w:r>
      <w:r w:rsidR="00166E5C" w:rsidRPr="00551F38">
        <w:rPr>
          <w:rFonts w:cstheme="minorHAnsi"/>
          <w:highlight w:val="yellow"/>
        </w:rPr>
        <w:t>.</w:t>
      </w:r>
      <w:r w:rsidRPr="00551F38">
        <w:rPr>
          <w:rFonts w:cstheme="minorHAnsi"/>
          <w:highlight w:val="yellow"/>
        </w:rPr>
        <w:t xml:space="preserve"> </w:t>
      </w:r>
    </w:p>
    <w:p w14:paraId="4A1DDC4F" w14:textId="77777777" w:rsidR="0046282B" w:rsidRPr="00551F38" w:rsidRDefault="0046282B" w:rsidP="009268CF">
      <w:pPr>
        <w:ind w:hanging="654"/>
        <w:rPr>
          <w:rFonts w:cstheme="minorHAnsi"/>
        </w:rPr>
      </w:pPr>
    </w:p>
    <w:p w14:paraId="7699903F" w14:textId="1FE5CEF1" w:rsidR="0046282B" w:rsidRPr="00551F38" w:rsidRDefault="0046282B" w:rsidP="00700479">
      <w:pPr>
        <w:pStyle w:val="ListParagraph"/>
        <w:widowControl/>
        <w:numPr>
          <w:ilvl w:val="2"/>
          <w:numId w:val="38"/>
        </w:numPr>
        <w:autoSpaceDE/>
        <w:autoSpaceDN/>
        <w:adjustRightInd/>
        <w:spacing w:line="259" w:lineRule="auto"/>
        <w:ind w:left="0" w:firstLine="0"/>
        <w:rPr>
          <w:rFonts w:cstheme="minorHAnsi"/>
          <w:highlight w:val="yellow"/>
        </w:rPr>
      </w:pPr>
      <w:r w:rsidRPr="00551F38">
        <w:rPr>
          <w:rFonts w:cstheme="minorHAnsi"/>
          <w:highlight w:val="yellow"/>
        </w:rPr>
        <w:t xml:space="preserve">Plot a circle in the </w:t>
      </w:r>
      <w:r w:rsidR="008D4C93" w:rsidRPr="00551F38">
        <w:rPr>
          <w:rFonts w:cstheme="minorHAnsi"/>
          <w:highlight w:val="yellow"/>
        </w:rPr>
        <w:t>center</w:t>
      </w:r>
      <w:r w:rsidRPr="00551F38">
        <w:rPr>
          <w:rFonts w:cstheme="minorHAnsi"/>
          <w:highlight w:val="yellow"/>
        </w:rPr>
        <w:t xml:space="preserve"> of </w:t>
      </w:r>
      <w:r w:rsidR="002B790F" w:rsidRPr="00551F38">
        <w:rPr>
          <w:rFonts w:cstheme="minorHAnsi"/>
          <w:highlight w:val="yellow"/>
        </w:rPr>
        <w:t xml:space="preserve">the </w:t>
      </w:r>
      <w:r w:rsidRPr="00551F38">
        <w:rPr>
          <w:rFonts w:cstheme="minorHAnsi"/>
          <w:highlight w:val="yellow"/>
        </w:rPr>
        <w:t xml:space="preserve">PDA medium placed into the lid with a 5 mm diameter sterile </w:t>
      </w:r>
      <w:r w:rsidR="00E96AAF" w:rsidRPr="00551F38">
        <w:rPr>
          <w:rFonts w:cstheme="minorHAnsi"/>
          <w:highlight w:val="yellow"/>
        </w:rPr>
        <w:t>stainless-steel</w:t>
      </w:r>
      <w:r w:rsidRPr="00551F38">
        <w:rPr>
          <w:rFonts w:cstheme="minorHAnsi"/>
          <w:highlight w:val="yellow"/>
        </w:rPr>
        <w:t xml:space="preserve"> tube. Discard the agar-cylinder with a sterile toothpick</w:t>
      </w:r>
      <w:r w:rsidR="00273BD6" w:rsidRPr="00551F38">
        <w:rPr>
          <w:rFonts w:cstheme="minorHAnsi"/>
          <w:highlight w:val="yellow"/>
        </w:rPr>
        <w:t xml:space="preserve"> (panel C)</w:t>
      </w:r>
      <w:r w:rsidR="00166E5C" w:rsidRPr="00551F38">
        <w:rPr>
          <w:rFonts w:cstheme="minorHAnsi"/>
          <w:highlight w:val="yellow"/>
        </w:rPr>
        <w:t>.</w:t>
      </w:r>
      <w:r w:rsidR="00B826AC" w:rsidRPr="00551F38">
        <w:rPr>
          <w:rFonts w:cstheme="minorHAnsi"/>
          <w:highlight w:val="yellow"/>
        </w:rPr>
        <w:t xml:space="preserve"> </w:t>
      </w:r>
    </w:p>
    <w:p w14:paraId="7C3FC103" w14:textId="77777777" w:rsidR="0046282B" w:rsidRPr="00551F38" w:rsidRDefault="0046282B" w:rsidP="009268CF">
      <w:pPr>
        <w:ind w:hanging="654"/>
        <w:rPr>
          <w:rFonts w:cstheme="minorHAnsi"/>
        </w:rPr>
      </w:pPr>
    </w:p>
    <w:p w14:paraId="4C2A7E11" w14:textId="08173D2A" w:rsidR="002B790F" w:rsidRPr="00551F38" w:rsidRDefault="002B790F" w:rsidP="002B790F">
      <w:pPr>
        <w:pStyle w:val="ListParagraph"/>
        <w:widowControl/>
        <w:numPr>
          <w:ilvl w:val="2"/>
          <w:numId w:val="38"/>
        </w:numPr>
        <w:autoSpaceDE/>
        <w:autoSpaceDN/>
        <w:adjustRightInd/>
        <w:spacing w:line="259" w:lineRule="auto"/>
        <w:ind w:left="0" w:firstLine="0"/>
        <w:rPr>
          <w:rFonts w:cstheme="minorHAnsi"/>
          <w:highlight w:val="yellow"/>
        </w:rPr>
      </w:pPr>
      <w:r w:rsidRPr="00551F38">
        <w:rPr>
          <w:rFonts w:cstheme="minorHAnsi"/>
          <w:highlight w:val="yellow"/>
        </w:rPr>
        <w:t xml:space="preserve">Form plugs with a 5 mm diameter sterile </w:t>
      </w:r>
      <w:r w:rsidR="00E96AAF" w:rsidRPr="00551F38">
        <w:rPr>
          <w:rFonts w:cstheme="minorHAnsi"/>
          <w:highlight w:val="yellow"/>
        </w:rPr>
        <w:t>stainless-steel</w:t>
      </w:r>
      <w:r w:rsidRPr="00551F38">
        <w:rPr>
          <w:rFonts w:cstheme="minorHAnsi"/>
          <w:highlight w:val="yellow"/>
        </w:rPr>
        <w:t xml:space="preserve"> tube randomly into the fungal </w:t>
      </w:r>
      <w:r w:rsidR="00E96AAF" w:rsidRPr="00551F38">
        <w:rPr>
          <w:rFonts w:cstheme="minorHAnsi"/>
          <w:highlight w:val="yellow"/>
        </w:rPr>
        <w:t>plates as</w:t>
      </w:r>
      <w:r w:rsidRPr="00551F38">
        <w:rPr>
          <w:rFonts w:cstheme="minorHAnsi"/>
          <w:highlight w:val="yellow"/>
        </w:rPr>
        <w:t xml:space="preserve"> in section 4.3.1 (panel B)</w:t>
      </w:r>
      <w:r w:rsidR="00166E5C" w:rsidRPr="00551F38">
        <w:rPr>
          <w:rFonts w:cstheme="minorHAnsi"/>
          <w:highlight w:val="yellow"/>
        </w:rPr>
        <w:t>.</w:t>
      </w:r>
    </w:p>
    <w:p w14:paraId="0A5978DD" w14:textId="77777777" w:rsidR="0046282B" w:rsidRPr="00551F38" w:rsidRDefault="0046282B" w:rsidP="009268CF">
      <w:pPr>
        <w:ind w:hanging="654"/>
        <w:rPr>
          <w:rFonts w:cstheme="minorHAnsi"/>
        </w:rPr>
      </w:pPr>
    </w:p>
    <w:p w14:paraId="789667E8" w14:textId="0E38C83D" w:rsidR="002B790F" w:rsidRPr="00551F38" w:rsidRDefault="00B56765" w:rsidP="002B790F">
      <w:pPr>
        <w:pStyle w:val="ListParagraph"/>
        <w:widowControl/>
        <w:numPr>
          <w:ilvl w:val="2"/>
          <w:numId w:val="38"/>
        </w:numPr>
        <w:autoSpaceDE/>
        <w:autoSpaceDN/>
        <w:adjustRightInd/>
        <w:spacing w:line="259" w:lineRule="auto"/>
        <w:ind w:left="0" w:firstLine="0"/>
        <w:rPr>
          <w:rFonts w:cstheme="minorHAnsi"/>
          <w:highlight w:val="yellow"/>
        </w:rPr>
      </w:pPr>
      <w:r w:rsidRPr="00551F38">
        <w:rPr>
          <w:rFonts w:cstheme="minorHAnsi"/>
          <w:highlight w:val="yellow"/>
        </w:rPr>
        <w:t>Using a sterile toothpick, c</w:t>
      </w:r>
      <w:r w:rsidR="002B790F" w:rsidRPr="00551F38">
        <w:rPr>
          <w:rFonts w:cstheme="minorHAnsi"/>
          <w:highlight w:val="yellow"/>
        </w:rPr>
        <w:t xml:space="preserve">arefully transfer the plugs covered either with spores, early </w:t>
      </w:r>
      <w:r w:rsidR="00047DCA" w:rsidRPr="00551F38">
        <w:rPr>
          <w:rFonts w:cstheme="minorHAnsi"/>
          <w:highlight w:val="yellow"/>
        </w:rPr>
        <w:t>hyphae,</w:t>
      </w:r>
      <w:r w:rsidR="002B790F" w:rsidRPr="00551F38">
        <w:rPr>
          <w:rFonts w:cstheme="minorHAnsi"/>
          <w:highlight w:val="yellow"/>
        </w:rPr>
        <w:t xml:space="preserve"> or mycelium from fungal </w:t>
      </w:r>
      <w:r w:rsidR="00E96AAF" w:rsidRPr="00551F38">
        <w:rPr>
          <w:rFonts w:cstheme="minorHAnsi"/>
          <w:highlight w:val="yellow"/>
        </w:rPr>
        <w:t>plates into</w:t>
      </w:r>
      <w:r w:rsidR="002B790F" w:rsidRPr="00551F38">
        <w:rPr>
          <w:rFonts w:cstheme="minorHAnsi"/>
          <w:highlight w:val="yellow"/>
        </w:rPr>
        <w:t xml:space="preserve"> the lids of assay plates (panel C)</w:t>
      </w:r>
      <w:r w:rsidR="00504663" w:rsidRPr="00551F38">
        <w:rPr>
          <w:rFonts w:cstheme="minorHAnsi"/>
          <w:highlight w:val="yellow"/>
        </w:rPr>
        <w:t>.</w:t>
      </w:r>
      <w:r w:rsidR="002B790F" w:rsidRPr="00551F38">
        <w:rPr>
          <w:rFonts w:cstheme="minorHAnsi"/>
          <w:highlight w:val="yellow"/>
        </w:rPr>
        <w:t xml:space="preserve"> </w:t>
      </w:r>
    </w:p>
    <w:p w14:paraId="7BAF6666" w14:textId="77777777" w:rsidR="0046282B" w:rsidRPr="00551F38" w:rsidRDefault="0046282B" w:rsidP="009268CF">
      <w:pPr>
        <w:ind w:hanging="426"/>
        <w:rPr>
          <w:rFonts w:cstheme="minorHAnsi"/>
        </w:rPr>
      </w:pPr>
    </w:p>
    <w:p w14:paraId="12F85756" w14:textId="5963C0DE" w:rsidR="0046282B" w:rsidRPr="00551F38" w:rsidRDefault="0046282B" w:rsidP="00700479">
      <w:pPr>
        <w:pStyle w:val="ListParagraph"/>
        <w:widowControl/>
        <w:numPr>
          <w:ilvl w:val="2"/>
          <w:numId w:val="38"/>
        </w:numPr>
        <w:autoSpaceDE/>
        <w:autoSpaceDN/>
        <w:adjustRightInd/>
        <w:spacing w:line="259" w:lineRule="auto"/>
        <w:ind w:left="426" w:hanging="426"/>
        <w:rPr>
          <w:rFonts w:cstheme="minorHAnsi"/>
        </w:rPr>
      </w:pPr>
      <w:r w:rsidRPr="00551F38">
        <w:rPr>
          <w:rFonts w:cstheme="minorHAnsi"/>
        </w:rPr>
        <w:t>Incubate at 30 °C as in section 3.4.4</w:t>
      </w:r>
      <w:r w:rsidR="00BE73EB" w:rsidRPr="00551F38">
        <w:rPr>
          <w:rFonts w:cstheme="minorHAnsi"/>
        </w:rPr>
        <w:t xml:space="preserve"> </w:t>
      </w:r>
      <w:r w:rsidR="00273BD6" w:rsidRPr="00551F38">
        <w:rPr>
          <w:rFonts w:cstheme="minorHAnsi"/>
        </w:rPr>
        <w:t>(panel C)</w:t>
      </w:r>
      <w:r w:rsidR="00504663" w:rsidRPr="00551F38">
        <w:rPr>
          <w:rFonts w:cstheme="minorHAnsi"/>
        </w:rPr>
        <w:t>.</w:t>
      </w:r>
    </w:p>
    <w:p w14:paraId="5C3B3085" w14:textId="77777777" w:rsidR="0046282B" w:rsidRPr="00551F38" w:rsidRDefault="0046282B" w:rsidP="009268CF">
      <w:pPr>
        <w:ind w:hanging="654"/>
        <w:rPr>
          <w:rFonts w:cstheme="minorHAnsi"/>
        </w:rPr>
      </w:pPr>
    </w:p>
    <w:p w14:paraId="65C13395" w14:textId="2A43CCAA" w:rsidR="0046282B" w:rsidRPr="00551F38" w:rsidRDefault="0046282B" w:rsidP="00700479">
      <w:pPr>
        <w:pStyle w:val="ListParagraph"/>
        <w:widowControl/>
        <w:numPr>
          <w:ilvl w:val="2"/>
          <w:numId w:val="38"/>
        </w:numPr>
        <w:autoSpaceDE/>
        <w:autoSpaceDN/>
        <w:adjustRightInd/>
        <w:spacing w:line="259" w:lineRule="auto"/>
        <w:ind w:left="0" w:firstLine="0"/>
        <w:rPr>
          <w:rFonts w:cstheme="minorHAnsi"/>
        </w:rPr>
      </w:pPr>
      <w:r w:rsidRPr="00551F38">
        <w:rPr>
          <w:rFonts w:cstheme="minorHAnsi"/>
        </w:rPr>
        <w:t xml:space="preserve">Measure the diameter of radial growth and calculate the percent of fungal growth inhibition using the formula in section </w:t>
      </w:r>
      <w:r w:rsidR="00504663" w:rsidRPr="00551F38">
        <w:rPr>
          <w:rFonts w:cstheme="minorHAnsi"/>
        </w:rPr>
        <w:t xml:space="preserve">4.3.4 </w:t>
      </w:r>
      <w:r w:rsidR="00BE73EB" w:rsidRPr="00551F38">
        <w:rPr>
          <w:rFonts w:cstheme="minorHAnsi"/>
        </w:rPr>
        <w:t xml:space="preserve">(panel </w:t>
      </w:r>
      <w:r w:rsidR="00816B06" w:rsidRPr="00551F38">
        <w:rPr>
          <w:rFonts w:cstheme="minorHAnsi"/>
        </w:rPr>
        <w:t>D</w:t>
      </w:r>
      <w:r w:rsidR="00BE73EB" w:rsidRPr="00551F38">
        <w:rPr>
          <w:rFonts w:cstheme="minorHAnsi"/>
        </w:rPr>
        <w:t>)</w:t>
      </w:r>
      <w:r w:rsidR="00504663" w:rsidRPr="00551F38">
        <w:rPr>
          <w:rFonts w:cstheme="minorHAnsi"/>
        </w:rPr>
        <w:t>.</w:t>
      </w:r>
    </w:p>
    <w:p w14:paraId="0973E93F" w14:textId="77777777" w:rsidR="00704FBF" w:rsidRPr="00551F38" w:rsidRDefault="00704FBF" w:rsidP="001B1519">
      <w:pPr>
        <w:pStyle w:val="NormalWeb"/>
        <w:spacing w:before="0" w:beforeAutospacing="0" w:after="0" w:afterAutospacing="0"/>
        <w:rPr>
          <w:rFonts w:asciiTheme="minorHAnsi" w:hAnsiTheme="minorHAnsi" w:cstheme="minorHAnsi"/>
          <w:b/>
        </w:rPr>
      </w:pPr>
    </w:p>
    <w:p w14:paraId="3E79FCA8" w14:textId="0868F751" w:rsidR="006305D7" w:rsidRPr="00551F38" w:rsidRDefault="006305D7" w:rsidP="001B1519">
      <w:pPr>
        <w:pStyle w:val="NormalWeb"/>
        <w:spacing w:before="0" w:beforeAutospacing="0" w:after="0" w:afterAutospacing="0"/>
        <w:rPr>
          <w:rFonts w:asciiTheme="minorHAnsi" w:hAnsiTheme="minorHAnsi" w:cstheme="minorHAnsi"/>
          <w:color w:val="808080"/>
        </w:rPr>
      </w:pPr>
      <w:r w:rsidRPr="00551F38">
        <w:rPr>
          <w:rFonts w:asciiTheme="minorHAnsi" w:hAnsiTheme="minorHAnsi" w:cstheme="minorHAnsi"/>
          <w:b/>
        </w:rPr>
        <w:t>REPRESENTATIVE RESULTS</w:t>
      </w:r>
      <w:r w:rsidR="00EF1462" w:rsidRPr="00551F38">
        <w:rPr>
          <w:rFonts w:asciiTheme="minorHAnsi" w:hAnsiTheme="minorHAnsi" w:cstheme="minorHAnsi"/>
          <w:b/>
        </w:rPr>
        <w:t xml:space="preserve">: </w:t>
      </w:r>
    </w:p>
    <w:p w14:paraId="5C547663" w14:textId="40DD2A98" w:rsidR="00440ACD" w:rsidRPr="00551F38" w:rsidRDefault="00440ACD" w:rsidP="00565D89">
      <w:pPr>
        <w:rPr>
          <w:rFonts w:cstheme="minorHAnsi"/>
        </w:rPr>
      </w:pPr>
      <w:r w:rsidRPr="00551F38">
        <w:rPr>
          <w:rFonts w:cstheme="minorHAnsi"/>
        </w:rPr>
        <w:t xml:space="preserve">To evaluate the ability of the quantitative method to discriminate the mode of action of different types of antifungal compounds, we compared the efficacy of three well-known antifungal agents. </w:t>
      </w:r>
      <w:r w:rsidRPr="00551F38">
        <w:t>Carbendazim is a non-volatile synthetic fungicide which has been widely used to control a broad range of fungal diseases in plant</w:t>
      </w:r>
      <w:r w:rsidR="004412C5" w:rsidRPr="00551F38">
        <w:t>s</w:t>
      </w:r>
      <w:r w:rsidRPr="00551F38">
        <w:fldChar w:fldCharType="begin" w:fldLock="1"/>
      </w:r>
      <w:r w:rsidR="00E26078" w:rsidRPr="00551F38">
        <w:instrText>ADDIN CSL_CITATION { "citationItems" : [ { "id" : "ITEM-1", "itemData" : { "DOI" : "10.2174/0929867322666141212123449", "ISBN" : "9180597777", "ISSN" : "09298673", "abstract" : "\u00a9 2015 Bentham Science Publishers. A large amount of pesticides are being used now-a-days in crop protection which has resulted in buildup of such harmful compounds in the environment, proving a menace to humans, animal life as well as to soil microbes. Residues of these pesticides have been reported in soil, water and foods. Carbendazim and sulfosulfuron are among the most widely used pesticides for treating fungal diseases and unwanted herbs in crops respectively. Carbendazim is a benzimidazole fungicide which can harm liver as well as the endocrine system and is suspected to have mutagenic and tumorigenic effects. On similar lines sulfosulfuron, a sulfonylurea herbicide may result in the development of resistant herbs displaying its carry-over effects to the next crop cultivated. These pesticides possess large half-lives and thus remain persistent in the environment which may lead to harmful consequences in the near future. Besides chemical and photo-catalytic degradation of pesticides, microbial degradation has now been evolved as a much effective and safer way to eradicate these harmful compounds from the environment. However a limited literature is available on the microbial degradation of such compounds. The present review emphasizes mainly upon the chemical properties of Carbendazim and Sulfosulfuron, detection of their residues, harmful effects and insights into their degradation studies. Further, the use of efficient microbes for remediation of pesticides from the environment has been discussed.", "author" : [ { "dropping-particle" : "", "family" : "Arya", "given" : "R.", "non-dropping-particle" : "", "parse-names" : false, "suffix" : "" }, { "dropping-particle" : "", "family" : "Sharma", "given" : "R.", "non-dropping-particle" : "", "parse-names" : false, "suffix" : "" }, { "dropping-particle" : "", "family" : "Malhotra", "given" : "M.", "non-dropping-particle" : "", "parse-names" : false, "suffix" : "" }, { "dropping-particle" : "", "family" : "Kumar", "given" : "V.", "non-dropping-particle" : "", "parse-names" : false, "suffix" : "" }, { "dropping-particle" : "", "family" : "Sharma", "given" : "A.K.", "non-dropping-particle" : "", "parse-names" : false, "suffix" : "" } ], "container-title" : "Current Medicinal Chemistry", "id" : "ITEM-1", "issue" : "9", "issued" : { "date-parts" : [ [ "2015" ] ] }, "page" : "1147-1155", "title" : "Biodegradation Aspects of Carbendazim and Sulfosulfuron: Trends, Scope and Relevance", "type" : "article-journal", "volume" : "22" }, "uris" : [ "http://www.mendeley.com/documents/?uuid=0f82ea9d-d144-4d34-a6c5-7ed2ef4d528f" ] }, { "id" : "ITEM-2", "itemData" : { "DOI" : "10.2903/j.efsa.2010.1598", "ISSN" : "18314732", "author" : [ { "dropping-particle" : "", "family" : "Food", "given" : "European", "non-dropping-particle" : "", "parse-names" : false, "suffix" : "" }, { "dropping-particle" : "", "family" : "Authority", "given" : "Safety", "non-dropping-particle" : "", "parse-names" : false, "suffix" : "" } ], "container-title" : "EFSA Journal", "id" : "ITEM-2", "issue" : "5", "issued" : { "date-parts" : [ [ "2010" ] ] }, "page" : "1-76", "title" : "Conclusion on the peer review of the pesticide risk assessment of the active substance carbendazim", "type" : "article-journal", "volume" : "8" }, "uris" : [ "http://www.mendeley.com/documents/?uuid=453169ce-f7b4-4214-81ff-2ae4e3bb2cec" ] } ], "mendeley" : { "formattedCitation" : "&lt;sup&gt;39, 40&lt;/sup&gt;", "plainTextFormattedCitation" : "39, 40", "previouslyFormattedCitation" : "&lt;sup&gt;39, 40&lt;/sup&gt;" }, "properties" : { "noteIndex" : 3 }, "schema" : "https://github.com/citation-style-language/schema/raw/master/csl-citation.json" }</w:instrText>
      </w:r>
      <w:r w:rsidRPr="00551F38">
        <w:fldChar w:fldCharType="separate"/>
      </w:r>
      <w:r w:rsidR="00E26078" w:rsidRPr="00551F38">
        <w:rPr>
          <w:vertAlign w:val="superscript"/>
        </w:rPr>
        <w:t>39, 40</w:t>
      </w:r>
      <w:r w:rsidRPr="00551F38">
        <w:fldChar w:fldCharType="end"/>
      </w:r>
      <w:r w:rsidRPr="00551F38">
        <w:t xml:space="preserve">. </w:t>
      </w:r>
      <w:r w:rsidRPr="00551F38">
        <w:rPr>
          <w:i/>
          <w:iCs/>
        </w:rPr>
        <w:t>Thymus vulgaris</w:t>
      </w:r>
      <w:r w:rsidRPr="00551F38">
        <w:t xml:space="preserve"> essential oil has been largely described for its antibacterial and antifungal activity and is used as natural food preservative agent</w:t>
      </w:r>
      <w:r w:rsidRPr="00551F38">
        <w:fldChar w:fldCharType="begin" w:fldLock="1"/>
      </w:r>
      <w:r w:rsidR="00E26078" w:rsidRPr="00551F38">
        <w:instrText>ADDIN CSL_CITATION { "citationItems" : [ { "id" : "ITEM-1", "itemData" : { "DOI" : "10.4014/jmb.1608.08024", "ISSN" : "17388872", "abstract" : "For centuries, plants have been used for a wide variety of purposes, from treating infectious diseases to food preservation and perfume production. Presently, the increasing resistance of microorganisms to currently used antimicrobials in combination with the appearance of emerging diseases requires the urgent development of new, more effective drugs. Plants, due to the large biological and structural diversity of their components, constitute a unique and renewable source for the discovery of new antibacterial, antifungal, and antiparasitic compounds. In the present paper, the history, composition, and antimicrobial activities of the basil, oregano, and thyme essential oils are reviewed.", "author" : [ { "dropping-particle" : "", "family" : "Sakkas", "given" : "Hercules", "non-dropping-particle" : "", "parse-names" : false, "suffix" : "" }, { "dropping-particle" : "", "family" : "Papadopoulou", "given" : "Chrissanthy", "non-dropping-particle" : "", "parse-names" : false, "suffix" : "" } ], "container-title" : "Journal of Microbiology and Biotechnology", "id" : "ITEM-1", "issue" : "3", "issued" : { "date-parts" : [ [ "2017" ] ] }, "page" : "429-438", "title" : "Antimicrobial activity of basil, oregano, and thyme essential oils", "type" : "article-journal", "volume" : "27" }, "uris" : [ "http://www.mendeley.com/documents/?uuid=0f7e1132-f3fe-4ff8-a8b9-0b7105830d49" ] } ], "mendeley" : { "formattedCitation" : "&lt;sup&gt;41&lt;/sup&gt;", "plainTextFormattedCitation" : "41", "previouslyFormattedCitation" : "&lt;sup&gt;41&lt;/sup&gt;" }, "properties" : { "noteIndex" : 3 }, "schema" : "https://github.com/citation-style-language/schema/raw/master/csl-citation.json" }</w:instrText>
      </w:r>
      <w:r w:rsidRPr="00551F38">
        <w:fldChar w:fldCharType="separate"/>
      </w:r>
      <w:r w:rsidR="00E26078" w:rsidRPr="00551F38">
        <w:rPr>
          <w:vertAlign w:val="superscript"/>
        </w:rPr>
        <w:t>41</w:t>
      </w:r>
      <w:r w:rsidRPr="00551F38">
        <w:fldChar w:fldCharType="end"/>
      </w:r>
      <w:r w:rsidRPr="00551F38">
        <w:t xml:space="preserve">. Garlic powder has been chosen as a model of </w:t>
      </w:r>
      <w:r w:rsidR="004412C5" w:rsidRPr="00551F38">
        <w:t xml:space="preserve">a </w:t>
      </w:r>
      <w:r w:rsidRPr="00551F38">
        <w:t xml:space="preserve">plant-derived bioproduct. It has been traditionally used as a natural remedy with antimicrobial activities which have largely been attributed to the presence of </w:t>
      </w:r>
      <w:r w:rsidR="00400359" w:rsidRPr="00551F38">
        <w:t xml:space="preserve">volatile </w:t>
      </w:r>
      <w:r w:rsidRPr="00551F38">
        <w:t xml:space="preserve">organosulfur compounds but also to the presence of </w:t>
      </w:r>
      <w:r w:rsidR="00400359" w:rsidRPr="00551F38">
        <w:t xml:space="preserve">non-volatile </w:t>
      </w:r>
      <w:r w:rsidRPr="00551F38">
        <w:t>saponins and phenolic compounds</w:t>
      </w:r>
      <w:r w:rsidRPr="00551F38">
        <w:fldChar w:fldCharType="begin" w:fldLock="1"/>
      </w:r>
      <w:r w:rsidR="00E26078" w:rsidRPr="00551F38">
        <w:instrText>ADDIN CSL_CITATION { "citationItems" : [ { "id" : "ITEM-1", "itemData" : { "DOI" : "10.1007/s11101-013-9295-3", "ISBN" : "1110101392", "ISSN" : "1572980X", "abstract" : "The antimicrobial activity of garlic (Allium sativum L.) has been known since ancient times. The first citation dates back to the Egyptian period of fifteenth century BC when garlic was reported to be used in folk medicine as a remedy for microbial infections. Scientific investigations on garlic started in 1858 with the work of Pasteur who first noted antibacterial properties of garlic extracts. From that date to the discovery of antibiotics, garlic has been used against amoebic dysentery and epidemic diseases such as typhus, cholera, diphtheria, and tuberculosis. But what makes garlic and Allium species effective against pathogenic microbes? The volatile allicin and other thiosulfinates, giving pungency to Allium plants, are well-studied antimicrobial agents. The thiosulfinates can decompose to form additional sulfur constituents, including diallyl, methyl allyl, and dipropyl mono-, di-, tri- e tetra-sulfides, and (E)- and (Z)-ajoene without losing antimicrobial activity. Besides these compounds, onion and garlic are characterized by polar compounds of steroidal and phenolic origin, often glycosilated, not pungent and more stable during cooking, showing also antimicrobial activity. Recently, there has been increasing scientific attention given to such compounds. Nitrogen organic compounds, like alkaloids and polypeptides, have also been isolated from these plants and have shown antimicrobial activity. In this paper, the literature about the major volatile and non-volatile organic compounds of garlic and other Allium plants has been reviewed. Particular attention is given to the compounds possessing antimicrobial activity and to the correlation between the observed activity and the chemical structure of the tested compounds.", "author" : [ { "dropping-particle" : "", "family" : "Lanzotti", "given" : "Virginia", "non-dropping-particle" : "", "parse-names" : false, "suffix" : "" }, { "dropping-particle" : "", "family" : "Bonanomi", "given" : "Giuliano", "non-dropping-particle" : "", "parse-names" : false, "suffix" : "" }, { "dropping-particle" : "", "family" : "Scala", "given" : "Felice", "non-dropping-particle" : "", "parse-names" : false, "suffix" : "" } ], "container-title" : "Phytochemistry Reviews", "id" : "ITEM-1", "issue" : "4", "issued" : { "date-parts" : [ [ "2013" ] ] }, "page" : "751-772", "title" : "What makes Allium species effective against pathogenic microbes?", "type" : "article-journal", "volume" : "12" }, "uris" : [ "http://www.mendeley.com/documents/?uuid=9e39bfc4-6f52-430b-824b-48007aed711f" ] } ], "mendeley" : { "formattedCitation" : "&lt;sup&gt;26&lt;/sup&gt;", "plainTextFormattedCitation" : "26", "previouslyFormattedCitation" : "&lt;sup&gt;26&lt;/sup&gt;" }, "properties" : { "noteIndex" : 4 }, "schema" : "https://github.com/citation-style-language/schema/raw/master/csl-citation.json" }</w:instrText>
      </w:r>
      <w:r w:rsidRPr="00551F38">
        <w:fldChar w:fldCharType="separate"/>
      </w:r>
      <w:r w:rsidR="00E26078" w:rsidRPr="00551F38">
        <w:rPr>
          <w:vertAlign w:val="superscript"/>
        </w:rPr>
        <w:t>26</w:t>
      </w:r>
      <w:r w:rsidRPr="00551F38">
        <w:fldChar w:fldCharType="end"/>
      </w:r>
      <w:r w:rsidRPr="00551F38">
        <w:t>, giving to this model a complexity relevant in this study.</w:t>
      </w:r>
    </w:p>
    <w:p w14:paraId="55DDE01A" w14:textId="77777777" w:rsidR="00565D89" w:rsidRDefault="00565D89" w:rsidP="00565D89">
      <w:pPr>
        <w:rPr>
          <w:rFonts w:asciiTheme="minorHAnsi" w:hAnsiTheme="minorHAnsi" w:cstheme="minorHAnsi"/>
          <w:color w:val="auto"/>
        </w:rPr>
      </w:pPr>
    </w:p>
    <w:p w14:paraId="7455E0E5" w14:textId="0612E877" w:rsidR="00700FA8" w:rsidRPr="00551F38" w:rsidRDefault="0027439B" w:rsidP="00565D89">
      <w:pPr>
        <w:rPr>
          <w:rFonts w:asciiTheme="minorHAnsi" w:hAnsiTheme="minorHAnsi" w:cstheme="minorHAnsi"/>
          <w:color w:val="auto"/>
        </w:rPr>
      </w:pPr>
      <w:r w:rsidRPr="00551F38">
        <w:rPr>
          <w:rFonts w:asciiTheme="minorHAnsi" w:hAnsiTheme="minorHAnsi" w:cstheme="minorHAnsi"/>
          <w:color w:val="auto"/>
        </w:rPr>
        <w:t xml:space="preserve">This quantitative method relies on the transfer </w:t>
      </w:r>
      <w:r w:rsidR="002E6029" w:rsidRPr="00551F38">
        <w:rPr>
          <w:rFonts w:asciiTheme="minorHAnsi" w:hAnsiTheme="minorHAnsi" w:cstheme="minorHAnsi"/>
          <w:color w:val="auto"/>
        </w:rPr>
        <w:t>o</w:t>
      </w:r>
      <w:r w:rsidR="003C3BC9" w:rsidRPr="00551F38">
        <w:rPr>
          <w:rFonts w:asciiTheme="minorHAnsi" w:hAnsiTheme="minorHAnsi" w:cstheme="minorHAnsi"/>
          <w:color w:val="auto"/>
        </w:rPr>
        <w:t>f</w:t>
      </w:r>
      <w:r w:rsidR="002E6029" w:rsidRPr="00551F38">
        <w:rPr>
          <w:rFonts w:asciiTheme="minorHAnsi" w:hAnsiTheme="minorHAnsi" w:cstheme="minorHAnsi"/>
          <w:color w:val="auto"/>
        </w:rPr>
        <w:t xml:space="preserve"> agar</w:t>
      </w:r>
      <w:r w:rsidR="00D24BA6" w:rsidRPr="00551F38">
        <w:rPr>
          <w:rFonts w:asciiTheme="minorHAnsi" w:hAnsiTheme="minorHAnsi" w:cstheme="minorHAnsi"/>
          <w:color w:val="auto"/>
        </w:rPr>
        <w:t xml:space="preserve"> </w:t>
      </w:r>
      <w:r w:rsidR="002E6029" w:rsidRPr="00551F38">
        <w:rPr>
          <w:rFonts w:asciiTheme="minorHAnsi" w:hAnsiTheme="minorHAnsi" w:cstheme="minorHAnsi"/>
          <w:color w:val="auto"/>
        </w:rPr>
        <w:t xml:space="preserve">plugs </w:t>
      </w:r>
      <w:r w:rsidR="007923EC" w:rsidRPr="00551F38">
        <w:rPr>
          <w:rFonts w:asciiTheme="minorHAnsi" w:hAnsiTheme="minorHAnsi" w:cstheme="minorHAnsi"/>
          <w:color w:val="auto"/>
        </w:rPr>
        <w:t>containing</w:t>
      </w:r>
      <w:r w:rsidR="00E52471" w:rsidRPr="00551F38">
        <w:rPr>
          <w:rFonts w:asciiTheme="minorHAnsi" w:hAnsiTheme="minorHAnsi" w:cstheme="minorHAnsi"/>
          <w:color w:val="auto"/>
        </w:rPr>
        <w:t xml:space="preserve"> controlled amounts of</w:t>
      </w:r>
      <w:r w:rsidRPr="00551F38">
        <w:rPr>
          <w:rFonts w:asciiTheme="minorHAnsi" w:hAnsiTheme="minorHAnsi" w:cstheme="minorHAnsi"/>
          <w:color w:val="auto"/>
        </w:rPr>
        <w:t xml:space="preserve"> fungus at different </w:t>
      </w:r>
      <w:r w:rsidR="003E74FA" w:rsidRPr="00551F38">
        <w:rPr>
          <w:rFonts w:asciiTheme="minorHAnsi" w:hAnsiTheme="minorHAnsi" w:cstheme="minorHAnsi"/>
          <w:color w:val="auto"/>
        </w:rPr>
        <w:t>developmental</w:t>
      </w:r>
      <w:r w:rsidRPr="00551F38">
        <w:rPr>
          <w:rFonts w:asciiTheme="minorHAnsi" w:hAnsiTheme="minorHAnsi" w:cstheme="minorHAnsi"/>
          <w:color w:val="auto"/>
        </w:rPr>
        <w:t xml:space="preserve"> stages from spores to mycelium whereas in the food</w:t>
      </w:r>
      <w:r w:rsidR="00513DF1" w:rsidRPr="00551F38">
        <w:rPr>
          <w:rFonts w:asciiTheme="minorHAnsi" w:hAnsiTheme="minorHAnsi" w:cstheme="minorHAnsi"/>
          <w:color w:val="auto"/>
        </w:rPr>
        <w:t>-</w:t>
      </w:r>
      <w:r w:rsidRPr="00551F38">
        <w:rPr>
          <w:rFonts w:asciiTheme="minorHAnsi" w:hAnsiTheme="minorHAnsi" w:cstheme="minorHAnsi"/>
          <w:color w:val="auto"/>
        </w:rPr>
        <w:t>poisoned method, 5</w:t>
      </w:r>
      <w:r w:rsidR="006A3867" w:rsidRPr="00551F38">
        <w:rPr>
          <w:rFonts w:asciiTheme="minorHAnsi" w:hAnsiTheme="minorHAnsi" w:cstheme="minorHAnsi"/>
          <w:color w:val="auto"/>
        </w:rPr>
        <w:t xml:space="preserve">-day to </w:t>
      </w:r>
      <w:r w:rsidRPr="00551F38">
        <w:rPr>
          <w:rFonts w:asciiTheme="minorHAnsi" w:hAnsiTheme="minorHAnsi" w:cstheme="minorHAnsi"/>
          <w:color w:val="auto"/>
        </w:rPr>
        <w:t>7</w:t>
      </w:r>
      <w:r w:rsidR="00D24BA6" w:rsidRPr="00551F38">
        <w:rPr>
          <w:rFonts w:asciiTheme="minorHAnsi" w:hAnsiTheme="minorHAnsi" w:cstheme="minorHAnsi"/>
          <w:color w:val="auto"/>
        </w:rPr>
        <w:t>-</w:t>
      </w:r>
      <w:r w:rsidRPr="00551F38">
        <w:rPr>
          <w:rFonts w:asciiTheme="minorHAnsi" w:hAnsiTheme="minorHAnsi" w:cstheme="minorHAnsi"/>
          <w:color w:val="auto"/>
        </w:rPr>
        <w:t xml:space="preserve">day old mycelium is </w:t>
      </w:r>
      <w:r w:rsidR="006A3867" w:rsidRPr="00551F38">
        <w:rPr>
          <w:rFonts w:asciiTheme="minorHAnsi" w:hAnsiTheme="minorHAnsi" w:cstheme="minorHAnsi"/>
          <w:color w:val="auto"/>
        </w:rPr>
        <w:t xml:space="preserve">transferred </w:t>
      </w:r>
      <w:r w:rsidRPr="00551F38">
        <w:rPr>
          <w:rFonts w:asciiTheme="minorHAnsi" w:hAnsiTheme="minorHAnsi" w:cstheme="minorHAnsi"/>
          <w:color w:val="auto"/>
        </w:rPr>
        <w:t>from cellulose</w:t>
      </w:r>
      <w:r w:rsidR="006A3867" w:rsidRPr="00551F38">
        <w:rPr>
          <w:rFonts w:asciiTheme="minorHAnsi" w:hAnsiTheme="minorHAnsi" w:cstheme="minorHAnsi"/>
          <w:color w:val="auto"/>
        </w:rPr>
        <w:t xml:space="preserve"> </w:t>
      </w:r>
      <w:r w:rsidR="00BD790C" w:rsidRPr="00551F38">
        <w:rPr>
          <w:rFonts w:asciiTheme="minorHAnsi" w:hAnsiTheme="minorHAnsi" w:cstheme="minorHAnsi"/>
          <w:color w:val="auto"/>
        </w:rPr>
        <w:t>disks</w:t>
      </w:r>
      <w:r w:rsidR="00650083" w:rsidRPr="00551F38">
        <w:rPr>
          <w:rFonts w:asciiTheme="minorHAnsi" w:hAnsiTheme="minorHAnsi" w:cstheme="minorHAnsi"/>
          <w:color w:val="auto"/>
        </w:rPr>
        <w:fldChar w:fldCharType="begin" w:fldLock="1"/>
      </w:r>
      <w:r w:rsidR="00E26078" w:rsidRPr="00551F38">
        <w:rPr>
          <w:rFonts w:asciiTheme="minorHAnsi" w:hAnsiTheme="minorHAnsi" w:cstheme="minorHAnsi"/>
          <w:color w:val="auto"/>
        </w:rPr>
        <w:instrText>ADDIN CSL_CITATION { "citationItems" : [ { "id" : "ITEM-1", "itemData" : { "DOI" : "10.1016/j.jpha.2015.11.005", "ISSN" : "20951779", "abstract" : "In recent years, there has been a growing interest in researching and developing new antimicrobial agents from various sources to combat microbial resistance. Therefore, a greater attention has been paid to antimicrobial activity screening and evaluating methods. Several bioassays such as disk-diffusion, well diffusion and broth or agar dilution are well known and commonly used, but others such as flow cytofluorometric and bioluminescent methods are not widely used because they require specified equipment and further evaluation for reproducibility and standardization, even if they can provide rapid results of the antimicrobial agent's effects and a better understanding of their impact on the viability and cell damage inflicted to the tested microorganism. In this review article, an exhaustive list of in vitro antimicrobial susceptibility testing methods and detailed information on their advantages and limitations are reported.", "author" : [ { "dropping-particle" : "", "family" : "Balouiri", "given" : "Mounyr", "non-dropping-particle" : "", "parse-names" : false, "suffix" : "" }, { "dropping-particle" : "", "family" : "Sadiki", "given" : "Moulay", "non-dropping-particle" : "", "parse-names" : false, "suffix" : "" }, { "dropping-particle" : "", "family" : "Ibnsouda", "given" : "Saad Koraichi", "non-dropping-particle" : "", "parse-names" : false, "suffix" : "" } ], "container-title" : "Journal of Pharmaceutical Analysis", "id" : "ITEM-1", "issue" : "2", "issued" : { "date-parts" : [ [ "2016" ] ] }, "page" : "71-79", "publisher" : "Elsevier", "title" : "Methods for in vitro evaluating antimicrobial activity: A review", "type" : "article-journal", "volume" : "6" }, "uris" : [ "http://www.mendeley.com/documents/?uuid=b6355104-2b8b-4312-a87d-edac1f221164" ] } ], "mendeley" : { "formattedCitation" : "&lt;sup&gt;13&lt;/sup&gt;", "plainTextFormattedCitation" : "13", "previouslyFormattedCitation" : "&lt;sup&gt;13&lt;/sup&gt;" }, "properties" : { "noteIndex" : 8 }, "schema" : "https://github.com/citation-style-language/schema/raw/master/csl-citation.json" }</w:instrText>
      </w:r>
      <w:r w:rsidR="00650083" w:rsidRPr="00551F38">
        <w:rPr>
          <w:rFonts w:asciiTheme="minorHAnsi" w:hAnsiTheme="minorHAnsi" w:cstheme="minorHAnsi"/>
          <w:color w:val="auto"/>
        </w:rPr>
        <w:fldChar w:fldCharType="separate"/>
      </w:r>
      <w:r w:rsidR="00E26078" w:rsidRPr="00551F38">
        <w:rPr>
          <w:rFonts w:asciiTheme="minorHAnsi" w:hAnsiTheme="minorHAnsi" w:cstheme="minorHAnsi"/>
          <w:color w:val="auto"/>
          <w:vertAlign w:val="superscript"/>
        </w:rPr>
        <w:t>13</w:t>
      </w:r>
      <w:r w:rsidR="00650083" w:rsidRPr="00551F38">
        <w:rPr>
          <w:rFonts w:asciiTheme="minorHAnsi" w:hAnsiTheme="minorHAnsi" w:cstheme="minorHAnsi"/>
          <w:color w:val="auto"/>
        </w:rPr>
        <w:fldChar w:fldCharType="end"/>
      </w:r>
      <w:r w:rsidRPr="00551F38">
        <w:rPr>
          <w:rFonts w:asciiTheme="minorHAnsi" w:hAnsiTheme="minorHAnsi" w:cstheme="minorHAnsi"/>
          <w:color w:val="auto"/>
        </w:rPr>
        <w:t xml:space="preserve">. </w:t>
      </w:r>
      <w:r w:rsidR="00727A4D" w:rsidRPr="00551F38">
        <w:rPr>
          <w:rFonts w:asciiTheme="minorHAnsi" w:hAnsiTheme="minorHAnsi" w:cstheme="minorHAnsi"/>
          <w:color w:val="auto"/>
        </w:rPr>
        <w:t>I</w:t>
      </w:r>
      <w:r w:rsidR="00044558" w:rsidRPr="00551F38">
        <w:rPr>
          <w:rFonts w:asciiTheme="minorHAnsi" w:hAnsiTheme="minorHAnsi" w:cstheme="minorHAnsi"/>
          <w:color w:val="auto"/>
        </w:rPr>
        <w:t xml:space="preserve">n </w:t>
      </w:r>
      <w:r w:rsidR="00565D89">
        <w:rPr>
          <w:rFonts w:asciiTheme="minorHAnsi" w:hAnsiTheme="minorHAnsi" w:cstheme="minorHAnsi"/>
          <w:color w:val="auto"/>
        </w:rPr>
        <w:t>the</w:t>
      </w:r>
      <w:r w:rsidR="00044558" w:rsidRPr="00551F38">
        <w:rPr>
          <w:rFonts w:asciiTheme="minorHAnsi" w:hAnsiTheme="minorHAnsi" w:cstheme="minorHAnsi"/>
          <w:color w:val="auto"/>
        </w:rPr>
        <w:t xml:space="preserve"> assay, </w:t>
      </w:r>
      <w:r w:rsidR="002E6029" w:rsidRPr="00551F38">
        <w:rPr>
          <w:rFonts w:asciiTheme="minorHAnsi" w:hAnsiTheme="minorHAnsi" w:cstheme="minorHAnsi"/>
          <w:color w:val="auto"/>
        </w:rPr>
        <w:t>spores</w:t>
      </w:r>
      <w:r w:rsidR="00A8044F" w:rsidRPr="00551F38">
        <w:rPr>
          <w:rFonts w:asciiTheme="minorHAnsi" w:hAnsiTheme="minorHAnsi" w:cstheme="minorHAnsi"/>
          <w:color w:val="auto"/>
        </w:rPr>
        <w:t>, early hyphae (17 h incubation) and mycelium</w:t>
      </w:r>
      <w:r w:rsidR="00650083" w:rsidRPr="00551F38">
        <w:rPr>
          <w:rFonts w:asciiTheme="minorHAnsi" w:hAnsiTheme="minorHAnsi" w:cstheme="minorHAnsi"/>
          <w:color w:val="auto"/>
        </w:rPr>
        <w:t xml:space="preserve"> </w:t>
      </w:r>
      <w:r w:rsidR="00A8044F" w:rsidRPr="00551F38">
        <w:rPr>
          <w:rFonts w:asciiTheme="minorHAnsi" w:hAnsiTheme="minorHAnsi" w:cstheme="minorHAnsi"/>
          <w:color w:val="auto"/>
        </w:rPr>
        <w:t>(24 h incubation)</w:t>
      </w:r>
      <w:r w:rsidR="00A8044F" w:rsidRPr="00551F38">
        <w:rPr>
          <w:rFonts w:asciiTheme="minorHAnsi" w:hAnsiTheme="minorHAnsi" w:cstheme="minorHAnsi"/>
          <w:color w:val="FF0000"/>
        </w:rPr>
        <w:t xml:space="preserve"> </w:t>
      </w:r>
      <w:r w:rsidR="006A3867" w:rsidRPr="00551F38">
        <w:rPr>
          <w:rFonts w:asciiTheme="minorHAnsi" w:hAnsiTheme="minorHAnsi" w:cstheme="minorHAnsi"/>
          <w:color w:val="auto"/>
        </w:rPr>
        <w:t>we</w:t>
      </w:r>
      <w:r w:rsidR="00A8044F" w:rsidRPr="00551F38">
        <w:rPr>
          <w:rFonts w:asciiTheme="minorHAnsi" w:hAnsiTheme="minorHAnsi"/>
          <w:color w:val="auto"/>
        </w:rPr>
        <w:t>re used</w:t>
      </w:r>
      <w:r w:rsidR="002E6029" w:rsidRPr="00551F38">
        <w:rPr>
          <w:rFonts w:asciiTheme="minorHAnsi" w:hAnsiTheme="minorHAnsi" w:cstheme="minorHAnsi"/>
          <w:color w:val="auto"/>
        </w:rPr>
        <w:t xml:space="preserve"> </w:t>
      </w:r>
      <w:r w:rsidR="00A8044F" w:rsidRPr="00551F38">
        <w:rPr>
          <w:rFonts w:asciiTheme="minorHAnsi" w:hAnsiTheme="minorHAnsi" w:cstheme="minorHAnsi"/>
          <w:color w:val="auto"/>
        </w:rPr>
        <w:t>as starting fungal material</w:t>
      </w:r>
      <w:r w:rsidR="00727A4D" w:rsidRPr="00551F38">
        <w:rPr>
          <w:rFonts w:asciiTheme="minorHAnsi" w:hAnsiTheme="minorHAnsi" w:cstheme="minorHAnsi"/>
          <w:color w:val="auto"/>
        </w:rPr>
        <w:t>.</w:t>
      </w:r>
      <w:r w:rsidR="002E6029" w:rsidRPr="00551F38">
        <w:rPr>
          <w:rFonts w:asciiTheme="minorHAnsi" w:hAnsiTheme="minorHAnsi" w:cstheme="minorHAnsi"/>
          <w:color w:val="auto"/>
        </w:rPr>
        <w:t xml:space="preserve"> </w:t>
      </w:r>
      <w:r w:rsidR="00727A4D" w:rsidRPr="00551F38">
        <w:rPr>
          <w:rFonts w:asciiTheme="minorHAnsi" w:hAnsiTheme="minorHAnsi" w:cstheme="minorHAnsi"/>
          <w:color w:val="auto"/>
        </w:rPr>
        <w:t>T</w:t>
      </w:r>
      <w:r w:rsidR="00044558" w:rsidRPr="00551F38">
        <w:rPr>
          <w:rFonts w:asciiTheme="minorHAnsi" w:hAnsiTheme="minorHAnsi" w:cstheme="minorHAnsi"/>
          <w:color w:val="auto"/>
        </w:rPr>
        <w:t>he</w:t>
      </w:r>
      <w:r w:rsidR="007923EC" w:rsidRPr="00551F38">
        <w:rPr>
          <w:rFonts w:asciiTheme="minorHAnsi" w:hAnsiTheme="minorHAnsi" w:cstheme="minorHAnsi"/>
          <w:color w:val="auto"/>
        </w:rPr>
        <w:t xml:space="preserve"> us</w:t>
      </w:r>
      <w:r w:rsidR="00044558" w:rsidRPr="00551F38">
        <w:rPr>
          <w:rFonts w:asciiTheme="minorHAnsi" w:hAnsiTheme="minorHAnsi" w:cstheme="minorHAnsi"/>
          <w:color w:val="auto"/>
        </w:rPr>
        <w:t>e of</w:t>
      </w:r>
      <w:r w:rsidR="007923EC" w:rsidRPr="00551F38">
        <w:rPr>
          <w:rFonts w:asciiTheme="minorHAnsi" w:hAnsiTheme="minorHAnsi" w:cstheme="minorHAnsi"/>
          <w:color w:val="auto"/>
        </w:rPr>
        <w:t xml:space="preserve"> </w:t>
      </w:r>
      <w:r w:rsidR="00BD790C" w:rsidRPr="00551F38">
        <w:rPr>
          <w:rFonts w:asciiTheme="minorHAnsi" w:hAnsiTheme="minorHAnsi" w:cstheme="minorHAnsi"/>
          <w:color w:val="auto"/>
        </w:rPr>
        <w:t>disk</w:t>
      </w:r>
      <w:r w:rsidR="007923EC" w:rsidRPr="00551F38">
        <w:rPr>
          <w:rFonts w:asciiTheme="minorHAnsi" w:hAnsiTheme="minorHAnsi" w:cstheme="minorHAnsi"/>
          <w:color w:val="auto"/>
        </w:rPr>
        <w:t xml:space="preserve"> transfe</w:t>
      </w:r>
      <w:r w:rsidR="00044558" w:rsidRPr="00551F38">
        <w:rPr>
          <w:rFonts w:asciiTheme="minorHAnsi" w:hAnsiTheme="minorHAnsi" w:cstheme="minorHAnsi"/>
          <w:color w:val="auto"/>
        </w:rPr>
        <w:t>r might not be relevant as</w:t>
      </w:r>
      <w:r w:rsidR="007923EC" w:rsidRPr="00551F38">
        <w:rPr>
          <w:rFonts w:asciiTheme="minorHAnsi" w:hAnsiTheme="minorHAnsi" w:cstheme="minorHAnsi"/>
          <w:color w:val="auto"/>
        </w:rPr>
        <w:t xml:space="preserve"> </w:t>
      </w:r>
      <w:r w:rsidR="00A8044F" w:rsidRPr="00551F38">
        <w:rPr>
          <w:rFonts w:asciiTheme="minorHAnsi" w:hAnsiTheme="minorHAnsi" w:cstheme="minorHAnsi"/>
          <w:color w:val="auto"/>
        </w:rPr>
        <w:t xml:space="preserve">conidia or </w:t>
      </w:r>
      <w:r w:rsidR="002E6029" w:rsidRPr="00551F38">
        <w:rPr>
          <w:rFonts w:asciiTheme="minorHAnsi" w:hAnsiTheme="minorHAnsi" w:cstheme="minorHAnsi"/>
          <w:color w:val="auto"/>
        </w:rPr>
        <w:t>residual hyphae</w:t>
      </w:r>
      <w:r w:rsidR="007923EC" w:rsidRPr="00551F38">
        <w:rPr>
          <w:rFonts w:asciiTheme="minorHAnsi" w:hAnsiTheme="minorHAnsi" w:cstheme="minorHAnsi"/>
          <w:color w:val="auto"/>
        </w:rPr>
        <w:t xml:space="preserve"> </w:t>
      </w:r>
      <w:r w:rsidR="003532DB" w:rsidRPr="00551F38">
        <w:rPr>
          <w:rFonts w:asciiTheme="minorHAnsi" w:hAnsiTheme="minorHAnsi" w:cstheme="minorHAnsi"/>
          <w:color w:val="auto"/>
        </w:rPr>
        <w:t>remain at least partially on</w:t>
      </w:r>
      <w:r w:rsidR="00044558" w:rsidRPr="00551F38">
        <w:rPr>
          <w:rFonts w:asciiTheme="minorHAnsi" w:hAnsiTheme="minorHAnsi" w:cstheme="minorHAnsi"/>
          <w:color w:val="auto"/>
        </w:rPr>
        <w:t xml:space="preserve"> the agar</w:t>
      </w:r>
      <w:r w:rsidR="00CD7932" w:rsidRPr="00551F38">
        <w:rPr>
          <w:rFonts w:asciiTheme="minorHAnsi" w:hAnsiTheme="minorHAnsi" w:cstheme="minorHAnsi"/>
          <w:color w:val="auto"/>
        </w:rPr>
        <w:t xml:space="preserve"> medium</w:t>
      </w:r>
      <w:r w:rsidR="00044558" w:rsidRPr="00551F38">
        <w:rPr>
          <w:rFonts w:asciiTheme="minorHAnsi" w:hAnsiTheme="minorHAnsi" w:cstheme="minorHAnsi"/>
          <w:color w:val="auto"/>
        </w:rPr>
        <w:t xml:space="preserve"> </w:t>
      </w:r>
      <w:r w:rsidR="002E6029" w:rsidRPr="00551F38">
        <w:rPr>
          <w:rFonts w:asciiTheme="minorHAnsi" w:hAnsiTheme="minorHAnsi" w:cstheme="minorHAnsi"/>
          <w:color w:val="auto"/>
        </w:rPr>
        <w:t>after</w:t>
      </w:r>
      <w:r w:rsidR="00044558" w:rsidRPr="00551F38">
        <w:rPr>
          <w:rFonts w:asciiTheme="minorHAnsi" w:hAnsiTheme="minorHAnsi" w:cstheme="minorHAnsi"/>
          <w:color w:val="auto"/>
        </w:rPr>
        <w:t xml:space="preserve"> </w:t>
      </w:r>
      <w:r w:rsidR="00BD790C" w:rsidRPr="00551F38">
        <w:rPr>
          <w:rFonts w:asciiTheme="minorHAnsi" w:hAnsiTheme="minorHAnsi" w:cstheme="minorHAnsi"/>
          <w:color w:val="auto"/>
        </w:rPr>
        <w:t>disk</w:t>
      </w:r>
      <w:r w:rsidR="002E6029" w:rsidRPr="00551F38">
        <w:rPr>
          <w:rFonts w:asciiTheme="minorHAnsi" w:hAnsiTheme="minorHAnsi" w:cstheme="minorHAnsi"/>
          <w:color w:val="auto"/>
        </w:rPr>
        <w:t xml:space="preserve"> transfer</w:t>
      </w:r>
      <w:r w:rsidR="006A3867" w:rsidRPr="00551F38">
        <w:rPr>
          <w:rFonts w:asciiTheme="minorHAnsi" w:hAnsiTheme="minorHAnsi" w:cstheme="minorHAnsi"/>
          <w:color w:val="auto"/>
        </w:rPr>
        <w:t>,</w:t>
      </w:r>
      <w:r w:rsidR="002E6029" w:rsidRPr="00551F38">
        <w:rPr>
          <w:rFonts w:asciiTheme="minorHAnsi" w:hAnsiTheme="minorHAnsi" w:cstheme="minorHAnsi"/>
          <w:color w:val="auto"/>
        </w:rPr>
        <w:t xml:space="preserve"> </w:t>
      </w:r>
      <w:r w:rsidR="003532DB" w:rsidRPr="00551F38">
        <w:rPr>
          <w:rFonts w:asciiTheme="minorHAnsi" w:hAnsiTheme="minorHAnsi" w:cstheme="minorHAnsi"/>
          <w:color w:val="auto"/>
        </w:rPr>
        <w:t xml:space="preserve">subsequently </w:t>
      </w:r>
      <w:r w:rsidR="002E6029" w:rsidRPr="00551F38">
        <w:rPr>
          <w:rFonts w:asciiTheme="minorHAnsi" w:hAnsiTheme="minorHAnsi" w:cstheme="minorHAnsi"/>
          <w:color w:val="auto"/>
        </w:rPr>
        <w:t xml:space="preserve">leading to </w:t>
      </w:r>
      <w:r w:rsidR="003532DB" w:rsidRPr="00551F38">
        <w:rPr>
          <w:rFonts w:asciiTheme="minorHAnsi" w:hAnsiTheme="minorHAnsi" w:cstheme="minorHAnsi"/>
          <w:color w:val="auto"/>
        </w:rPr>
        <w:t>inaccurate measurement of</w:t>
      </w:r>
      <w:r w:rsidR="002E6029" w:rsidRPr="00551F38">
        <w:rPr>
          <w:rFonts w:asciiTheme="minorHAnsi" w:hAnsiTheme="minorHAnsi" w:cstheme="minorHAnsi"/>
          <w:color w:val="auto"/>
        </w:rPr>
        <w:t xml:space="preserve"> growth inhibition</w:t>
      </w:r>
      <w:r w:rsidR="002B790F" w:rsidRPr="00551F38">
        <w:rPr>
          <w:rFonts w:asciiTheme="minorHAnsi" w:hAnsiTheme="minorHAnsi" w:cstheme="minorHAnsi"/>
          <w:color w:val="auto"/>
        </w:rPr>
        <w:t xml:space="preserve"> as</w:t>
      </w:r>
      <w:r w:rsidR="009E7D6F" w:rsidRPr="00551F38">
        <w:rPr>
          <w:rFonts w:asciiTheme="minorHAnsi" w:hAnsiTheme="minorHAnsi" w:cstheme="minorHAnsi"/>
          <w:color w:val="auto"/>
        </w:rPr>
        <w:t xml:space="preserve"> </w:t>
      </w:r>
      <w:r w:rsidR="00085771" w:rsidRPr="00551F38">
        <w:rPr>
          <w:rFonts w:asciiTheme="minorHAnsi" w:hAnsiTheme="minorHAnsi" w:cstheme="minorHAnsi"/>
          <w:color w:val="auto"/>
        </w:rPr>
        <w:t>illustrate</w:t>
      </w:r>
      <w:r w:rsidR="002B790F" w:rsidRPr="00551F38">
        <w:rPr>
          <w:rFonts w:asciiTheme="minorHAnsi" w:hAnsiTheme="minorHAnsi" w:cstheme="minorHAnsi"/>
          <w:color w:val="auto"/>
        </w:rPr>
        <w:t xml:space="preserve">d in </w:t>
      </w:r>
      <w:r w:rsidR="001531CB" w:rsidRPr="00551F38">
        <w:rPr>
          <w:rFonts w:asciiTheme="minorHAnsi" w:hAnsiTheme="minorHAnsi" w:cstheme="minorHAnsi"/>
          <w:b/>
          <w:bCs/>
          <w:color w:val="auto"/>
        </w:rPr>
        <w:t>Figure</w:t>
      </w:r>
      <w:r w:rsidR="002B790F" w:rsidRPr="00551F38">
        <w:rPr>
          <w:rFonts w:asciiTheme="minorHAnsi" w:hAnsiTheme="minorHAnsi" w:cstheme="minorHAnsi"/>
          <w:b/>
          <w:bCs/>
          <w:color w:val="auto"/>
        </w:rPr>
        <w:t xml:space="preserve"> 2</w:t>
      </w:r>
      <w:r w:rsidR="00891C66" w:rsidRPr="00551F38">
        <w:rPr>
          <w:rFonts w:asciiTheme="minorHAnsi" w:hAnsiTheme="minorHAnsi" w:cstheme="minorHAnsi"/>
          <w:color w:val="auto"/>
        </w:rPr>
        <w:t>.</w:t>
      </w:r>
      <w:r w:rsidR="002E6029" w:rsidRPr="00551F38">
        <w:rPr>
          <w:rFonts w:asciiTheme="minorHAnsi" w:hAnsiTheme="minorHAnsi" w:cstheme="minorHAnsi"/>
          <w:color w:val="auto"/>
        </w:rPr>
        <w:t xml:space="preserve"> </w:t>
      </w:r>
      <w:r w:rsidR="00891C66" w:rsidRPr="00551F38">
        <w:rPr>
          <w:rFonts w:asciiTheme="minorHAnsi" w:hAnsiTheme="minorHAnsi" w:cstheme="minorHAnsi"/>
          <w:color w:val="auto"/>
        </w:rPr>
        <w:t>D</w:t>
      </w:r>
      <w:r w:rsidR="007923EC" w:rsidRPr="00551F38">
        <w:rPr>
          <w:rFonts w:asciiTheme="minorHAnsi" w:hAnsiTheme="minorHAnsi" w:cstheme="minorHAnsi"/>
          <w:color w:val="auto"/>
        </w:rPr>
        <w:t>ifferent diameters of fungal</w:t>
      </w:r>
      <w:r w:rsidR="00721B0B" w:rsidRPr="00551F38">
        <w:rPr>
          <w:rFonts w:asciiTheme="minorHAnsi" w:hAnsiTheme="minorHAnsi" w:cstheme="minorHAnsi"/>
          <w:color w:val="auto"/>
        </w:rPr>
        <w:t>-</w:t>
      </w:r>
      <w:r w:rsidR="007923EC" w:rsidRPr="00551F38">
        <w:rPr>
          <w:rFonts w:asciiTheme="minorHAnsi" w:hAnsiTheme="minorHAnsi" w:cstheme="minorHAnsi"/>
          <w:color w:val="auto"/>
        </w:rPr>
        <w:t xml:space="preserve">radial growth </w:t>
      </w:r>
      <w:r w:rsidR="00891C66" w:rsidRPr="00551F38">
        <w:rPr>
          <w:rFonts w:asciiTheme="minorHAnsi" w:hAnsiTheme="minorHAnsi" w:cstheme="minorHAnsi"/>
          <w:color w:val="auto"/>
        </w:rPr>
        <w:t xml:space="preserve">have been </w:t>
      </w:r>
      <w:r w:rsidR="007923EC" w:rsidRPr="00551F38">
        <w:rPr>
          <w:rFonts w:asciiTheme="minorHAnsi" w:hAnsiTheme="minorHAnsi" w:cstheme="minorHAnsi"/>
          <w:color w:val="auto"/>
        </w:rPr>
        <w:t>observed after transfer o</w:t>
      </w:r>
      <w:r w:rsidR="00085771" w:rsidRPr="00551F38">
        <w:rPr>
          <w:rFonts w:asciiTheme="minorHAnsi" w:hAnsiTheme="minorHAnsi" w:cstheme="minorHAnsi"/>
          <w:color w:val="auto"/>
        </w:rPr>
        <w:t>f</w:t>
      </w:r>
      <w:r w:rsidR="007923EC" w:rsidRPr="00551F38">
        <w:rPr>
          <w:rFonts w:asciiTheme="minorHAnsi" w:hAnsiTheme="minorHAnsi" w:cstheme="minorHAnsi"/>
          <w:color w:val="auto"/>
        </w:rPr>
        <w:t xml:space="preserve"> </w:t>
      </w:r>
      <w:r w:rsidR="00044558" w:rsidRPr="00551F38">
        <w:rPr>
          <w:rFonts w:asciiTheme="minorHAnsi" w:hAnsiTheme="minorHAnsi" w:cstheme="minorHAnsi"/>
          <w:color w:val="auto"/>
        </w:rPr>
        <w:t>agar</w:t>
      </w:r>
      <w:r w:rsidR="00634545" w:rsidRPr="00551F38">
        <w:rPr>
          <w:rFonts w:asciiTheme="minorHAnsi" w:hAnsiTheme="minorHAnsi" w:cstheme="minorHAnsi"/>
          <w:color w:val="auto"/>
        </w:rPr>
        <w:t xml:space="preserve"> </w:t>
      </w:r>
      <w:r w:rsidR="007923EC" w:rsidRPr="00551F38">
        <w:rPr>
          <w:rFonts w:asciiTheme="minorHAnsi" w:hAnsiTheme="minorHAnsi" w:cstheme="minorHAnsi"/>
          <w:color w:val="auto"/>
        </w:rPr>
        <w:t xml:space="preserve">areas </w:t>
      </w:r>
      <w:r w:rsidR="00891C66" w:rsidRPr="00551F38">
        <w:rPr>
          <w:rFonts w:asciiTheme="minorHAnsi" w:hAnsiTheme="minorHAnsi" w:cstheme="minorHAnsi"/>
          <w:color w:val="auto"/>
        </w:rPr>
        <w:t xml:space="preserve">located </w:t>
      </w:r>
      <w:r w:rsidR="007923EC" w:rsidRPr="00551F38">
        <w:rPr>
          <w:rFonts w:asciiTheme="minorHAnsi" w:hAnsiTheme="minorHAnsi" w:cstheme="minorHAnsi"/>
          <w:color w:val="auto"/>
        </w:rPr>
        <w:t xml:space="preserve">under cellulose </w:t>
      </w:r>
      <w:r w:rsidR="00BD790C" w:rsidRPr="00551F38">
        <w:rPr>
          <w:rFonts w:asciiTheme="minorHAnsi" w:hAnsiTheme="minorHAnsi" w:cstheme="minorHAnsi"/>
          <w:color w:val="auto"/>
        </w:rPr>
        <w:t>disks</w:t>
      </w:r>
      <w:r w:rsidR="000E7408" w:rsidRPr="00551F38">
        <w:rPr>
          <w:rFonts w:asciiTheme="minorHAnsi" w:hAnsiTheme="minorHAnsi" w:cstheme="minorHAnsi"/>
          <w:color w:val="auto"/>
        </w:rPr>
        <w:t xml:space="preserve"> followed by 24</w:t>
      </w:r>
      <w:r w:rsidR="00B044F1" w:rsidRPr="00551F38">
        <w:rPr>
          <w:rFonts w:asciiTheme="minorHAnsi" w:hAnsiTheme="minorHAnsi" w:cstheme="minorHAnsi"/>
          <w:color w:val="auto"/>
        </w:rPr>
        <w:t xml:space="preserve"> </w:t>
      </w:r>
      <w:r w:rsidR="000E7408" w:rsidRPr="00551F38">
        <w:rPr>
          <w:rFonts w:asciiTheme="minorHAnsi" w:hAnsiTheme="minorHAnsi" w:cstheme="minorHAnsi"/>
          <w:color w:val="auto"/>
        </w:rPr>
        <w:t>h incubation</w:t>
      </w:r>
      <w:r w:rsidR="007923EC" w:rsidRPr="00551F38">
        <w:rPr>
          <w:rFonts w:asciiTheme="minorHAnsi" w:hAnsiTheme="minorHAnsi" w:cstheme="minorHAnsi"/>
          <w:color w:val="auto"/>
        </w:rPr>
        <w:t xml:space="preserve"> (</w:t>
      </w:r>
      <w:r w:rsidR="001531CB" w:rsidRPr="00551F38">
        <w:rPr>
          <w:rFonts w:asciiTheme="minorHAnsi" w:hAnsiTheme="minorHAnsi" w:cstheme="minorHAnsi"/>
          <w:b/>
          <w:bCs/>
          <w:color w:val="auto"/>
        </w:rPr>
        <w:t>Figure</w:t>
      </w:r>
      <w:r w:rsidR="00650083" w:rsidRPr="00551F38">
        <w:rPr>
          <w:rFonts w:asciiTheme="minorHAnsi" w:hAnsiTheme="minorHAnsi" w:cstheme="minorHAnsi"/>
          <w:b/>
          <w:bCs/>
          <w:color w:val="auto"/>
        </w:rPr>
        <w:t xml:space="preserve"> 2</w:t>
      </w:r>
      <w:r w:rsidR="00650083" w:rsidRPr="00551F38">
        <w:rPr>
          <w:rFonts w:asciiTheme="minorHAnsi" w:hAnsiTheme="minorHAnsi" w:cstheme="minorHAnsi"/>
          <w:color w:val="auto"/>
        </w:rPr>
        <w:t xml:space="preserve">, </w:t>
      </w:r>
      <w:r w:rsidR="007923EC" w:rsidRPr="00551F38">
        <w:rPr>
          <w:rFonts w:asciiTheme="minorHAnsi" w:hAnsiTheme="minorHAnsi" w:cstheme="minorHAnsi"/>
          <w:color w:val="auto"/>
        </w:rPr>
        <w:t>panel</w:t>
      </w:r>
      <w:r w:rsidR="000A15EC" w:rsidRPr="00551F38">
        <w:rPr>
          <w:rFonts w:asciiTheme="minorHAnsi" w:hAnsiTheme="minorHAnsi" w:cstheme="minorHAnsi"/>
          <w:color w:val="auto"/>
        </w:rPr>
        <w:t>s A,</w:t>
      </w:r>
      <w:r w:rsidR="0066125E" w:rsidRPr="00551F38">
        <w:rPr>
          <w:rFonts w:asciiTheme="minorHAnsi" w:hAnsiTheme="minorHAnsi" w:cstheme="minorHAnsi"/>
          <w:color w:val="auto"/>
        </w:rPr>
        <w:t xml:space="preserve"> B and</w:t>
      </w:r>
      <w:r w:rsidR="00044558" w:rsidRPr="00551F38">
        <w:rPr>
          <w:rFonts w:asciiTheme="minorHAnsi" w:hAnsiTheme="minorHAnsi" w:cstheme="minorHAnsi"/>
          <w:color w:val="auto"/>
        </w:rPr>
        <w:t xml:space="preserve"> </w:t>
      </w:r>
      <w:r w:rsidR="00E62DB6" w:rsidRPr="00551F38">
        <w:rPr>
          <w:rFonts w:asciiTheme="minorHAnsi" w:hAnsiTheme="minorHAnsi" w:cstheme="minorHAnsi"/>
          <w:color w:val="auto"/>
        </w:rPr>
        <w:t>C</w:t>
      </w:r>
      <w:r w:rsidR="007923EC" w:rsidRPr="00551F38">
        <w:rPr>
          <w:rFonts w:asciiTheme="minorHAnsi" w:hAnsiTheme="minorHAnsi" w:cstheme="minorHAnsi"/>
          <w:color w:val="auto"/>
        </w:rPr>
        <w:t>)</w:t>
      </w:r>
      <w:r w:rsidR="000E7408" w:rsidRPr="00551F38">
        <w:rPr>
          <w:rFonts w:asciiTheme="minorHAnsi" w:hAnsiTheme="minorHAnsi" w:cstheme="minorHAnsi"/>
          <w:color w:val="auto"/>
        </w:rPr>
        <w:t xml:space="preserve"> highlighting</w:t>
      </w:r>
      <w:r w:rsidR="00482285" w:rsidRPr="00551F38">
        <w:rPr>
          <w:rFonts w:asciiTheme="minorHAnsi" w:hAnsiTheme="minorHAnsi" w:cstheme="minorHAnsi"/>
          <w:color w:val="auto"/>
        </w:rPr>
        <w:t xml:space="preserve"> the </w:t>
      </w:r>
      <w:r w:rsidR="000E7408" w:rsidRPr="00551F38">
        <w:rPr>
          <w:rFonts w:asciiTheme="minorHAnsi" w:hAnsiTheme="minorHAnsi" w:cstheme="minorHAnsi"/>
          <w:color w:val="auto"/>
        </w:rPr>
        <w:t xml:space="preserve">presence of residual fungal hyphae on agar after </w:t>
      </w:r>
      <w:r w:rsidR="00BD790C" w:rsidRPr="00551F38">
        <w:rPr>
          <w:rFonts w:asciiTheme="minorHAnsi" w:hAnsiTheme="minorHAnsi" w:cstheme="minorHAnsi"/>
          <w:color w:val="auto"/>
        </w:rPr>
        <w:t>disk</w:t>
      </w:r>
      <w:r w:rsidR="000E7408" w:rsidRPr="00551F38">
        <w:rPr>
          <w:rFonts w:asciiTheme="minorHAnsi" w:hAnsiTheme="minorHAnsi" w:cstheme="minorHAnsi"/>
          <w:color w:val="auto"/>
        </w:rPr>
        <w:t xml:space="preserve"> transfer. The </w:t>
      </w:r>
      <w:r w:rsidR="00700FA8" w:rsidRPr="00551F38">
        <w:rPr>
          <w:rFonts w:asciiTheme="minorHAnsi" w:hAnsiTheme="minorHAnsi" w:cstheme="minorHAnsi"/>
          <w:color w:val="auto"/>
        </w:rPr>
        <w:t>quan</w:t>
      </w:r>
      <w:r w:rsidR="003C3BC9" w:rsidRPr="00551F38">
        <w:rPr>
          <w:rFonts w:asciiTheme="minorHAnsi" w:hAnsiTheme="minorHAnsi" w:cstheme="minorHAnsi"/>
          <w:color w:val="auto"/>
        </w:rPr>
        <w:t>tification</w:t>
      </w:r>
      <w:r w:rsidR="00700FA8" w:rsidRPr="00551F38">
        <w:rPr>
          <w:rFonts w:asciiTheme="minorHAnsi" w:hAnsiTheme="minorHAnsi" w:cstheme="minorHAnsi"/>
          <w:color w:val="auto"/>
        </w:rPr>
        <w:t xml:space="preserve"> of residual hyphae ha</w:t>
      </w:r>
      <w:r w:rsidR="003C3BC9" w:rsidRPr="00551F38">
        <w:rPr>
          <w:rFonts w:asciiTheme="minorHAnsi" w:hAnsiTheme="minorHAnsi" w:cstheme="minorHAnsi"/>
          <w:color w:val="auto"/>
        </w:rPr>
        <w:t>s</w:t>
      </w:r>
      <w:r w:rsidR="00700FA8" w:rsidRPr="00551F38">
        <w:rPr>
          <w:rFonts w:asciiTheme="minorHAnsi" w:hAnsiTheme="minorHAnsi" w:cstheme="minorHAnsi"/>
          <w:color w:val="auto"/>
        </w:rPr>
        <w:t xml:space="preserve"> been</w:t>
      </w:r>
      <w:r w:rsidR="007923EC" w:rsidRPr="00551F38">
        <w:rPr>
          <w:rFonts w:asciiTheme="minorHAnsi" w:hAnsiTheme="minorHAnsi" w:cstheme="minorHAnsi"/>
          <w:color w:val="auto"/>
        </w:rPr>
        <w:t xml:space="preserve"> confirmed by the measurement</w:t>
      </w:r>
      <w:r w:rsidR="003532DB" w:rsidRPr="00551F38">
        <w:rPr>
          <w:rFonts w:asciiTheme="minorHAnsi" w:hAnsiTheme="minorHAnsi" w:cstheme="minorHAnsi"/>
          <w:color w:val="auto"/>
        </w:rPr>
        <w:t xml:space="preserve"> of growth</w:t>
      </w:r>
      <w:r w:rsidR="007923EC" w:rsidRPr="00551F38">
        <w:rPr>
          <w:rFonts w:asciiTheme="minorHAnsi" w:hAnsiTheme="minorHAnsi" w:cstheme="minorHAnsi"/>
          <w:color w:val="auto"/>
        </w:rPr>
        <w:t xml:space="preserve"> leading to </w:t>
      </w:r>
      <w:r w:rsidR="003532DB" w:rsidRPr="00551F38">
        <w:rPr>
          <w:rFonts w:asciiTheme="minorHAnsi" w:hAnsiTheme="minorHAnsi" w:cstheme="minorHAnsi"/>
          <w:color w:val="auto"/>
        </w:rPr>
        <w:t xml:space="preserve">up to </w:t>
      </w:r>
      <w:r w:rsidR="007923EC" w:rsidRPr="00551F38">
        <w:rPr>
          <w:rFonts w:asciiTheme="minorHAnsi" w:hAnsiTheme="minorHAnsi" w:cstheme="minorHAnsi"/>
          <w:color w:val="auto"/>
        </w:rPr>
        <w:t>2</w:t>
      </w:r>
      <w:r w:rsidR="00826856" w:rsidRPr="00551F38">
        <w:rPr>
          <w:rFonts w:asciiTheme="minorHAnsi" w:hAnsiTheme="minorHAnsi" w:cstheme="minorHAnsi"/>
          <w:color w:val="auto"/>
        </w:rPr>
        <w:t>2</w:t>
      </w:r>
      <w:r w:rsidR="007923EC" w:rsidRPr="00551F38">
        <w:rPr>
          <w:rFonts w:asciiTheme="minorHAnsi" w:hAnsiTheme="minorHAnsi" w:cstheme="minorHAnsi"/>
          <w:color w:val="auto"/>
        </w:rPr>
        <w:t xml:space="preserve">% diameter </w:t>
      </w:r>
      <w:r w:rsidR="00252184" w:rsidRPr="00551F38">
        <w:rPr>
          <w:rFonts w:asciiTheme="minorHAnsi" w:hAnsiTheme="minorHAnsi" w:cstheme="minorHAnsi"/>
          <w:color w:val="auto"/>
        </w:rPr>
        <w:t>variability</w:t>
      </w:r>
      <w:r w:rsidR="007923EC" w:rsidRPr="00551F38">
        <w:rPr>
          <w:rFonts w:asciiTheme="minorHAnsi" w:hAnsiTheme="minorHAnsi" w:cstheme="minorHAnsi"/>
          <w:color w:val="auto"/>
        </w:rPr>
        <w:t xml:space="preserve"> (</w:t>
      </w:r>
      <w:r w:rsidR="001531CB" w:rsidRPr="00551F38">
        <w:rPr>
          <w:rFonts w:asciiTheme="minorHAnsi" w:hAnsiTheme="minorHAnsi" w:cstheme="minorHAnsi"/>
          <w:b/>
          <w:bCs/>
          <w:color w:val="auto"/>
        </w:rPr>
        <w:t>Figure</w:t>
      </w:r>
      <w:r w:rsidR="00650083" w:rsidRPr="00551F38">
        <w:rPr>
          <w:rFonts w:asciiTheme="minorHAnsi" w:hAnsiTheme="minorHAnsi" w:cstheme="minorHAnsi"/>
          <w:b/>
          <w:bCs/>
          <w:color w:val="auto"/>
        </w:rPr>
        <w:t xml:space="preserve"> 2</w:t>
      </w:r>
      <w:r w:rsidR="00650083" w:rsidRPr="00551F38">
        <w:rPr>
          <w:rFonts w:asciiTheme="minorHAnsi" w:hAnsiTheme="minorHAnsi" w:cstheme="minorHAnsi"/>
          <w:color w:val="auto"/>
        </w:rPr>
        <w:t xml:space="preserve">, </w:t>
      </w:r>
      <w:r w:rsidR="007923EC" w:rsidRPr="00551F38">
        <w:rPr>
          <w:rFonts w:asciiTheme="minorHAnsi" w:hAnsiTheme="minorHAnsi" w:cstheme="minorHAnsi"/>
          <w:color w:val="auto"/>
        </w:rPr>
        <w:t xml:space="preserve">panel </w:t>
      </w:r>
      <w:r w:rsidR="00E62DB6" w:rsidRPr="00551F38">
        <w:rPr>
          <w:rFonts w:asciiTheme="minorHAnsi" w:hAnsiTheme="minorHAnsi" w:cstheme="minorHAnsi"/>
          <w:color w:val="auto"/>
        </w:rPr>
        <w:t>D</w:t>
      </w:r>
      <w:r w:rsidR="007923EC" w:rsidRPr="00551F38">
        <w:rPr>
          <w:rFonts w:asciiTheme="minorHAnsi" w:hAnsiTheme="minorHAnsi" w:cstheme="minorHAnsi"/>
          <w:color w:val="auto"/>
        </w:rPr>
        <w:t xml:space="preserve">). </w:t>
      </w:r>
      <w:r w:rsidR="00826856" w:rsidRPr="00551F38">
        <w:rPr>
          <w:rFonts w:asciiTheme="minorHAnsi" w:hAnsiTheme="minorHAnsi" w:cstheme="minorHAnsi"/>
          <w:color w:val="auto"/>
        </w:rPr>
        <w:t xml:space="preserve">The effect on </w:t>
      </w:r>
      <w:r w:rsidR="00634545" w:rsidRPr="00551F38">
        <w:rPr>
          <w:rFonts w:asciiTheme="minorHAnsi" w:hAnsiTheme="minorHAnsi" w:cstheme="minorHAnsi"/>
          <w:color w:val="auto"/>
        </w:rPr>
        <w:t xml:space="preserve">growth inhibition </w:t>
      </w:r>
      <w:r w:rsidR="001B36E1" w:rsidRPr="00551F38">
        <w:rPr>
          <w:rFonts w:asciiTheme="minorHAnsi" w:hAnsiTheme="minorHAnsi" w:cstheme="minorHAnsi"/>
          <w:color w:val="auto"/>
        </w:rPr>
        <w:t xml:space="preserve">was </w:t>
      </w:r>
      <w:r w:rsidR="00085771" w:rsidRPr="00551F38">
        <w:rPr>
          <w:rFonts w:asciiTheme="minorHAnsi" w:hAnsiTheme="minorHAnsi" w:cstheme="minorHAnsi"/>
          <w:color w:val="auto"/>
        </w:rPr>
        <w:t xml:space="preserve">next </w:t>
      </w:r>
      <w:r w:rsidR="00634545" w:rsidRPr="00551F38">
        <w:rPr>
          <w:rFonts w:asciiTheme="minorHAnsi" w:hAnsiTheme="minorHAnsi" w:cstheme="minorHAnsi"/>
          <w:color w:val="auto"/>
        </w:rPr>
        <w:t xml:space="preserve">evaluated using </w:t>
      </w:r>
      <w:r w:rsidR="00634545" w:rsidRPr="00551F38">
        <w:rPr>
          <w:rFonts w:asciiTheme="minorHAnsi" w:hAnsiTheme="minorHAnsi" w:cstheme="minorHAnsi"/>
          <w:i/>
          <w:iCs/>
          <w:color w:val="auto"/>
        </w:rPr>
        <w:t>Thymus vulgaris</w:t>
      </w:r>
      <w:r w:rsidR="00634545" w:rsidRPr="00551F38">
        <w:rPr>
          <w:rFonts w:asciiTheme="minorHAnsi" w:hAnsiTheme="minorHAnsi" w:cstheme="minorHAnsi"/>
          <w:color w:val="auto"/>
        </w:rPr>
        <w:t xml:space="preserve"> essential oil</w:t>
      </w:r>
      <w:r w:rsidR="00085771" w:rsidRPr="00551F38">
        <w:rPr>
          <w:rFonts w:asciiTheme="minorHAnsi" w:hAnsiTheme="minorHAnsi" w:cstheme="minorHAnsi"/>
          <w:color w:val="auto"/>
        </w:rPr>
        <w:t xml:space="preserve"> </w:t>
      </w:r>
      <w:r w:rsidR="00634545" w:rsidRPr="00551F38">
        <w:rPr>
          <w:rFonts w:asciiTheme="minorHAnsi" w:hAnsiTheme="minorHAnsi" w:cstheme="minorHAnsi"/>
          <w:color w:val="auto"/>
        </w:rPr>
        <w:t>as antifungal compound</w:t>
      </w:r>
      <w:r w:rsidR="00085771" w:rsidRPr="00551F38">
        <w:rPr>
          <w:rFonts w:asciiTheme="minorHAnsi" w:hAnsiTheme="minorHAnsi" w:cstheme="minorHAnsi"/>
          <w:color w:val="auto"/>
        </w:rPr>
        <w:t xml:space="preserve"> and compared to the inhib</w:t>
      </w:r>
      <w:r w:rsidR="00777D11" w:rsidRPr="00551F38">
        <w:rPr>
          <w:rFonts w:asciiTheme="minorHAnsi" w:hAnsiTheme="minorHAnsi" w:cstheme="minorHAnsi"/>
          <w:color w:val="auto"/>
        </w:rPr>
        <w:t>i</w:t>
      </w:r>
      <w:r w:rsidR="00085771" w:rsidRPr="00551F38">
        <w:rPr>
          <w:rFonts w:asciiTheme="minorHAnsi" w:hAnsiTheme="minorHAnsi" w:cstheme="minorHAnsi"/>
          <w:color w:val="auto"/>
        </w:rPr>
        <w:t xml:space="preserve">tion obtained after </w:t>
      </w:r>
      <w:r w:rsidR="005673E3" w:rsidRPr="00551F38">
        <w:rPr>
          <w:rFonts w:asciiTheme="minorHAnsi" w:hAnsiTheme="minorHAnsi" w:cstheme="minorHAnsi"/>
          <w:color w:val="auto"/>
        </w:rPr>
        <w:t>agar-</w:t>
      </w:r>
      <w:r w:rsidR="00085771" w:rsidRPr="00551F38">
        <w:rPr>
          <w:rFonts w:asciiTheme="minorHAnsi" w:hAnsiTheme="minorHAnsi" w:cstheme="minorHAnsi"/>
          <w:color w:val="auto"/>
        </w:rPr>
        <w:t>plug transfer</w:t>
      </w:r>
      <w:r w:rsidR="00E62DB6" w:rsidRPr="00551F38">
        <w:rPr>
          <w:rFonts w:asciiTheme="minorHAnsi" w:hAnsiTheme="minorHAnsi" w:cstheme="minorHAnsi"/>
          <w:color w:val="auto"/>
        </w:rPr>
        <w:t xml:space="preserve"> (</w:t>
      </w:r>
      <w:r w:rsidR="001531CB" w:rsidRPr="00551F38">
        <w:rPr>
          <w:rFonts w:asciiTheme="minorHAnsi" w:hAnsiTheme="minorHAnsi" w:cstheme="minorHAnsi"/>
          <w:b/>
          <w:bCs/>
          <w:color w:val="auto"/>
        </w:rPr>
        <w:t>Figure</w:t>
      </w:r>
      <w:r w:rsidR="00E62DB6" w:rsidRPr="00551F38">
        <w:rPr>
          <w:rFonts w:asciiTheme="minorHAnsi" w:hAnsiTheme="minorHAnsi" w:cstheme="minorHAnsi"/>
          <w:b/>
          <w:bCs/>
          <w:color w:val="auto"/>
        </w:rPr>
        <w:t xml:space="preserve"> 2</w:t>
      </w:r>
      <w:r w:rsidR="00E62DB6" w:rsidRPr="00551F38">
        <w:rPr>
          <w:rFonts w:asciiTheme="minorHAnsi" w:hAnsiTheme="minorHAnsi" w:cstheme="minorHAnsi"/>
          <w:color w:val="auto"/>
        </w:rPr>
        <w:t xml:space="preserve">, panel </w:t>
      </w:r>
      <w:r w:rsidR="000A15EC" w:rsidRPr="00551F38">
        <w:rPr>
          <w:rFonts w:asciiTheme="minorHAnsi" w:hAnsiTheme="minorHAnsi" w:cstheme="minorHAnsi"/>
          <w:color w:val="auto"/>
        </w:rPr>
        <w:t>E</w:t>
      </w:r>
      <w:r w:rsidR="00E62DB6" w:rsidRPr="00551F38">
        <w:rPr>
          <w:rFonts w:asciiTheme="minorHAnsi" w:hAnsiTheme="minorHAnsi" w:cstheme="minorHAnsi"/>
          <w:color w:val="auto"/>
        </w:rPr>
        <w:t>)</w:t>
      </w:r>
      <w:r w:rsidR="00085771" w:rsidRPr="00551F38">
        <w:rPr>
          <w:rFonts w:asciiTheme="minorHAnsi" w:hAnsiTheme="minorHAnsi" w:cstheme="minorHAnsi"/>
          <w:color w:val="auto"/>
        </w:rPr>
        <w:t xml:space="preserve">. </w:t>
      </w:r>
      <w:r w:rsidR="002B790F" w:rsidRPr="00551F38">
        <w:rPr>
          <w:rFonts w:asciiTheme="minorHAnsi" w:hAnsiTheme="minorHAnsi" w:cstheme="minorHAnsi"/>
          <w:color w:val="auto"/>
        </w:rPr>
        <w:t>G</w:t>
      </w:r>
      <w:r w:rsidR="00085771" w:rsidRPr="00551F38">
        <w:rPr>
          <w:rFonts w:asciiTheme="minorHAnsi" w:hAnsiTheme="minorHAnsi" w:cstheme="minorHAnsi"/>
          <w:color w:val="auto"/>
        </w:rPr>
        <w:t xml:space="preserve">rowth inhibition after </w:t>
      </w:r>
      <w:r w:rsidR="00BD790C" w:rsidRPr="00551F38">
        <w:rPr>
          <w:rFonts w:asciiTheme="minorHAnsi" w:hAnsiTheme="minorHAnsi" w:cstheme="minorHAnsi"/>
          <w:color w:val="auto"/>
        </w:rPr>
        <w:t>disk</w:t>
      </w:r>
      <w:r w:rsidR="00085771" w:rsidRPr="00551F38">
        <w:rPr>
          <w:rFonts w:asciiTheme="minorHAnsi" w:hAnsiTheme="minorHAnsi" w:cstheme="minorHAnsi"/>
          <w:color w:val="auto"/>
        </w:rPr>
        <w:t xml:space="preserve"> transfer</w:t>
      </w:r>
      <w:r w:rsidR="002B790F" w:rsidRPr="00551F38">
        <w:rPr>
          <w:rFonts w:asciiTheme="minorHAnsi" w:hAnsiTheme="minorHAnsi" w:cstheme="minorHAnsi"/>
          <w:color w:val="auto"/>
        </w:rPr>
        <w:t xml:space="preserve"> was </w:t>
      </w:r>
      <w:r w:rsidR="009E7D6F" w:rsidRPr="00551F38">
        <w:rPr>
          <w:rFonts w:asciiTheme="minorHAnsi" w:hAnsiTheme="minorHAnsi" w:cstheme="minorHAnsi"/>
          <w:color w:val="auto"/>
        </w:rPr>
        <w:t>higher</w:t>
      </w:r>
      <w:r w:rsidR="00085771" w:rsidRPr="00551F38">
        <w:rPr>
          <w:rFonts w:asciiTheme="minorHAnsi" w:hAnsiTheme="minorHAnsi" w:cstheme="minorHAnsi"/>
          <w:color w:val="auto"/>
        </w:rPr>
        <w:t xml:space="preserve"> than after agar-plug transfer for low </w:t>
      </w:r>
      <w:r w:rsidR="00D65EA4" w:rsidRPr="00551F38">
        <w:rPr>
          <w:rFonts w:asciiTheme="minorHAnsi" w:hAnsiTheme="minorHAnsi" w:cstheme="minorHAnsi"/>
          <w:i/>
          <w:iCs/>
          <w:color w:val="auto"/>
        </w:rPr>
        <w:t>T</w:t>
      </w:r>
      <w:r w:rsidR="00085771" w:rsidRPr="00551F38">
        <w:rPr>
          <w:rFonts w:asciiTheme="minorHAnsi" w:hAnsiTheme="minorHAnsi" w:cstheme="minorHAnsi"/>
          <w:i/>
          <w:iCs/>
          <w:color w:val="auto"/>
        </w:rPr>
        <w:t>hymus</w:t>
      </w:r>
      <w:r w:rsidR="00085771" w:rsidRPr="00551F38">
        <w:rPr>
          <w:rFonts w:asciiTheme="minorHAnsi" w:hAnsiTheme="minorHAnsi" w:cstheme="minorHAnsi"/>
          <w:color w:val="auto"/>
        </w:rPr>
        <w:t xml:space="preserve"> oil concentration</w:t>
      </w:r>
      <w:r w:rsidR="00777D11" w:rsidRPr="00551F38">
        <w:rPr>
          <w:rFonts w:asciiTheme="minorHAnsi" w:hAnsiTheme="minorHAnsi" w:cstheme="minorHAnsi"/>
          <w:color w:val="auto"/>
        </w:rPr>
        <w:t>s</w:t>
      </w:r>
      <w:r w:rsidR="001B36E1" w:rsidRPr="00551F38">
        <w:rPr>
          <w:rFonts w:asciiTheme="minorHAnsi" w:hAnsiTheme="minorHAnsi" w:cstheme="minorHAnsi"/>
          <w:color w:val="auto"/>
        </w:rPr>
        <w:t>,</w:t>
      </w:r>
      <w:r w:rsidR="00085771" w:rsidRPr="00551F38">
        <w:rPr>
          <w:rFonts w:asciiTheme="minorHAnsi" w:hAnsiTheme="minorHAnsi" w:cstheme="minorHAnsi"/>
          <w:color w:val="auto"/>
        </w:rPr>
        <w:t xml:space="preserve"> leading to an </w:t>
      </w:r>
      <w:r w:rsidR="00FD0280" w:rsidRPr="00551F38">
        <w:rPr>
          <w:rFonts w:asciiTheme="minorHAnsi" w:hAnsiTheme="minorHAnsi" w:cstheme="minorHAnsi"/>
          <w:color w:val="auto"/>
        </w:rPr>
        <w:t>over-estimation of the inhibitory effect</w:t>
      </w:r>
      <w:r w:rsidR="001B36E1" w:rsidRPr="00551F38">
        <w:rPr>
          <w:rFonts w:asciiTheme="minorHAnsi" w:hAnsiTheme="minorHAnsi" w:cstheme="minorHAnsi"/>
          <w:color w:val="auto"/>
        </w:rPr>
        <w:t>,</w:t>
      </w:r>
      <w:r w:rsidR="00777D11" w:rsidRPr="00551F38">
        <w:rPr>
          <w:rFonts w:asciiTheme="minorHAnsi" w:hAnsiTheme="minorHAnsi" w:cstheme="minorHAnsi"/>
          <w:color w:val="auto"/>
        </w:rPr>
        <w:t xml:space="preserve"> which might be </w:t>
      </w:r>
      <w:r w:rsidR="002B790F" w:rsidRPr="00551F38">
        <w:rPr>
          <w:rFonts w:asciiTheme="minorHAnsi" w:hAnsiTheme="minorHAnsi" w:cstheme="minorHAnsi"/>
          <w:color w:val="auto"/>
        </w:rPr>
        <w:t>due</w:t>
      </w:r>
      <w:r w:rsidR="00777D11" w:rsidRPr="00551F38">
        <w:rPr>
          <w:rFonts w:asciiTheme="minorHAnsi" w:hAnsiTheme="minorHAnsi" w:cstheme="minorHAnsi"/>
          <w:color w:val="auto"/>
        </w:rPr>
        <w:t xml:space="preserve"> to incomplete transfer of fungal material</w:t>
      </w:r>
      <w:r w:rsidR="005673E3" w:rsidRPr="00551F38">
        <w:rPr>
          <w:rFonts w:asciiTheme="minorHAnsi" w:hAnsiTheme="minorHAnsi" w:cstheme="minorHAnsi"/>
          <w:color w:val="auto"/>
        </w:rPr>
        <w:t xml:space="preserve"> and support the approach based on agar-plug transfer</w:t>
      </w:r>
      <w:r w:rsidR="00700FA8" w:rsidRPr="00551F38">
        <w:rPr>
          <w:rFonts w:asciiTheme="minorHAnsi" w:hAnsiTheme="minorHAnsi" w:cstheme="minorHAnsi"/>
          <w:color w:val="auto"/>
        </w:rPr>
        <w:t>.</w:t>
      </w:r>
      <w:r w:rsidR="00252184" w:rsidRPr="00551F38">
        <w:rPr>
          <w:rFonts w:asciiTheme="minorHAnsi" w:hAnsiTheme="minorHAnsi" w:cstheme="minorHAnsi"/>
          <w:color w:val="auto"/>
        </w:rPr>
        <w:t xml:space="preserve"> </w:t>
      </w:r>
    </w:p>
    <w:p w14:paraId="7E592C5D" w14:textId="77777777" w:rsidR="00565D89" w:rsidRDefault="00565D89" w:rsidP="00565D89">
      <w:pPr>
        <w:rPr>
          <w:rFonts w:asciiTheme="minorHAnsi" w:hAnsiTheme="minorHAnsi" w:cstheme="minorHAnsi"/>
          <w:i/>
          <w:iCs/>
          <w:color w:val="auto"/>
        </w:rPr>
      </w:pPr>
    </w:p>
    <w:p w14:paraId="7D7294E9" w14:textId="170A39D4" w:rsidR="00B165E9" w:rsidRPr="00551F38" w:rsidRDefault="00222AFC" w:rsidP="00565D89">
      <w:pPr>
        <w:rPr>
          <w:rFonts w:asciiTheme="minorHAnsi" w:hAnsiTheme="minorHAnsi" w:cstheme="minorHAnsi"/>
          <w:color w:val="auto"/>
        </w:rPr>
      </w:pPr>
      <w:r w:rsidRPr="00551F38">
        <w:rPr>
          <w:rFonts w:asciiTheme="minorHAnsi" w:hAnsiTheme="minorHAnsi" w:cstheme="minorHAnsi"/>
          <w:i/>
          <w:iCs/>
          <w:color w:val="auto"/>
        </w:rPr>
        <w:t>Trichoderma</w:t>
      </w:r>
      <w:r w:rsidR="00E15BA4" w:rsidRPr="00551F38">
        <w:rPr>
          <w:rFonts w:asciiTheme="minorHAnsi" w:hAnsiTheme="minorHAnsi" w:cstheme="minorHAnsi"/>
          <w:i/>
          <w:iCs/>
          <w:color w:val="auto"/>
        </w:rPr>
        <w:t xml:space="preserve"> spp.</w:t>
      </w:r>
      <w:r w:rsidR="000516C6" w:rsidRPr="00551F38">
        <w:rPr>
          <w:rFonts w:asciiTheme="minorHAnsi" w:hAnsiTheme="minorHAnsi" w:cstheme="minorHAnsi"/>
          <w:color w:val="auto"/>
        </w:rPr>
        <w:t xml:space="preserve"> SBT10-2018</w:t>
      </w:r>
      <w:r w:rsidR="00B95AF3" w:rsidRPr="00551F38">
        <w:rPr>
          <w:rFonts w:asciiTheme="minorHAnsi" w:hAnsiTheme="minorHAnsi" w:cstheme="minorHAnsi"/>
          <w:color w:val="auto"/>
        </w:rPr>
        <w:t>-</w:t>
      </w:r>
      <w:r w:rsidR="000911EC" w:rsidRPr="00551F38">
        <w:rPr>
          <w:rFonts w:asciiTheme="minorHAnsi" w:hAnsiTheme="minorHAnsi" w:cstheme="minorHAnsi"/>
          <w:color w:val="auto"/>
        </w:rPr>
        <w:t xml:space="preserve">growth inhibition </w:t>
      </w:r>
      <w:r w:rsidR="003C3BC9" w:rsidRPr="00551F38">
        <w:rPr>
          <w:rFonts w:asciiTheme="minorHAnsi" w:hAnsiTheme="minorHAnsi" w:cstheme="minorHAnsi"/>
          <w:color w:val="auto"/>
        </w:rPr>
        <w:t xml:space="preserve">triggered </w:t>
      </w:r>
      <w:r w:rsidR="000911EC" w:rsidRPr="00551F38">
        <w:rPr>
          <w:rFonts w:asciiTheme="minorHAnsi" w:hAnsiTheme="minorHAnsi" w:cstheme="minorHAnsi"/>
          <w:color w:val="auto"/>
        </w:rPr>
        <w:t xml:space="preserve">by </w:t>
      </w:r>
      <w:r w:rsidR="0078480F" w:rsidRPr="00551F38">
        <w:rPr>
          <w:rFonts w:asciiTheme="minorHAnsi" w:hAnsiTheme="minorHAnsi" w:cstheme="minorHAnsi"/>
          <w:color w:val="auto"/>
        </w:rPr>
        <w:t xml:space="preserve">the </w:t>
      </w:r>
      <w:r w:rsidR="000911EC" w:rsidRPr="00551F38">
        <w:rPr>
          <w:rFonts w:asciiTheme="minorHAnsi" w:hAnsiTheme="minorHAnsi" w:cstheme="minorHAnsi"/>
          <w:color w:val="auto"/>
        </w:rPr>
        <w:t xml:space="preserve">three antifungal compounds </w:t>
      </w:r>
      <w:r w:rsidR="00B95AF3" w:rsidRPr="00551F38">
        <w:rPr>
          <w:rFonts w:asciiTheme="minorHAnsi" w:hAnsiTheme="minorHAnsi" w:cstheme="minorHAnsi"/>
          <w:color w:val="auto"/>
        </w:rPr>
        <w:t>w</w:t>
      </w:r>
      <w:r w:rsidR="000911EC" w:rsidRPr="00551F38">
        <w:rPr>
          <w:rFonts w:asciiTheme="minorHAnsi" w:hAnsiTheme="minorHAnsi" w:cstheme="minorHAnsi"/>
          <w:color w:val="auto"/>
        </w:rPr>
        <w:t xml:space="preserve">as next evaluated </w:t>
      </w:r>
      <w:r w:rsidR="002B790F" w:rsidRPr="00551F38">
        <w:rPr>
          <w:rFonts w:asciiTheme="minorHAnsi" w:hAnsiTheme="minorHAnsi" w:cstheme="minorHAnsi"/>
          <w:color w:val="auto"/>
        </w:rPr>
        <w:t>using</w:t>
      </w:r>
      <w:r w:rsidR="000C05A9" w:rsidRPr="00551F38">
        <w:rPr>
          <w:rFonts w:asciiTheme="minorHAnsi" w:hAnsiTheme="minorHAnsi" w:cstheme="minorHAnsi"/>
          <w:color w:val="auto"/>
        </w:rPr>
        <w:t xml:space="preserve"> the contact</w:t>
      </w:r>
      <w:r w:rsidR="00B95AF3" w:rsidRPr="00551F38">
        <w:rPr>
          <w:rFonts w:asciiTheme="minorHAnsi" w:hAnsiTheme="minorHAnsi" w:cstheme="minorHAnsi"/>
          <w:color w:val="auto"/>
        </w:rPr>
        <w:t>-</w:t>
      </w:r>
      <w:r w:rsidR="000C05A9" w:rsidRPr="00551F38">
        <w:rPr>
          <w:rFonts w:asciiTheme="minorHAnsi" w:hAnsiTheme="minorHAnsi" w:cstheme="minorHAnsi"/>
          <w:color w:val="auto"/>
        </w:rPr>
        <w:t xml:space="preserve"> and vapor</w:t>
      </w:r>
      <w:r w:rsidR="00B95AF3" w:rsidRPr="00551F38">
        <w:rPr>
          <w:rFonts w:asciiTheme="minorHAnsi" w:hAnsiTheme="minorHAnsi" w:cstheme="minorHAnsi"/>
          <w:color w:val="auto"/>
        </w:rPr>
        <w:t>-</w:t>
      </w:r>
      <w:r w:rsidR="000C05A9" w:rsidRPr="00551F38">
        <w:rPr>
          <w:rFonts w:asciiTheme="minorHAnsi" w:hAnsiTheme="minorHAnsi" w:cstheme="minorHAnsi"/>
          <w:color w:val="auto"/>
        </w:rPr>
        <w:t xml:space="preserve">phase inhibition assays </w:t>
      </w:r>
      <w:r w:rsidR="002B790F" w:rsidRPr="00551F38">
        <w:rPr>
          <w:rFonts w:asciiTheme="minorHAnsi" w:hAnsiTheme="minorHAnsi" w:cstheme="minorHAnsi"/>
          <w:color w:val="auto"/>
        </w:rPr>
        <w:t>for</w:t>
      </w:r>
      <w:r w:rsidR="00B044F1" w:rsidRPr="00551F38">
        <w:rPr>
          <w:rFonts w:asciiTheme="minorHAnsi" w:hAnsiTheme="minorHAnsi" w:cstheme="minorHAnsi"/>
          <w:color w:val="auto"/>
        </w:rPr>
        <w:t xml:space="preserve"> each fungal stage </w:t>
      </w:r>
      <w:r w:rsidR="00D9102D" w:rsidRPr="00551F38">
        <w:rPr>
          <w:rFonts w:asciiTheme="minorHAnsi" w:hAnsiTheme="minorHAnsi" w:cstheme="minorHAnsi"/>
          <w:color w:val="auto"/>
        </w:rPr>
        <w:t>(</w:t>
      </w:r>
      <w:r w:rsidR="001531CB" w:rsidRPr="00551F38">
        <w:rPr>
          <w:rFonts w:asciiTheme="minorHAnsi" w:hAnsiTheme="minorHAnsi" w:cstheme="minorHAnsi"/>
          <w:b/>
          <w:bCs/>
          <w:color w:val="auto"/>
        </w:rPr>
        <w:t>Figure</w:t>
      </w:r>
      <w:r w:rsidR="00D9102D" w:rsidRPr="00551F38">
        <w:rPr>
          <w:rFonts w:asciiTheme="minorHAnsi" w:hAnsiTheme="minorHAnsi" w:cstheme="minorHAnsi"/>
          <w:b/>
          <w:bCs/>
          <w:color w:val="auto"/>
        </w:rPr>
        <w:t xml:space="preserve"> 3</w:t>
      </w:r>
      <w:r w:rsidR="00D9102D" w:rsidRPr="00551F38">
        <w:rPr>
          <w:rFonts w:asciiTheme="minorHAnsi" w:hAnsiTheme="minorHAnsi" w:cstheme="minorHAnsi"/>
          <w:color w:val="auto"/>
        </w:rPr>
        <w:t>)</w:t>
      </w:r>
      <w:r w:rsidR="000911EC" w:rsidRPr="00551F38">
        <w:rPr>
          <w:rFonts w:asciiTheme="minorHAnsi" w:hAnsiTheme="minorHAnsi" w:cstheme="minorHAnsi"/>
          <w:color w:val="auto"/>
        </w:rPr>
        <w:t>.</w:t>
      </w:r>
      <w:r w:rsidR="00B51B91" w:rsidRPr="00551F38">
        <w:rPr>
          <w:rFonts w:asciiTheme="minorHAnsi" w:hAnsiTheme="minorHAnsi" w:cstheme="minorHAnsi"/>
          <w:color w:val="auto"/>
        </w:rPr>
        <w:t xml:space="preserve"> </w:t>
      </w:r>
      <w:r w:rsidR="00D9102D" w:rsidRPr="00551F38">
        <w:rPr>
          <w:rFonts w:asciiTheme="minorHAnsi" w:hAnsiTheme="minorHAnsi" w:cstheme="minorHAnsi"/>
          <w:color w:val="auto"/>
        </w:rPr>
        <w:t>Spores were carefully spread on agar plate</w:t>
      </w:r>
      <w:r w:rsidR="008811EE" w:rsidRPr="00551F38">
        <w:rPr>
          <w:rFonts w:asciiTheme="minorHAnsi" w:hAnsiTheme="minorHAnsi" w:cstheme="minorHAnsi"/>
          <w:color w:val="auto"/>
        </w:rPr>
        <w:t xml:space="preserve">s </w:t>
      </w:r>
      <w:r w:rsidR="00EE2E4F" w:rsidRPr="00551F38">
        <w:rPr>
          <w:rFonts w:asciiTheme="minorHAnsi" w:hAnsiTheme="minorHAnsi" w:cstheme="minorHAnsi"/>
          <w:color w:val="auto"/>
        </w:rPr>
        <w:t>to</w:t>
      </w:r>
      <w:r w:rsidR="008811EE" w:rsidRPr="00551F38">
        <w:rPr>
          <w:rFonts w:asciiTheme="minorHAnsi" w:hAnsiTheme="minorHAnsi" w:cstheme="minorHAnsi"/>
          <w:color w:val="auto"/>
        </w:rPr>
        <w:t xml:space="preserve"> obtain 4</w:t>
      </w:r>
      <w:r w:rsidR="00446BE1" w:rsidRPr="00551F38">
        <w:rPr>
          <w:rFonts w:asciiTheme="minorHAnsi" w:hAnsiTheme="minorHAnsi" w:cstheme="minorHAnsi"/>
          <w:color w:val="auto"/>
        </w:rPr>
        <w:t>,</w:t>
      </w:r>
      <w:r w:rsidR="008811EE" w:rsidRPr="00551F38">
        <w:rPr>
          <w:rFonts w:asciiTheme="minorHAnsi" w:hAnsiTheme="minorHAnsi" w:cstheme="minorHAnsi"/>
          <w:color w:val="auto"/>
        </w:rPr>
        <w:t>800 spores/cm</w:t>
      </w:r>
      <w:r w:rsidR="008811EE" w:rsidRPr="00551F38">
        <w:rPr>
          <w:rFonts w:asciiTheme="minorHAnsi" w:hAnsiTheme="minorHAnsi" w:cstheme="minorHAnsi"/>
          <w:color w:val="auto"/>
          <w:vertAlign w:val="superscript"/>
        </w:rPr>
        <w:t>2</w:t>
      </w:r>
      <w:r w:rsidR="007D7B3A" w:rsidRPr="00551F38">
        <w:rPr>
          <w:rFonts w:asciiTheme="minorHAnsi" w:hAnsiTheme="minorHAnsi" w:cstheme="minorHAnsi"/>
          <w:color w:val="auto"/>
        </w:rPr>
        <w:t xml:space="preserve">. They were </w:t>
      </w:r>
      <w:r w:rsidR="008811EE" w:rsidRPr="00551F38">
        <w:rPr>
          <w:rFonts w:asciiTheme="minorHAnsi" w:hAnsiTheme="minorHAnsi" w:cstheme="minorHAnsi"/>
          <w:color w:val="auto"/>
        </w:rPr>
        <w:t>directly transfe</w:t>
      </w:r>
      <w:r w:rsidR="005673E3" w:rsidRPr="00551F38">
        <w:rPr>
          <w:rFonts w:asciiTheme="minorHAnsi" w:hAnsiTheme="minorHAnsi" w:cstheme="minorHAnsi"/>
          <w:color w:val="auto"/>
        </w:rPr>
        <w:t>r</w:t>
      </w:r>
      <w:r w:rsidR="008811EE" w:rsidRPr="00551F38">
        <w:rPr>
          <w:rFonts w:asciiTheme="minorHAnsi" w:hAnsiTheme="minorHAnsi" w:cstheme="minorHAnsi"/>
          <w:color w:val="auto"/>
        </w:rPr>
        <w:t>red to agar plate</w:t>
      </w:r>
      <w:r w:rsidR="003A07E8" w:rsidRPr="00551F38">
        <w:rPr>
          <w:rFonts w:asciiTheme="minorHAnsi" w:hAnsiTheme="minorHAnsi" w:cstheme="minorHAnsi"/>
          <w:color w:val="auto"/>
        </w:rPr>
        <w:t>s</w:t>
      </w:r>
      <w:r w:rsidR="008811EE" w:rsidRPr="00551F38">
        <w:rPr>
          <w:rFonts w:asciiTheme="minorHAnsi" w:hAnsiTheme="minorHAnsi" w:cstheme="minorHAnsi"/>
          <w:color w:val="auto"/>
        </w:rPr>
        <w:t xml:space="preserve"> containing antifungal compounds through agar-plug extraction</w:t>
      </w:r>
      <w:r w:rsidR="000C05A9" w:rsidRPr="00551F38">
        <w:rPr>
          <w:rFonts w:asciiTheme="minorHAnsi" w:hAnsiTheme="minorHAnsi" w:cstheme="minorHAnsi"/>
          <w:color w:val="auto"/>
        </w:rPr>
        <w:t xml:space="preserve"> </w:t>
      </w:r>
      <w:r w:rsidR="008811EE" w:rsidRPr="00551F38">
        <w:rPr>
          <w:rFonts w:asciiTheme="minorHAnsi" w:hAnsiTheme="minorHAnsi" w:cstheme="minorHAnsi"/>
          <w:color w:val="auto"/>
        </w:rPr>
        <w:t xml:space="preserve">using a 5 mm sterile </w:t>
      </w:r>
      <w:r w:rsidR="00E96AAF" w:rsidRPr="00551F38">
        <w:rPr>
          <w:rFonts w:asciiTheme="minorHAnsi" w:hAnsiTheme="minorHAnsi" w:cstheme="minorHAnsi"/>
          <w:color w:val="auto"/>
        </w:rPr>
        <w:t>stainless-steel</w:t>
      </w:r>
      <w:r w:rsidR="008811EE" w:rsidRPr="00551F38">
        <w:rPr>
          <w:rFonts w:asciiTheme="minorHAnsi" w:hAnsiTheme="minorHAnsi" w:cstheme="minorHAnsi"/>
          <w:color w:val="auto"/>
        </w:rPr>
        <w:t xml:space="preserve"> tube</w:t>
      </w:r>
      <w:r w:rsidR="00B95AF3" w:rsidRPr="00551F38">
        <w:rPr>
          <w:rFonts w:asciiTheme="minorHAnsi" w:hAnsiTheme="minorHAnsi" w:cstheme="minorHAnsi"/>
          <w:color w:val="auto"/>
        </w:rPr>
        <w:t>,</w:t>
      </w:r>
      <w:r w:rsidR="008811EE" w:rsidRPr="00551F38">
        <w:rPr>
          <w:rFonts w:asciiTheme="minorHAnsi" w:hAnsiTheme="minorHAnsi" w:cstheme="minorHAnsi"/>
          <w:color w:val="auto"/>
        </w:rPr>
        <w:t xml:space="preserve"> allowing the experiment </w:t>
      </w:r>
      <w:r w:rsidR="00B95AF3" w:rsidRPr="00551F38">
        <w:rPr>
          <w:rFonts w:asciiTheme="minorHAnsi" w:hAnsiTheme="minorHAnsi" w:cstheme="minorHAnsi"/>
          <w:color w:val="auto"/>
        </w:rPr>
        <w:t xml:space="preserve">to start </w:t>
      </w:r>
      <w:r w:rsidR="008811EE" w:rsidRPr="00551F38">
        <w:rPr>
          <w:rFonts w:asciiTheme="minorHAnsi" w:hAnsiTheme="minorHAnsi" w:cstheme="minorHAnsi"/>
          <w:color w:val="auto"/>
        </w:rPr>
        <w:t xml:space="preserve">from </w:t>
      </w:r>
      <w:r w:rsidR="00B95AF3" w:rsidRPr="00551F38">
        <w:rPr>
          <w:rFonts w:asciiTheme="minorHAnsi" w:hAnsiTheme="minorHAnsi" w:cstheme="minorHAnsi"/>
          <w:color w:val="auto"/>
        </w:rPr>
        <w:t xml:space="preserve">the </w:t>
      </w:r>
      <w:r w:rsidR="008811EE" w:rsidRPr="00551F38">
        <w:rPr>
          <w:rFonts w:asciiTheme="minorHAnsi" w:hAnsiTheme="minorHAnsi" w:cstheme="minorHAnsi"/>
          <w:color w:val="auto"/>
        </w:rPr>
        <w:t>spore</w:t>
      </w:r>
      <w:r w:rsidR="003A07E8" w:rsidRPr="00551F38">
        <w:rPr>
          <w:rFonts w:asciiTheme="minorHAnsi" w:hAnsiTheme="minorHAnsi" w:cstheme="minorHAnsi"/>
          <w:color w:val="auto"/>
        </w:rPr>
        <w:t>s</w:t>
      </w:r>
      <w:r w:rsidR="009278BC" w:rsidRPr="00551F38">
        <w:rPr>
          <w:rFonts w:asciiTheme="minorHAnsi" w:hAnsiTheme="minorHAnsi" w:cstheme="minorHAnsi"/>
          <w:color w:val="auto"/>
        </w:rPr>
        <w:t>.</w:t>
      </w:r>
      <w:r w:rsidR="00E11D05" w:rsidRPr="00551F38">
        <w:rPr>
          <w:rFonts w:asciiTheme="minorHAnsi" w:hAnsiTheme="minorHAnsi" w:cstheme="minorHAnsi"/>
          <w:color w:val="auto"/>
        </w:rPr>
        <w:t xml:space="preserve"> </w:t>
      </w:r>
      <w:r w:rsidR="00440CDE" w:rsidRPr="00551F38">
        <w:rPr>
          <w:rFonts w:asciiTheme="minorHAnsi" w:hAnsiTheme="minorHAnsi" w:cstheme="minorHAnsi"/>
          <w:color w:val="auto"/>
        </w:rPr>
        <w:t>For</w:t>
      </w:r>
      <w:r w:rsidR="00E11D05" w:rsidRPr="00551F38">
        <w:rPr>
          <w:rFonts w:asciiTheme="minorHAnsi" w:hAnsiTheme="minorHAnsi" w:cstheme="minorHAnsi"/>
          <w:color w:val="auto"/>
        </w:rPr>
        <w:t xml:space="preserve"> the two other </w:t>
      </w:r>
      <w:r w:rsidR="000C05A9" w:rsidRPr="00551F38">
        <w:rPr>
          <w:rFonts w:asciiTheme="minorHAnsi" w:hAnsiTheme="minorHAnsi" w:cstheme="minorHAnsi"/>
          <w:color w:val="auto"/>
        </w:rPr>
        <w:t>developmental stages</w:t>
      </w:r>
      <w:r w:rsidR="00E11D05" w:rsidRPr="00551F38">
        <w:rPr>
          <w:rFonts w:asciiTheme="minorHAnsi" w:hAnsiTheme="minorHAnsi" w:cstheme="minorHAnsi"/>
          <w:color w:val="auto"/>
        </w:rPr>
        <w:t xml:space="preserve">, </w:t>
      </w:r>
      <w:r w:rsidR="008811EE" w:rsidRPr="00551F38">
        <w:rPr>
          <w:rFonts w:asciiTheme="minorHAnsi" w:hAnsiTheme="minorHAnsi" w:cstheme="minorHAnsi"/>
          <w:color w:val="auto"/>
        </w:rPr>
        <w:t>agar plates</w:t>
      </w:r>
      <w:r w:rsidR="009278BC" w:rsidRPr="00551F38">
        <w:rPr>
          <w:rFonts w:asciiTheme="minorHAnsi" w:hAnsiTheme="minorHAnsi" w:cstheme="minorHAnsi"/>
          <w:color w:val="auto"/>
        </w:rPr>
        <w:t xml:space="preserve"> covered </w:t>
      </w:r>
      <w:r w:rsidR="007447D5" w:rsidRPr="00551F38">
        <w:rPr>
          <w:rFonts w:asciiTheme="minorHAnsi" w:hAnsiTheme="minorHAnsi" w:cstheme="minorHAnsi"/>
          <w:color w:val="auto"/>
        </w:rPr>
        <w:t>with</w:t>
      </w:r>
      <w:r w:rsidR="009278BC" w:rsidRPr="00551F38">
        <w:rPr>
          <w:rFonts w:asciiTheme="minorHAnsi" w:hAnsiTheme="minorHAnsi" w:cstheme="minorHAnsi"/>
          <w:color w:val="auto"/>
        </w:rPr>
        <w:t xml:space="preserve"> spores</w:t>
      </w:r>
      <w:r w:rsidR="008811EE" w:rsidRPr="00551F38">
        <w:rPr>
          <w:rFonts w:asciiTheme="minorHAnsi" w:hAnsiTheme="minorHAnsi" w:cstheme="minorHAnsi"/>
          <w:color w:val="auto"/>
        </w:rPr>
        <w:t xml:space="preserve"> </w:t>
      </w:r>
      <w:r w:rsidR="009278BC" w:rsidRPr="00551F38">
        <w:rPr>
          <w:rFonts w:asciiTheme="minorHAnsi" w:hAnsiTheme="minorHAnsi" w:cstheme="minorHAnsi"/>
          <w:color w:val="auto"/>
        </w:rPr>
        <w:t>were firstly</w:t>
      </w:r>
      <w:r w:rsidR="00E11D05" w:rsidRPr="00551F38">
        <w:rPr>
          <w:rFonts w:asciiTheme="minorHAnsi" w:hAnsiTheme="minorHAnsi" w:cstheme="minorHAnsi"/>
          <w:color w:val="auto"/>
        </w:rPr>
        <w:t xml:space="preserve"> </w:t>
      </w:r>
      <w:r w:rsidR="008811EE" w:rsidRPr="00551F38">
        <w:rPr>
          <w:rFonts w:asciiTheme="minorHAnsi" w:hAnsiTheme="minorHAnsi" w:cstheme="minorHAnsi"/>
          <w:color w:val="auto"/>
        </w:rPr>
        <w:t xml:space="preserve">incubated </w:t>
      </w:r>
      <w:r w:rsidR="00BA75AC" w:rsidRPr="00551F38">
        <w:rPr>
          <w:rFonts w:asciiTheme="minorHAnsi" w:hAnsiTheme="minorHAnsi" w:cstheme="minorHAnsi"/>
          <w:color w:val="auto"/>
        </w:rPr>
        <w:t xml:space="preserve">for </w:t>
      </w:r>
      <w:r w:rsidR="008811EE" w:rsidRPr="00551F38">
        <w:rPr>
          <w:rFonts w:asciiTheme="minorHAnsi" w:hAnsiTheme="minorHAnsi" w:cstheme="minorHAnsi"/>
          <w:color w:val="auto"/>
        </w:rPr>
        <w:lastRenderedPageBreak/>
        <w:t>17</w:t>
      </w:r>
      <w:r w:rsidR="00704FBF" w:rsidRPr="00551F38">
        <w:rPr>
          <w:rFonts w:asciiTheme="minorHAnsi" w:hAnsiTheme="minorHAnsi" w:cstheme="minorHAnsi"/>
          <w:color w:val="auto"/>
        </w:rPr>
        <w:t xml:space="preserve"> </w:t>
      </w:r>
      <w:r w:rsidR="008811EE" w:rsidRPr="00551F38">
        <w:rPr>
          <w:rFonts w:asciiTheme="minorHAnsi" w:hAnsiTheme="minorHAnsi" w:cstheme="minorHAnsi"/>
          <w:color w:val="auto"/>
        </w:rPr>
        <w:t>h or 24</w:t>
      </w:r>
      <w:r w:rsidR="00704FBF" w:rsidRPr="00551F38">
        <w:rPr>
          <w:rFonts w:asciiTheme="minorHAnsi" w:hAnsiTheme="minorHAnsi" w:cstheme="minorHAnsi"/>
          <w:color w:val="auto"/>
        </w:rPr>
        <w:t xml:space="preserve"> </w:t>
      </w:r>
      <w:r w:rsidR="008811EE" w:rsidRPr="00551F38">
        <w:rPr>
          <w:rFonts w:asciiTheme="minorHAnsi" w:hAnsiTheme="minorHAnsi" w:cstheme="minorHAnsi"/>
          <w:color w:val="auto"/>
        </w:rPr>
        <w:t xml:space="preserve">h at 30°C before </w:t>
      </w:r>
      <w:r w:rsidR="00BA75AC" w:rsidRPr="00551F38">
        <w:rPr>
          <w:rFonts w:asciiTheme="minorHAnsi" w:hAnsiTheme="minorHAnsi" w:cstheme="minorHAnsi"/>
          <w:color w:val="auto"/>
        </w:rPr>
        <w:t xml:space="preserve">transferring the </w:t>
      </w:r>
      <w:r w:rsidR="008811EE" w:rsidRPr="00551F38">
        <w:rPr>
          <w:rFonts w:asciiTheme="minorHAnsi" w:hAnsiTheme="minorHAnsi" w:cstheme="minorHAnsi"/>
          <w:color w:val="auto"/>
        </w:rPr>
        <w:t>agar</w:t>
      </w:r>
      <w:r w:rsidR="00BA75AC" w:rsidRPr="00551F38">
        <w:rPr>
          <w:rFonts w:asciiTheme="minorHAnsi" w:hAnsiTheme="minorHAnsi" w:cstheme="minorHAnsi"/>
          <w:color w:val="auto"/>
        </w:rPr>
        <w:t xml:space="preserve"> </w:t>
      </w:r>
      <w:r w:rsidR="008811EE" w:rsidRPr="00551F38">
        <w:rPr>
          <w:rFonts w:asciiTheme="minorHAnsi" w:hAnsiTheme="minorHAnsi" w:cstheme="minorHAnsi"/>
          <w:color w:val="auto"/>
        </w:rPr>
        <w:t>plug to allow germination and early development of hyphae</w:t>
      </w:r>
      <w:r w:rsidR="00704FBF" w:rsidRPr="00551F38">
        <w:rPr>
          <w:rFonts w:asciiTheme="minorHAnsi" w:hAnsiTheme="minorHAnsi" w:cstheme="minorHAnsi"/>
          <w:color w:val="auto"/>
        </w:rPr>
        <w:t xml:space="preserve"> (17 h)</w:t>
      </w:r>
      <w:r w:rsidR="008811EE" w:rsidRPr="00551F38">
        <w:rPr>
          <w:rFonts w:asciiTheme="minorHAnsi" w:hAnsiTheme="minorHAnsi" w:cstheme="minorHAnsi"/>
          <w:color w:val="auto"/>
        </w:rPr>
        <w:t xml:space="preserve"> and mycelium </w:t>
      </w:r>
      <w:r w:rsidR="003A07E8" w:rsidRPr="00551F38">
        <w:rPr>
          <w:rFonts w:asciiTheme="minorHAnsi" w:hAnsiTheme="minorHAnsi" w:cstheme="minorHAnsi"/>
          <w:color w:val="auto"/>
        </w:rPr>
        <w:t>formation</w:t>
      </w:r>
      <w:r w:rsidR="00704FBF" w:rsidRPr="00551F38">
        <w:rPr>
          <w:rFonts w:asciiTheme="minorHAnsi" w:hAnsiTheme="minorHAnsi" w:cstheme="minorHAnsi"/>
          <w:color w:val="auto"/>
        </w:rPr>
        <w:t xml:space="preserve"> (24 h)</w:t>
      </w:r>
      <w:r w:rsidR="000C05A9" w:rsidRPr="00551F38">
        <w:rPr>
          <w:rFonts w:asciiTheme="minorHAnsi" w:hAnsiTheme="minorHAnsi" w:cstheme="minorHAnsi"/>
          <w:color w:val="auto"/>
        </w:rPr>
        <w:t xml:space="preserve"> (</w:t>
      </w:r>
      <w:r w:rsidR="001531CB" w:rsidRPr="00551F38">
        <w:rPr>
          <w:rFonts w:asciiTheme="minorHAnsi" w:hAnsiTheme="minorHAnsi" w:cstheme="minorHAnsi"/>
          <w:b/>
          <w:bCs/>
          <w:color w:val="auto"/>
        </w:rPr>
        <w:t>Figure</w:t>
      </w:r>
      <w:r w:rsidR="000C05A9" w:rsidRPr="00551F38">
        <w:rPr>
          <w:rFonts w:asciiTheme="minorHAnsi" w:hAnsiTheme="minorHAnsi" w:cstheme="minorHAnsi"/>
          <w:b/>
          <w:bCs/>
          <w:color w:val="auto"/>
        </w:rPr>
        <w:t xml:space="preserve"> 3</w:t>
      </w:r>
      <w:r w:rsidR="000C05A9" w:rsidRPr="00551F38">
        <w:rPr>
          <w:rFonts w:asciiTheme="minorHAnsi" w:hAnsiTheme="minorHAnsi" w:cstheme="minorHAnsi"/>
          <w:color w:val="auto"/>
        </w:rPr>
        <w:t>, panel A)</w:t>
      </w:r>
      <w:r w:rsidR="008811EE" w:rsidRPr="00551F38">
        <w:rPr>
          <w:rFonts w:asciiTheme="minorHAnsi" w:hAnsiTheme="minorHAnsi" w:cstheme="minorHAnsi"/>
          <w:color w:val="auto"/>
        </w:rPr>
        <w:t xml:space="preserve">. </w:t>
      </w:r>
      <w:r w:rsidR="00B95AF3" w:rsidRPr="00551F38">
        <w:rPr>
          <w:rFonts w:asciiTheme="minorHAnsi" w:hAnsiTheme="minorHAnsi" w:cstheme="minorHAnsi"/>
          <w:color w:val="auto"/>
        </w:rPr>
        <w:t>T</w:t>
      </w:r>
      <w:r w:rsidR="0078480F" w:rsidRPr="00551F38">
        <w:rPr>
          <w:rFonts w:asciiTheme="minorHAnsi" w:hAnsiTheme="minorHAnsi" w:cstheme="minorHAnsi"/>
          <w:color w:val="auto"/>
        </w:rPr>
        <w:t xml:space="preserve">o quantify the contribution of active volatile molecules to the overall antifungal activity, the contact inhibition assay has been </w:t>
      </w:r>
      <w:r w:rsidR="00FD160A" w:rsidRPr="00551F38">
        <w:rPr>
          <w:rFonts w:asciiTheme="minorHAnsi" w:hAnsiTheme="minorHAnsi" w:cstheme="minorHAnsi"/>
          <w:color w:val="auto"/>
        </w:rPr>
        <w:t>adapted</w:t>
      </w:r>
      <w:r w:rsidR="000C05A9" w:rsidRPr="00551F38">
        <w:rPr>
          <w:rFonts w:asciiTheme="minorHAnsi" w:hAnsiTheme="minorHAnsi" w:cstheme="minorHAnsi"/>
          <w:color w:val="auto"/>
        </w:rPr>
        <w:t xml:space="preserve"> and s</w:t>
      </w:r>
      <w:r w:rsidR="0078480F" w:rsidRPr="00551F38">
        <w:rPr>
          <w:rFonts w:asciiTheme="minorHAnsi" w:hAnsiTheme="minorHAnsi" w:cstheme="minorHAnsi"/>
          <w:color w:val="auto"/>
        </w:rPr>
        <w:t>pores, early hyphae</w:t>
      </w:r>
      <w:r w:rsidR="00D26C02" w:rsidRPr="00551F38">
        <w:rPr>
          <w:rFonts w:asciiTheme="minorHAnsi" w:hAnsiTheme="minorHAnsi" w:cstheme="minorHAnsi"/>
          <w:color w:val="auto"/>
        </w:rPr>
        <w:t>,</w:t>
      </w:r>
      <w:r w:rsidR="0078480F" w:rsidRPr="00551F38">
        <w:rPr>
          <w:rFonts w:asciiTheme="minorHAnsi" w:hAnsiTheme="minorHAnsi" w:cstheme="minorHAnsi"/>
          <w:color w:val="auto"/>
        </w:rPr>
        <w:t xml:space="preserve"> and mycelium </w:t>
      </w:r>
      <w:r w:rsidR="00D26C02" w:rsidRPr="00551F38">
        <w:rPr>
          <w:rFonts w:asciiTheme="minorHAnsi" w:hAnsiTheme="minorHAnsi" w:cstheme="minorHAnsi"/>
          <w:color w:val="auto"/>
        </w:rPr>
        <w:t xml:space="preserve">were </w:t>
      </w:r>
      <w:r w:rsidR="0078480F" w:rsidRPr="00551F38">
        <w:rPr>
          <w:rFonts w:asciiTheme="minorHAnsi" w:hAnsiTheme="minorHAnsi" w:cstheme="minorHAnsi"/>
          <w:color w:val="auto"/>
        </w:rPr>
        <w:t xml:space="preserve">placed at </w:t>
      </w:r>
      <w:r w:rsidR="00D26C02" w:rsidRPr="00551F38">
        <w:rPr>
          <w:rFonts w:asciiTheme="minorHAnsi" w:hAnsiTheme="minorHAnsi" w:cstheme="minorHAnsi"/>
          <w:color w:val="auto"/>
        </w:rPr>
        <w:t xml:space="preserve">a </w:t>
      </w:r>
      <w:r w:rsidR="0078480F" w:rsidRPr="00551F38">
        <w:rPr>
          <w:rFonts w:asciiTheme="minorHAnsi" w:hAnsiTheme="minorHAnsi" w:cstheme="minorHAnsi"/>
          <w:color w:val="auto"/>
        </w:rPr>
        <w:t>distance from the antifungal compounds poured into PDA medium as for the contact</w:t>
      </w:r>
      <w:r w:rsidR="00D26C02" w:rsidRPr="00551F38">
        <w:rPr>
          <w:rFonts w:asciiTheme="minorHAnsi" w:hAnsiTheme="minorHAnsi" w:cstheme="minorHAnsi"/>
          <w:color w:val="auto"/>
        </w:rPr>
        <w:t>-</w:t>
      </w:r>
      <w:r w:rsidR="0078480F" w:rsidRPr="00551F38">
        <w:rPr>
          <w:rFonts w:asciiTheme="minorHAnsi" w:hAnsiTheme="minorHAnsi" w:cstheme="minorHAnsi"/>
          <w:color w:val="auto"/>
        </w:rPr>
        <w:t>inhibition assa</w:t>
      </w:r>
      <w:r w:rsidR="000C05A9" w:rsidRPr="00551F38">
        <w:rPr>
          <w:rFonts w:asciiTheme="minorHAnsi" w:hAnsiTheme="minorHAnsi" w:cstheme="minorHAnsi"/>
          <w:color w:val="auto"/>
        </w:rPr>
        <w:t>y</w:t>
      </w:r>
      <w:r w:rsidR="0078480F" w:rsidRPr="00551F38">
        <w:rPr>
          <w:rFonts w:asciiTheme="minorHAnsi" w:hAnsiTheme="minorHAnsi" w:cstheme="minorHAnsi"/>
          <w:color w:val="auto"/>
        </w:rPr>
        <w:t xml:space="preserve">. </w:t>
      </w:r>
      <w:r w:rsidRPr="00551F38">
        <w:rPr>
          <w:rFonts w:asciiTheme="minorHAnsi" w:hAnsiTheme="minorHAnsi" w:cstheme="minorHAnsi"/>
          <w:i/>
          <w:iCs/>
          <w:color w:val="auto"/>
        </w:rPr>
        <w:t>Trichoderma</w:t>
      </w:r>
      <w:r w:rsidR="00D26C02" w:rsidRPr="00551F38">
        <w:rPr>
          <w:rFonts w:asciiTheme="minorHAnsi" w:hAnsiTheme="minorHAnsi" w:cstheme="minorHAnsi"/>
          <w:color w:val="auto"/>
        </w:rPr>
        <w:t>-</w:t>
      </w:r>
      <w:r w:rsidR="005C020C" w:rsidRPr="00551F38">
        <w:rPr>
          <w:rFonts w:asciiTheme="minorHAnsi" w:hAnsiTheme="minorHAnsi" w:cstheme="minorHAnsi"/>
          <w:color w:val="auto"/>
        </w:rPr>
        <w:t xml:space="preserve">radial growth </w:t>
      </w:r>
      <w:r w:rsidR="00D26C02" w:rsidRPr="00551F38">
        <w:rPr>
          <w:rFonts w:asciiTheme="minorHAnsi" w:hAnsiTheme="minorHAnsi" w:cstheme="minorHAnsi"/>
          <w:color w:val="auto"/>
        </w:rPr>
        <w:t>w</w:t>
      </w:r>
      <w:r w:rsidR="005C020C" w:rsidRPr="00551F38">
        <w:rPr>
          <w:rFonts w:asciiTheme="minorHAnsi" w:hAnsiTheme="minorHAnsi" w:cstheme="minorHAnsi"/>
          <w:color w:val="auto"/>
        </w:rPr>
        <w:t xml:space="preserve">as measured </w:t>
      </w:r>
      <w:r w:rsidR="003C3BC9" w:rsidRPr="00551F38">
        <w:rPr>
          <w:rFonts w:asciiTheme="minorHAnsi" w:hAnsiTheme="minorHAnsi" w:cstheme="minorHAnsi"/>
          <w:color w:val="auto"/>
        </w:rPr>
        <w:t>over</w:t>
      </w:r>
      <w:r w:rsidR="0066125E" w:rsidRPr="00551F38">
        <w:rPr>
          <w:rFonts w:asciiTheme="minorHAnsi" w:hAnsiTheme="minorHAnsi" w:cstheme="minorHAnsi"/>
          <w:color w:val="auto"/>
        </w:rPr>
        <w:t xml:space="preserve"> </w:t>
      </w:r>
      <w:r w:rsidR="005C020C" w:rsidRPr="00551F38">
        <w:rPr>
          <w:rFonts w:asciiTheme="minorHAnsi" w:hAnsiTheme="minorHAnsi" w:cstheme="minorHAnsi"/>
          <w:color w:val="auto"/>
        </w:rPr>
        <w:t xml:space="preserve">48 hours and </w:t>
      </w:r>
      <w:r w:rsidR="003E74FA" w:rsidRPr="00551F38">
        <w:rPr>
          <w:rFonts w:asciiTheme="minorHAnsi" w:hAnsiTheme="minorHAnsi" w:cstheme="minorHAnsi"/>
          <w:color w:val="auto"/>
        </w:rPr>
        <w:t xml:space="preserve">the </w:t>
      </w:r>
      <w:r w:rsidR="005C020C" w:rsidRPr="00551F38">
        <w:rPr>
          <w:rFonts w:asciiTheme="minorHAnsi" w:hAnsiTheme="minorHAnsi" w:cstheme="minorHAnsi"/>
          <w:color w:val="auto"/>
        </w:rPr>
        <w:t xml:space="preserve">percentage of inhibition has been determined by comparison to control conditions. </w:t>
      </w:r>
      <w:r w:rsidR="0078599F" w:rsidRPr="00551F38">
        <w:rPr>
          <w:rFonts w:asciiTheme="minorHAnsi" w:hAnsiTheme="minorHAnsi" w:cstheme="minorHAnsi"/>
          <w:color w:val="auto"/>
        </w:rPr>
        <w:t>The minim</w:t>
      </w:r>
      <w:r w:rsidR="00D9102D" w:rsidRPr="00551F38">
        <w:rPr>
          <w:rFonts w:asciiTheme="minorHAnsi" w:hAnsiTheme="minorHAnsi" w:cstheme="minorHAnsi"/>
          <w:color w:val="auto"/>
        </w:rPr>
        <w:t>um</w:t>
      </w:r>
      <w:r w:rsidR="00D26C02" w:rsidRPr="00551F38">
        <w:rPr>
          <w:rFonts w:asciiTheme="minorHAnsi" w:hAnsiTheme="minorHAnsi" w:cstheme="minorHAnsi"/>
          <w:color w:val="auto"/>
        </w:rPr>
        <w:t>-</w:t>
      </w:r>
      <w:r w:rsidR="0078599F" w:rsidRPr="00551F38">
        <w:rPr>
          <w:rFonts w:asciiTheme="minorHAnsi" w:hAnsiTheme="minorHAnsi" w:cstheme="minorHAnsi"/>
          <w:color w:val="auto"/>
        </w:rPr>
        <w:t>inhibitory concentration (MIC) has</w:t>
      </w:r>
      <w:r w:rsidR="00DA3559" w:rsidRPr="00551F38">
        <w:rPr>
          <w:rFonts w:asciiTheme="minorHAnsi" w:hAnsiTheme="minorHAnsi" w:cstheme="minorHAnsi"/>
          <w:color w:val="auto"/>
        </w:rPr>
        <w:t xml:space="preserve"> </w:t>
      </w:r>
      <w:r w:rsidR="0078599F" w:rsidRPr="00551F38">
        <w:rPr>
          <w:rFonts w:asciiTheme="minorHAnsi" w:hAnsiTheme="minorHAnsi" w:cstheme="minorHAnsi"/>
          <w:color w:val="auto"/>
        </w:rPr>
        <w:t xml:space="preserve">been defined as the </w:t>
      </w:r>
      <w:r w:rsidR="00B62F15" w:rsidRPr="00551F38">
        <w:rPr>
          <w:rFonts w:asciiTheme="minorHAnsi" w:hAnsiTheme="minorHAnsi" w:cstheme="minorHAnsi"/>
          <w:color w:val="auto"/>
        </w:rPr>
        <w:t>lowest</w:t>
      </w:r>
      <w:r w:rsidR="0078599F" w:rsidRPr="00551F38">
        <w:rPr>
          <w:rFonts w:asciiTheme="minorHAnsi" w:hAnsiTheme="minorHAnsi" w:cstheme="minorHAnsi"/>
          <w:color w:val="auto"/>
        </w:rPr>
        <w:t xml:space="preserve"> concentration of antifungal compounds </w:t>
      </w:r>
      <w:r w:rsidR="00B62F15" w:rsidRPr="00551F38">
        <w:rPr>
          <w:rFonts w:asciiTheme="minorHAnsi" w:hAnsiTheme="minorHAnsi" w:cstheme="minorHAnsi"/>
          <w:color w:val="auto"/>
        </w:rPr>
        <w:t>preventing</w:t>
      </w:r>
      <w:r w:rsidR="0078599F" w:rsidRPr="00551F38">
        <w:rPr>
          <w:rFonts w:asciiTheme="minorHAnsi" w:hAnsiTheme="minorHAnsi" w:cstheme="minorHAnsi"/>
          <w:color w:val="auto"/>
        </w:rPr>
        <w:t xml:space="preserve"> visible growth after 48</w:t>
      </w:r>
      <w:r w:rsidR="006469C0" w:rsidRPr="00551F38">
        <w:rPr>
          <w:rFonts w:asciiTheme="minorHAnsi" w:hAnsiTheme="minorHAnsi" w:cstheme="minorHAnsi"/>
          <w:color w:val="auto"/>
        </w:rPr>
        <w:t xml:space="preserve"> </w:t>
      </w:r>
      <w:r w:rsidR="0078599F" w:rsidRPr="00551F38">
        <w:rPr>
          <w:rFonts w:asciiTheme="minorHAnsi" w:hAnsiTheme="minorHAnsi" w:cstheme="minorHAnsi"/>
          <w:color w:val="auto"/>
        </w:rPr>
        <w:t>h</w:t>
      </w:r>
      <w:r w:rsidR="00AA630A" w:rsidRPr="00551F38">
        <w:rPr>
          <w:rFonts w:asciiTheme="minorHAnsi" w:hAnsiTheme="minorHAnsi" w:cstheme="minorHAnsi"/>
          <w:color w:val="auto"/>
        </w:rPr>
        <w:t xml:space="preserve"> </w:t>
      </w:r>
      <w:r w:rsidR="00D26C02" w:rsidRPr="00551F38">
        <w:rPr>
          <w:rFonts w:asciiTheme="minorHAnsi" w:hAnsiTheme="minorHAnsi" w:cstheme="minorHAnsi"/>
          <w:color w:val="auto"/>
        </w:rPr>
        <w:t xml:space="preserve">of </w:t>
      </w:r>
      <w:r w:rsidR="0078599F" w:rsidRPr="00551F38">
        <w:rPr>
          <w:rFonts w:asciiTheme="minorHAnsi" w:hAnsiTheme="minorHAnsi" w:cstheme="minorHAnsi"/>
          <w:color w:val="auto"/>
        </w:rPr>
        <w:t xml:space="preserve">incubation at 30°C. </w:t>
      </w:r>
    </w:p>
    <w:p w14:paraId="6FE9F118" w14:textId="77777777" w:rsidR="00565D89" w:rsidRDefault="00565D89" w:rsidP="00565D89">
      <w:pPr>
        <w:rPr>
          <w:rFonts w:asciiTheme="minorHAnsi" w:hAnsiTheme="minorHAnsi" w:cstheme="minorHAnsi"/>
          <w:b/>
          <w:bCs/>
          <w:color w:val="auto"/>
        </w:rPr>
      </w:pPr>
    </w:p>
    <w:p w14:paraId="48A0D052" w14:textId="055A2FD7" w:rsidR="008C0293" w:rsidRPr="00551F38" w:rsidRDefault="001531CB" w:rsidP="00565D89">
      <w:pPr>
        <w:rPr>
          <w:rFonts w:asciiTheme="minorHAnsi" w:hAnsiTheme="minorHAnsi" w:cstheme="minorHAnsi"/>
          <w:color w:val="auto"/>
        </w:rPr>
      </w:pPr>
      <w:r w:rsidRPr="00551F38">
        <w:rPr>
          <w:rFonts w:asciiTheme="minorHAnsi" w:hAnsiTheme="minorHAnsi" w:cstheme="minorHAnsi"/>
          <w:b/>
          <w:bCs/>
          <w:color w:val="auto"/>
        </w:rPr>
        <w:t>Figure</w:t>
      </w:r>
      <w:r w:rsidR="00B51B91" w:rsidRPr="00551F38">
        <w:rPr>
          <w:rFonts w:asciiTheme="minorHAnsi" w:hAnsiTheme="minorHAnsi" w:cstheme="minorHAnsi"/>
          <w:b/>
          <w:bCs/>
          <w:color w:val="auto"/>
        </w:rPr>
        <w:t xml:space="preserve"> 3</w:t>
      </w:r>
      <w:r w:rsidR="0066125E" w:rsidRPr="00551F38">
        <w:rPr>
          <w:rFonts w:asciiTheme="minorHAnsi" w:hAnsiTheme="minorHAnsi" w:cstheme="minorHAnsi"/>
          <w:color w:val="auto"/>
        </w:rPr>
        <w:t xml:space="preserve"> (panel B)</w:t>
      </w:r>
      <w:r w:rsidR="00B51B91" w:rsidRPr="00551F38">
        <w:rPr>
          <w:rFonts w:asciiTheme="minorHAnsi" w:hAnsiTheme="minorHAnsi" w:cstheme="minorHAnsi"/>
          <w:color w:val="auto"/>
        </w:rPr>
        <w:t xml:space="preserve"> </w:t>
      </w:r>
      <w:r w:rsidR="0078599F" w:rsidRPr="00551F38">
        <w:rPr>
          <w:rFonts w:asciiTheme="minorHAnsi" w:hAnsiTheme="minorHAnsi" w:cstheme="minorHAnsi"/>
          <w:color w:val="auto"/>
        </w:rPr>
        <w:t xml:space="preserve">shows </w:t>
      </w:r>
      <w:r w:rsidR="005F21E6" w:rsidRPr="00551F38">
        <w:rPr>
          <w:rFonts w:asciiTheme="minorHAnsi" w:hAnsiTheme="minorHAnsi" w:cstheme="minorHAnsi"/>
          <w:color w:val="auto"/>
        </w:rPr>
        <w:t xml:space="preserve">higher </w:t>
      </w:r>
      <w:r w:rsidR="007F77DC" w:rsidRPr="00551F38">
        <w:rPr>
          <w:rFonts w:asciiTheme="minorHAnsi" w:hAnsiTheme="minorHAnsi" w:cstheme="minorHAnsi"/>
          <w:color w:val="auto"/>
        </w:rPr>
        <w:t xml:space="preserve">spore </w:t>
      </w:r>
      <w:r w:rsidR="005F21E6" w:rsidRPr="00551F38">
        <w:rPr>
          <w:rFonts w:asciiTheme="minorHAnsi" w:hAnsiTheme="minorHAnsi" w:cstheme="minorHAnsi"/>
          <w:color w:val="auto"/>
        </w:rPr>
        <w:t>sensitivity to carbendazim</w:t>
      </w:r>
      <w:r w:rsidR="007D7B3A" w:rsidRPr="00551F38">
        <w:rPr>
          <w:rFonts w:asciiTheme="minorHAnsi" w:hAnsiTheme="minorHAnsi" w:cstheme="minorHAnsi"/>
          <w:color w:val="auto"/>
        </w:rPr>
        <w:t xml:space="preserve"> </w:t>
      </w:r>
      <w:r w:rsidR="005F21E6" w:rsidRPr="00551F38">
        <w:rPr>
          <w:rFonts w:asciiTheme="minorHAnsi" w:hAnsiTheme="minorHAnsi" w:cstheme="minorHAnsi"/>
          <w:color w:val="auto"/>
        </w:rPr>
        <w:t xml:space="preserve">compared to </w:t>
      </w:r>
      <w:r w:rsidR="00656DCB" w:rsidRPr="00551F38">
        <w:rPr>
          <w:rFonts w:asciiTheme="minorHAnsi" w:hAnsiTheme="minorHAnsi" w:cstheme="minorHAnsi"/>
          <w:color w:val="auto"/>
        </w:rPr>
        <w:t>early hypha</w:t>
      </w:r>
      <w:r w:rsidR="00C46D3E" w:rsidRPr="00551F38">
        <w:rPr>
          <w:rFonts w:asciiTheme="minorHAnsi" w:hAnsiTheme="minorHAnsi" w:cstheme="minorHAnsi"/>
          <w:color w:val="auto"/>
        </w:rPr>
        <w:t>e</w:t>
      </w:r>
      <w:r w:rsidR="005F21E6" w:rsidRPr="00551F38">
        <w:rPr>
          <w:rFonts w:asciiTheme="minorHAnsi" w:hAnsiTheme="minorHAnsi" w:cstheme="minorHAnsi"/>
          <w:color w:val="auto"/>
        </w:rPr>
        <w:t xml:space="preserve"> and </w:t>
      </w:r>
      <w:r w:rsidR="00656DCB" w:rsidRPr="00551F38">
        <w:rPr>
          <w:rFonts w:asciiTheme="minorHAnsi" w:hAnsiTheme="minorHAnsi" w:cstheme="minorHAnsi"/>
          <w:color w:val="auto"/>
        </w:rPr>
        <w:t xml:space="preserve">mycelium </w:t>
      </w:r>
      <w:r w:rsidR="005F21E6" w:rsidRPr="00551F38">
        <w:rPr>
          <w:rFonts w:asciiTheme="minorHAnsi" w:hAnsiTheme="minorHAnsi" w:cstheme="minorHAnsi"/>
          <w:color w:val="auto"/>
        </w:rPr>
        <w:t>network</w:t>
      </w:r>
      <w:r w:rsidR="00957383" w:rsidRPr="00551F38">
        <w:rPr>
          <w:rFonts w:asciiTheme="minorHAnsi" w:hAnsiTheme="minorHAnsi" w:cstheme="minorHAnsi"/>
          <w:color w:val="auto"/>
        </w:rPr>
        <w:t>s</w:t>
      </w:r>
      <w:r w:rsidR="005F21E6" w:rsidRPr="00551F38">
        <w:rPr>
          <w:rFonts w:asciiTheme="minorHAnsi" w:hAnsiTheme="minorHAnsi" w:cstheme="minorHAnsi"/>
          <w:color w:val="auto"/>
        </w:rPr>
        <w:t xml:space="preserve"> </w:t>
      </w:r>
      <w:r w:rsidR="00C46D3E" w:rsidRPr="00551F38">
        <w:rPr>
          <w:rFonts w:asciiTheme="minorHAnsi" w:hAnsiTheme="minorHAnsi" w:cstheme="minorHAnsi"/>
          <w:color w:val="auto"/>
        </w:rPr>
        <w:t xml:space="preserve">with 50%, </w:t>
      </w:r>
      <w:r w:rsidR="003A075F" w:rsidRPr="00551F38">
        <w:rPr>
          <w:rFonts w:asciiTheme="minorHAnsi" w:hAnsiTheme="minorHAnsi" w:cstheme="minorHAnsi"/>
          <w:color w:val="auto"/>
        </w:rPr>
        <w:t>22</w:t>
      </w:r>
      <w:r w:rsidR="00C46D3E" w:rsidRPr="00551F38">
        <w:rPr>
          <w:rFonts w:asciiTheme="minorHAnsi" w:hAnsiTheme="minorHAnsi" w:cstheme="minorHAnsi"/>
          <w:color w:val="auto"/>
        </w:rPr>
        <w:t xml:space="preserve">% and </w:t>
      </w:r>
      <w:r w:rsidR="003A075F" w:rsidRPr="00551F38">
        <w:rPr>
          <w:rFonts w:asciiTheme="minorHAnsi" w:hAnsiTheme="minorHAnsi" w:cstheme="minorHAnsi"/>
          <w:color w:val="auto"/>
        </w:rPr>
        <w:t>30</w:t>
      </w:r>
      <w:r w:rsidR="00C46D3E" w:rsidRPr="00551F38">
        <w:rPr>
          <w:rFonts w:asciiTheme="minorHAnsi" w:hAnsiTheme="minorHAnsi" w:cstheme="minorHAnsi"/>
          <w:color w:val="auto"/>
        </w:rPr>
        <w:t>% growth inhibition respectively at 0.25</w:t>
      </w:r>
      <w:r w:rsidR="00794E61" w:rsidRPr="00551F38">
        <w:rPr>
          <w:rFonts w:asciiTheme="minorHAnsi" w:hAnsiTheme="minorHAnsi" w:cstheme="minorHAnsi"/>
          <w:color w:val="auto"/>
        </w:rPr>
        <w:t> </w:t>
      </w:r>
      <w:r w:rsidR="00C46D3E" w:rsidRPr="00551F38">
        <w:rPr>
          <w:rFonts w:asciiTheme="minorHAnsi" w:hAnsiTheme="minorHAnsi" w:cstheme="minorHAnsi"/>
          <w:color w:val="auto"/>
        </w:rPr>
        <w:t>µg/m</w:t>
      </w:r>
      <w:r w:rsidR="004F4849" w:rsidRPr="00551F38">
        <w:rPr>
          <w:rFonts w:asciiTheme="minorHAnsi" w:hAnsiTheme="minorHAnsi" w:cstheme="minorHAnsi"/>
          <w:color w:val="auto"/>
        </w:rPr>
        <w:t>L</w:t>
      </w:r>
      <w:r w:rsidR="00C46D3E" w:rsidRPr="00551F38">
        <w:rPr>
          <w:rFonts w:asciiTheme="minorHAnsi" w:hAnsiTheme="minorHAnsi" w:cstheme="minorHAnsi"/>
          <w:color w:val="auto"/>
        </w:rPr>
        <w:t xml:space="preserve"> carbendazim</w:t>
      </w:r>
      <w:r w:rsidR="00D86176" w:rsidRPr="00551F38">
        <w:rPr>
          <w:rFonts w:asciiTheme="minorHAnsi" w:hAnsiTheme="minorHAnsi" w:cstheme="minorHAnsi"/>
          <w:color w:val="auto"/>
        </w:rPr>
        <w:t xml:space="preserve"> when </w:t>
      </w:r>
      <w:r w:rsidR="00222AFC" w:rsidRPr="00551F38">
        <w:rPr>
          <w:rFonts w:asciiTheme="minorHAnsi" w:hAnsiTheme="minorHAnsi" w:cstheme="minorHAnsi"/>
          <w:i/>
          <w:iCs/>
          <w:color w:val="auto"/>
        </w:rPr>
        <w:t>Trichoderma</w:t>
      </w:r>
      <w:r w:rsidR="00D86176" w:rsidRPr="00551F38">
        <w:rPr>
          <w:rFonts w:asciiTheme="minorHAnsi" w:hAnsiTheme="minorHAnsi" w:cstheme="minorHAnsi"/>
          <w:color w:val="auto"/>
        </w:rPr>
        <w:t xml:space="preserve"> and antifungal compounds were in contact</w:t>
      </w:r>
      <w:r w:rsidR="00C46D3E" w:rsidRPr="00551F38">
        <w:rPr>
          <w:rFonts w:asciiTheme="minorHAnsi" w:hAnsiTheme="minorHAnsi" w:cstheme="minorHAnsi"/>
          <w:color w:val="auto"/>
        </w:rPr>
        <w:t>. Concomitantly, a MIC</w:t>
      </w:r>
      <w:r w:rsidR="003A07E8" w:rsidRPr="00551F38">
        <w:rPr>
          <w:rFonts w:asciiTheme="minorHAnsi" w:hAnsiTheme="minorHAnsi" w:cstheme="minorHAnsi"/>
          <w:color w:val="auto"/>
        </w:rPr>
        <w:t xml:space="preserve"> value of</w:t>
      </w:r>
      <w:r w:rsidR="00C46D3E" w:rsidRPr="00551F38">
        <w:rPr>
          <w:rFonts w:asciiTheme="minorHAnsi" w:hAnsiTheme="minorHAnsi" w:cstheme="minorHAnsi"/>
          <w:color w:val="auto"/>
        </w:rPr>
        <w:t xml:space="preserve"> </w:t>
      </w:r>
      <w:r w:rsidR="003A07E8" w:rsidRPr="00551F38">
        <w:rPr>
          <w:rFonts w:asciiTheme="minorHAnsi" w:hAnsiTheme="minorHAnsi" w:cstheme="minorHAnsi"/>
          <w:color w:val="auto"/>
        </w:rPr>
        <w:t>0.5 µg/m</w:t>
      </w:r>
      <w:r w:rsidR="004F4849" w:rsidRPr="00551F38">
        <w:rPr>
          <w:rFonts w:asciiTheme="minorHAnsi" w:hAnsiTheme="minorHAnsi" w:cstheme="minorHAnsi"/>
          <w:color w:val="auto"/>
        </w:rPr>
        <w:t>L</w:t>
      </w:r>
      <w:r w:rsidR="003A07E8" w:rsidRPr="00551F38">
        <w:rPr>
          <w:rFonts w:asciiTheme="minorHAnsi" w:hAnsiTheme="minorHAnsi" w:cstheme="minorHAnsi"/>
          <w:color w:val="auto"/>
        </w:rPr>
        <w:t xml:space="preserve"> </w:t>
      </w:r>
      <w:r w:rsidR="00C46D3E" w:rsidRPr="00551F38">
        <w:rPr>
          <w:rFonts w:asciiTheme="minorHAnsi" w:hAnsiTheme="minorHAnsi" w:cstheme="minorHAnsi"/>
          <w:color w:val="auto"/>
        </w:rPr>
        <w:t xml:space="preserve">has been </w:t>
      </w:r>
      <w:r w:rsidR="00D11FBF" w:rsidRPr="00551F38">
        <w:rPr>
          <w:rFonts w:asciiTheme="minorHAnsi" w:hAnsiTheme="minorHAnsi" w:cstheme="minorHAnsi"/>
          <w:color w:val="auto"/>
        </w:rPr>
        <w:t>estimated</w:t>
      </w:r>
      <w:r w:rsidR="00C46D3E" w:rsidRPr="00551F38">
        <w:rPr>
          <w:rFonts w:asciiTheme="minorHAnsi" w:hAnsiTheme="minorHAnsi" w:cstheme="minorHAnsi"/>
          <w:color w:val="auto"/>
        </w:rPr>
        <w:t xml:space="preserve"> </w:t>
      </w:r>
      <w:r w:rsidR="003A07E8" w:rsidRPr="00551F38">
        <w:rPr>
          <w:rFonts w:asciiTheme="minorHAnsi" w:hAnsiTheme="minorHAnsi" w:cstheme="minorHAnsi"/>
          <w:color w:val="auto"/>
        </w:rPr>
        <w:t>on</w:t>
      </w:r>
      <w:r w:rsidR="00C46D3E" w:rsidRPr="00551F38">
        <w:rPr>
          <w:rFonts w:asciiTheme="minorHAnsi" w:hAnsiTheme="minorHAnsi" w:cstheme="minorHAnsi"/>
          <w:color w:val="auto"/>
        </w:rPr>
        <w:t xml:space="preserve"> spore</w:t>
      </w:r>
      <w:r w:rsidR="00D11FBF" w:rsidRPr="00551F38">
        <w:rPr>
          <w:rFonts w:asciiTheme="minorHAnsi" w:hAnsiTheme="minorHAnsi" w:cstheme="minorHAnsi"/>
          <w:color w:val="auto"/>
        </w:rPr>
        <w:t xml:space="preserve"> germination</w:t>
      </w:r>
      <w:r w:rsidR="00C46D3E" w:rsidRPr="00551F38">
        <w:rPr>
          <w:rFonts w:asciiTheme="minorHAnsi" w:hAnsiTheme="minorHAnsi" w:cstheme="minorHAnsi"/>
          <w:color w:val="auto"/>
        </w:rPr>
        <w:t xml:space="preserve"> whereas </w:t>
      </w:r>
      <w:r w:rsidR="00612DFB" w:rsidRPr="00551F38">
        <w:rPr>
          <w:rFonts w:asciiTheme="minorHAnsi" w:hAnsiTheme="minorHAnsi" w:cstheme="minorHAnsi"/>
          <w:color w:val="auto"/>
        </w:rPr>
        <w:t>an increase to</w:t>
      </w:r>
      <w:r w:rsidR="00D11FBF" w:rsidRPr="00551F38">
        <w:rPr>
          <w:rFonts w:asciiTheme="minorHAnsi" w:hAnsiTheme="minorHAnsi" w:cstheme="minorHAnsi"/>
          <w:color w:val="auto"/>
        </w:rPr>
        <w:t xml:space="preserve"> </w:t>
      </w:r>
      <w:r w:rsidR="00612DFB" w:rsidRPr="00551F38">
        <w:rPr>
          <w:rFonts w:asciiTheme="minorHAnsi" w:hAnsiTheme="minorHAnsi" w:cstheme="minorHAnsi"/>
          <w:color w:val="auto"/>
        </w:rPr>
        <w:t>0.75 µg/m</w:t>
      </w:r>
      <w:r w:rsidR="004F4849" w:rsidRPr="00551F38">
        <w:rPr>
          <w:rFonts w:asciiTheme="minorHAnsi" w:hAnsiTheme="minorHAnsi" w:cstheme="minorHAnsi"/>
          <w:color w:val="auto"/>
        </w:rPr>
        <w:t>L</w:t>
      </w:r>
      <w:r w:rsidR="00612DFB" w:rsidRPr="00551F38">
        <w:rPr>
          <w:rFonts w:asciiTheme="minorHAnsi" w:hAnsiTheme="minorHAnsi" w:cstheme="minorHAnsi"/>
          <w:color w:val="auto"/>
        </w:rPr>
        <w:t xml:space="preserve"> has been </w:t>
      </w:r>
      <w:r w:rsidR="00D11FBF" w:rsidRPr="00551F38">
        <w:rPr>
          <w:rFonts w:asciiTheme="minorHAnsi" w:hAnsiTheme="minorHAnsi" w:cstheme="minorHAnsi"/>
          <w:color w:val="auto"/>
        </w:rPr>
        <w:t>obtained</w:t>
      </w:r>
      <w:r w:rsidR="00612DFB" w:rsidRPr="00551F38">
        <w:rPr>
          <w:rFonts w:asciiTheme="minorHAnsi" w:hAnsiTheme="minorHAnsi" w:cstheme="minorHAnsi"/>
          <w:color w:val="auto"/>
        </w:rPr>
        <w:t xml:space="preserve"> </w:t>
      </w:r>
      <w:r w:rsidR="003A07E8" w:rsidRPr="00551F38">
        <w:rPr>
          <w:rFonts w:asciiTheme="minorHAnsi" w:hAnsiTheme="minorHAnsi" w:cstheme="minorHAnsi"/>
          <w:color w:val="auto"/>
        </w:rPr>
        <w:t>on</w:t>
      </w:r>
      <w:r w:rsidR="00D11FBF" w:rsidRPr="00551F38">
        <w:rPr>
          <w:rFonts w:asciiTheme="minorHAnsi" w:hAnsiTheme="minorHAnsi" w:cstheme="minorHAnsi"/>
          <w:color w:val="auto"/>
        </w:rPr>
        <w:t xml:space="preserve"> </w:t>
      </w:r>
      <w:r w:rsidR="003B0D35" w:rsidRPr="00551F38">
        <w:rPr>
          <w:rFonts w:asciiTheme="minorHAnsi" w:hAnsiTheme="minorHAnsi" w:cstheme="minorHAnsi"/>
          <w:color w:val="auto"/>
        </w:rPr>
        <w:t>early hyphae</w:t>
      </w:r>
      <w:r w:rsidR="00D11FBF" w:rsidRPr="00551F38">
        <w:rPr>
          <w:rFonts w:asciiTheme="minorHAnsi" w:hAnsiTheme="minorHAnsi" w:cstheme="minorHAnsi"/>
          <w:color w:val="auto"/>
        </w:rPr>
        <w:t xml:space="preserve"> elongation</w:t>
      </w:r>
      <w:r w:rsidR="003B0D35" w:rsidRPr="00551F38">
        <w:rPr>
          <w:rFonts w:asciiTheme="minorHAnsi" w:hAnsiTheme="minorHAnsi" w:cstheme="minorHAnsi"/>
          <w:color w:val="auto"/>
        </w:rPr>
        <w:t xml:space="preserve"> and mycelium. </w:t>
      </w:r>
      <w:r w:rsidR="00D86176" w:rsidRPr="00551F38">
        <w:rPr>
          <w:rFonts w:asciiTheme="minorHAnsi" w:hAnsiTheme="minorHAnsi" w:cstheme="minorHAnsi"/>
          <w:color w:val="auto"/>
        </w:rPr>
        <w:t>By contrast, carbendazim ha</w:t>
      </w:r>
      <w:r w:rsidR="00FD160A" w:rsidRPr="00551F38">
        <w:rPr>
          <w:rFonts w:asciiTheme="minorHAnsi" w:hAnsiTheme="minorHAnsi" w:cstheme="minorHAnsi"/>
          <w:color w:val="auto"/>
        </w:rPr>
        <w:t>d</w:t>
      </w:r>
      <w:r w:rsidR="00D86176" w:rsidRPr="00551F38">
        <w:rPr>
          <w:rFonts w:asciiTheme="minorHAnsi" w:hAnsiTheme="minorHAnsi" w:cstheme="minorHAnsi"/>
          <w:color w:val="auto"/>
        </w:rPr>
        <w:t xml:space="preserve"> no antifungal effect on </w:t>
      </w:r>
      <w:r w:rsidR="00222AFC" w:rsidRPr="00551F38">
        <w:rPr>
          <w:rFonts w:asciiTheme="minorHAnsi" w:hAnsiTheme="minorHAnsi" w:cstheme="minorHAnsi"/>
          <w:i/>
          <w:iCs/>
          <w:color w:val="auto"/>
        </w:rPr>
        <w:t>Trichoderma</w:t>
      </w:r>
      <w:r w:rsidR="00D86176" w:rsidRPr="00551F38">
        <w:rPr>
          <w:rFonts w:asciiTheme="minorHAnsi" w:hAnsiTheme="minorHAnsi" w:cstheme="minorHAnsi"/>
          <w:color w:val="auto"/>
        </w:rPr>
        <w:t xml:space="preserve"> when the fungus </w:t>
      </w:r>
      <w:r w:rsidR="00FD160A" w:rsidRPr="00551F38">
        <w:rPr>
          <w:rFonts w:asciiTheme="minorHAnsi" w:hAnsiTheme="minorHAnsi" w:cstheme="minorHAnsi"/>
          <w:color w:val="auto"/>
        </w:rPr>
        <w:t>was</w:t>
      </w:r>
      <w:r w:rsidR="00D86176" w:rsidRPr="00551F38">
        <w:rPr>
          <w:rFonts w:asciiTheme="minorHAnsi" w:hAnsiTheme="minorHAnsi" w:cstheme="minorHAnsi"/>
          <w:color w:val="auto"/>
        </w:rPr>
        <w:t xml:space="preserve"> placed at distance from the fungicide</w:t>
      </w:r>
      <w:r w:rsidR="00B165E9" w:rsidRPr="00551F38">
        <w:rPr>
          <w:rFonts w:asciiTheme="minorHAnsi" w:hAnsiTheme="minorHAnsi" w:cstheme="minorHAnsi"/>
          <w:color w:val="auto"/>
        </w:rPr>
        <w:t xml:space="preserve"> in accordance with the low volatility of this substance</w:t>
      </w:r>
      <w:r w:rsidR="00673356" w:rsidRPr="00551F38">
        <w:rPr>
          <w:rFonts w:asciiTheme="minorHAnsi" w:hAnsiTheme="minorHAnsi" w:cstheme="minorHAnsi"/>
          <w:color w:val="auto"/>
        </w:rPr>
        <w:t>.</w:t>
      </w:r>
      <w:r w:rsidR="00D86176" w:rsidRPr="00551F38">
        <w:rPr>
          <w:rFonts w:asciiTheme="minorHAnsi" w:hAnsiTheme="minorHAnsi" w:cstheme="minorHAnsi"/>
          <w:color w:val="auto"/>
        </w:rPr>
        <w:t xml:space="preserve"> </w:t>
      </w:r>
      <w:r w:rsidR="00673356" w:rsidRPr="00551F38">
        <w:rPr>
          <w:rFonts w:asciiTheme="minorHAnsi" w:hAnsiTheme="minorHAnsi" w:cstheme="minorHAnsi"/>
          <w:color w:val="auto"/>
        </w:rPr>
        <w:t xml:space="preserve">The results </w:t>
      </w:r>
      <w:r w:rsidR="00B165E9" w:rsidRPr="00551F38">
        <w:rPr>
          <w:rFonts w:asciiTheme="minorHAnsi" w:hAnsiTheme="minorHAnsi" w:cstheme="minorHAnsi"/>
          <w:color w:val="auto"/>
        </w:rPr>
        <w:t>w</w:t>
      </w:r>
      <w:r w:rsidR="007F77DC" w:rsidRPr="00551F38">
        <w:rPr>
          <w:rFonts w:asciiTheme="minorHAnsi" w:hAnsiTheme="minorHAnsi" w:cstheme="minorHAnsi"/>
          <w:color w:val="auto"/>
        </w:rPr>
        <w:t xml:space="preserve">e </w:t>
      </w:r>
      <w:r w:rsidR="00673356" w:rsidRPr="00551F38">
        <w:rPr>
          <w:rFonts w:asciiTheme="minorHAnsi" w:hAnsiTheme="minorHAnsi" w:cstheme="minorHAnsi"/>
          <w:color w:val="auto"/>
        </w:rPr>
        <w:t>obtained</w:t>
      </w:r>
      <w:r w:rsidR="00B165E9" w:rsidRPr="00551F38">
        <w:rPr>
          <w:rFonts w:asciiTheme="minorHAnsi" w:hAnsiTheme="minorHAnsi" w:cstheme="minorHAnsi"/>
          <w:color w:val="auto"/>
        </w:rPr>
        <w:t xml:space="preserve"> using </w:t>
      </w:r>
      <w:r w:rsidR="00B165E9" w:rsidRPr="00551F38">
        <w:rPr>
          <w:rFonts w:asciiTheme="minorHAnsi" w:hAnsiTheme="minorHAnsi" w:cstheme="minorHAnsi"/>
          <w:i/>
          <w:iCs/>
          <w:color w:val="auto"/>
        </w:rPr>
        <w:t>Thymus vulgaris</w:t>
      </w:r>
      <w:r w:rsidR="00B165E9" w:rsidRPr="00551F38">
        <w:rPr>
          <w:rFonts w:asciiTheme="minorHAnsi" w:hAnsiTheme="minorHAnsi" w:cstheme="minorHAnsi"/>
          <w:color w:val="auto"/>
        </w:rPr>
        <w:t xml:space="preserve"> essential oil (TEO)</w:t>
      </w:r>
      <w:r w:rsidR="00D33D84" w:rsidRPr="00551F38">
        <w:rPr>
          <w:rFonts w:asciiTheme="minorHAnsi" w:hAnsiTheme="minorHAnsi" w:cstheme="minorHAnsi"/>
          <w:color w:val="auto"/>
        </w:rPr>
        <w:t xml:space="preserve"> </w:t>
      </w:r>
      <w:r w:rsidR="00B165E9" w:rsidRPr="00551F38">
        <w:rPr>
          <w:rFonts w:asciiTheme="minorHAnsi" w:hAnsiTheme="minorHAnsi" w:cstheme="minorHAnsi"/>
          <w:color w:val="auto"/>
        </w:rPr>
        <w:t xml:space="preserve">as antifungal compound </w:t>
      </w:r>
      <w:r w:rsidR="008705FC" w:rsidRPr="00551F38">
        <w:rPr>
          <w:rFonts w:asciiTheme="minorHAnsi" w:hAnsiTheme="minorHAnsi" w:cstheme="minorHAnsi"/>
          <w:color w:val="auto"/>
        </w:rPr>
        <w:t>(</w:t>
      </w:r>
      <w:r w:rsidRPr="00551F38">
        <w:rPr>
          <w:rFonts w:asciiTheme="minorHAnsi" w:hAnsiTheme="minorHAnsi" w:cstheme="minorHAnsi"/>
          <w:b/>
          <w:bCs/>
          <w:color w:val="auto"/>
        </w:rPr>
        <w:t>Figure</w:t>
      </w:r>
      <w:r w:rsidR="008705FC" w:rsidRPr="00551F38">
        <w:rPr>
          <w:rFonts w:asciiTheme="minorHAnsi" w:hAnsiTheme="minorHAnsi" w:cstheme="minorHAnsi"/>
          <w:b/>
          <w:bCs/>
          <w:color w:val="auto"/>
        </w:rPr>
        <w:t xml:space="preserve"> 3</w:t>
      </w:r>
      <w:r w:rsidR="008705FC" w:rsidRPr="00551F38">
        <w:rPr>
          <w:rFonts w:asciiTheme="minorHAnsi" w:hAnsiTheme="minorHAnsi" w:cstheme="minorHAnsi"/>
          <w:color w:val="auto"/>
        </w:rPr>
        <w:t xml:space="preserve">, panel C) </w:t>
      </w:r>
      <w:r w:rsidR="00673356" w:rsidRPr="00551F38">
        <w:rPr>
          <w:rFonts w:asciiTheme="minorHAnsi" w:hAnsiTheme="minorHAnsi" w:cstheme="minorHAnsi"/>
          <w:color w:val="auto"/>
        </w:rPr>
        <w:t xml:space="preserve">have </w:t>
      </w:r>
      <w:r w:rsidR="003B0D35" w:rsidRPr="00551F38">
        <w:rPr>
          <w:rFonts w:asciiTheme="minorHAnsi" w:hAnsiTheme="minorHAnsi" w:cstheme="minorHAnsi"/>
          <w:color w:val="auto"/>
        </w:rPr>
        <w:t>show</w:t>
      </w:r>
      <w:r w:rsidR="00673356" w:rsidRPr="00551F38">
        <w:rPr>
          <w:rFonts w:asciiTheme="minorHAnsi" w:hAnsiTheme="minorHAnsi" w:cstheme="minorHAnsi"/>
          <w:color w:val="auto"/>
        </w:rPr>
        <w:t>n</w:t>
      </w:r>
      <w:r w:rsidR="003B0D35" w:rsidRPr="00551F38">
        <w:rPr>
          <w:rFonts w:asciiTheme="minorHAnsi" w:hAnsiTheme="minorHAnsi" w:cstheme="minorHAnsi"/>
          <w:color w:val="auto"/>
        </w:rPr>
        <w:t xml:space="preserve"> a higher </w:t>
      </w:r>
      <w:r w:rsidR="007F77DC" w:rsidRPr="00551F38">
        <w:rPr>
          <w:rFonts w:asciiTheme="minorHAnsi" w:hAnsiTheme="minorHAnsi" w:cstheme="minorHAnsi"/>
          <w:color w:val="auto"/>
        </w:rPr>
        <w:t xml:space="preserve">spore </w:t>
      </w:r>
      <w:r w:rsidR="003B0D35" w:rsidRPr="00551F38">
        <w:rPr>
          <w:rFonts w:asciiTheme="minorHAnsi" w:hAnsiTheme="minorHAnsi" w:cstheme="minorHAnsi"/>
          <w:color w:val="auto"/>
        </w:rPr>
        <w:t>sensitivity</w:t>
      </w:r>
      <w:r w:rsidR="00E078C5" w:rsidRPr="00551F38">
        <w:rPr>
          <w:rFonts w:asciiTheme="minorHAnsi" w:hAnsiTheme="minorHAnsi" w:cstheme="minorHAnsi"/>
          <w:color w:val="auto"/>
        </w:rPr>
        <w:t xml:space="preserve"> </w:t>
      </w:r>
      <w:r w:rsidR="003B0D35" w:rsidRPr="00551F38">
        <w:rPr>
          <w:rFonts w:asciiTheme="minorHAnsi" w:hAnsiTheme="minorHAnsi" w:cstheme="minorHAnsi"/>
          <w:color w:val="auto"/>
        </w:rPr>
        <w:t xml:space="preserve">to TEO in comparison </w:t>
      </w:r>
      <w:r w:rsidR="00A9444E" w:rsidRPr="00551F38">
        <w:rPr>
          <w:rFonts w:asciiTheme="minorHAnsi" w:hAnsiTheme="minorHAnsi" w:cstheme="minorHAnsi"/>
          <w:color w:val="auto"/>
        </w:rPr>
        <w:t>to</w:t>
      </w:r>
      <w:r w:rsidR="003B0D35" w:rsidRPr="00551F38">
        <w:rPr>
          <w:rFonts w:asciiTheme="minorHAnsi" w:hAnsiTheme="minorHAnsi" w:cstheme="minorHAnsi"/>
          <w:color w:val="auto"/>
        </w:rPr>
        <w:t xml:space="preserve"> </w:t>
      </w:r>
      <w:r w:rsidR="004A7635" w:rsidRPr="00551F38">
        <w:rPr>
          <w:rFonts w:asciiTheme="minorHAnsi" w:hAnsiTheme="minorHAnsi" w:cstheme="minorHAnsi"/>
          <w:color w:val="auto"/>
        </w:rPr>
        <w:t>early hyphae and mycelium</w:t>
      </w:r>
      <w:r w:rsidR="00D87410" w:rsidRPr="00551F38">
        <w:rPr>
          <w:rFonts w:asciiTheme="minorHAnsi" w:hAnsiTheme="minorHAnsi" w:cstheme="minorHAnsi"/>
          <w:color w:val="auto"/>
        </w:rPr>
        <w:t xml:space="preserve"> with 65</w:t>
      </w:r>
      <w:r w:rsidR="00F75C76">
        <w:rPr>
          <w:rFonts w:asciiTheme="minorHAnsi" w:hAnsiTheme="minorHAnsi" w:cstheme="minorHAnsi"/>
          <w:color w:val="auto"/>
        </w:rPr>
        <w:t>%</w:t>
      </w:r>
      <w:r w:rsidR="00D87410" w:rsidRPr="00551F38">
        <w:rPr>
          <w:rFonts w:asciiTheme="minorHAnsi" w:hAnsiTheme="minorHAnsi" w:cstheme="minorHAnsi"/>
          <w:color w:val="auto"/>
        </w:rPr>
        <w:t xml:space="preserve"> and </w:t>
      </w:r>
      <w:r w:rsidR="0038383B" w:rsidRPr="00551F38">
        <w:rPr>
          <w:rFonts w:asciiTheme="minorHAnsi" w:hAnsiTheme="minorHAnsi" w:cstheme="minorHAnsi"/>
          <w:color w:val="auto"/>
        </w:rPr>
        <w:t xml:space="preserve">approximately </w:t>
      </w:r>
      <w:r w:rsidR="00D87410" w:rsidRPr="00551F38">
        <w:rPr>
          <w:rFonts w:asciiTheme="minorHAnsi" w:hAnsiTheme="minorHAnsi" w:cstheme="minorHAnsi"/>
          <w:color w:val="auto"/>
        </w:rPr>
        <w:t>50</w:t>
      </w:r>
      <w:r w:rsidR="00F75C76">
        <w:rPr>
          <w:rFonts w:asciiTheme="minorHAnsi" w:hAnsiTheme="minorHAnsi" w:cstheme="minorHAnsi"/>
          <w:color w:val="auto"/>
        </w:rPr>
        <w:t>%</w:t>
      </w:r>
      <w:r w:rsidR="00D87410" w:rsidRPr="00551F38">
        <w:rPr>
          <w:rFonts w:asciiTheme="minorHAnsi" w:hAnsiTheme="minorHAnsi" w:cstheme="minorHAnsi"/>
          <w:color w:val="auto"/>
        </w:rPr>
        <w:t xml:space="preserve"> growth inhibition at 0.01</w:t>
      </w:r>
      <w:r w:rsidR="00F75C76">
        <w:rPr>
          <w:rFonts w:asciiTheme="minorHAnsi" w:hAnsiTheme="minorHAnsi" w:cstheme="minorHAnsi"/>
          <w:color w:val="auto"/>
        </w:rPr>
        <w:t>%</w:t>
      </w:r>
      <w:r w:rsidR="00D87410" w:rsidRPr="00551F38">
        <w:rPr>
          <w:rFonts w:asciiTheme="minorHAnsi" w:hAnsiTheme="minorHAnsi" w:cstheme="minorHAnsi"/>
          <w:color w:val="auto"/>
        </w:rPr>
        <w:t xml:space="preserve"> TEO</w:t>
      </w:r>
      <w:r w:rsidR="004A7635" w:rsidRPr="00551F38">
        <w:rPr>
          <w:rFonts w:asciiTheme="minorHAnsi" w:hAnsiTheme="minorHAnsi" w:cstheme="minorHAnsi"/>
          <w:color w:val="auto"/>
        </w:rPr>
        <w:t xml:space="preserve"> </w:t>
      </w:r>
      <w:r w:rsidR="00D87410" w:rsidRPr="00551F38">
        <w:rPr>
          <w:rFonts w:asciiTheme="minorHAnsi" w:hAnsiTheme="minorHAnsi" w:cstheme="minorHAnsi"/>
          <w:color w:val="auto"/>
        </w:rPr>
        <w:t>respectively</w:t>
      </w:r>
      <w:r w:rsidR="00D95A46" w:rsidRPr="00551F38">
        <w:rPr>
          <w:rFonts w:asciiTheme="minorHAnsi" w:hAnsiTheme="minorHAnsi" w:cstheme="minorHAnsi"/>
          <w:color w:val="auto"/>
        </w:rPr>
        <w:t>.</w:t>
      </w:r>
      <w:r w:rsidR="004A7635" w:rsidRPr="00551F38">
        <w:rPr>
          <w:rFonts w:asciiTheme="minorHAnsi" w:hAnsiTheme="minorHAnsi" w:cstheme="minorHAnsi"/>
          <w:color w:val="auto"/>
        </w:rPr>
        <w:t xml:space="preserve"> </w:t>
      </w:r>
      <w:r w:rsidR="00D95A46" w:rsidRPr="00551F38">
        <w:rPr>
          <w:rFonts w:asciiTheme="minorHAnsi" w:hAnsiTheme="minorHAnsi" w:cstheme="minorHAnsi"/>
          <w:color w:val="auto"/>
        </w:rPr>
        <w:t>The</w:t>
      </w:r>
      <w:r w:rsidR="004A7635" w:rsidRPr="00551F38">
        <w:rPr>
          <w:rFonts w:asciiTheme="minorHAnsi" w:hAnsiTheme="minorHAnsi" w:cstheme="minorHAnsi"/>
          <w:color w:val="auto"/>
        </w:rPr>
        <w:t xml:space="preserve"> MIC</w:t>
      </w:r>
      <w:r w:rsidR="001546F3" w:rsidRPr="00551F38">
        <w:rPr>
          <w:rFonts w:asciiTheme="minorHAnsi" w:hAnsiTheme="minorHAnsi" w:cstheme="minorHAnsi"/>
          <w:color w:val="auto"/>
        </w:rPr>
        <w:t xml:space="preserve"> values</w:t>
      </w:r>
      <w:r w:rsidR="004A7635" w:rsidRPr="00551F38">
        <w:rPr>
          <w:rFonts w:asciiTheme="minorHAnsi" w:hAnsiTheme="minorHAnsi" w:cstheme="minorHAnsi"/>
          <w:color w:val="auto"/>
        </w:rPr>
        <w:t xml:space="preserve"> </w:t>
      </w:r>
      <w:r w:rsidR="00D95A46" w:rsidRPr="00551F38">
        <w:rPr>
          <w:rFonts w:asciiTheme="minorHAnsi" w:hAnsiTheme="minorHAnsi" w:cstheme="minorHAnsi"/>
          <w:color w:val="auto"/>
        </w:rPr>
        <w:t xml:space="preserve">obtained were similar </w:t>
      </w:r>
      <w:r w:rsidR="00D33D84" w:rsidRPr="00551F38">
        <w:rPr>
          <w:rFonts w:asciiTheme="minorHAnsi" w:hAnsiTheme="minorHAnsi" w:cstheme="minorHAnsi"/>
          <w:color w:val="auto"/>
        </w:rPr>
        <w:t>for</w:t>
      </w:r>
      <w:r w:rsidR="00D95A46" w:rsidRPr="00551F38">
        <w:rPr>
          <w:rFonts w:asciiTheme="minorHAnsi" w:hAnsiTheme="minorHAnsi" w:cstheme="minorHAnsi"/>
          <w:color w:val="auto"/>
        </w:rPr>
        <w:t xml:space="preserve"> spore</w:t>
      </w:r>
      <w:r w:rsidR="001546F3" w:rsidRPr="00551F38">
        <w:rPr>
          <w:rFonts w:asciiTheme="minorHAnsi" w:hAnsiTheme="minorHAnsi" w:cstheme="minorHAnsi"/>
          <w:color w:val="auto"/>
        </w:rPr>
        <w:t xml:space="preserve"> germination</w:t>
      </w:r>
      <w:r w:rsidR="00D95A46" w:rsidRPr="00551F38">
        <w:rPr>
          <w:rFonts w:asciiTheme="minorHAnsi" w:hAnsiTheme="minorHAnsi" w:cstheme="minorHAnsi"/>
          <w:color w:val="auto"/>
        </w:rPr>
        <w:t xml:space="preserve"> and early hyphae</w:t>
      </w:r>
      <w:r w:rsidR="001546F3" w:rsidRPr="00551F38">
        <w:rPr>
          <w:rFonts w:asciiTheme="minorHAnsi" w:hAnsiTheme="minorHAnsi" w:cstheme="minorHAnsi"/>
          <w:color w:val="auto"/>
        </w:rPr>
        <w:t xml:space="preserve"> elongation</w:t>
      </w:r>
      <w:r w:rsidR="007F260E" w:rsidRPr="00551F38">
        <w:rPr>
          <w:rFonts w:asciiTheme="minorHAnsi" w:hAnsiTheme="minorHAnsi" w:cstheme="minorHAnsi"/>
          <w:color w:val="auto"/>
        </w:rPr>
        <w:t xml:space="preserve"> (0.025</w:t>
      </w:r>
      <w:r w:rsidR="00F75C76">
        <w:rPr>
          <w:rFonts w:asciiTheme="minorHAnsi" w:hAnsiTheme="minorHAnsi" w:cstheme="minorHAnsi"/>
          <w:color w:val="auto"/>
        </w:rPr>
        <w:t>%</w:t>
      </w:r>
      <w:r w:rsidR="00B044F1" w:rsidRPr="00551F38">
        <w:rPr>
          <w:rFonts w:asciiTheme="minorHAnsi" w:hAnsiTheme="minorHAnsi" w:cstheme="minorHAnsi"/>
          <w:color w:val="auto"/>
        </w:rPr>
        <w:t xml:space="preserve"> TEO</w:t>
      </w:r>
      <w:r w:rsidR="007F260E" w:rsidRPr="00551F38">
        <w:rPr>
          <w:rFonts w:asciiTheme="minorHAnsi" w:hAnsiTheme="minorHAnsi" w:cstheme="minorHAnsi"/>
          <w:color w:val="auto"/>
        </w:rPr>
        <w:t>)</w:t>
      </w:r>
      <w:r w:rsidR="00D95A46" w:rsidRPr="00551F38">
        <w:rPr>
          <w:rFonts w:asciiTheme="minorHAnsi" w:hAnsiTheme="minorHAnsi" w:cstheme="minorHAnsi"/>
          <w:color w:val="auto"/>
        </w:rPr>
        <w:t xml:space="preserve"> and higher for mycelium </w:t>
      </w:r>
      <w:r w:rsidR="001546F3" w:rsidRPr="00551F38">
        <w:rPr>
          <w:rFonts w:asciiTheme="minorHAnsi" w:hAnsiTheme="minorHAnsi" w:cstheme="minorHAnsi"/>
          <w:color w:val="auto"/>
        </w:rPr>
        <w:t xml:space="preserve">growth </w:t>
      </w:r>
      <w:r w:rsidR="00E078C5" w:rsidRPr="00551F38">
        <w:rPr>
          <w:rFonts w:asciiTheme="minorHAnsi" w:hAnsiTheme="minorHAnsi" w:cstheme="minorHAnsi"/>
          <w:color w:val="auto"/>
        </w:rPr>
        <w:t>(</w:t>
      </w:r>
      <w:r w:rsidR="007F260E" w:rsidRPr="00551F38">
        <w:rPr>
          <w:rFonts w:asciiTheme="minorHAnsi" w:hAnsiTheme="minorHAnsi" w:cstheme="minorHAnsi"/>
          <w:color w:val="auto"/>
        </w:rPr>
        <w:t>0.05</w:t>
      </w:r>
      <w:r w:rsidR="00F75C76">
        <w:rPr>
          <w:rFonts w:asciiTheme="minorHAnsi" w:hAnsiTheme="minorHAnsi" w:cstheme="minorHAnsi"/>
          <w:color w:val="auto"/>
        </w:rPr>
        <w:t>%</w:t>
      </w:r>
      <w:r w:rsidR="00B044F1" w:rsidRPr="00551F38">
        <w:rPr>
          <w:rFonts w:asciiTheme="minorHAnsi" w:hAnsiTheme="minorHAnsi" w:cstheme="minorHAnsi"/>
          <w:color w:val="auto"/>
        </w:rPr>
        <w:t xml:space="preserve"> TEO)</w:t>
      </w:r>
      <w:r w:rsidR="00D95A46" w:rsidRPr="00551F38">
        <w:rPr>
          <w:rFonts w:asciiTheme="minorHAnsi" w:hAnsiTheme="minorHAnsi" w:cstheme="minorHAnsi"/>
          <w:color w:val="auto"/>
        </w:rPr>
        <w:t xml:space="preserve">. </w:t>
      </w:r>
      <w:r w:rsidR="00D10EA9" w:rsidRPr="00551F38">
        <w:rPr>
          <w:rFonts w:asciiTheme="minorHAnsi" w:hAnsiTheme="minorHAnsi" w:cstheme="minorHAnsi"/>
          <w:color w:val="auto"/>
        </w:rPr>
        <w:t>As expected</w:t>
      </w:r>
      <w:r w:rsidR="00B165E9" w:rsidRPr="00551F38">
        <w:rPr>
          <w:rFonts w:asciiTheme="minorHAnsi" w:hAnsiTheme="minorHAnsi" w:cstheme="minorHAnsi"/>
          <w:color w:val="auto"/>
        </w:rPr>
        <w:t xml:space="preserve">, </w:t>
      </w:r>
      <w:r w:rsidR="00B165E9" w:rsidRPr="00551F38">
        <w:rPr>
          <w:rFonts w:asciiTheme="minorHAnsi" w:hAnsiTheme="minorHAnsi" w:cstheme="minorHAnsi"/>
          <w:i/>
          <w:iCs/>
          <w:color w:val="auto"/>
        </w:rPr>
        <w:t>Thymus vulgaris</w:t>
      </w:r>
      <w:r w:rsidR="00B165E9" w:rsidRPr="00551F38">
        <w:rPr>
          <w:rFonts w:asciiTheme="minorHAnsi" w:hAnsiTheme="minorHAnsi" w:cstheme="minorHAnsi"/>
          <w:color w:val="auto"/>
        </w:rPr>
        <w:t xml:space="preserve"> essential oil present</w:t>
      </w:r>
      <w:r w:rsidR="00FD160A" w:rsidRPr="00551F38">
        <w:rPr>
          <w:rFonts w:asciiTheme="minorHAnsi" w:hAnsiTheme="minorHAnsi" w:cstheme="minorHAnsi"/>
          <w:color w:val="auto"/>
        </w:rPr>
        <w:t>ed</w:t>
      </w:r>
      <w:r w:rsidR="00B165E9" w:rsidRPr="00551F38">
        <w:rPr>
          <w:rFonts w:asciiTheme="minorHAnsi" w:hAnsiTheme="minorHAnsi" w:cstheme="minorHAnsi"/>
          <w:color w:val="auto"/>
        </w:rPr>
        <w:t xml:space="preserve"> identical antifungal activity irrespective of the distance </w:t>
      </w:r>
      <w:proofErr w:type="spellStart"/>
      <w:r w:rsidR="00B165E9" w:rsidRPr="00551F38">
        <w:rPr>
          <w:rFonts w:asciiTheme="minorHAnsi" w:hAnsiTheme="minorHAnsi" w:cstheme="minorHAnsi"/>
          <w:color w:val="auto"/>
        </w:rPr>
        <w:t>be</w:t>
      </w:r>
      <w:r w:rsidR="00F75C76">
        <w:rPr>
          <w:rFonts w:asciiTheme="minorHAnsi" w:hAnsiTheme="minorHAnsi" w:cstheme="minorHAnsi"/>
          <w:color w:val="auto"/>
        </w:rPr>
        <w:t>Tween</w:t>
      </w:r>
      <w:proofErr w:type="spellEnd"/>
      <w:r w:rsidR="00B165E9" w:rsidRPr="00551F38">
        <w:rPr>
          <w:rFonts w:asciiTheme="minorHAnsi" w:hAnsiTheme="minorHAnsi" w:cstheme="minorHAnsi"/>
          <w:color w:val="auto"/>
        </w:rPr>
        <w:t xml:space="preserve"> the fungus and the oil. </w:t>
      </w:r>
      <w:r w:rsidR="00D33D84" w:rsidRPr="00551F38">
        <w:rPr>
          <w:rFonts w:asciiTheme="minorHAnsi" w:hAnsiTheme="minorHAnsi" w:cstheme="minorHAnsi"/>
          <w:color w:val="auto"/>
        </w:rPr>
        <w:t>Similar</w:t>
      </w:r>
      <w:r w:rsidR="00B165E9" w:rsidRPr="00551F38">
        <w:rPr>
          <w:rFonts w:asciiTheme="minorHAnsi" w:hAnsiTheme="minorHAnsi" w:cstheme="minorHAnsi"/>
          <w:color w:val="auto"/>
        </w:rPr>
        <w:t xml:space="preserve"> MIC</w:t>
      </w:r>
      <w:r w:rsidR="00D33D84" w:rsidRPr="00551F38">
        <w:rPr>
          <w:rFonts w:asciiTheme="minorHAnsi" w:hAnsiTheme="minorHAnsi" w:cstheme="minorHAnsi"/>
          <w:color w:val="auto"/>
        </w:rPr>
        <w:t xml:space="preserve"> values (0.025% TEO) </w:t>
      </w:r>
      <w:r w:rsidR="00E45386" w:rsidRPr="00551F38">
        <w:rPr>
          <w:rFonts w:asciiTheme="minorHAnsi" w:hAnsiTheme="minorHAnsi" w:cstheme="minorHAnsi"/>
          <w:color w:val="auto"/>
        </w:rPr>
        <w:t xml:space="preserve">were </w:t>
      </w:r>
      <w:r w:rsidR="00B165E9" w:rsidRPr="00551F38">
        <w:rPr>
          <w:rFonts w:asciiTheme="minorHAnsi" w:hAnsiTheme="minorHAnsi" w:cstheme="minorHAnsi"/>
          <w:color w:val="auto"/>
        </w:rPr>
        <w:t xml:space="preserve">obtained on spore germination and early hyphae elongation </w:t>
      </w:r>
      <w:r w:rsidR="00D33D84" w:rsidRPr="00551F38">
        <w:rPr>
          <w:rFonts w:asciiTheme="minorHAnsi" w:hAnsiTheme="minorHAnsi" w:cstheme="minorHAnsi"/>
          <w:color w:val="auto"/>
        </w:rPr>
        <w:t xml:space="preserve">for contact and vapor-phase assays, </w:t>
      </w:r>
      <w:r w:rsidR="00E45386" w:rsidRPr="00551F38">
        <w:rPr>
          <w:rFonts w:asciiTheme="minorHAnsi" w:hAnsiTheme="minorHAnsi" w:cstheme="minorHAnsi"/>
          <w:color w:val="auto"/>
        </w:rPr>
        <w:t xml:space="preserve">though </w:t>
      </w:r>
      <w:r w:rsidR="00B165E9" w:rsidRPr="00551F38">
        <w:rPr>
          <w:rFonts w:asciiTheme="minorHAnsi" w:hAnsiTheme="minorHAnsi" w:cstheme="minorHAnsi"/>
          <w:color w:val="auto"/>
        </w:rPr>
        <w:t xml:space="preserve">at </w:t>
      </w:r>
      <w:r w:rsidR="00E45386" w:rsidRPr="00551F38">
        <w:rPr>
          <w:rFonts w:asciiTheme="minorHAnsi" w:hAnsiTheme="minorHAnsi" w:cstheme="minorHAnsi"/>
          <w:color w:val="auto"/>
        </w:rPr>
        <w:t xml:space="preserve">the </w:t>
      </w:r>
      <w:r w:rsidR="00B165E9" w:rsidRPr="00551F38">
        <w:rPr>
          <w:rFonts w:asciiTheme="minorHAnsi" w:hAnsiTheme="minorHAnsi" w:cstheme="minorHAnsi"/>
          <w:color w:val="auto"/>
        </w:rPr>
        <w:t xml:space="preserve">lower percentage a higher sensitivity </w:t>
      </w:r>
      <w:r w:rsidR="00D33D84" w:rsidRPr="00551F38">
        <w:rPr>
          <w:rFonts w:asciiTheme="minorHAnsi" w:hAnsiTheme="minorHAnsi" w:cstheme="minorHAnsi"/>
          <w:color w:val="auto"/>
        </w:rPr>
        <w:t>has been</w:t>
      </w:r>
      <w:r w:rsidR="00B165E9" w:rsidRPr="00551F38">
        <w:rPr>
          <w:rFonts w:asciiTheme="minorHAnsi" w:hAnsiTheme="minorHAnsi" w:cstheme="minorHAnsi"/>
          <w:color w:val="auto"/>
        </w:rPr>
        <w:t xml:space="preserve"> observed when TEO and </w:t>
      </w:r>
      <w:r w:rsidR="00222AFC" w:rsidRPr="00551F38">
        <w:rPr>
          <w:rFonts w:asciiTheme="minorHAnsi" w:hAnsiTheme="minorHAnsi" w:cstheme="minorHAnsi"/>
          <w:i/>
          <w:iCs/>
          <w:color w:val="auto"/>
        </w:rPr>
        <w:t>Trichoderma</w:t>
      </w:r>
      <w:r w:rsidR="00B165E9" w:rsidRPr="00551F38">
        <w:rPr>
          <w:rFonts w:asciiTheme="minorHAnsi" w:hAnsiTheme="minorHAnsi" w:cstheme="minorHAnsi"/>
          <w:color w:val="auto"/>
        </w:rPr>
        <w:t xml:space="preserve"> spores </w:t>
      </w:r>
      <w:r w:rsidR="008C0293" w:rsidRPr="00551F38">
        <w:rPr>
          <w:rFonts w:asciiTheme="minorHAnsi" w:hAnsiTheme="minorHAnsi" w:cstheme="minorHAnsi"/>
          <w:color w:val="auto"/>
        </w:rPr>
        <w:t>were</w:t>
      </w:r>
      <w:r w:rsidR="00B165E9" w:rsidRPr="00551F38">
        <w:rPr>
          <w:rFonts w:asciiTheme="minorHAnsi" w:hAnsiTheme="minorHAnsi" w:cstheme="minorHAnsi"/>
          <w:color w:val="auto"/>
        </w:rPr>
        <w:t xml:space="preserve"> in contact (60</w:t>
      </w:r>
      <w:r w:rsidR="00F75C76">
        <w:rPr>
          <w:rFonts w:asciiTheme="minorHAnsi" w:hAnsiTheme="minorHAnsi" w:cstheme="minorHAnsi"/>
          <w:color w:val="auto"/>
        </w:rPr>
        <w:t>%</w:t>
      </w:r>
      <w:r w:rsidR="00B165E9" w:rsidRPr="00551F38">
        <w:rPr>
          <w:rFonts w:asciiTheme="minorHAnsi" w:hAnsiTheme="minorHAnsi" w:cstheme="minorHAnsi"/>
          <w:color w:val="auto"/>
        </w:rPr>
        <w:t xml:space="preserve"> growth inhibition in contact versus 45</w:t>
      </w:r>
      <w:r w:rsidR="00F75C76">
        <w:rPr>
          <w:rFonts w:asciiTheme="minorHAnsi" w:hAnsiTheme="minorHAnsi" w:cstheme="minorHAnsi"/>
          <w:color w:val="auto"/>
        </w:rPr>
        <w:t>%</w:t>
      </w:r>
      <w:r w:rsidR="00B165E9" w:rsidRPr="00551F38">
        <w:rPr>
          <w:rFonts w:asciiTheme="minorHAnsi" w:hAnsiTheme="minorHAnsi" w:cstheme="minorHAnsi"/>
          <w:color w:val="auto"/>
        </w:rPr>
        <w:t xml:space="preserve"> growth inhibition at distance). </w:t>
      </w:r>
      <w:r w:rsidR="00D10EA9" w:rsidRPr="00551F38">
        <w:rPr>
          <w:rFonts w:asciiTheme="minorHAnsi" w:hAnsiTheme="minorHAnsi" w:cstheme="minorHAnsi"/>
          <w:color w:val="auto"/>
        </w:rPr>
        <w:t>Surprisingly</w:t>
      </w:r>
      <w:r w:rsidR="00B165E9" w:rsidRPr="00551F38">
        <w:rPr>
          <w:rFonts w:asciiTheme="minorHAnsi" w:hAnsiTheme="minorHAnsi" w:cstheme="minorHAnsi"/>
          <w:color w:val="auto"/>
        </w:rPr>
        <w:t xml:space="preserve">, MIC values obtained on the mycelium </w:t>
      </w:r>
      <w:r w:rsidR="00FD160A" w:rsidRPr="00551F38">
        <w:rPr>
          <w:rFonts w:asciiTheme="minorHAnsi" w:hAnsiTheme="minorHAnsi" w:cstheme="minorHAnsi"/>
          <w:color w:val="auto"/>
        </w:rPr>
        <w:t>were</w:t>
      </w:r>
      <w:r w:rsidR="00B165E9" w:rsidRPr="00551F38">
        <w:rPr>
          <w:rFonts w:asciiTheme="minorHAnsi" w:hAnsiTheme="minorHAnsi" w:cstheme="minorHAnsi"/>
          <w:color w:val="auto"/>
        </w:rPr>
        <w:t xml:space="preserve"> different in the contact</w:t>
      </w:r>
      <w:r w:rsidR="00B00E9C" w:rsidRPr="00551F38">
        <w:rPr>
          <w:rFonts w:asciiTheme="minorHAnsi" w:hAnsiTheme="minorHAnsi" w:cstheme="minorHAnsi"/>
          <w:color w:val="auto"/>
        </w:rPr>
        <w:t>-</w:t>
      </w:r>
      <w:r w:rsidR="00B165E9" w:rsidRPr="00551F38">
        <w:rPr>
          <w:rFonts w:asciiTheme="minorHAnsi" w:hAnsiTheme="minorHAnsi" w:cstheme="minorHAnsi"/>
          <w:color w:val="auto"/>
        </w:rPr>
        <w:t xml:space="preserve"> and vapor</w:t>
      </w:r>
      <w:r w:rsidR="00B00E9C" w:rsidRPr="00551F38">
        <w:rPr>
          <w:rFonts w:asciiTheme="minorHAnsi" w:hAnsiTheme="minorHAnsi" w:cstheme="minorHAnsi"/>
          <w:color w:val="auto"/>
        </w:rPr>
        <w:t>-</w:t>
      </w:r>
      <w:r w:rsidR="00B165E9" w:rsidRPr="00551F38">
        <w:rPr>
          <w:rFonts w:asciiTheme="minorHAnsi" w:hAnsiTheme="minorHAnsi" w:cstheme="minorHAnsi"/>
          <w:color w:val="auto"/>
        </w:rPr>
        <w:t>phase inhibition assays (0.05</w:t>
      </w:r>
      <w:r w:rsidR="00F75C76">
        <w:rPr>
          <w:rFonts w:asciiTheme="minorHAnsi" w:hAnsiTheme="minorHAnsi" w:cstheme="minorHAnsi"/>
          <w:color w:val="auto"/>
        </w:rPr>
        <w:t>%</w:t>
      </w:r>
      <w:r w:rsidR="00B165E9" w:rsidRPr="00551F38">
        <w:rPr>
          <w:rFonts w:asciiTheme="minorHAnsi" w:hAnsiTheme="minorHAnsi" w:cstheme="minorHAnsi"/>
          <w:color w:val="auto"/>
        </w:rPr>
        <w:t xml:space="preserve"> versus 0.1</w:t>
      </w:r>
      <w:r w:rsidR="00F75C76">
        <w:rPr>
          <w:rFonts w:asciiTheme="minorHAnsi" w:hAnsiTheme="minorHAnsi" w:cstheme="minorHAnsi"/>
          <w:color w:val="auto"/>
        </w:rPr>
        <w:t>%</w:t>
      </w:r>
      <w:r w:rsidR="00B165E9" w:rsidRPr="00551F38">
        <w:rPr>
          <w:rFonts w:asciiTheme="minorHAnsi" w:hAnsiTheme="minorHAnsi" w:cstheme="minorHAnsi"/>
          <w:color w:val="auto"/>
        </w:rPr>
        <w:t xml:space="preserve">) suggesting that </w:t>
      </w:r>
      <w:r w:rsidR="00B00E9C" w:rsidRPr="00551F38">
        <w:rPr>
          <w:rFonts w:asciiTheme="minorHAnsi" w:hAnsiTheme="minorHAnsi" w:cstheme="minorHAnsi"/>
          <w:color w:val="auto"/>
        </w:rPr>
        <w:t>some</w:t>
      </w:r>
      <w:r w:rsidR="00B165E9" w:rsidRPr="00551F38">
        <w:rPr>
          <w:rFonts w:asciiTheme="minorHAnsi" w:hAnsiTheme="minorHAnsi" w:cstheme="minorHAnsi"/>
          <w:color w:val="auto"/>
        </w:rPr>
        <w:t xml:space="preserve"> part of </w:t>
      </w:r>
      <w:r w:rsidR="00B00E9C" w:rsidRPr="00551F38">
        <w:rPr>
          <w:rFonts w:asciiTheme="minorHAnsi" w:hAnsiTheme="minorHAnsi" w:cstheme="minorHAnsi"/>
          <w:color w:val="auto"/>
        </w:rPr>
        <w:t xml:space="preserve">the </w:t>
      </w:r>
      <w:r w:rsidR="00B165E9" w:rsidRPr="00551F38">
        <w:rPr>
          <w:rFonts w:asciiTheme="minorHAnsi" w:hAnsiTheme="minorHAnsi" w:cstheme="minorHAnsi"/>
          <w:color w:val="auto"/>
        </w:rPr>
        <w:t xml:space="preserve">volatile molecules </w:t>
      </w:r>
      <w:r w:rsidR="00B00E9C" w:rsidRPr="00551F38">
        <w:rPr>
          <w:rFonts w:asciiTheme="minorHAnsi" w:hAnsiTheme="minorHAnsi" w:cstheme="minorHAnsi"/>
          <w:color w:val="auto"/>
        </w:rPr>
        <w:t xml:space="preserve">is </w:t>
      </w:r>
      <w:r w:rsidR="00B165E9" w:rsidRPr="00551F38">
        <w:rPr>
          <w:rFonts w:asciiTheme="minorHAnsi" w:hAnsiTheme="minorHAnsi" w:cstheme="minorHAnsi"/>
          <w:color w:val="auto"/>
        </w:rPr>
        <w:t xml:space="preserve">not active against a well-developed mycelium. </w:t>
      </w:r>
      <w:r w:rsidR="00E078C5" w:rsidRPr="00551F38">
        <w:rPr>
          <w:rFonts w:asciiTheme="minorHAnsi" w:hAnsiTheme="minorHAnsi" w:cstheme="minorHAnsi"/>
          <w:color w:val="auto"/>
        </w:rPr>
        <w:t>Finally,</w:t>
      </w:r>
      <w:r w:rsidR="007F260E" w:rsidRPr="00551F38">
        <w:rPr>
          <w:rFonts w:asciiTheme="minorHAnsi" w:hAnsiTheme="minorHAnsi" w:cstheme="minorHAnsi"/>
          <w:color w:val="auto"/>
        </w:rPr>
        <w:t xml:space="preserve"> when using garlic powder</w:t>
      </w:r>
      <w:r w:rsidR="00D87410" w:rsidRPr="00551F38">
        <w:rPr>
          <w:rFonts w:asciiTheme="minorHAnsi" w:hAnsiTheme="minorHAnsi" w:cstheme="minorHAnsi"/>
          <w:color w:val="auto"/>
        </w:rPr>
        <w:t xml:space="preserve"> as antifungal compound</w:t>
      </w:r>
      <w:r w:rsidR="004F4849" w:rsidRPr="00551F38">
        <w:rPr>
          <w:rFonts w:asciiTheme="minorHAnsi" w:hAnsiTheme="minorHAnsi" w:cstheme="minorHAnsi"/>
          <w:color w:val="auto"/>
        </w:rPr>
        <w:t xml:space="preserve"> (</w:t>
      </w:r>
      <w:r w:rsidRPr="00551F38">
        <w:rPr>
          <w:rFonts w:asciiTheme="minorHAnsi" w:hAnsiTheme="minorHAnsi" w:cstheme="minorHAnsi"/>
          <w:b/>
          <w:bCs/>
          <w:color w:val="auto"/>
        </w:rPr>
        <w:t>Figure</w:t>
      </w:r>
      <w:r w:rsidR="004F4849" w:rsidRPr="00551F38">
        <w:rPr>
          <w:rFonts w:asciiTheme="minorHAnsi" w:hAnsiTheme="minorHAnsi" w:cstheme="minorHAnsi"/>
          <w:b/>
          <w:bCs/>
          <w:color w:val="auto"/>
        </w:rPr>
        <w:t xml:space="preserve"> 3</w:t>
      </w:r>
      <w:r w:rsidR="004F4849" w:rsidRPr="00551F38">
        <w:rPr>
          <w:rFonts w:asciiTheme="minorHAnsi" w:hAnsiTheme="minorHAnsi" w:cstheme="minorHAnsi"/>
          <w:color w:val="auto"/>
        </w:rPr>
        <w:t>, panel D)</w:t>
      </w:r>
      <w:r w:rsidR="00C70E81" w:rsidRPr="00551F38">
        <w:rPr>
          <w:rFonts w:asciiTheme="minorHAnsi" w:hAnsiTheme="minorHAnsi" w:cstheme="minorHAnsi"/>
          <w:color w:val="auto"/>
        </w:rPr>
        <w:t>, a</w:t>
      </w:r>
      <w:r w:rsidR="00D071EE" w:rsidRPr="00551F38">
        <w:rPr>
          <w:rFonts w:asciiTheme="minorHAnsi" w:hAnsiTheme="minorHAnsi" w:cstheme="minorHAnsi"/>
          <w:color w:val="auto"/>
        </w:rPr>
        <w:t xml:space="preserve"> higher </w:t>
      </w:r>
      <w:r w:rsidR="003A1D20" w:rsidRPr="00551F38">
        <w:rPr>
          <w:rFonts w:asciiTheme="minorHAnsi" w:hAnsiTheme="minorHAnsi" w:cstheme="minorHAnsi"/>
          <w:color w:val="auto"/>
        </w:rPr>
        <w:t>efficacy</w:t>
      </w:r>
      <w:r w:rsidR="00D071EE" w:rsidRPr="00551F38">
        <w:rPr>
          <w:rFonts w:asciiTheme="minorHAnsi" w:hAnsiTheme="minorHAnsi" w:cstheme="minorHAnsi"/>
          <w:color w:val="auto"/>
        </w:rPr>
        <w:t xml:space="preserve"> </w:t>
      </w:r>
      <w:r w:rsidR="0076101A" w:rsidRPr="00551F38">
        <w:rPr>
          <w:rFonts w:asciiTheme="minorHAnsi" w:hAnsiTheme="minorHAnsi" w:cstheme="minorHAnsi"/>
          <w:color w:val="auto"/>
        </w:rPr>
        <w:t xml:space="preserve">was observed </w:t>
      </w:r>
      <w:r w:rsidR="003A1D20" w:rsidRPr="00551F38">
        <w:rPr>
          <w:rFonts w:asciiTheme="minorHAnsi" w:hAnsiTheme="minorHAnsi" w:cstheme="minorHAnsi"/>
          <w:color w:val="auto"/>
        </w:rPr>
        <w:t>against</w:t>
      </w:r>
      <w:r w:rsidR="00C70E81" w:rsidRPr="00551F38">
        <w:rPr>
          <w:rFonts w:asciiTheme="minorHAnsi" w:hAnsiTheme="minorHAnsi" w:cstheme="minorHAnsi"/>
          <w:color w:val="auto"/>
        </w:rPr>
        <w:t xml:space="preserve"> spore ge</w:t>
      </w:r>
      <w:r w:rsidR="003A1D20" w:rsidRPr="00551F38">
        <w:rPr>
          <w:rFonts w:asciiTheme="minorHAnsi" w:hAnsiTheme="minorHAnsi" w:cstheme="minorHAnsi"/>
          <w:color w:val="auto"/>
        </w:rPr>
        <w:t>r</w:t>
      </w:r>
      <w:r w:rsidR="00C70E81" w:rsidRPr="00551F38">
        <w:rPr>
          <w:rFonts w:asciiTheme="minorHAnsi" w:hAnsiTheme="minorHAnsi" w:cstheme="minorHAnsi"/>
          <w:color w:val="auto"/>
        </w:rPr>
        <w:t>mination (50</w:t>
      </w:r>
      <w:r w:rsidR="00F75C76">
        <w:rPr>
          <w:rFonts w:asciiTheme="minorHAnsi" w:hAnsiTheme="minorHAnsi" w:cstheme="minorHAnsi"/>
          <w:color w:val="auto"/>
        </w:rPr>
        <w:t>%</w:t>
      </w:r>
      <w:r w:rsidR="00C70E81" w:rsidRPr="00551F38">
        <w:rPr>
          <w:rFonts w:asciiTheme="minorHAnsi" w:hAnsiTheme="minorHAnsi" w:cstheme="minorHAnsi"/>
          <w:color w:val="auto"/>
        </w:rPr>
        <w:t xml:space="preserve"> growth inhibition at 0.25 mg/m</w:t>
      </w:r>
      <w:r w:rsidR="004F4849" w:rsidRPr="00551F38">
        <w:rPr>
          <w:rFonts w:asciiTheme="minorHAnsi" w:hAnsiTheme="minorHAnsi" w:cstheme="minorHAnsi"/>
          <w:color w:val="auto"/>
        </w:rPr>
        <w:t>L</w:t>
      </w:r>
      <w:r w:rsidR="00C70E81" w:rsidRPr="00551F38">
        <w:rPr>
          <w:rFonts w:asciiTheme="minorHAnsi" w:hAnsiTheme="minorHAnsi" w:cstheme="minorHAnsi"/>
          <w:color w:val="auto"/>
        </w:rPr>
        <w:t xml:space="preserve"> garlic powder and MIC value of 0.5 mg/m</w:t>
      </w:r>
      <w:r w:rsidR="004F4849" w:rsidRPr="00551F38">
        <w:rPr>
          <w:rFonts w:asciiTheme="minorHAnsi" w:hAnsiTheme="minorHAnsi" w:cstheme="minorHAnsi"/>
          <w:color w:val="auto"/>
        </w:rPr>
        <w:t>L</w:t>
      </w:r>
      <w:r w:rsidR="00C70E81" w:rsidRPr="00551F38">
        <w:rPr>
          <w:rFonts w:asciiTheme="minorHAnsi" w:hAnsiTheme="minorHAnsi" w:cstheme="minorHAnsi"/>
          <w:color w:val="auto"/>
        </w:rPr>
        <w:t>)</w:t>
      </w:r>
      <w:r w:rsidR="00D071EE" w:rsidRPr="00551F38">
        <w:rPr>
          <w:rFonts w:asciiTheme="minorHAnsi" w:hAnsiTheme="minorHAnsi" w:cstheme="minorHAnsi"/>
          <w:color w:val="auto"/>
        </w:rPr>
        <w:t xml:space="preserve"> </w:t>
      </w:r>
      <w:r w:rsidR="00C70E81" w:rsidRPr="00551F38">
        <w:rPr>
          <w:rFonts w:asciiTheme="minorHAnsi" w:hAnsiTheme="minorHAnsi" w:cstheme="minorHAnsi"/>
          <w:color w:val="auto"/>
        </w:rPr>
        <w:t>and early hyphae elongation (59</w:t>
      </w:r>
      <w:r w:rsidR="00F75C76">
        <w:rPr>
          <w:rFonts w:asciiTheme="minorHAnsi" w:hAnsiTheme="minorHAnsi" w:cstheme="minorHAnsi"/>
          <w:color w:val="auto"/>
        </w:rPr>
        <w:t>%</w:t>
      </w:r>
      <w:r w:rsidR="00C70E81" w:rsidRPr="00551F38">
        <w:rPr>
          <w:rFonts w:asciiTheme="minorHAnsi" w:hAnsiTheme="minorHAnsi" w:cstheme="minorHAnsi"/>
          <w:color w:val="auto"/>
        </w:rPr>
        <w:t xml:space="preserve"> growth inhibition at 0.25 mg/m</w:t>
      </w:r>
      <w:r w:rsidR="004F4849" w:rsidRPr="00551F38">
        <w:rPr>
          <w:rFonts w:asciiTheme="minorHAnsi" w:hAnsiTheme="minorHAnsi" w:cstheme="minorHAnsi"/>
          <w:color w:val="auto"/>
        </w:rPr>
        <w:t>L</w:t>
      </w:r>
      <w:r w:rsidR="00C70E81" w:rsidRPr="00551F38">
        <w:rPr>
          <w:rFonts w:asciiTheme="minorHAnsi" w:hAnsiTheme="minorHAnsi" w:cstheme="minorHAnsi"/>
          <w:color w:val="auto"/>
        </w:rPr>
        <w:t xml:space="preserve"> and MIC value of 0.5 mg/m</w:t>
      </w:r>
      <w:r w:rsidR="004F4849" w:rsidRPr="00551F38">
        <w:rPr>
          <w:rFonts w:asciiTheme="minorHAnsi" w:hAnsiTheme="minorHAnsi" w:cstheme="minorHAnsi"/>
          <w:color w:val="auto"/>
        </w:rPr>
        <w:t>L</w:t>
      </w:r>
      <w:r w:rsidR="00C70E81" w:rsidRPr="00551F38">
        <w:rPr>
          <w:rFonts w:asciiTheme="minorHAnsi" w:hAnsiTheme="minorHAnsi" w:cstheme="minorHAnsi"/>
          <w:color w:val="auto"/>
        </w:rPr>
        <w:t xml:space="preserve">) </w:t>
      </w:r>
      <w:r w:rsidR="0076101A" w:rsidRPr="00551F38">
        <w:rPr>
          <w:rFonts w:asciiTheme="minorHAnsi" w:hAnsiTheme="minorHAnsi" w:cstheme="minorHAnsi"/>
          <w:color w:val="auto"/>
        </w:rPr>
        <w:t xml:space="preserve">than for </w:t>
      </w:r>
      <w:r w:rsidR="00C70E81" w:rsidRPr="00551F38">
        <w:rPr>
          <w:rFonts w:asciiTheme="minorHAnsi" w:hAnsiTheme="minorHAnsi" w:cstheme="minorHAnsi"/>
          <w:color w:val="auto"/>
        </w:rPr>
        <w:t>mycelium growth (29</w:t>
      </w:r>
      <w:r w:rsidR="00F75C76">
        <w:rPr>
          <w:rFonts w:asciiTheme="minorHAnsi" w:hAnsiTheme="minorHAnsi" w:cstheme="minorHAnsi"/>
          <w:color w:val="auto"/>
        </w:rPr>
        <w:t>%</w:t>
      </w:r>
      <w:r w:rsidR="00C70E81" w:rsidRPr="00551F38">
        <w:rPr>
          <w:rFonts w:asciiTheme="minorHAnsi" w:hAnsiTheme="minorHAnsi" w:cstheme="minorHAnsi"/>
          <w:color w:val="auto"/>
        </w:rPr>
        <w:t xml:space="preserve"> growth inhibition at 0.5</w:t>
      </w:r>
      <w:r w:rsidR="0076101A" w:rsidRPr="00551F38">
        <w:rPr>
          <w:rFonts w:asciiTheme="minorHAnsi" w:hAnsiTheme="minorHAnsi" w:cstheme="minorHAnsi"/>
          <w:color w:val="auto"/>
        </w:rPr>
        <w:t xml:space="preserve"> </w:t>
      </w:r>
      <w:r w:rsidR="00C70E81" w:rsidRPr="00551F38">
        <w:rPr>
          <w:rFonts w:asciiTheme="minorHAnsi" w:hAnsiTheme="minorHAnsi" w:cstheme="minorHAnsi"/>
          <w:color w:val="auto"/>
        </w:rPr>
        <w:t>mg/m</w:t>
      </w:r>
      <w:r w:rsidR="004F4849" w:rsidRPr="00551F38">
        <w:rPr>
          <w:rFonts w:asciiTheme="minorHAnsi" w:hAnsiTheme="minorHAnsi" w:cstheme="minorHAnsi"/>
          <w:color w:val="auto"/>
        </w:rPr>
        <w:t>L</w:t>
      </w:r>
      <w:r w:rsidR="00C70E81" w:rsidRPr="00551F38">
        <w:rPr>
          <w:rFonts w:asciiTheme="minorHAnsi" w:hAnsiTheme="minorHAnsi" w:cstheme="minorHAnsi"/>
          <w:color w:val="auto"/>
        </w:rPr>
        <w:t xml:space="preserve"> garlic powder and MIC value of 0.75 mg/m</w:t>
      </w:r>
      <w:r w:rsidR="004F4849" w:rsidRPr="00551F38">
        <w:rPr>
          <w:rFonts w:asciiTheme="minorHAnsi" w:hAnsiTheme="minorHAnsi" w:cstheme="minorHAnsi"/>
          <w:color w:val="auto"/>
        </w:rPr>
        <w:t>L</w:t>
      </w:r>
      <w:r w:rsidR="00C70E81" w:rsidRPr="00551F38">
        <w:rPr>
          <w:rFonts w:asciiTheme="minorHAnsi" w:hAnsiTheme="minorHAnsi" w:cstheme="minorHAnsi"/>
          <w:color w:val="auto"/>
        </w:rPr>
        <w:t>)</w:t>
      </w:r>
      <w:r w:rsidR="00ED54DC" w:rsidRPr="00551F38">
        <w:rPr>
          <w:rFonts w:asciiTheme="minorHAnsi" w:hAnsiTheme="minorHAnsi" w:cstheme="minorHAnsi"/>
          <w:color w:val="auto"/>
        </w:rPr>
        <w:t xml:space="preserve">. </w:t>
      </w:r>
      <w:r w:rsidR="008C0293" w:rsidRPr="00551F38">
        <w:rPr>
          <w:rFonts w:asciiTheme="minorHAnsi" w:hAnsiTheme="minorHAnsi" w:cstheme="minorHAnsi"/>
          <w:color w:val="auto"/>
        </w:rPr>
        <w:t>When contact</w:t>
      </w:r>
      <w:r w:rsidR="0076101A" w:rsidRPr="00551F38">
        <w:rPr>
          <w:rFonts w:asciiTheme="minorHAnsi" w:hAnsiTheme="minorHAnsi" w:cstheme="minorHAnsi"/>
          <w:color w:val="auto"/>
        </w:rPr>
        <w:t>-</w:t>
      </w:r>
      <w:r w:rsidR="008C0293" w:rsidRPr="00551F38">
        <w:rPr>
          <w:rFonts w:asciiTheme="minorHAnsi" w:hAnsiTheme="minorHAnsi" w:cstheme="minorHAnsi"/>
          <w:color w:val="auto"/>
        </w:rPr>
        <w:t xml:space="preserve"> and vapor</w:t>
      </w:r>
      <w:r w:rsidR="0076101A" w:rsidRPr="00551F38">
        <w:rPr>
          <w:rFonts w:asciiTheme="minorHAnsi" w:hAnsiTheme="minorHAnsi" w:cstheme="minorHAnsi"/>
          <w:color w:val="auto"/>
        </w:rPr>
        <w:t>-</w:t>
      </w:r>
      <w:r w:rsidR="008C0293" w:rsidRPr="00551F38">
        <w:rPr>
          <w:rFonts w:asciiTheme="minorHAnsi" w:hAnsiTheme="minorHAnsi" w:cstheme="minorHAnsi"/>
          <w:color w:val="auto"/>
        </w:rPr>
        <w:t xml:space="preserve">phase assays </w:t>
      </w:r>
      <w:r w:rsidR="0076101A" w:rsidRPr="00551F38">
        <w:rPr>
          <w:rFonts w:asciiTheme="minorHAnsi" w:hAnsiTheme="minorHAnsi" w:cstheme="minorHAnsi"/>
          <w:color w:val="auto"/>
        </w:rPr>
        <w:t xml:space="preserve">were </w:t>
      </w:r>
      <w:r w:rsidR="008C0293" w:rsidRPr="00551F38">
        <w:rPr>
          <w:rFonts w:asciiTheme="minorHAnsi" w:hAnsiTheme="minorHAnsi" w:cstheme="minorHAnsi"/>
          <w:color w:val="auto"/>
        </w:rPr>
        <w:t xml:space="preserve">compared, the results have shown a significant decrease </w:t>
      </w:r>
      <w:r w:rsidR="0076101A" w:rsidRPr="00551F38">
        <w:rPr>
          <w:rFonts w:asciiTheme="minorHAnsi" w:hAnsiTheme="minorHAnsi" w:cstheme="minorHAnsi"/>
          <w:color w:val="auto"/>
        </w:rPr>
        <w:t>in</w:t>
      </w:r>
      <w:r w:rsidR="008C0293" w:rsidRPr="00551F38">
        <w:rPr>
          <w:rFonts w:asciiTheme="minorHAnsi" w:hAnsiTheme="minorHAnsi" w:cstheme="minorHAnsi"/>
          <w:color w:val="auto"/>
        </w:rPr>
        <w:t xml:space="preserve"> antifungal activity</w:t>
      </w:r>
      <w:r w:rsidR="00D10EA9" w:rsidRPr="00551F38">
        <w:rPr>
          <w:rFonts w:asciiTheme="minorHAnsi" w:hAnsiTheme="minorHAnsi" w:cstheme="minorHAnsi"/>
          <w:color w:val="auto"/>
        </w:rPr>
        <w:t xml:space="preserve"> at distance</w:t>
      </w:r>
      <w:r w:rsidR="008C0293" w:rsidRPr="00551F38">
        <w:rPr>
          <w:rFonts w:asciiTheme="minorHAnsi" w:hAnsiTheme="minorHAnsi" w:cstheme="minorHAnsi"/>
          <w:color w:val="auto"/>
        </w:rPr>
        <w:t xml:space="preserve"> irrespective of the developmental stage of the fungus. The MIC values moved from 0.5 mg/mL to 1 mg/mL for spore germination, from 0.5 mg/mL to 2 mg/mL for early hyphae elongation</w:t>
      </w:r>
      <w:r w:rsidR="0076101A" w:rsidRPr="00551F38">
        <w:rPr>
          <w:rFonts w:asciiTheme="minorHAnsi" w:hAnsiTheme="minorHAnsi" w:cstheme="minorHAnsi"/>
          <w:color w:val="auto"/>
        </w:rPr>
        <w:t>,</w:t>
      </w:r>
      <w:r w:rsidR="008C0293" w:rsidRPr="00551F38">
        <w:rPr>
          <w:rFonts w:asciiTheme="minorHAnsi" w:hAnsiTheme="minorHAnsi" w:cstheme="minorHAnsi"/>
          <w:color w:val="auto"/>
        </w:rPr>
        <w:t xml:space="preserve"> and from 0.75 mg/mL to 4 mg/mL for mycelium growth (</w:t>
      </w:r>
      <w:r w:rsidRPr="00551F38">
        <w:rPr>
          <w:rFonts w:asciiTheme="minorHAnsi" w:hAnsiTheme="minorHAnsi" w:cstheme="minorHAnsi"/>
          <w:b/>
          <w:bCs/>
          <w:color w:val="auto"/>
        </w:rPr>
        <w:t>Figure</w:t>
      </w:r>
      <w:r w:rsidR="008C0293" w:rsidRPr="00551F38">
        <w:rPr>
          <w:rFonts w:asciiTheme="minorHAnsi" w:hAnsiTheme="minorHAnsi" w:cstheme="minorHAnsi"/>
          <w:b/>
          <w:bCs/>
          <w:color w:val="auto"/>
        </w:rPr>
        <w:t xml:space="preserve"> 3</w:t>
      </w:r>
      <w:r w:rsidR="008C0293" w:rsidRPr="00551F38">
        <w:rPr>
          <w:rFonts w:asciiTheme="minorHAnsi" w:hAnsiTheme="minorHAnsi" w:cstheme="minorHAnsi"/>
          <w:color w:val="auto"/>
        </w:rPr>
        <w:t xml:space="preserve">, panel D and </w:t>
      </w:r>
      <w:r w:rsidRPr="00551F38">
        <w:rPr>
          <w:rFonts w:asciiTheme="minorHAnsi" w:hAnsiTheme="minorHAnsi" w:cstheme="minorHAnsi"/>
          <w:b/>
          <w:bCs/>
          <w:color w:val="auto"/>
        </w:rPr>
        <w:t>Figure</w:t>
      </w:r>
      <w:r w:rsidR="008C0293" w:rsidRPr="00551F38">
        <w:rPr>
          <w:rFonts w:asciiTheme="minorHAnsi" w:hAnsiTheme="minorHAnsi" w:cstheme="minorHAnsi"/>
          <w:b/>
          <w:bCs/>
          <w:color w:val="auto"/>
        </w:rPr>
        <w:t xml:space="preserve"> 4</w:t>
      </w:r>
      <w:r w:rsidR="00D10EA9" w:rsidRPr="00551F38">
        <w:rPr>
          <w:rFonts w:asciiTheme="minorHAnsi" w:hAnsiTheme="minorHAnsi" w:cstheme="minorHAnsi"/>
          <w:color w:val="auto"/>
        </w:rPr>
        <w:t xml:space="preserve"> for representative pictures</w:t>
      </w:r>
      <w:r w:rsidR="008C0293" w:rsidRPr="00551F38">
        <w:rPr>
          <w:rFonts w:asciiTheme="minorHAnsi" w:hAnsiTheme="minorHAnsi" w:cstheme="minorHAnsi"/>
          <w:color w:val="auto"/>
        </w:rPr>
        <w:t xml:space="preserve">). </w:t>
      </w:r>
      <w:r w:rsidR="00E41450" w:rsidRPr="00551F38">
        <w:rPr>
          <w:rFonts w:asciiTheme="minorHAnsi" w:hAnsiTheme="minorHAnsi" w:cstheme="minorHAnsi"/>
          <w:color w:val="auto"/>
        </w:rPr>
        <w:t>So</w:t>
      </w:r>
      <w:r w:rsidR="00CE7190" w:rsidRPr="00551F38">
        <w:rPr>
          <w:rFonts w:asciiTheme="minorHAnsi" w:hAnsiTheme="minorHAnsi" w:cstheme="minorHAnsi"/>
          <w:color w:val="auto"/>
        </w:rPr>
        <w:t>,</w:t>
      </w:r>
      <w:r w:rsidR="00E41450" w:rsidRPr="00551F38">
        <w:rPr>
          <w:rFonts w:asciiTheme="minorHAnsi" w:hAnsiTheme="minorHAnsi" w:cstheme="minorHAnsi"/>
          <w:color w:val="auto"/>
        </w:rPr>
        <w:t xml:space="preserve"> t</w:t>
      </w:r>
      <w:r w:rsidR="008C0293" w:rsidRPr="00551F38">
        <w:rPr>
          <w:rFonts w:asciiTheme="minorHAnsi" w:hAnsiTheme="minorHAnsi" w:cstheme="minorHAnsi"/>
          <w:color w:val="auto"/>
        </w:rPr>
        <w:t>hese results suggest that garlic powder contain</w:t>
      </w:r>
      <w:r w:rsidR="00A00EE6" w:rsidRPr="00551F38">
        <w:rPr>
          <w:rFonts w:asciiTheme="minorHAnsi" w:hAnsiTheme="minorHAnsi" w:cstheme="minorHAnsi"/>
          <w:color w:val="auto"/>
        </w:rPr>
        <w:t>s</w:t>
      </w:r>
      <w:r w:rsidR="008C0293" w:rsidRPr="00551F38">
        <w:rPr>
          <w:rFonts w:asciiTheme="minorHAnsi" w:hAnsiTheme="minorHAnsi" w:cstheme="minorHAnsi"/>
          <w:color w:val="auto"/>
        </w:rPr>
        <w:t xml:space="preserve"> a mixture of both volatile and non-volatile compounds having antifungal properties.</w:t>
      </w:r>
    </w:p>
    <w:p w14:paraId="0496A598" w14:textId="77777777" w:rsidR="00565D89" w:rsidRDefault="00565D89" w:rsidP="00565D89">
      <w:pPr>
        <w:rPr>
          <w:rFonts w:asciiTheme="minorHAnsi" w:hAnsiTheme="minorHAnsi" w:cstheme="minorHAnsi"/>
          <w:color w:val="auto"/>
        </w:rPr>
      </w:pPr>
    </w:p>
    <w:p w14:paraId="774DA516" w14:textId="5B8125DE" w:rsidR="003373A0" w:rsidRPr="00551F38" w:rsidRDefault="00ED54DC" w:rsidP="00565D89">
      <w:pPr>
        <w:rPr>
          <w:rFonts w:asciiTheme="minorHAnsi" w:hAnsiTheme="minorHAnsi" w:cstheme="minorHAnsi"/>
          <w:color w:val="auto"/>
        </w:rPr>
      </w:pPr>
      <w:r w:rsidRPr="00551F38">
        <w:rPr>
          <w:rFonts w:asciiTheme="minorHAnsi" w:hAnsiTheme="minorHAnsi" w:cstheme="minorHAnsi"/>
          <w:color w:val="auto"/>
        </w:rPr>
        <w:t>Altogether</w:t>
      </w:r>
      <w:bookmarkStart w:id="1" w:name="_Hlk49716368"/>
      <w:r w:rsidRPr="00551F38">
        <w:rPr>
          <w:rFonts w:asciiTheme="minorHAnsi" w:hAnsiTheme="minorHAnsi" w:cstheme="minorHAnsi"/>
          <w:color w:val="auto"/>
        </w:rPr>
        <w:t xml:space="preserve">, </w:t>
      </w:r>
      <w:r w:rsidR="00D10EA9" w:rsidRPr="00551F38">
        <w:rPr>
          <w:rFonts w:asciiTheme="minorHAnsi" w:hAnsiTheme="minorHAnsi" w:cstheme="minorHAnsi"/>
          <w:color w:val="auto"/>
        </w:rPr>
        <w:t xml:space="preserve">these results show </w:t>
      </w:r>
      <w:r w:rsidR="003373A0" w:rsidRPr="00551F38">
        <w:rPr>
          <w:rFonts w:asciiTheme="minorHAnsi" w:hAnsiTheme="minorHAnsi" w:cstheme="minorHAnsi"/>
          <w:color w:val="auto"/>
        </w:rPr>
        <w:t>that the relative contribution of volatile and non-volatile agents contained in plant-derived product</w:t>
      </w:r>
      <w:r w:rsidR="00A00EE6" w:rsidRPr="00551F38">
        <w:rPr>
          <w:rFonts w:asciiTheme="minorHAnsi" w:hAnsiTheme="minorHAnsi" w:cstheme="minorHAnsi"/>
          <w:color w:val="auto"/>
        </w:rPr>
        <w:t>s</w:t>
      </w:r>
      <w:r w:rsidR="003373A0" w:rsidRPr="00551F38">
        <w:rPr>
          <w:rFonts w:asciiTheme="minorHAnsi" w:hAnsiTheme="minorHAnsi" w:cstheme="minorHAnsi"/>
          <w:color w:val="auto"/>
        </w:rPr>
        <w:t xml:space="preserve"> may be determined at different fungal</w:t>
      </w:r>
      <w:r w:rsidR="00A00EE6" w:rsidRPr="00551F38">
        <w:rPr>
          <w:rFonts w:asciiTheme="minorHAnsi" w:hAnsiTheme="minorHAnsi" w:cstheme="minorHAnsi"/>
          <w:color w:val="auto"/>
        </w:rPr>
        <w:t>-</w:t>
      </w:r>
      <w:r w:rsidR="003373A0" w:rsidRPr="00551F38">
        <w:rPr>
          <w:rFonts w:asciiTheme="minorHAnsi" w:hAnsiTheme="minorHAnsi" w:cstheme="minorHAnsi"/>
          <w:color w:val="auto"/>
        </w:rPr>
        <w:t>growth stages as the experimental conditions are comparable. T</w:t>
      </w:r>
      <w:r w:rsidRPr="00551F38">
        <w:rPr>
          <w:rFonts w:asciiTheme="minorHAnsi" w:hAnsiTheme="minorHAnsi" w:cstheme="minorHAnsi"/>
          <w:color w:val="auto"/>
        </w:rPr>
        <w:t>h</w:t>
      </w:r>
      <w:r w:rsidR="007D7B3A" w:rsidRPr="00551F38">
        <w:rPr>
          <w:rFonts w:asciiTheme="minorHAnsi" w:hAnsiTheme="minorHAnsi" w:cstheme="minorHAnsi"/>
          <w:color w:val="auto"/>
        </w:rPr>
        <w:t>is</w:t>
      </w:r>
      <w:r w:rsidRPr="00551F38">
        <w:rPr>
          <w:rFonts w:asciiTheme="minorHAnsi" w:hAnsiTheme="minorHAnsi" w:cstheme="minorHAnsi"/>
          <w:color w:val="auto"/>
        </w:rPr>
        <w:t xml:space="preserve"> approach </w:t>
      </w:r>
      <w:r w:rsidR="00D10EA9" w:rsidRPr="00551F38">
        <w:rPr>
          <w:rFonts w:asciiTheme="minorHAnsi" w:hAnsiTheme="minorHAnsi" w:cstheme="minorHAnsi"/>
          <w:color w:val="auto"/>
        </w:rPr>
        <w:t>is</w:t>
      </w:r>
      <w:r w:rsidR="003373A0" w:rsidRPr="00551F38">
        <w:rPr>
          <w:rFonts w:asciiTheme="minorHAnsi" w:hAnsiTheme="minorHAnsi" w:cstheme="minorHAnsi"/>
          <w:color w:val="auto"/>
        </w:rPr>
        <w:t xml:space="preserve"> then</w:t>
      </w:r>
      <w:r w:rsidR="00D10EA9" w:rsidRPr="00551F38">
        <w:rPr>
          <w:rFonts w:asciiTheme="minorHAnsi" w:hAnsiTheme="minorHAnsi" w:cstheme="minorHAnsi"/>
          <w:color w:val="auto"/>
        </w:rPr>
        <w:t xml:space="preserve"> particularly well suited for </w:t>
      </w:r>
      <w:r w:rsidR="00D10EA9" w:rsidRPr="00551F38">
        <w:rPr>
          <w:rFonts w:asciiTheme="minorHAnsi" w:hAnsiTheme="minorHAnsi" w:cstheme="minorHAnsi"/>
          <w:color w:val="auto"/>
        </w:rPr>
        <w:lastRenderedPageBreak/>
        <w:t>complex mixture</w:t>
      </w:r>
      <w:r w:rsidR="00D63052" w:rsidRPr="00551F38">
        <w:rPr>
          <w:rFonts w:asciiTheme="minorHAnsi" w:hAnsiTheme="minorHAnsi" w:cstheme="minorHAnsi"/>
          <w:color w:val="auto"/>
        </w:rPr>
        <w:t>s</w:t>
      </w:r>
      <w:r w:rsidR="00D10EA9" w:rsidRPr="00551F38">
        <w:rPr>
          <w:rFonts w:asciiTheme="minorHAnsi" w:hAnsiTheme="minorHAnsi" w:cstheme="minorHAnsi"/>
          <w:color w:val="auto"/>
        </w:rPr>
        <w:t xml:space="preserve"> of antifungal compounds. </w:t>
      </w:r>
      <w:bookmarkEnd w:id="1"/>
      <w:r w:rsidR="009A0FAE" w:rsidRPr="00551F38">
        <w:rPr>
          <w:rFonts w:asciiTheme="minorHAnsi" w:hAnsiTheme="minorHAnsi" w:cstheme="minorHAnsi"/>
          <w:i/>
          <w:iCs/>
          <w:color w:val="auto"/>
        </w:rPr>
        <w:t>Thymus vulgaris</w:t>
      </w:r>
      <w:r w:rsidR="009A0FAE" w:rsidRPr="00551F38">
        <w:rPr>
          <w:rFonts w:asciiTheme="minorHAnsi" w:hAnsiTheme="minorHAnsi" w:cstheme="minorHAnsi"/>
          <w:color w:val="auto"/>
        </w:rPr>
        <w:t xml:space="preserve"> essential oil is a mixture of volatile compounds and shows a similar activity at distance and in contact for spore germination and early hyphae elongation</w:t>
      </w:r>
      <w:r w:rsidR="00A51ED5" w:rsidRPr="00551F38">
        <w:rPr>
          <w:rFonts w:asciiTheme="minorHAnsi" w:hAnsiTheme="minorHAnsi" w:cstheme="minorHAnsi"/>
          <w:color w:val="auto"/>
        </w:rPr>
        <w:t>,</w:t>
      </w:r>
      <w:r w:rsidR="009A0FAE" w:rsidRPr="00551F38">
        <w:rPr>
          <w:rFonts w:asciiTheme="minorHAnsi" w:hAnsiTheme="minorHAnsi" w:cstheme="minorHAnsi"/>
          <w:color w:val="auto"/>
        </w:rPr>
        <w:t xml:space="preserve"> supporting the comparison of this vapor-phase and contact</w:t>
      </w:r>
      <w:r w:rsidR="00A51ED5" w:rsidRPr="00551F38">
        <w:rPr>
          <w:rFonts w:asciiTheme="minorHAnsi" w:hAnsiTheme="minorHAnsi" w:cstheme="minorHAnsi"/>
          <w:color w:val="auto"/>
        </w:rPr>
        <w:t>-</w:t>
      </w:r>
      <w:r w:rsidR="009A0FAE" w:rsidRPr="00551F38">
        <w:rPr>
          <w:rFonts w:asciiTheme="minorHAnsi" w:hAnsiTheme="minorHAnsi" w:cstheme="minorHAnsi"/>
          <w:color w:val="auto"/>
        </w:rPr>
        <w:t>inhibition assay and highlight</w:t>
      </w:r>
      <w:r w:rsidR="00A51ED5" w:rsidRPr="00551F38">
        <w:rPr>
          <w:rFonts w:asciiTheme="minorHAnsi" w:hAnsiTheme="minorHAnsi" w:cstheme="minorHAnsi"/>
          <w:color w:val="auto"/>
        </w:rPr>
        <w:t>ing</w:t>
      </w:r>
      <w:r w:rsidR="009A0FAE" w:rsidRPr="00551F38">
        <w:rPr>
          <w:rFonts w:asciiTheme="minorHAnsi" w:hAnsiTheme="minorHAnsi" w:cstheme="minorHAnsi"/>
          <w:color w:val="auto"/>
        </w:rPr>
        <w:t xml:space="preserve"> that migration into the vapor-phase is not impaired by pouring into the agar medium. </w:t>
      </w:r>
      <w:r w:rsidR="003373A0" w:rsidRPr="00551F38">
        <w:rPr>
          <w:rFonts w:asciiTheme="minorHAnsi" w:hAnsiTheme="minorHAnsi" w:cstheme="minorHAnsi"/>
          <w:color w:val="auto"/>
        </w:rPr>
        <w:t xml:space="preserve">The results </w:t>
      </w:r>
      <w:r w:rsidR="009A0FAE" w:rsidRPr="00551F38">
        <w:rPr>
          <w:rFonts w:asciiTheme="minorHAnsi" w:hAnsiTheme="minorHAnsi" w:cstheme="minorHAnsi"/>
          <w:color w:val="auto"/>
        </w:rPr>
        <w:t>also</w:t>
      </w:r>
      <w:r w:rsidR="003373A0" w:rsidRPr="00551F38">
        <w:rPr>
          <w:rFonts w:asciiTheme="minorHAnsi" w:hAnsiTheme="minorHAnsi" w:cstheme="minorHAnsi"/>
          <w:color w:val="auto"/>
        </w:rPr>
        <w:t xml:space="preserve"> </w:t>
      </w:r>
      <w:r w:rsidR="0056654F" w:rsidRPr="00551F38">
        <w:rPr>
          <w:rFonts w:asciiTheme="minorHAnsi" w:hAnsiTheme="minorHAnsi" w:cstheme="minorHAnsi"/>
          <w:color w:val="auto"/>
        </w:rPr>
        <w:t>underline</w:t>
      </w:r>
      <w:r w:rsidR="003373A0" w:rsidRPr="00551F38">
        <w:rPr>
          <w:rFonts w:asciiTheme="minorHAnsi" w:hAnsiTheme="minorHAnsi" w:cstheme="minorHAnsi"/>
          <w:color w:val="auto"/>
        </w:rPr>
        <w:t xml:space="preserve"> that g</w:t>
      </w:r>
      <w:r w:rsidR="00D10EA9" w:rsidRPr="00551F38">
        <w:rPr>
          <w:rFonts w:asciiTheme="minorHAnsi" w:hAnsiTheme="minorHAnsi" w:cstheme="minorHAnsi"/>
          <w:color w:val="auto"/>
        </w:rPr>
        <w:t xml:space="preserve">arlic powder </w:t>
      </w:r>
      <w:r w:rsidR="003373A0" w:rsidRPr="00551F38">
        <w:rPr>
          <w:rFonts w:asciiTheme="minorHAnsi" w:hAnsiTheme="minorHAnsi" w:cstheme="minorHAnsi"/>
          <w:color w:val="auto"/>
        </w:rPr>
        <w:t>used as model in this study</w:t>
      </w:r>
      <w:r w:rsidR="00D10EA9" w:rsidRPr="00551F38">
        <w:rPr>
          <w:rFonts w:asciiTheme="minorHAnsi" w:hAnsiTheme="minorHAnsi" w:cstheme="minorHAnsi"/>
          <w:color w:val="auto"/>
        </w:rPr>
        <w:t xml:space="preserve"> </w:t>
      </w:r>
      <w:r w:rsidR="003373A0" w:rsidRPr="00551F38">
        <w:rPr>
          <w:rFonts w:asciiTheme="minorHAnsi" w:hAnsiTheme="minorHAnsi" w:cstheme="minorHAnsi"/>
          <w:color w:val="auto"/>
        </w:rPr>
        <w:t>contain</w:t>
      </w:r>
      <w:r w:rsidR="00A51ED5" w:rsidRPr="00551F38">
        <w:rPr>
          <w:rFonts w:asciiTheme="minorHAnsi" w:hAnsiTheme="minorHAnsi" w:cstheme="minorHAnsi"/>
          <w:color w:val="auto"/>
        </w:rPr>
        <w:t>s</w:t>
      </w:r>
      <w:r w:rsidR="003373A0" w:rsidRPr="00551F38">
        <w:rPr>
          <w:rFonts w:asciiTheme="minorHAnsi" w:hAnsiTheme="minorHAnsi" w:cstheme="minorHAnsi"/>
          <w:color w:val="auto"/>
        </w:rPr>
        <w:t xml:space="preserve"> non-volatile active components which have a significant contribution in the overall antifungal activity and which have been neglected in favor of volatile </w:t>
      </w:r>
      <w:proofErr w:type="spellStart"/>
      <w:r w:rsidR="003373A0" w:rsidRPr="00551F38">
        <w:rPr>
          <w:rFonts w:asciiTheme="minorHAnsi" w:hAnsiTheme="minorHAnsi" w:cstheme="minorHAnsi"/>
          <w:color w:val="auto"/>
        </w:rPr>
        <w:t>thiosulfinate</w:t>
      </w:r>
      <w:r w:rsidR="00A51ED5" w:rsidRPr="00551F38">
        <w:rPr>
          <w:rFonts w:asciiTheme="minorHAnsi" w:hAnsiTheme="minorHAnsi" w:cstheme="minorHAnsi"/>
          <w:color w:val="auto"/>
        </w:rPr>
        <w:t>s</w:t>
      </w:r>
      <w:proofErr w:type="spellEnd"/>
      <w:r w:rsidR="003373A0" w:rsidRPr="00551F38">
        <w:rPr>
          <w:rFonts w:asciiTheme="minorHAnsi" w:hAnsiTheme="minorHAnsi" w:cstheme="minorHAnsi"/>
          <w:color w:val="auto"/>
        </w:rPr>
        <w:t xml:space="preserve"> derived from allium</w:t>
      </w:r>
      <w:r w:rsidR="003373A0" w:rsidRPr="00551F38">
        <w:rPr>
          <w:rFonts w:asciiTheme="minorHAnsi" w:hAnsiTheme="minorHAnsi" w:cstheme="minorHAnsi"/>
          <w:color w:val="auto"/>
        </w:rPr>
        <w:fldChar w:fldCharType="begin" w:fldLock="1"/>
      </w:r>
      <w:r w:rsidR="00E26078" w:rsidRPr="00551F38">
        <w:rPr>
          <w:rFonts w:asciiTheme="minorHAnsi" w:hAnsiTheme="minorHAnsi" w:cstheme="minorHAnsi"/>
          <w:color w:val="auto"/>
        </w:rPr>
        <w:instrText>ADDIN CSL_CITATION { "citationItems" : [ { "id" : "ITEM-1", "itemData" : { "DOI" : "10.3389/fmicb.2012.00012", "ISSN" : "1664-302X", "PMID" : "22291693", "abstract" : "Essential oils are aromatic and volatile liquids extracted from plants. The chemicals in essential oils are secondary metabolites, which play an important role in plant defense as they often possess antimicrobial properties. The interest in essential oils and their application in food preservation has been amplified in recent years by an increasingly negative consumer perception of synthetic preservatives. Furthermore, food-borne diseases are a growing public health problem worldwide, calling for more effective preservation strategies. The antibacterial properties of essential oils and their constituents have been documented extensively. Pioneering work has also elucidated the mode of action of a few essential oil constituents, but detailed knowledge about most of the compounds' mode of action is still lacking. This knowledge is particularly important to predict their effect on different microorganisms, how they interact with food matrix components, and how they work in combination with other antimicrobial compounds. The main obstacle for using essential oil constituents as food preservatives is that they are most often not potent enough as single components, and they cause negative organoleptic effects when added in sufficient amounts to provide an antimicrobial effect. Exploiting synergies between several compounds has been suggested as a solution to this problem. However, little is known about which interactions lead to synergistic, additive, or antagonistic effects. Such knowledge could contribute to design of new and more potent antimicrobial blends, and to understand the interplay between the constituents of crude essential oils. The purpose of this review is to provide an overview of current knowledge about the antibacterial properties and antibacterial mode of action of essential oils and their constituents, and to identify research avenues that can facilitate implementation of essential oils as natural preservatives in foods.", "author" : [ { "dropping-particle" : "", "family" : "Hyldgaard", "given" : "Morten", "non-dropping-particle" : "", "parse-names" : false, "suffix" : "" }, { "dropping-particle" : "", "family" : "Mygind", "given" : "Tina", "non-dropping-particle" : "", "parse-names" : false, "suffix" : "" }, { "dropping-particle" : "", "family" : "Meyer", "given" : "Rikke Louise", "non-dropping-particle" : "", "parse-names" : false, "suffix" : "" } ], "container-title" : "Frontiers in microbiology", "id" : "ITEM-1", "issue" : "January", "issued" : { "date-parts" : [ [ "2012", "1" ] ] }, "page" : "12", "title" : "Essential oils in food preservation: mode of action, synergies, and interactions with food matrix components.", "type" : "article-journal", "volume" : "3" }, "uris" : [ "http://www.mendeley.com/documents/?uuid=457b5c9b-fcd0-4f48-849d-f12c2330a44b" ] }, { "id" : "ITEM-2", "itemData" : { "DOI" : "10.1016/j.copbio.2011.08.004", "ISSN" : "09581669", "abstract" : "The antimicrobial activity of Allium species has long been recognized, with allicin, other thiosulfinates, and their transformation products having antimicrobial activity. Alliums are inhibitory against all tested microorganisms such as bacteria, fungi, viruses, and parasites. Alliums inhibit multi-drug-resistant microorganisms and often work synergistically with common antimicrobials. Allium-derived antimicrobial compounds inhibit microorganisms by reacting with the sulfhydryl (SH) groups of cellular proteins. It used to be thought that allicin reacts only with cysteine and not with non-SH amino acids, but evidence has accumulated that allicin and other thiosulfinates also react with non-SH amino acids. \u00a9 2011 Elsevier Ltd.", "author" : [ { "dropping-particle" : "", "family" : "Kyung", "given" : "Kyu Hang", "non-dropping-particle" : "", "parse-names" : false, "suffix" : "" } ], "container-title" : "Current Opinion in Biotechnology", "id" : "ITEM-2", "issue" : "2", "issued" : { "date-parts" : [ [ "2012" ] ] }, "page" : "142-147", "publisher" : "Elsevier Ltd", "title" : "Antimicrobial properties of allium species", "type" : "article-journal", "volume" : "23" }, "uris" : [ "http://www.mendeley.com/documents/?uuid=b8876e32-6724-438f-b473-00443407058b" ] } ], "mendeley" : { "formattedCitation" : "&lt;sup&gt;27, 28&lt;/sup&gt;", "plainTextFormattedCitation" : "27, 28", "previouslyFormattedCitation" : "&lt;sup&gt;27, 28&lt;/sup&gt;" }, "properties" : { "noteIndex" : 11 }, "schema" : "https://github.com/citation-style-language/schema/raw/master/csl-citation.json" }</w:instrText>
      </w:r>
      <w:r w:rsidR="003373A0" w:rsidRPr="00551F38">
        <w:rPr>
          <w:rFonts w:asciiTheme="minorHAnsi" w:hAnsiTheme="minorHAnsi" w:cstheme="minorHAnsi"/>
          <w:color w:val="auto"/>
        </w:rPr>
        <w:fldChar w:fldCharType="separate"/>
      </w:r>
      <w:r w:rsidR="00E26078" w:rsidRPr="00551F38">
        <w:rPr>
          <w:rFonts w:asciiTheme="minorHAnsi" w:hAnsiTheme="minorHAnsi" w:cstheme="minorHAnsi"/>
          <w:color w:val="auto"/>
          <w:vertAlign w:val="superscript"/>
        </w:rPr>
        <w:t>27, 28</w:t>
      </w:r>
      <w:r w:rsidR="003373A0" w:rsidRPr="00551F38">
        <w:rPr>
          <w:rFonts w:asciiTheme="minorHAnsi" w:hAnsiTheme="minorHAnsi" w:cstheme="minorHAnsi"/>
          <w:color w:val="auto"/>
        </w:rPr>
        <w:fldChar w:fldCharType="end"/>
      </w:r>
      <w:r w:rsidR="003373A0" w:rsidRPr="00551F38">
        <w:rPr>
          <w:rFonts w:asciiTheme="minorHAnsi" w:hAnsiTheme="minorHAnsi" w:cstheme="minorHAnsi"/>
          <w:color w:val="auto"/>
        </w:rPr>
        <w:t xml:space="preserve">. </w:t>
      </w:r>
    </w:p>
    <w:p w14:paraId="4FEBA107" w14:textId="3A74C8BC" w:rsidR="00700FA8" w:rsidRPr="00551F38" w:rsidRDefault="00700FA8" w:rsidP="006469C0">
      <w:pPr>
        <w:rPr>
          <w:rFonts w:asciiTheme="minorHAnsi" w:hAnsiTheme="minorHAnsi" w:cstheme="minorHAnsi"/>
          <w:color w:val="auto"/>
        </w:rPr>
      </w:pPr>
    </w:p>
    <w:p w14:paraId="3C9083F6" w14:textId="1C9313D0" w:rsidR="00B32616" w:rsidRPr="00551F38" w:rsidRDefault="00B32616" w:rsidP="001B1519">
      <w:pPr>
        <w:rPr>
          <w:rFonts w:asciiTheme="minorHAnsi" w:hAnsiTheme="minorHAnsi" w:cstheme="minorHAnsi"/>
          <w:bCs/>
          <w:color w:val="808080"/>
        </w:rPr>
      </w:pPr>
      <w:r w:rsidRPr="00551F38">
        <w:rPr>
          <w:rFonts w:asciiTheme="minorHAnsi" w:hAnsiTheme="minorHAnsi" w:cstheme="minorHAnsi"/>
          <w:b/>
        </w:rPr>
        <w:t xml:space="preserve">FIGURE </w:t>
      </w:r>
      <w:r w:rsidR="0013621E" w:rsidRPr="00551F38">
        <w:rPr>
          <w:rFonts w:asciiTheme="minorHAnsi" w:hAnsiTheme="minorHAnsi" w:cstheme="minorHAnsi"/>
          <w:b/>
        </w:rPr>
        <w:t xml:space="preserve">AND TABLE </w:t>
      </w:r>
      <w:r w:rsidRPr="00551F38">
        <w:rPr>
          <w:rFonts w:asciiTheme="minorHAnsi" w:hAnsiTheme="minorHAnsi" w:cstheme="minorHAnsi"/>
          <w:b/>
        </w:rPr>
        <w:t>LEGENDS:</w:t>
      </w:r>
      <w:r w:rsidRPr="00551F38">
        <w:rPr>
          <w:rFonts w:asciiTheme="minorHAnsi" w:hAnsiTheme="minorHAnsi" w:cstheme="minorHAnsi"/>
          <w:color w:val="808080"/>
        </w:rPr>
        <w:t xml:space="preserve"> </w:t>
      </w:r>
    </w:p>
    <w:p w14:paraId="335C5053" w14:textId="48E05258" w:rsidR="00F54189" w:rsidRPr="00551F38" w:rsidRDefault="00F54189" w:rsidP="007A4DD6">
      <w:pPr>
        <w:rPr>
          <w:rFonts w:asciiTheme="minorHAnsi" w:hAnsiTheme="minorHAnsi" w:cstheme="minorHAnsi"/>
          <w:b/>
          <w:bCs/>
          <w:color w:val="auto"/>
        </w:rPr>
      </w:pPr>
      <w:r w:rsidRPr="00551F38">
        <w:rPr>
          <w:rFonts w:asciiTheme="minorHAnsi" w:hAnsiTheme="minorHAnsi" w:cstheme="minorHAnsi"/>
          <w:b/>
          <w:bCs/>
          <w:color w:val="auto"/>
        </w:rPr>
        <w:t>Figure 1:</w:t>
      </w:r>
      <w:r w:rsidR="00293DB7" w:rsidRPr="00551F38">
        <w:rPr>
          <w:rFonts w:asciiTheme="minorHAnsi" w:hAnsiTheme="minorHAnsi" w:cstheme="minorHAnsi"/>
          <w:b/>
          <w:bCs/>
          <w:color w:val="auto"/>
        </w:rPr>
        <w:t xml:space="preserve"> </w:t>
      </w:r>
      <w:r w:rsidR="002935A6" w:rsidRPr="00551F38">
        <w:rPr>
          <w:rFonts w:asciiTheme="minorHAnsi" w:hAnsiTheme="minorHAnsi" w:cstheme="minorHAnsi"/>
          <w:b/>
          <w:bCs/>
          <w:color w:val="auto"/>
        </w:rPr>
        <w:t>S</w:t>
      </w:r>
      <w:r w:rsidR="00293DB7" w:rsidRPr="00551F38">
        <w:rPr>
          <w:rFonts w:asciiTheme="minorHAnsi" w:hAnsiTheme="minorHAnsi" w:cstheme="minorHAnsi"/>
          <w:b/>
          <w:bCs/>
          <w:color w:val="auto"/>
        </w:rPr>
        <w:t>ynoptic scheme of the</w:t>
      </w:r>
      <w:r w:rsidR="00AA3B2A" w:rsidRPr="00551F38">
        <w:rPr>
          <w:rFonts w:asciiTheme="minorHAnsi" w:hAnsiTheme="minorHAnsi" w:cstheme="minorHAnsi"/>
          <w:b/>
          <w:bCs/>
          <w:color w:val="auto"/>
        </w:rPr>
        <w:t xml:space="preserve"> </w:t>
      </w:r>
      <w:r w:rsidR="00293DB7" w:rsidRPr="00551F38">
        <w:rPr>
          <w:rFonts w:asciiTheme="minorHAnsi" w:hAnsiTheme="minorHAnsi" w:cstheme="minorHAnsi"/>
          <w:b/>
          <w:bCs/>
          <w:color w:val="auto"/>
        </w:rPr>
        <w:t>protocol for contact and vapor-phase assays</w:t>
      </w:r>
    </w:p>
    <w:p w14:paraId="2B896E3E" w14:textId="77777777" w:rsidR="00F54189" w:rsidRPr="00551F38" w:rsidRDefault="00F54189" w:rsidP="007A4DD6">
      <w:pPr>
        <w:rPr>
          <w:rFonts w:asciiTheme="minorHAnsi" w:hAnsiTheme="minorHAnsi" w:cstheme="minorHAnsi"/>
          <w:b/>
          <w:bCs/>
          <w:color w:val="auto"/>
        </w:rPr>
      </w:pPr>
    </w:p>
    <w:p w14:paraId="1B7BE2E1" w14:textId="27B6FDF4" w:rsidR="000C33FA" w:rsidRPr="00551F38" w:rsidRDefault="0059508E" w:rsidP="007A4DD6">
      <w:pPr>
        <w:rPr>
          <w:rFonts w:asciiTheme="minorHAnsi" w:hAnsiTheme="minorHAnsi" w:cstheme="minorHAnsi"/>
          <w:color w:val="auto"/>
        </w:rPr>
      </w:pPr>
      <w:r w:rsidRPr="00551F38">
        <w:rPr>
          <w:rFonts w:asciiTheme="minorHAnsi" w:hAnsiTheme="minorHAnsi" w:cstheme="minorHAnsi"/>
          <w:b/>
          <w:bCs/>
          <w:color w:val="auto"/>
        </w:rPr>
        <w:t xml:space="preserve">Figure 2: </w:t>
      </w:r>
      <w:r w:rsidR="00EE2E4F" w:rsidRPr="00551F38">
        <w:rPr>
          <w:rFonts w:asciiTheme="minorHAnsi" w:hAnsiTheme="minorHAnsi" w:cstheme="minorHAnsi"/>
          <w:b/>
          <w:bCs/>
          <w:color w:val="auto"/>
        </w:rPr>
        <w:t xml:space="preserve"> </w:t>
      </w:r>
      <w:r w:rsidR="00D15AD9" w:rsidRPr="00551F38">
        <w:rPr>
          <w:rFonts w:asciiTheme="minorHAnsi" w:hAnsiTheme="minorHAnsi" w:cstheme="minorHAnsi"/>
          <w:b/>
          <w:bCs/>
          <w:color w:val="auto"/>
        </w:rPr>
        <w:t xml:space="preserve">Inaccuracy </w:t>
      </w:r>
      <w:r w:rsidR="00E84BC8" w:rsidRPr="00551F38">
        <w:rPr>
          <w:rFonts w:asciiTheme="minorHAnsi" w:hAnsiTheme="minorHAnsi" w:cstheme="minorHAnsi"/>
          <w:b/>
          <w:bCs/>
          <w:color w:val="auto"/>
        </w:rPr>
        <w:t xml:space="preserve">associated with fungal transfer from cellulose </w:t>
      </w:r>
      <w:r w:rsidR="00BD790C" w:rsidRPr="00551F38">
        <w:rPr>
          <w:rFonts w:asciiTheme="minorHAnsi" w:hAnsiTheme="minorHAnsi" w:cstheme="minorHAnsi"/>
          <w:b/>
          <w:bCs/>
          <w:color w:val="auto"/>
        </w:rPr>
        <w:t>disk</w:t>
      </w:r>
      <w:r w:rsidR="00E84BC8" w:rsidRPr="00551F38">
        <w:rPr>
          <w:rFonts w:asciiTheme="minorHAnsi" w:hAnsiTheme="minorHAnsi" w:cstheme="minorHAnsi"/>
          <w:color w:val="auto"/>
        </w:rPr>
        <w:t xml:space="preserve">. </w:t>
      </w:r>
      <w:r w:rsidR="009134C1" w:rsidRPr="00551F38">
        <w:rPr>
          <w:rFonts w:asciiTheme="minorHAnsi" w:hAnsiTheme="minorHAnsi" w:cstheme="minorHAnsi"/>
          <w:b/>
          <w:bCs/>
          <w:color w:val="auto"/>
        </w:rPr>
        <w:t>A.</w:t>
      </w:r>
      <w:r w:rsidR="009134C1" w:rsidRPr="00551F38">
        <w:rPr>
          <w:rFonts w:asciiTheme="minorHAnsi" w:hAnsiTheme="minorHAnsi" w:cstheme="minorHAnsi"/>
          <w:color w:val="auto"/>
        </w:rPr>
        <w:t xml:space="preserve"> Scheme representing </w:t>
      </w:r>
      <w:r w:rsidR="00BD790C" w:rsidRPr="00551F38">
        <w:rPr>
          <w:rFonts w:asciiTheme="minorHAnsi" w:hAnsiTheme="minorHAnsi" w:cstheme="minorHAnsi"/>
          <w:color w:val="auto"/>
        </w:rPr>
        <w:t>disk</w:t>
      </w:r>
      <w:r w:rsidR="00B6617B" w:rsidRPr="00551F38">
        <w:rPr>
          <w:rFonts w:asciiTheme="minorHAnsi" w:hAnsiTheme="minorHAnsi" w:cstheme="minorHAnsi"/>
          <w:color w:val="auto"/>
        </w:rPr>
        <w:t xml:space="preserve"> </w:t>
      </w:r>
      <w:r w:rsidR="009134C1" w:rsidRPr="00551F38">
        <w:rPr>
          <w:rFonts w:asciiTheme="minorHAnsi" w:hAnsiTheme="minorHAnsi" w:cstheme="minorHAnsi"/>
          <w:color w:val="auto"/>
        </w:rPr>
        <w:t>transfer on</w:t>
      </w:r>
      <w:r w:rsidR="00B6617B" w:rsidRPr="00551F38">
        <w:rPr>
          <w:rFonts w:asciiTheme="minorHAnsi" w:hAnsiTheme="minorHAnsi" w:cstheme="minorHAnsi"/>
          <w:color w:val="auto"/>
        </w:rPr>
        <w:t>to</w:t>
      </w:r>
      <w:r w:rsidR="009134C1" w:rsidRPr="00551F38">
        <w:rPr>
          <w:rFonts w:asciiTheme="minorHAnsi" w:hAnsiTheme="minorHAnsi" w:cstheme="minorHAnsi"/>
          <w:color w:val="auto"/>
        </w:rPr>
        <w:t xml:space="preserve"> agar-plates covered by spores and </w:t>
      </w:r>
      <w:r w:rsidR="00BD790C" w:rsidRPr="00551F38">
        <w:rPr>
          <w:rFonts w:asciiTheme="minorHAnsi" w:hAnsiTheme="minorHAnsi" w:cstheme="minorHAnsi"/>
          <w:color w:val="auto"/>
        </w:rPr>
        <w:t>disk</w:t>
      </w:r>
      <w:r w:rsidR="00B6617B" w:rsidRPr="00551F38">
        <w:rPr>
          <w:rFonts w:asciiTheme="minorHAnsi" w:hAnsiTheme="minorHAnsi" w:cstheme="minorHAnsi"/>
          <w:color w:val="auto"/>
        </w:rPr>
        <w:t xml:space="preserve"> </w:t>
      </w:r>
      <w:r w:rsidR="009134C1" w:rsidRPr="00551F38">
        <w:rPr>
          <w:rFonts w:asciiTheme="minorHAnsi" w:hAnsiTheme="minorHAnsi" w:cstheme="minorHAnsi"/>
          <w:color w:val="auto"/>
        </w:rPr>
        <w:t>transfer onto the surface on agar-plate</w:t>
      </w:r>
      <w:r w:rsidR="00B6617B" w:rsidRPr="00551F38">
        <w:rPr>
          <w:rFonts w:asciiTheme="minorHAnsi" w:hAnsiTheme="minorHAnsi" w:cstheme="minorHAnsi"/>
          <w:color w:val="auto"/>
        </w:rPr>
        <w:t>s</w:t>
      </w:r>
      <w:r w:rsidR="009134C1" w:rsidRPr="00551F38">
        <w:rPr>
          <w:rFonts w:asciiTheme="minorHAnsi" w:hAnsiTheme="minorHAnsi" w:cstheme="minorHAnsi"/>
          <w:color w:val="auto"/>
        </w:rPr>
        <w:t xml:space="preserve"> containing antifungal compounds </w:t>
      </w:r>
      <w:r w:rsidR="009134C1" w:rsidRPr="00551F38">
        <w:rPr>
          <w:rFonts w:asciiTheme="minorHAnsi" w:hAnsiTheme="minorHAnsi" w:cstheme="minorHAnsi"/>
          <w:b/>
          <w:bCs/>
          <w:color w:val="auto"/>
        </w:rPr>
        <w:t>B</w:t>
      </w:r>
      <w:r w:rsidR="00E84BC8" w:rsidRPr="00551F38">
        <w:rPr>
          <w:rFonts w:asciiTheme="minorHAnsi" w:hAnsiTheme="minorHAnsi" w:cstheme="minorHAnsi"/>
          <w:b/>
          <w:bCs/>
          <w:color w:val="auto"/>
        </w:rPr>
        <w:t>.</w:t>
      </w:r>
      <w:r w:rsidR="00E84BC8" w:rsidRPr="00551F38">
        <w:rPr>
          <w:rFonts w:asciiTheme="minorHAnsi" w:hAnsiTheme="minorHAnsi" w:cstheme="minorHAnsi"/>
          <w:color w:val="auto"/>
        </w:rPr>
        <w:t xml:space="preserve"> </w:t>
      </w:r>
      <w:r w:rsidR="000C33FA" w:rsidRPr="00551F38">
        <w:rPr>
          <w:rFonts w:asciiTheme="minorHAnsi" w:hAnsiTheme="minorHAnsi" w:cstheme="minorHAnsi"/>
          <w:color w:val="auto"/>
        </w:rPr>
        <w:t>Schem</w:t>
      </w:r>
      <w:r w:rsidR="00D15AD9" w:rsidRPr="00551F38">
        <w:rPr>
          <w:rFonts w:asciiTheme="minorHAnsi" w:hAnsiTheme="minorHAnsi" w:cstheme="minorHAnsi"/>
          <w:color w:val="auto"/>
        </w:rPr>
        <w:t>e</w:t>
      </w:r>
      <w:r w:rsidR="000C33FA" w:rsidRPr="00551F38">
        <w:rPr>
          <w:rFonts w:asciiTheme="minorHAnsi" w:hAnsiTheme="minorHAnsi" w:cstheme="minorHAnsi"/>
          <w:color w:val="auto"/>
        </w:rPr>
        <w:t xml:space="preserve"> represent</w:t>
      </w:r>
      <w:r w:rsidR="00D15AD9" w:rsidRPr="00551F38">
        <w:rPr>
          <w:rFonts w:asciiTheme="minorHAnsi" w:hAnsiTheme="minorHAnsi" w:cstheme="minorHAnsi"/>
          <w:color w:val="auto"/>
        </w:rPr>
        <w:t>ing</w:t>
      </w:r>
      <w:r w:rsidR="000C33FA" w:rsidRPr="00551F38">
        <w:rPr>
          <w:rFonts w:asciiTheme="minorHAnsi" w:hAnsiTheme="minorHAnsi" w:cstheme="minorHAnsi"/>
          <w:color w:val="auto"/>
        </w:rPr>
        <w:t xml:space="preserve"> agar</w:t>
      </w:r>
      <w:r w:rsidR="00E84BC8" w:rsidRPr="00551F38">
        <w:rPr>
          <w:rFonts w:asciiTheme="minorHAnsi" w:hAnsiTheme="minorHAnsi" w:cstheme="minorHAnsi"/>
          <w:color w:val="auto"/>
        </w:rPr>
        <w:t xml:space="preserve"> transfer</w:t>
      </w:r>
      <w:r w:rsidR="000C33FA" w:rsidRPr="00551F38">
        <w:rPr>
          <w:rFonts w:asciiTheme="minorHAnsi" w:hAnsiTheme="minorHAnsi" w:cstheme="minorHAnsi"/>
          <w:color w:val="auto"/>
        </w:rPr>
        <w:t xml:space="preserve"> of areas under cellulose </w:t>
      </w:r>
      <w:r w:rsidR="00BD790C" w:rsidRPr="00551F38">
        <w:rPr>
          <w:rFonts w:asciiTheme="minorHAnsi" w:hAnsiTheme="minorHAnsi" w:cstheme="minorHAnsi"/>
          <w:color w:val="auto"/>
        </w:rPr>
        <w:t>disks</w:t>
      </w:r>
      <w:r w:rsidR="00ED56EE" w:rsidRPr="00551F38">
        <w:rPr>
          <w:rFonts w:asciiTheme="minorHAnsi" w:hAnsiTheme="minorHAnsi" w:cstheme="minorHAnsi"/>
          <w:color w:val="auto"/>
        </w:rPr>
        <w:t xml:space="preserve"> followed by incubation</w:t>
      </w:r>
      <w:r w:rsidR="000C4BCF" w:rsidRPr="00551F38">
        <w:rPr>
          <w:rFonts w:asciiTheme="minorHAnsi" w:hAnsiTheme="minorHAnsi" w:cstheme="minorHAnsi"/>
          <w:color w:val="auto"/>
        </w:rPr>
        <w:t xml:space="preserve"> and residual growth measurement</w:t>
      </w:r>
      <w:r w:rsidR="000C33FA" w:rsidRPr="00551F38">
        <w:rPr>
          <w:rFonts w:asciiTheme="minorHAnsi" w:hAnsiTheme="minorHAnsi" w:cstheme="minorHAnsi"/>
          <w:color w:val="auto"/>
        </w:rPr>
        <w:t>.</w:t>
      </w:r>
      <w:r w:rsidR="00E84BC8" w:rsidRPr="00551F38">
        <w:rPr>
          <w:rFonts w:asciiTheme="minorHAnsi" w:hAnsiTheme="minorHAnsi" w:cstheme="minorHAnsi"/>
          <w:color w:val="auto"/>
        </w:rPr>
        <w:t xml:space="preserve"> </w:t>
      </w:r>
      <w:r w:rsidR="009134C1" w:rsidRPr="00551F38">
        <w:rPr>
          <w:rFonts w:asciiTheme="minorHAnsi" w:hAnsiTheme="minorHAnsi" w:cstheme="minorHAnsi"/>
          <w:b/>
          <w:bCs/>
          <w:color w:val="auto"/>
        </w:rPr>
        <w:t>C</w:t>
      </w:r>
      <w:r w:rsidR="000C33FA" w:rsidRPr="00551F38">
        <w:rPr>
          <w:rFonts w:asciiTheme="minorHAnsi" w:hAnsiTheme="minorHAnsi" w:cstheme="minorHAnsi"/>
          <w:b/>
          <w:bCs/>
          <w:color w:val="auto"/>
        </w:rPr>
        <w:t xml:space="preserve">. </w:t>
      </w:r>
      <w:r w:rsidR="00EA25F7" w:rsidRPr="00551F38">
        <w:rPr>
          <w:rFonts w:asciiTheme="minorHAnsi" w:hAnsiTheme="minorHAnsi" w:cstheme="minorHAnsi"/>
          <w:color w:val="auto"/>
        </w:rPr>
        <w:t>Representative picture of</w:t>
      </w:r>
      <w:r w:rsidR="00EA25F7" w:rsidRPr="00551F38">
        <w:rPr>
          <w:rFonts w:asciiTheme="minorHAnsi" w:hAnsiTheme="minorHAnsi" w:cstheme="minorHAnsi"/>
          <w:b/>
          <w:bCs/>
          <w:color w:val="auto"/>
        </w:rPr>
        <w:t xml:space="preserve"> </w:t>
      </w:r>
      <w:r w:rsidR="00EA25F7" w:rsidRPr="00551F38">
        <w:rPr>
          <w:rFonts w:asciiTheme="minorHAnsi" w:hAnsiTheme="minorHAnsi" w:cstheme="minorHAnsi"/>
          <w:color w:val="auto"/>
        </w:rPr>
        <w:t>r</w:t>
      </w:r>
      <w:r w:rsidR="000C33FA" w:rsidRPr="00551F38">
        <w:rPr>
          <w:rFonts w:asciiTheme="minorHAnsi" w:hAnsiTheme="minorHAnsi" w:cstheme="minorHAnsi"/>
          <w:color w:val="auto"/>
        </w:rPr>
        <w:t>adial</w:t>
      </w:r>
      <w:r w:rsidR="00EA25F7" w:rsidRPr="00551F38">
        <w:rPr>
          <w:rFonts w:asciiTheme="minorHAnsi" w:hAnsiTheme="minorHAnsi" w:cstheme="minorHAnsi"/>
          <w:color w:val="auto"/>
        </w:rPr>
        <w:t xml:space="preserve"> growth of</w:t>
      </w:r>
      <w:r w:rsidR="000C33FA" w:rsidRPr="00551F38">
        <w:rPr>
          <w:rFonts w:asciiTheme="minorHAnsi" w:hAnsiTheme="minorHAnsi" w:cstheme="minorHAnsi"/>
          <w:color w:val="auto"/>
        </w:rPr>
        <w:t xml:space="preserve"> residual </w:t>
      </w:r>
      <w:r w:rsidR="00E96AAF" w:rsidRPr="00551F38">
        <w:rPr>
          <w:rFonts w:asciiTheme="minorHAnsi" w:hAnsiTheme="minorHAnsi" w:cstheme="minorHAnsi"/>
          <w:color w:val="auto"/>
        </w:rPr>
        <w:t>mycelium</w:t>
      </w:r>
      <w:r w:rsidR="00E96AAF" w:rsidRPr="00551F38">
        <w:rPr>
          <w:rFonts w:asciiTheme="minorHAnsi" w:hAnsiTheme="minorHAnsi" w:cstheme="minorHAnsi"/>
          <w:b/>
          <w:bCs/>
          <w:color w:val="auto"/>
        </w:rPr>
        <w:t xml:space="preserve"> </w:t>
      </w:r>
      <w:r w:rsidR="00E96AAF" w:rsidRPr="00551F38">
        <w:rPr>
          <w:rFonts w:asciiTheme="minorHAnsi" w:hAnsiTheme="minorHAnsi" w:cstheme="minorHAnsi"/>
          <w:color w:val="auto"/>
        </w:rPr>
        <w:t>after</w:t>
      </w:r>
      <w:r w:rsidR="000C33FA" w:rsidRPr="00551F38">
        <w:rPr>
          <w:rFonts w:asciiTheme="minorHAnsi" w:hAnsiTheme="minorHAnsi" w:cstheme="minorHAnsi"/>
          <w:color w:val="auto"/>
        </w:rPr>
        <w:t xml:space="preserve"> transfer of areas under cellulose </w:t>
      </w:r>
      <w:r w:rsidR="00BD790C" w:rsidRPr="00551F38">
        <w:rPr>
          <w:rFonts w:asciiTheme="minorHAnsi" w:hAnsiTheme="minorHAnsi" w:cstheme="minorHAnsi"/>
          <w:color w:val="auto"/>
        </w:rPr>
        <w:t>disks</w:t>
      </w:r>
      <w:r w:rsidR="002935A6" w:rsidRPr="00551F38">
        <w:rPr>
          <w:rFonts w:asciiTheme="minorHAnsi" w:hAnsiTheme="minorHAnsi" w:cstheme="minorHAnsi"/>
          <w:color w:val="auto"/>
        </w:rPr>
        <w:t>.</w:t>
      </w:r>
      <w:r w:rsidR="000C33FA" w:rsidRPr="00551F38">
        <w:rPr>
          <w:rFonts w:asciiTheme="minorHAnsi" w:hAnsiTheme="minorHAnsi" w:cstheme="minorHAnsi"/>
          <w:color w:val="auto"/>
        </w:rPr>
        <w:t xml:space="preserve"> </w:t>
      </w:r>
      <w:r w:rsidR="009134C1" w:rsidRPr="00551F38">
        <w:rPr>
          <w:rFonts w:asciiTheme="minorHAnsi" w:hAnsiTheme="minorHAnsi" w:cstheme="minorHAnsi"/>
          <w:b/>
          <w:bCs/>
          <w:color w:val="auto"/>
        </w:rPr>
        <w:t>D</w:t>
      </w:r>
      <w:r w:rsidR="000C33FA" w:rsidRPr="00551F38">
        <w:rPr>
          <w:rFonts w:asciiTheme="minorHAnsi" w:hAnsiTheme="minorHAnsi" w:cstheme="minorHAnsi"/>
          <w:b/>
          <w:bCs/>
          <w:color w:val="auto"/>
        </w:rPr>
        <w:t>.</w:t>
      </w:r>
      <w:r w:rsidR="000C33FA" w:rsidRPr="00551F38">
        <w:rPr>
          <w:rFonts w:asciiTheme="minorHAnsi" w:hAnsiTheme="minorHAnsi" w:cstheme="minorHAnsi"/>
          <w:color w:val="auto"/>
        </w:rPr>
        <w:t xml:space="preserve"> </w:t>
      </w:r>
      <w:r w:rsidR="00EA25F7" w:rsidRPr="00551F38">
        <w:rPr>
          <w:rFonts w:asciiTheme="minorHAnsi" w:hAnsiTheme="minorHAnsi" w:cstheme="minorHAnsi"/>
          <w:color w:val="auto"/>
        </w:rPr>
        <w:t>Radial g</w:t>
      </w:r>
      <w:r w:rsidR="000C33FA" w:rsidRPr="00551F38">
        <w:rPr>
          <w:rFonts w:asciiTheme="minorHAnsi" w:hAnsiTheme="minorHAnsi" w:cstheme="minorHAnsi"/>
          <w:color w:val="auto"/>
        </w:rPr>
        <w:t xml:space="preserve">rowth measurement of residual mycelium. </w:t>
      </w:r>
      <w:bookmarkStart w:id="2" w:name="_Hlk49509720"/>
      <w:r w:rsidR="00EA25F7" w:rsidRPr="00551F38">
        <w:rPr>
          <w:rFonts w:asciiTheme="minorHAnsi" w:hAnsiTheme="minorHAnsi" w:cstheme="minorHAnsi"/>
          <w:b/>
          <w:bCs/>
          <w:color w:val="auto"/>
        </w:rPr>
        <w:t>E</w:t>
      </w:r>
      <w:r w:rsidR="000C33FA" w:rsidRPr="00551F38">
        <w:rPr>
          <w:rFonts w:asciiTheme="minorHAnsi" w:hAnsiTheme="minorHAnsi" w:cstheme="minorHAnsi"/>
          <w:b/>
          <w:bCs/>
          <w:color w:val="auto"/>
        </w:rPr>
        <w:t>.</w:t>
      </w:r>
      <w:r w:rsidR="000C33FA" w:rsidRPr="00551F38">
        <w:rPr>
          <w:rFonts w:asciiTheme="minorHAnsi" w:hAnsiTheme="minorHAnsi" w:cstheme="minorHAnsi"/>
          <w:color w:val="auto"/>
        </w:rPr>
        <w:t xml:space="preserve"> Effect of </w:t>
      </w:r>
      <w:r w:rsidR="002935A6" w:rsidRPr="00551F38">
        <w:rPr>
          <w:rFonts w:asciiTheme="minorHAnsi" w:hAnsiTheme="minorHAnsi" w:cstheme="minorHAnsi"/>
          <w:i/>
          <w:iCs/>
          <w:color w:val="auto"/>
        </w:rPr>
        <w:t xml:space="preserve">Thymus </w:t>
      </w:r>
      <w:r w:rsidR="000C33FA" w:rsidRPr="00551F38">
        <w:rPr>
          <w:rFonts w:asciiTheme="minorHAnsi" w:hAnsiTheme="minorHAnsi" w:cstheme="minorHAnsi"/>
          <w:i/>
          <w:iCs/>
          <w:color w:val="auto"/>
        </w:rPr>
        <w:t>vulgaris</w:t>
      </w:r>
      <w:r w:rsidR="000C33FA" w:rsidRPr="00551F38">
        <w:rPr>
          <w:rFonts w:asciiTheme="minorHAnsi" w:hAnsiTheme="minorHAnsi" w:cstheme="minorHAnsi"/>
          <w:color w:val="auto"/>
        </w:rPr>
        <w:t xml:space="preserve"> essential oil on the growth of mycelium transferred from cellulose </w:t>
      </w:r>
      <w:r w:rsidR="00BD790C" w:rsidRPr="00551F38">
        <w:rPr>
          <w:rFonts w:asciiTheme="minorHAnsi" w:hAnsiTheme="minorHAnsi" w:cstheme="minorHAnsi"/>
          <w:color w:val="auto"/>
        </w:rPr>
        <w:t>disk</w:t>
      </w:r>
      <w:r w:rsidR="000C33FA" w:rsidRPr="00551F38">
        <w:rPr>
          <w:rFonts w:asciiTheme="minorHAnsi" w:hAnsiTheme="minorHAnsi" w:cstheme="minorHAnsi"/>
          <w:color w:val="auto"/>
        </w:rPr>
        <w:t xml:space="preserve"> or agar-plug</w:t>
      </w:r>
      <w:r w:rsidR="00975A60" w:rsidRPr="00551F38">
        <w:rPr>
          <w:rFonts w:asciiTheme="minorHAnsi" w:hAnsiTheme="minorHAnsi" w:cstheme="minorHAnsi"/>
          <w:color w:val="auto"/>
        </w:rPr>
        <w:t xml:space="preserve"> </w:t>
      </w:r>
      <w:bookmarkEnd w:id="2"/>
      <w:r w:rsidR="00975A60" w:rsidRPr="00551F38">
        <w:rPr>
          <w:rFonts w:asciiTheme="minorHAnsi" w:hAnsiTheme="minorHAnsi" w:cstheme="minorHAnsi"/>
          <w:color w:val="auto"/>
        </w:rPr>
        <w:t>(N</w:t>
      </w:r>
      <w:r w:rsidR="00CF1C04" w:rsidRPr="00551F38">
        <w:rPr>
          <w:rFonts w:asciiTheme="minorHAnsi" w:hAnsiTheme="minorHAnsi" w:cstheme="minorHAnsi"/>
          <w:color w:val="auto"/>
        </w:rPr>
        <w:t>=2</w:t>
      </w:r>
      <w:r w:rsidR="00975A60" w:rsidRPr="00551F38">
        <w:rPr>
          <w:rFonts w:asciiTheme="minorHAnsi" w:hAnsiTheme="minorHAnsi" w:cstheme="minorHAnsi"/>
          <w:color w:val="auto"/>
        </w:rPr>
        <w:t>,</w:t>
      </w:r>
      <w:r w:rsidR="00CF1C04" w:rsidRPr="00551F38">
        <w:rPr>
          <w:rFonts w:asciiTheme="minorHAnsi" w:hAnsiTheme="minorHAnsi" w:cstheme="minorHAnsi"/>
          <w:color w:val="auto"/>
        </w:rPr>
        <w:t xml:space="preserve"> mean </w:t>
      </w:r>
      <w:r w:rsidR="00DB6323" w:rsidRPr="00551F38">
        <w:rPr>
          <w:rFonts w:asciiTheme="minorHAnsi" w:hAnsiTheme="minorHAnsi" w:cstheme="minorHAnsi"/>
          <w:color w:val="auto"/>
        </w:rPr>
        <w:t>±</w:t>
      </w:r>
      <w:r w:rsidR="00CF1C04" w:rsidRPr="00551F38">
        <w:rPr>
          <w:rFonts w:asciiTheme="minorHAnsi" w:hAnsiTheme="minorHAnsi" w:cstheme="minorHAnsi"/>
          <w:color w:val="auto"/>
        </w:rPr>
        <w:t xml:space="preserve"> SD</w:t>
      </w:r>
      <w:r w:rsidR="00975A60" w:rsidRPr="00551F38">
        <w:rPr>
          <w:rFonts w:asciiTheme="minorHAnsi" w:hAnsiTheme="minorHAnsi" w:cstheme="minorHAnsi"/>
          <w:color w:val="auto"/>
        </w:rPr>
        <w:t>)</w:t>
      </w:r>
      <w:r w:rsidR="00CF1C04" w:rsidRPr="00551F38">
        <w:rPr>
          <w:rFonts w:asciiTheme="minorHAnsi" w:hAnsiTheme="minorHAnsi" w:cstheme="minorHAnsi"/>
          <w:color w:val="auto"/>
        </w:rPr>
        <w:t xml:space="preserve"> </w:t>
      </w:r>
    </w:p>
    <w:p w14:paraId="4DC65D03" w14:textId="5FCBEE49" w:rsidR="00F54189" w:rsidRPr="00551F38" w:rsidRDefault="00F54189" w:rsidP="007A4DD6">
      <w:pPr>
        <w:rPr>
          <w:rFonts w:asciiTheme="minorHAnsi" w:hAnsiTheme="minorHAnsi" w:cstheme="minorHAnsi"/>
          <w:color w:val="auto"/>
        </w:rPr>
      </w:pPr>
    </w:p>
    <w:p w14:paraId="1F54788E" w14:textId="61A156C5" w:rsidR="00F54189" w:rsidRPr="00551F38" w:rsidRDefault="00F54189" w:rsidP="007A4DD6">
      <w:pPr>
        <w:rPr>
          <w:rFonts w:asciiTheme="minorHAnsi" w:hAnsiTheme="minorHAnsi"/>
          <w:b/>
          <w:color w:val="auto"/>
        </w:rPr>
      </w:pPr>
      <w:r w:rsidRPr="00551F38">
        <w:rPr>
          <w:rFonts w:asciiTheme="minorHAnsi" w:hAnsiTheme="minorHAnsi"/>
          <w:b/>
          <w:color w:val="auto"/>
        </w:rPr>
        <w:t xml:space="preserve">Figure </w:t>
      </w:r>
      <w:r w:rsidR="00186845" w:rsidRPr="00551F38">
        <w:rPr>
          <w:rFonts w:asciiTheme="minorHAnsi" w:hAnsiTheme="minorHAnsi"/>
          <w:b/>
          <w:color w:val="auto"/>
        </w:rPr>
        <w:t>3</w:t>
      </w:r>
      <w:r w:rsidRPr="00551F38">
        <w:rPr>
          <w:rFonts w:asciiTheme="minorHAnsi" w:hAnsiTheme="minorHAnsi"/>
          <w:b/>
          <w:color w:val="auto"/>
        </w:rPr>
        <w:t xml:space="preserve">: </w:t>
      </w:r>
      <w:r w:rsidR="00F8222C" w:rsidRPr="00551F38">
        <w:rPr>
          <w:rFonts w:asciiTheme="minorHAnsi" w:hAnsiTheme="minorHAnsi"/>
          <w:b/>
          <w:color w:val="auto"/>
        </w:rPr>
        <w:t xml:space="preserve">Comparison of antifungal activities </w:t>
      </w:r>
      <w:r w:rsidR="00E80B9F" w:rsidRPr="00551F38">
        <w:rPr>
          <w:rFonts w:asciiTheme="minorHAnsi" w:hAnsiTheme="minorHAnsi"/>
          <w:b/>
          <w:color w:val="auto"/>
        </w:rPr>
        <w:t xml:space="preserve">using the vapor-phase and contact inhibition assays </w:t>
      </w:r>
      <w:r w:rsidR="00F8222C" w:rsidRPr="00551F38">
        <w:rPr>
          <w:rFonts w:asciiTheme="minorHAnsi" w:hAnsiTheme="minorHAnsi"/>
          <w:b/>
          <w:color w:val="auto"/>
        </w:rPr>
        <w:t xml:space="preserve">on </w:t>
      </w:r>
      <w:r w:rsidR="00E80B9F" w:rsidRPr="00551F38">
        <w:rPr>
          <w:rFonts w:asciiTheme="minorHAnsi" w:hAnsiTheme="minorHAnsi"/>
          <w:b/>
          <w:color w:val="auto"/>
        </w:rPr>
        <w:t xml:space="preserve">spores, early </w:t>
      </w:r>
      <w:r w:rsidR="00022D28" w:rsidRPr="00551F38">
        <w:rPr>
          <w:rFonts w:asciiTheme="minorHAnsi" w:hAnsiTheme="minorHAnsi"/>
          <w:b/>
          <w:color w:val="auto"/>
        </w:rPr>
        <w:t>hyphae,</w:t>
      </w:r>
      <w:r w:rsidR="00E80B9F" w:rsidRPr="00551F38">
        <w:rPr>
          <w:rFonts w:asciiTheme="minorHAnsi" w:hAnsiTheme="minorHAnsi"/>
          <w:b/>
          <w:color w:val="auto"/>
        </w:rPr>
        <w:t xml:space="preserve"> and mycelium. </w:t>
      </w:r>
      <w:r w:rsidR="00186845" w:rsidRPr="00551F38">
        <w:rPr>
          <w:rFonts w:asciiTheme="minorHAnsi" w:hAnsiTheme="minorHAnsi"/>
          <w:b/>
          <w:color w:val="auto"/>
        </w:rPr>
        <w:t>A</w:t>
      </w:r>
      <w:r w:rsidR="00186845" w:rsidRPr="00551F38">
        <w:rPr>
          <w:rFonts w:asciiTheme="minorHAnsi" w:hAnsiTheme="minorHAnsi"/>
          <w:bCs/>
          <w:color w:val="auto"/>
        </w:rPr>
        <w:t xml:space="preserve">. Representative pictures of </w:t>
      </w:r>
      <w:r w:rsidR="00222AFC" w:rsidRPr="00551F38">
        <w:rPr>
          <w:rFonts w:asciiTheme="minorHAnsi" w:hAnsiTheme="minorHAnsi"/>
          <w:bCs/>
          <w:i/>
          <w:iCs/>
          <w:color w:val="auto"/>
        </w:rPr>
        <w:t>Trichoderma</w:t>
      </w:r>
      <w:r w:rsidR="00186845" w:rsidRPr="00551F38">
        <w:rPr>
          <w:rFonts w:asciiTheme="minorHAnsi" w:hAnsiTheme="minorHAnsi"/>
          <w:bCs/>
          <w:color w:val="auto"/>
        </w:rPr>
        <w:t xml:space="preserve"> spores, early hyphae (17 h growth)</w:t>
      </w:r>
      <w:r w:rsidR="00BD790C" w:rsidRPr="00551F38">
        <w:rPr>
          <w:rFonts w:asciiTheme="minorHAnsi" w:hAnsiTheme="minorHAnsi"/>
          <w:bCs/>
          <w:color w:val="auto"/>
        </w:rPr>
        <w:t>,</w:t>
      </w:r>
      <w:r w:rsidR="00186845" w:rsidRPr="00551F38">
        <w:rPr>
          <w:rFonts w:asciiTheme="minorHAnsi" w:hAnsiTheme="minorHAnsi"/>
          <w:bCs/>
          <w:color w:val="auto"/>
        </w:rPr>
        <w:t xml:space="preserve"> and mycelium (24 h growth). </w:t>
      </w:r>
      <w:r w:rsidR="00222AFC" w:rsidRPr="00551F38">
        <w:rPr>
          <w:rFonts w:asciiTheme="minorHAnsi" w:hAnsiTheme="minorHAnsi"/>
          <w:bCs/>
          <w:i/>
          <w:iCs/>
          <w:color w:val="auto"/>
        </w:rPr>
        <w:t>Trichoderma</w:t>
      </w:r>
      <w:r w:rsidR="00E80B9F" w:rsidRPr="00551F38">
        <w:rPr>
          <w:rFonts w:asciiTheme="minorHAnsi" w:hAnsiTheme="minorHAnsi"/>
          <w:bCs/>
          <w:color w:val="auto"/>
        </w:rPr>
        <w:t xml:space="preserve"> growth inhibition by carbendazim (</w:t>
      </w:r>
      <w:r w:rsidR="00002673" w:rsidRPr="00551F38">
        <w:rPr>
          <w:rFonts w:asciiTheme="minorHAnsi" w:hAnsiTheme="minorHAnsi"/>
          <w:b/>
          <w:color w:val="auto"/>
        </w:rPr>
        <w:t>B</w:t>
      </w:r>
      <w:r w:rsidR="00E80B9F" w:rsidRPr="00551F38">
        <w:rPr>
          <w:rFonts w:asciiTheme="minorHAnsi" w:hAnsiTheme="minorHAnsi"/>
          <w:bCs/>
          <w:color w:val="auto"/>
        </w:rPr>
        <w:t xml:space="preserve">), </w:t>
      </w:r>
      <w:r w:rsidR="00186845" w:rsidRPr="00551F38">
        <w:rPr>
          <w:rFonts w:asciiTheme="minorHAnsi" w:hAnsiTheme="minorHAnsi"/>
          <w:bCs/>
          <w:i/>
          <w:iCs/>
          <w:color w:val="auto"/>
        </w:rPr>
        <w:t>T</w:t>
      </w:r>
      <w:r w:rsidR="00E80B9F" w:rsidRPr="00551F38">
        <w:rPr>
          <w:rFonts w:asciiTheme="minorHAnsi" w:hAnsiTheme="minorHAnsi"/>
          <w:bCs/>
          <w:i/>
          <w:iCs/>
          <w:color w:val="auto"/>
        </w:rPr>
        <w:t>hymus vulgaris</w:t>
      </w:r>
      <w:r w:rsidR="00E80B9F" w:rsidRPr="00551F38">
        <w:rPr>
          <w:rFonts w:asciiTheme="minorHAnsi" w:hAnsiTheme="minorHAnsi"/>
          <w:bCs/>
          <w:color w:val="auto"/>
        </w:rPr>
        <w:t xml:space="preserve"> essential oil (</w:t>
      </w:r>
      <w:r w:rsidR="00002673" w:rsidRPr="00551F38">
        <w:rPr>
          <w:rFonts w:asciiTheme="minorHAnsi" w:hAnsiTheme="minorHAnsi"/>
          <w:b/>
          <w:color w:val="auto"/>
        </w:rPr>
        <w:t>C</w:t>
      </w:r>
      <w:r w:rsidR="00E80B9F" w:rsidRPr="00551F38">
        <w:rPr>
          <w:rFonts w:asciiTheme="minorHAnsi" w:hAnsiTheme="minorHAnsi"/>
          <w:bCs/>
          <w:color w:val="auto"/>
        </w:rPr>
        <w:t>) and garlic powder (</w:t>
      </w:r>
      <w:r w:rsidR="00002673" w:rsidRPr="00551F38">
        <w:rPr>
          <w:rFonts w:asciiTheme="minorHAnsi" w:hAnsiTheme="minorHAnsi"/>
          <w:b/>
          <w:color w:val="auto"/>
        </w:rPr>
        <w:t>D</w:t>
      </w:r>
      <w:r w:rsidR="00E80B9F" w:rsidRPr="00551F38">
        <w:rPr>
          <w:rFonts w:asciiTheme="minorHAnsi" w:hAnsiTheme="minorHAnsi"/>
          <w:bCs/>
          <w:color w:val="auto"/>
        </w:rPr>
        <w:t>)</w:t>
      </w:r>
      <w:r w:rsidR="009134C1" w:rsidRPr="00551F38">
        <w:rPr>
          <w:rFonts w:asciiTheme="minorHAnsi" w:hAnsiTheme="minorHAnsi"/>
          <w:bCs/>
          <w:color w:val="auto"/>
        </w:rPr>
        <w:t>.</w:t>
      </w:r>
      <w:r w:rsidR="00733A70" w:rsidRPr="00551F38">
        <w:rPr>
          <w:rFonts w:asciiTheme="minorHAnsi" w:hAnsiTheme="minorHAnsi"/>
          <w:bCs/>
          <w:color w:val="auto"/>
        </w:rPr>
        <w:t xml:space="preserve"> </w:t>
      </w:r>
      <w:r w:rsidR="009134C1" w:rsidRPr="00551F38">
        <w:rPr>
          <w:rFonts w:asciiTheme="minorHAnsi" w:hAnsiTheme="minorHAnsi" w:cstheme="minorHAnsi"/>
          <w:color w:val="auto"/>
        </w:rPr>
        <w:t xml:space="preserve">(N=2, mean </w:t>
      </w:r>
      <w:r w:rsidR="00DB6323" w:rsidRPr="00551F38">
        <w:rPr>
          <w:rFonts w:asciiTheme="minorHAnsi" w:hAnsiTheme="minorHAnsi" w:cstheme="minorHAnsi"/>
          <w:color w:val="auto"/>
        </w:rPr>
        <w:t>±</w:t>
      </w:r>
      <w:r w:rsidR="009134C1" w:rsidRPr="00551F38">
        <w:rPr>
          <w:rFonts w:asciiTheme="minorHAnsi" w:hAnsiTheme="minorHAnsi" w:cstheme="minorHAnsi"/>
          <w:color w:val="auto"/>
        </w:rPr>
        <w:t xml:space="preserve"> SD)</w:t>
      </w:r>
    </w:p>
    <w:p w14:paraId="75182EC3" w14:textId="2153EAD5" w:rsidR="00B32616" w:rsidRPr="00551F38" w:rsidRDefault="00B32616" w:rsidP="001B1519">
      <w:pPr>
        <w:rPr>
          <w:rFonts w:asciiTheme="minorHAnsi" w:hAnsiTheme="minorHAnsi"/>
          <w:color w:val="808080" w:themeColor="background1" w:themeShade="80"/>
        </w:rPr>
      </w:pPr>
    </w:p>
    <w:p w14:paraId="2B64AD12" w14:textId="58AA51E4" w:rsidR="00F54189" w:rsidRPr="00551F38" w:rsidRDefault="00755307" w:rsidP="001B1519">
      <w:pPr>
        <w:rPr>
          <w:rFonts w:asciiTheme="minorHAnsi" w:hAnsiTheme="minorHAnsi"/>
          <w:color w:val="808080" w:themeColor="background1" w:themeShade="80"/>
        </w:rPr>
      </w:pPr>
      <w:r w:rsidRPr="00551F38">
        <w:rPr>
          <w:rFonts w:asciiTheme="minorHAnsi" w:hAnsiTheme="minorHAnsi"/>
          <w:b/>
          <w:color w:val="auto"/>
        </w:rPr>
        <w:t xml:space="preserve">Figure </w:t>
      </w:r>
      <w:r w:rsidR="00EA25F7" w:rsidRPr="00551F38">
        <w:rPr>
          <w:rFonts w:asciiTheme="minorHAnsi" w:hAnsiTheme="minorHAnsi"/>
          <w:b/>
          <w:color w:val="auto"/>
        </w:rPr>
        <w:t>4</w:t>
      </w:r>
      <w:r w:rsidRPr="00551F38">
        <w:rPr>
          <w:rFonts w:asciiTheme="minorHAnsi" w:hAnsiTheme="minorHAnsi"/>
          <w:b/>
          <w:color w:val="auto"/>
        </w:rPr>
        <w:t xml:space="preserve">: </w:t>
      </w:r>
      <w:r w:rsidR="00CF1C04" w:rsidRPr="00551F38">
        <w:rPr>
          <w:rFonts w:asciiTheme="minorHAnsi" w:hAnsiTheme="minorHAnsi"/>
          <w:b/>
          <w:color w:val="auto"/>
        </w:rPr>
        <w:t>Representative pictures of garlic antifungal activity on agar</w:t>
      </w:r>
      <w:r w:rsidR="00BD790C" w:rsidRPr="00551F38">
        <w:rPr>
          <w:rFonts w:asciiTheme="minorHAnsi" w:hAnsiTheme="minorHAnsi"/>
          <w:b/>
          <w:color w:val="auto"/>
        </w:rPr>
        <w:t xml:space="preserve"> </w:t>
      </w:r>
      <w:r w:rsidR="00CF1C04" w:rsidRPr="00551F38">
        <w:rPr>
          <w:rFonts w:asciiTheme="minorHAnsi" w:hAnsiTheme="minorHAnsi"/>
          <w:b/>
          <w:color w:val="auto"/>
        </w:rPr>
        <w:t>plate</w:t>
      </w:r>
      <w:r w:rsidR="00BD790C" w:rsidRPr="00551F38">
        <w:rPr>
          <w:rFonts w:asciiTheme="minorHAnsi" w:hAnsiTheme="minorHAnsi"/>
          <w:b/>
          <w:color w:val="auto"/>
        </w:rPr>
        <w:t>s</w:t>
      </w:r>
      <w:r w:rsidR="00CF1C04" w:rsidRPr="00551F38">
        <w:rPr>
          <w:rFonts w:asciiTheme="minorHAnsi" w:hAnsiTheme="minorHAnsi"/>
          <w:b/>
          <w:color w:val="auto"/>
        </w:rPr>
        <w:t xml:space="preserve"> </w:t>
      </w:r>
      <w:r w:rsidR="00C9279E" w:rsidRPr="00551F38">
        <w:rPr>
          <w:rFonts w:asciiTheme="minorHAnsi" w:hAnsiTheme="minorHAnsi"/>
          <w:b/>
          <w:color w:val="auto"/>
        </w:rPr>
        <w:t>in</w:t>
      </w:r>
      <w:r w:rsidR="00CF1C04" w:rsidRPr="00551F38">
        <w:rPr>
          <w:rFonts w:asciiTheme="minorHAnsi" w:hAnsiTheme="minorHAnsi"/>
          <w:b/>
          <w:color w:val="auto"/>
        </w:rPr>
        <w:t xml:space="preserve"> contact</w:t>
      </w:r>
      <w:r w:rsidR="00BD790C" w:rsidRPr="00551F38">
        <w:rPr>
          <w:rFonts w:asciiTheme="minorHAnsi" w:hAnsiTheme="minorHAnsi"/>
          <w:b/>
          <w:color w:val="auto"/>
        </w:rPr>
        <w:t>-</w:t>
      </w:r>
      <w:r w:rsidR="00CF1C04" w:rsidRPr="00551F38">
        <w:rPr>
          <w:rFonts w:asciiTheme="minorHAnsi" w:hAnsiTheme="minorHAnsi"/>
          <w:b/>
          <w:color w:val="auto"/>
        </w:rPr>
        <w:t xml:space="preserve"> (A) </w:t>
      </w:r>
      <w:r w:rsidR="00C9279E" w:rsidRPr="00551F38">
        <w:rPr>
          <w:rFonts w:asciiTheme="minorHAnsi" w:hAnsiTheme="minorHAnsi"/>
          <w:b/>
          <w:color w:val="auto"/>
        </w:rPr>
        <w:t>or</w:t>
      </w:r>
      <w:r w:rsidR="00CF1C04" w:rsidRPr="00551F38">
        <w:rPr>
          <w:rFonts w:asciiTheme="minorHAnsi" w:hAnsiTheme="minorHAnsi"/>
          <w:b/>
          <w:color w:val="auto"/>
        </w:rPr>
        <w:t xml:space="preserve"> vapor-phase (B)</w:t>
      </w:r>
      <w:r w:rsidR="00BD790C" w:rsidRPr="00551F38">
        <w:rPr>
          <w:rFonts w:asciiTheme="minorHAnsi" w:hAnsiTheme="minorHAnsi"/>
          <w:b/>
          <w:color w:val="auto"/>
        </w:rPr>
        <w:t xml:space="preserve"> inhibition assays</w:t>
      </w:r>
    </w:p>
    <w:p w14:paraId="5459AF77" w14:textId="36763A78" w:rsidR="00F54189" w:rsidRPr="00551F38" w:rsidRDefault="00F54189" w:rsidP="001B1519">
      <w:pPr>
        <w:rPr>
          <w:rFonts w:asciiTheme="minorHAnsi" w:hAnsiTheme="minorHAnsi"/>
          <w:color w:val="808080" w:themeColor="background1" w:themeShade="80"/>
        </w:rPr>
      </w:pPr>
    </w:p>
    <w:p w14:paraId="64B8CF78" w14:textId="6A7B1354" w:rsidR="006305D7" w:rsidRPr="00551F38" w:rsidRDefault="006305D7" w:rsidP="001B1519">
      <w:pPr>
        <w:rPr>
          <w:rFonts w:asciiTheme="minorHAnsi" w:hAnsiTheme="minorHAnsi"/>
          <w:b/>
        </w:rPr>
      </w:pPr>
      <w:r w:rsidRPr="00551F38">
        <w:rPr>
          <w:rFonts w:asciiTheme="minorHAnsi" w:hAnsiTheme="minorHAnsi"/>
          <w:b/>
        </w:rPr>
        <w:t xml:space="preserve">DISCUSSION: </w:t>
      </w:r>
    </w:p>
    <w:p w14:paraId="26CCE79E" w14:textId="7FC685B3" w:rsidR="00BC6968" w:rsidRPr="00551F38" w:rsidRDefault="00BC6968" w:rsidP="00565D89">
      <w:pPr>
        <w:tabs>
          <w:tab w:val="left" w:pos="6946"/>
        </w:tabs>
        <w:rPr>
          <w:rFonts w:asciiTheme="minorHAnsi" w:hAnsiTheme="minorHAnsi" w:cstheme="minorHAnsi"/>
          <w:color w:val="auto"/>
        </w:rPr>
      </w:pPr>
      <w:r w:rsidRPr="00551F38">
        <w:rPr>
          <w:rFonts w:asciiTheme="minorHAnsi" w:hAnsiTheme="minorHAnsi" w:cstheme="minorHAnsi"/>
          <w:color w:val="auto"/>
        </w:rPr>
        <w:t xml:space="preserve">The approach </w:t>
      </w:r>
      <w:r w:rsidR="00755854" w:rsidRPr="00551F38">
        <w:rPr>
          <w:rFonts w:asciiTheme="minorHAnsi" w:hAnsiTheme="minorHAnsi" w:cstheme="minorHAnsi"/>
          <w:color w:val="auto"/>
        </w:rPr>
        <w:t xml:space="preserve">presented here </w:t>
      </w:r>
      <w:r w:rsidRPr="00551F38">
        <w:rPr>
          <w:rFonts w:asciiTheme="minorHAnsi" w:hAnsiTheme="minorHAnsi" w:cstheme="minorHAnsi"/>
          <w:color w:val="auto"/>
        </w:rPr>
        <w:t>allows for the evaluation of antifungal properties of minimally processed plant</w:t>
      </w:r>
      <w:r w:rsidR="00BD790C" w:rsidRPr="00551F38">
        <w:rPr>
          <w:rFonts w:asciiTheme="minorHAnsi" w:hAnsiTheme="minorHAnsi" w:cstheme="minorHAnsi"/>
          <w:color w:val="auto"/>
        </w:rPr>
        <w:t>-</w:t>
      </w:r>
      <w:r w:rsidRPr="00551F38">
        <w:rPr>
          <w:rFonts w:asciiTheme="minorHAnsi" w:hAnsiTheme="minorHAnsi" w:cstheme="minorHAnsi"/>
          <w:color w:val="auto"/>
        </w:rPr>
        <w:t>derived product</w:t>
      </w:r>
      <w:r w:rsidR="00BD790C" w:rsidRPr="00551F38">
        <w:rPr>
          <w:rFonts w:asciiTheme="minorHAnsi" w:hAnsiTheme="minorHAnsi" w:cstheme="minorHAnsi"/>
          <w:color w:val="auto"/>
        </w:rPr>
        <w:t>s</w:t>
      </w:r>
      <w:r w:rsidRPr="00551F38">
        <w:rPr>
          <w:rFonts w:asciiTheme="minorHAnsi" w:hAnsiTheme="minorHAnsi" w:cstheme="minorHAnsi"/>
          <w:color w:val="auto"/>
        </w:rPr>
        <w:t>. In this protocol, homogenous distribution of spores on the agar surface is achieved using 2 mm glass beads. This step requires handling skills to properly distribute the beads and to obtain reproducible results</w:t>
      </w:r>
      <w:r w:rsidR="00BD790C" w:rsidRPr="00551F38">
        <w:rPr>
          <w:rFonts w:asciiTheme="minorHAnsi" w:hAnsiTheme="minorHAnsi" w:cstheme="minorHAnsi"/>
          <w:color w:val="auto"/>
        </w:rPr>
        <w:t>,</w:t>
      </w:r>
      <w:r w:rsidRPr="00551F38">
        <w:rPr>
          <w:rFonts w:asciiTheme="minorHAnsi" w:hAnsiTheme="minorHAnsi" w:cstheme="minorHAnsi"/>
          <w:color w:val="auto"/>
        </w:rPr>
        <w:t xml:space="preserve"> ultimately allowing the comparison </w:t>
      </w:r>
      <w:r w:rsidR="00BD790C" w:rsidRPr="00551F38">
        <w:rPr>
          <w:rFonts w:asciiTheme="minorHAnsi" w:hAnsiTheme="minorHAnsi" w:cstheme="minorHAnsi"/>
          <w:color w:val="auto"/>
        </w:rPr>
        <w:t xml:space="preserve">of </w:t>
      </w:r>
      <w:r w:rsidRPr="00551F38">
        <w:rPr>
          <w:rFonts w:asciiTheme="minorHAnsi" w:hAnsiTheme="minorHAnsi" w:cstheme="minorHAnsi"/>
          <w:color w:val="auto"/>
        </w:rPr>
        <w:t>antifungal effects at different stages of fungal growth. We found that 5 mm glass beads or excess</w:t>
      </w:r>
      <w:r w:rsidR="00BD790C" w:rsidRPr="00551F38">
        <w:rPr>
          <w:rFonts w:asciiTheme="minorHAnsi" w:hAnsiTheme="minorHAnsi" w:cstheme="minorHAnsi"/>
          <w:color w:val="auto"/>
        </w:rPr>
        <w:t>ive</w:t>
      </w:r>
      <w:r w:rsidRPr="00551F38">
        <w:rPr>
          <w:rFonts w:asciiTheme="minorHAnsi" w:hAnsiTheme="minorHAnsi" w:cstheme="minorHAnsi"/>
          <w:color w:val="auto"/>
        </w:rPr>
        <w:t xml:space="preserve"> rotation while homogenizing during spreading can </w:t>
      </w:r>
      <w:r w:rsidR="00BD790C" w:rsidRPr="00551F38">
        <w:rPr>
          <w:rFonts w:asciiTheme="minorHAnsi" w:hAnsiTheme="minorHAnsi" w:cstheme="minorHAnsi"/>
          <w:color w:val="auto"/>
        </w:rPr>
        <w:t xml:space="preserve">cause </w:t>
      </w:r>
      <w:r w:rsidRPr="00551F38">
        <w:rPr>
          <w:rFonts w:asciiTheme="minorHAnsi" w:hAnsiTheme="minorHAnsi" w:cstheme="minorHAnsi"/>
          <w:color w:val="auto"/>
        </w:rPr>
        <w:t>variable growth diameter. Th</w:t>
      </w:r>
      <w:r w:rsidR="0074066C" w:rsidRPr="00551F38">
        <w:rPr>
          <w:rFonts w:asciiTheme="minorHAnsi" w:hAnsiTheme="minorHAnsi" w:cstheme="minorHAnsi"/>
          <w:color w:val="auto"/>
        </w:rPr>
        <w:t>erefore</w:t>
      </w:r>
      <w:r w:rsidRPr="00551F38">
        <w:rPr>
          <w:rFonts w:asciiTheme="minorHAnsi" w:hAnsiTheme="minorHAnsi" w:cstheme="minorHAnsi"/>
          <w:color w:val="auto"/>
        </w:rPr>
        <w:t xml:space="preserve">, </w:t>
      </w:r>
      <w:r w:rsidR="0074066C" w:rsidRPr="00551F38">
        <w:rPr>
          <w:rFonts w:asciiTheme="minorHAnsi" w:hAnsiTheme="minorHAnsi" w:cstheme="minorHAnsi"/>
          <w:color w:val="auto"/>
        </w:rPr>
        <w:t xml:space="preserve">we recommend </w:t>
      </w:r>
      <w:r w:rsidRPr="00551F38">
        <w:rPr>
          <w:rFonts w:asciiTheme="minorHAnsi" w:hAnsiTheme="minorHAnsi" w:cstheme="minorHAnsi"/>
          <w:color w:val="auto"/>
        </w:rPr>
        <w:t xml:space="preserve">training </w:t>
      </w:r>
      <w:r w:rsidR="00153D08" w:rsidRPr="00551F38">
        <w:rPr>
          <w:rFonts w:asciiTheme="minorHAnsi" w:hAnsiTheme="minorHAnsi" w:cstheme="minorHAnsi"/>
          <w:color w:val="auto"/>
        </w:rPr>
        <w:t xml:space="preserve">to </w:t>
      </w:r>
      <w:r w:rsidRPr="00551F38">
        <w:rPr>
          <w:rFonts w:asciiTheme="minorHAnsi" w:hAnsiTheme="minorHAnsi" w:cstheme="minorHAnsi"/>
          <w:color w:val="auto"/>
        </w:rPr>
        <w:t>master spore distribution prior to experiment</w:t>
      </w:r>
      <w:r w:rsidR="00BD790C" w:rsidRPr="00551F38">
        <w:rPr>
          <w:rFonts w:asciiTheme="minorHAnsi" w:hAnsiTheme="minorHAnsi" w:cstheme="minorHAnsi"/>
          <w:color w:val="auto"/>
        </w:rPr>
        <w:t>ation</w:t>
      </w:r>
      <w:r w:rsidRPr="00551F38">
        <w:rPr>
          <w:rFonts w:asciiTheme="minorHAnsi" w:hAnsiTheme="minorHAnsi" w:cstheme="minorHAnsi"/>
          <w:color w:val="auto"/>
        </w:rPr>
        <w:t xml:space="preserve">. In addition, when plant powders must be tested, attention must be given to homogenous dispersion of the product into the agar medium. To prevent the powder from settling at the bottom of the plate, the product has to be mixed </w:t>
      </w:r>
      <w:r w:rsidR="00BD790C" w:rsidRPr="00551F38">
        <w:rPr>
          <w:rFonts w:asciiTheme="minorHAnsi" w:hAnsiTheme="minorHAnsi" w:cstheme="minorHAnsi"/>
          <w:color w:val="auto"/>
        </w:rPr>
        <w:t>in</w:t>
      </w:r>
      <w:r w:rsidRPr="00551F38">
        <w:rPr>
          <w:rFonts w:asciiTheme="minorHAnsi" w:hAnsiTheme="minorHAnsi" w:cstheme="minorHAnsi"/>
          <w:color w:val="auto"/>
        </w:rPr>
        <w:t xml:space="preserve">to agar medium when the temperature of the melted medium </w:t>
      </w:r>
      <w:r w:rsidR="002B790F" w:rsidRPr="00551F38">
        <w:rPr>
          <w:rFonts w:asciiTheme="minorHAnsi" w:hAnsiTheme="minorHAnsi" w:cstheme="minorHAnsi"/>
          <w:color w:val="auto"/>
        </w:rPr>
        <w:t>reach</w:t>
      </w:r>
      <w:r w:rsidRPr="00551F38">
        <w:rPr>
          <w:rFonts w:asciiTheme="minorHAnsi" w:hAnsiTheme="minorHAnsi" w:cstheme="minorHAnsi"/>
          <w:color w:val="auto"/>
        </w:rPr>
        <w:t xml:space="preserve">es 45 °C (when room temperature is 24 °C). This temperature </w:t>
      </w:r>
      <w:proofErr w:type="gramStart"/>
      <w:r w:rsidRPr="00551F38">
        <w:rPr>
          <w:rFonts w:asciiTheme="minorHAnsi" w:hAnsiTheme="minorHAnsi" w:cstheme="minorHAnsi"/>
          <w:color w:val="auto"/>
        </w:rPr>
        <w:t>has to</w:t>
      </w:r>
      <w:proofErr w:type="gramEnd"/>
      <w:r w:rsidRPr="00551F38">
        <w:rPr>
          <w:rFonts w:asciiTheme="minorHAnsi" w:hAnsiTheme="minorHAnsi" w:cstheme="minorHAnsi"/>
          <w:color w:val="auto"/>
        </w:rPr>
        <w:t xml:space="preserve"> be adjusted according to the local room temperature to avoid sedimentation.</w:t>
      </w:r>
    </w:p>
    <w:p w14:paraId="1E5182A6" w14:textId="77777777" w:rsidR="00565D89" w:rsidRDefault="00565D89" w:rsidP="00565D89">
      <w:pPr>
        <w:rPr>
          <w:rFonts w:asciiTheme="minorHAnsi" w:hAnsiTheme="minorHAnsi" w:cstheme="minorHAnsi"/>
          <w:color w:val="auto"/>
        </w:rPr>
      </w:pPr>
    </w:p>
    <w:p w14:paraId="1DDE667A" w14:textId="68C9BC81" w:rsidR="00BC6968" w:rsidRPr="00551F38" w:rsidRDefault="00BC6968" w:rsidP="00565D89">
      <w:pPr>
        <w:rPr>
          <w:rFonts w:asciiTheme="minorHAnsi" w:hAnsiTheme="minorHAnsi" w:cstheme="minorHAnsi"/>
          <w:color w:val="auto"/>
        </w:rPr>
      </w:pPr>
      <w:r w:rsidRPr="00551F38">
        <w:rPr>
          <w:rFonts w:asciiTheme="minorHAnsi" w:hAnsiTheme="minorHAnsi" w:cstheme="minorHAnsi"/>
          <w:color w:val="auto"/>
        </w:rPr>
        <w:t xml:space="preserve">While the method </w:t>
      </w:r>
      <w:r w:rsidR="00153D08" w:rsidRPr="00551F38">
        <w:rPr>
          <w:rFonts w:asciiTheme="minorHAnsi" w:hAnsiTheme="minorHAnsi" w:cstheme="minorHAnsi"/>
          <w:color w:val="auto"/>
        </w:rPr>
        <w:t xml:space="preserve">we </w:t>
      </w:r>
      <w:r w:rsidRPr="00551F38">
        <w:rPr>
          <w:rFonts w:asciiTheme="minorHAnsi" w:hAnsiTheme="minorHAnsi" w:cstheme="minorHAnsi"/>
          <w:color w:val="auto"/>
        </w:rPr>
        <w:t xml:space="preserve">describe </w:t>
      </w:r>
      <w:r w:rsidR="00153D08" w:rsidRPr="00551F38">
        <w:rPr>
          <w:rFonts w:asciiTheme="minorHAnsi" w:hAnsiTheme="minorHAnsi" w:cstheme="minorHAnsi"/>
          <w:color w:val="auto"/>
        </w:rPr>
        <w:t xml:space="preserve">here </w:t>
      </w:r>
      <w:r w:rsidRPr="00551F38">
        <w:rPr>
          <w:rFonts w:asciiTheme="minorHAnsi" w:hAnsiTheme="minorHAnsi" w:cstheme="minorHAnsi"/>
          <w:color w:val="auto"/>
        </w:rPr>
        <w:t>can provide valuable insights</w:t>
      </w:r>
      <w:r w:rsidR="00153D08" w:rsidRPr="00551F38">
        <w:rPr>
          <w:rFonts w:asciiTheme="minorHAnsi" w:hAnsiTheme="minorHAnsi" w:cstheme="minorHAnsi"/>
          <w:color w:val="auto"/>
        </w:rPr>
        <w:t>,</w:t>
      </w:r>
      <w:r w:rsidRPr="00551F38">
        <w:rPr>
          <w:rFonts w:asciiTheme="minorHAnsi" w:hAnsiTheme="minorHAnsi" w:cstheme="minorHAnsi"/>
          <w:color w:val="auto"/>
        </w:rPr>
        <w:t xml:space="preserve"> a few drawbacks must be considered. This method allows </w:t>
      </w:r>
      <w:r w:rsidR="00BD790C" w:rsidRPr="00551F38">
        <w:rPr>
          <w:rFonts w:asciiTheme="minorHAnsi" w:hAnsiTheme="minorHAnsi" w:cstheme="minorHAnsi"/>
          <w:color w:val="auto"/>
        </w:rPr>
        <w:t xml:space="preserve">for </w:t>
      </w:r>
      <w:r w:rsidRPr="00551F38">
        <w:rPr>
          <w:rFonts w:asciiTheme="minorHAnsi" w:hAnsiTheme="minorHAnsi" w:cstheme="minorHAnsi"/>
          <w:color w:val="auto"/>
        </w:rPr>
        <w:t>accurate and side-by-side comparison</w:t>
      </w:r>
      <w:r w:rsidR="00BD790C" w:rsidRPr="00551F38">
        <w:rPr>
          <w:rFonts w:asciiTheme="minorHAnsi" w:hAnsiTheme="minorHAnsi" w:cstheme="minorHAnsi"/>
          <w:color w:val="auto"/>
        </w:rPr>
        <w:t>s</w:t>
      </w:r>
      <w:r w:rsidRPr="00551F38">
        <w:rPr>
          <w:rFonts w:asciiTheme="minorHAnsi" w:hAnsiTheme="minorHAnsi" w:cstheme="minorHAnsi"/>
          <w:color w:val="auto"/>
        </w:rPr>
        <w:t xml:space="preserve"> in a single </w:t>
      </w:r>
      <w:r w:rsidRPr="00551F38">
        <w:rPr>
          <w:rFonts w:asciiTheme="minorHAnsi" w:hAnsiTheme="minorHAnsi" w:cstheme="minorHAnsi"/>
          <w:color w:val="auto"/>
        </w:rPr>
        <w:lastRenderedPageBreak/>
        <w:t xml:space="preserve">experimental setup at the expense of a significant amount of preparation time as the number of agar plates to be prepared can be </w:t>
      </w:r>
      <w:r w:rsidR="00AE15F2" w:rsidRPr="00551F38">
        <w:rPr>
          <w:rFonts w:asciiTheme="minorHAnsi" w:hAnsiTheme="minorHAnsi" w:cstheme="minorHAnsi"/>
          <w:color w:val="auto"/>
        </w:rPr>
        <w:t xml:space="preserve">sizeable </w:t>
      </w:r>
      <w:r w:rsidRPr="00551F38">
        <w:rPr>
          <w:rFonts w:asciiTheme="minorHAnsi" w:hAnsiTheme="minorHAnsi" w:cstheme="minorHAnsi"/>
          <w:color w:val="auto"/>
        </w:rPr>
        <w:t>depending on the questions that have to be answered. In addition, this assay is a m</w:t>
      </w:r>
      <w:r w:rsidR="00BD790C" w:rsidRPr="00551F38">
        <w:rPr>
          <w:rFonts w:asciiTheme="minorHAnsi" w:hAnsiTheme="minorHAnsi" w:cstheme="minorHAnsi"/>
          <w:color w:val="auto"/>
        </w:rPr>
        <w:t>edium</w:t>
      </w:r>
      <w:r w:rsidR="00AE15F2" w:rsidRPr="00551F38">
        <w:rPr>
          <w:rFonts w:asciiTheme="minorHAnsi" w:hAnsiTheme="minorHAnsi" w:cstheme="minorHAnsi"/>
          <w:color w:val="auto"/>
        </w:rPr>
        <w:t>-</w:t>
      </w:r>
      <w:r w:rsidRPr="00551F38">
        <w:rPr>
          <w:rFonts w:asciiTheme="minorHAnsi" w:hAnsiTheme="minorHAnsi" w:cstheme="minorHAnsi"/>
          <w:color w:val="auto"/>
        </w:rPr>
        <w:t>scale assay designed for 5 cm Petri dishes. There</w:t>
      </w:r>
      <w:r w:rsidR="00AE15F2" w:rsidRPr="00551F38">
        <w:rPr>
          <w:rFonts w:asciiTheme="minorHAnsi" w:hAnsiTheme="minorHAnsi" w:cstheme="minorHAnsi"/>
          <w:color w:val="auto"/>
        </w:rPr>
        <w:t>fore</w:t>
      </w:r>
      <w:r w:rsidRPr="00551F38">
        <w:rPr>
          <w:rFonts w:asciiTheme="minorHAnsi" w:hAnsiTheme="minorHAnsi" w:cstheme="minorHAnsi"/>
          <w:color w:val="auto"/>
        </w:rPr>
        <w:t xml:space="preserve">, the amount of active substances required to test all the aspects can be </w:t>
      </w:r>
      <w:r w:rsidR="00AE15F2" w:rsidRPr="00551F38">
        <w:rPr>
          <w:rFonts w:asciiTheme="minorHAnsi" w:hAnsiTheme="minorHAnsi" w:cstheme="minorHAnsi"/>
          <w:color w:val="auto"/>
        </w:rPr>
        <w:t>substantial</w:t>
      </w:r>
      <w:r w:rsidRPr="00551F38">
        <w:rPr>
          <w:rFonts w:asciiTheme="minorHAnsi" w:hAnsiTheme="minorHAnsi" w:cstheme="minorHAnsi"/>
          <w:color w:val="auto"/>
        </w:rPr>
        <w:t>. Th</w:t>
      </w:r>
      <w:r w:rsidR="00AE15F2" w:rsidRPr="00551F38">
        <w:rPr>
          <w:rFonts w:asciiTheme="minorHAnsi" w:hAnsiTheme="minorHAnsi" w:cstheme="minorHAnsi"/>
          <w:color w:val="auto"/>
        </w:rPr>
        <w:t>at</w:t>
      </w:r>
      <w:r w:rsidRPr="00551F38">
        <w:rPr>
          <w:rFonts w:asciiTheme="minorHAnsi" w:hAnsiTheme="minorHAnsi" w:cstheme="minorHAnsi"/>
          <w:color w:val="auto"/>
        </w:rPr>
        <w:t xml:space="preserve"> </w:t>
      </w:r>
      <w:r w:rsidR="00AE15F2" w:rsidRPr="00551F38">
        <w:rPr>
          <w:rFonts w:asciiTheme="minorHAnsi" w:hAnsiTheme="minorHAnsi" w:cstheme="minorHAnsi"/>
          <w:color w:val="auto"/>
        </w:rPr>
        <w:t xml:space="preserve">means that </w:t>
      </w:r>
      <w:r w:rsidRPr="00551F38">
        <w:rPr>
          <w:rFonts w:asciiTheme="minorHAnsi" w:hAnsiTheme="minorHAnsi" w:cstheme="minorHAnsi"/>
          <w:color w:val="auto"/>
        </w:rPr>
        <w:t>rare substances m</w:t>
      </w:r>
      <w:r w:rsidR="00AE15F2" w:rsidRPr="00551F38">
        <w:rPr>
          <w:rFonts w:asciiTheme="minorHAnsi" w:hAnsiTheme="minorHAnsi" w:cstheme="minorHAnsi"/>
          <w:color w:val="auto"/>
        </w:rPr>
        <w:t xml:space="preserve">ay not be suitable test candidates for </w:t>
      </w:r>
      <w:r w:rsidRPr="00551F38">
        <w:rPr>
          <w:rFonts w:asciiTheme="minorHAnsi" w:hAnsiTheme="minorHAnsi" w:cstheme="minorHAnsi"/>
          <w:color w:val="auto"/>
        </w:rPr>
        <w:t>this protocol. A scale</w:t>
      </w:r>
      <w:r w:rsidR="00AE15F2" w:rsidRPr="00551F38">
        <w:rPr>
          <w:rFonts w:asciiTheme="minorHAnsi" w:hAnsiTheme="minorHAnsi" w:cstheme="minorHAnsi"/>
          <w:color w:val="auto"/>
        </w:rPr>
        <w:t>-</w:t>
      </w:r>
      <w:r w:rsidRPr="00551F38">
        <w:rPr>
          <w:rFonts w:asciiTheme="minorHAnsi" w:hAnsiTheme="minorHAnsi" w:cstheme="minorHAnsi"/>
          <w:color w:val="auto"/>
        </w:rPr>
        <w:t>down of the assay can be considered using smaller Petri dishes and reducing the size of the plugs. This could be tested using the benchmarking protocol described here with special attention to the agar-plug extraction</w:t>
      </w:r>
      <w:r w:rsidR="00AE15F2" w:rsidRPr="00551F38">
        <w:rPr>
          <w:rFonts w:asciiTheme="minorHAnsi" w:hAnsiTheme="minorHAnsi" w:cstheme="minorHAnsi"/>
          <w:color w:val="auto"/>
        </w:rPr>
        <w:t>,</w:t>
      </w:r>
      <w:r w:rsidRPr="00551F38">
        <w:rPr>
          <w:rFonts w:asciiTheme="minorHAnsi" w:hAnsiTheme="minorHAnsi" w:cstheme="minorHAnsi"/>
          <w:color w:val="auto"/>
        </w:rPr>
        <w:t xml:space="preserve"> which might be difficult. The accuracy of radial</w:t>
      </w:r>
      <w:r w:rsidR="00AE15F2" w:rsidRPr="00551F38">
        <w:rPr>
          <w:rFonts w:asciiTheme="minorHAnsi" w:hAnsiTheme="minorHAnsi" w:cstheme="minorHAnsi"/>
          <w:color w:val="auto"/>
        </w:rPr>
        <w:t>-</w:t>
      </w:r>
      <w:r w:rsidRPr="00551F38">
        <w:rPr>
          <w:rFonts w:asciiTheme="minorHAnsi" w:hAnsiTheme="minorHAnsi" w:cstheme="minorHAnsi"/>
          <w:color w:val="auto"/>
        </w:rPr>
        <w:t>growth measurement</w:t>
      </w:r>
      <w:r w:rsidR="00A20732" w:rsidRPr="00551F38">
        <w:rPr>
          <w:rFonts w:asciiTheme="minorHAnsi" w:hAnsiTheme="minorHAnsi" w:cstheme="minorHAnsi"/>
          <w:color w:val="auto"/>
        </w:rPr>
        <w:t>s</w:t>
      </w:r>
      <w:r w:rsidRPr="00551F38">
        <w:rPr>
          <w:rFonts w:asciiTheme="minorHAnsi" w:hAnsiTheme="minorHAnsi" w:cstheme="minorHAnsi"/>
          <w:color w:val="auto"/>
        </w:rPr>
        <w:t xml:space="preserve"> might be reduced </w:t>
      </w:r>
      <w:r w:rsidR="00A20732" w:rsidRPr="00551F38">
        <w:rPr>
          <w:rFonts w:asciiTheme="minorHAnsi" w:hAnsiTheme="minorHAnsi" w:cstheme="minorHAnsi"/>
          <w:color w:val="auto"/>
        </w:rPr>
        <w:t>at that smaller scale</w:t>
      </w:r>
      <w:r w:rsidRPr="00551F38">
        <w:rPr>
          <w:rFonts w:asciiTheme="minorHAnsi" w:hAnsiTheme="minorHAnsi" w:cstheme="minorHAnsi"/>
          <w:color w:val="auto"/>
        </w:rPr>
        <w:t xml:space="preserve">. </w:t>
      </w:r>
    </w:p>
    <w:p w14:paraId="65FDD3B9" w14:textId="77777777" w:rsidR="00565D89" w:rsidRDefault="00565D89" w:rsidP="00565D89">
      <w:pPr>
        <w:rPr>
          <w:rFonts w:asciiTheme="minorHAnsi" w:hAnsiTheme="minorHAnsi" w:cstheme="minorHAnsi"/>
          <w:color w:val="auto"/>
        </w:rPr>
      </w:pPr>
    </w:p>
    <w:p w14:paraId="780E1422" w14:textId="1045EF66" w:rsidR="00BC6968" w:rsidRPr="00551F38" w:rsidRDefault="00BC6968" w:rsidP="00565D89">
      <w:pPr>
        <w:rPr>
          <w:rFonts w:asciiTheme="minorHAnsi" w:hAnsiTheme="minorHAnsi" w:cstheme="minorHAnsi"/>
          <w:color w:val="auto"/>
        </w:rPr>
      </w:pPr>
      <w:r w:rsidRPr="00551F38">
        <w:rPr>
          <w:rFonts w:asciiTheme="minorHAnsi" w:hAnsiTheme="minorHAnsi" w:cstheme="minorHAnsi"/>
          <w:color w:val="auto"/>
        </w:rPr>
        <w:t xml:space="preserve">Current methods are appropriate </w:t>
      </w:r>
      <w:r w:rsidR="00BD790C" w:rsidRPr="00551F38">
        <w:rPr>
          <w:rFonts w:asciiTheme="minorHAnsi" w:hAnsiTheme="minorHAnsi" w:cstheme="minorHAnsi"/>
          <w:color w:val="auto"/>
        </w:rPr>
        <w:t>f</w:t>
      </w:r>
      <w:r w:rsidRPr="00551F38">
        <w:rPr>
          <w:rFonts w:asciiTheme="minorHAnsi" w:hAnsiTheme="minorHAnsi" w:cstheme="minorHAnsi"/>
          <w:color w:val="auto"/>
        </w:rPr>
        <w:t>o</w:t>
      </w:r>
      <w:r w:rsidR="00BD790C" w:rsidRPr="00551F38">
        <w:rPr>
          <w:rFonts w:asciiTheme="minorHAnsi" w:hAnsiTheme="minorHAnsi" w:cstheme="minorHAnsi"/>
          <w:color w:val="auto"/>
        </w:rPr>
        <w:t>r</w:t>
      </w:r>
      <w:r w:rsidRPr="00551F38">
        <w:rPr>
          <w:rFonts w:asciiTheme="minorHAnsi" w:hAnsiTheme="minorHAnsi" w:cstheme="minorHAnsi"/>
          <w:color w:val="auto"/>
        </w:rPr>
        <w:t xml:space="preserve"> measur</w:t>
      </w:r>
      <w:r w:rsidR="00BD790C" w:rsidRPr="00551F38">
        <w:rPr>
          <w:rFonts w:asciiTheme="minorHAnsi" w:hAnsiTheme="minorHAnsi" w:cstheme="minorHAnsi"/>
          <w:color w:val="auto"/>
        </w:rPr>
        <w:t>ing</w:t>
      </w:r>
      <w:r w:rsidRPr="00551F38">
        <w:rPr>
          <w:rFonts w:asciiTheme="minorHAnsi" w:hAnsiTheme="minorHAnsi" w:cstheme="minorHAnsi"/>
          <w:color w:val="auto"/>
        </w:rPr>
        <w:t xml:space="preserve"> </w:t>
      </w:r>
      <w:r w:rsidR="00BD790C" w:rsidRPr="00551F38">
        <w:rPr>
          <w:rFonts w:asciiTheme="minorHAnsi" w:hAnsiTheme="minorHAnsi" w:cstheme="minorHAnsi"/>
          <w:color w:val="auto"/>
        </w:rPr>
        <w:t xml:space="preserve">the </w:t>
      </w:r>
      <w:r w:rsidRPr="00551F38">
        <w:rPr>
          <w:rFonts w:asciiTheme="minorHAnsi" w:hAnsiTheme="minorHAnsi" w:cstheme="minorHAnsi"/>
          <w:color w:val="auto"/>
        </w:rPr>
        <w:t>antifungal activity of compounds in solution and less applicable to study</w:t>
      </w:r>
      <w:r w:rsidR="00BD790C" w:rsidRPr="00551F38">
        <w:rPr>
          <w:rFonts w:asciiTheme="minorHAnsi" w:hAnsiTheme="minorHAnsi" w:cstheme="minorHAnsi"/>
          <w:color w:val="auto"/>
        </w:rPr>
        <w:t>ing</w:t>
      </w:r>
      <w:r w:rsidRPr="00551F38">
        <w:rPr>
          <w:rFonts w:asciiTheme="minorHAnsi" w:hAnsiTheme="minorHAnsi" w:cstheme="minorHAnsi"/>
          <w:color w:val="auto"/>
        </w:rPr>
        <w:t xml:space="preserve"> powders</w:t>
      </w:r>
      <w:r w:rsidRPr="00551F38">
        <w:rPr>
          <w:rFonts w:asciiTheme="minorHAnsi" w:hAnsiTheme="minorHAnsi" w:cstheme="minorHAnsi"/>
          <w:color w:val="auto"/>
        </w:rPr>
        <w:fldChar w:fldCharType="begin" w:fldLock="1"/>
      </w:r>
      <w:r w:rsidRPr="00551F38">
        <w:rPr>
          <w:rFonts w:asciiTheme="minorHAnsi" w:hAnsiTheme="minorHAnsi" w:cstheme="minorHAnsi"/>
          <w:color w:val="auto"/>
        </w:rPr>
        <w:instrText>ADDIN CSL_CITATION { "citationItems" : [ { "id" : "ITEM-1", "itemData" : { "DOI" : "10.1016/j.jpha.2015.11.005", "ISSN" : "20951779", "abstract" : "In recent years, there has been a growing interest in researching and developing new antimicrobial agents from various sources to combat microbial resistance. Therefore, a greater attention has been paid to antimicrobial activity screening and evaluating methods. Several bioassays such as disk-diffusion, well diffusion and broth or agar dilution are well known and commonly used, but others such as flow cytofluorometric and bioluminescent methods are not widely used because they require specified equipment and further evaluation for reproducibility and standardization, even if they can provide rapid results of the antimicrobial agent's effects and a better understanding of their impact on the viability and cell damage inflicted to the tested microorganism. In this review article, an exhaustive list of in vitro antimicrobial susceptibility testing methods and detailed information on their advantages and limitations are reported.", "author" : [ { "dropping-particle" : "", "family" : "Balouiri", "given" : "Mounyr", "non-dropping-particle" : "", "parse-names" : false, "suffix" : "" }, { "dropping-particle" : "", "family" : "Sadiki", "given" : "Moulay", "non-dropping-particle" : "", "parse-names" : false, "suffix" : "" }, { "dropping-particle" : "", "family" : "Ibnsouda", "given" : "Saad Koraichi", "non-dropping-particle" : "", "parse-names" : false, "suffix" : "" } ], "container-title" : "Journal of Pharmaceutical Analysis", "id" : "ITEM-1", "issue" : "2", "issued" : { "date-parts" : [ [ "2016" ] ] }, "page" : "71-79", "publisher" : "Elsevier", "title" : "Methods for in vitro evaluating antimicrobial activity: A review", "type" : "article-journal", "volume" : "6" }, "uris" : [ "http://www.mendeley.com/documents/?uuid=b6355104-2b8b-4312-a87d-edac1f221164" ] } ], "mendeley" : { "formattedCitation" : "&lt;sup&gt;13&lt;/sup&gt;", "plainTextFormattedCitation" : "13", "previouslyFormattedCitation" : "&lt;sup&gt;13&lt;/sup&gt;" }, "properties" : { "noteIndex" : 12 }, "schema" : "https://github.com/citation-style-language/schema/raw/master/csl-citation.json" }</w:instrText>
      </w:r>
      <w:r w:rsidRPr="00551F38">
        <w:rPr>
          <w:rFonts w:asciiTheme="minorHAnsi" w:hAnsiTheme="minorHAnsi" w:cstheme="minorHAnsi"/>
          <w:color w:val="auto"/>
        </w:rPr>
        <w:fldChar w:fldCharType="separate"/>
      </w:r>
      <w:r w:rsidRPr="00551F38">
        <w:rPr>
          <w:rFonts w:asciiTheme="minorHAnsi" w:hAnsiTheme="minorHAnsi" w:cstheme="minorHAnsi"/>
          <w:color w:val="auto"/>
          <w:vertAlign w:val="superscript"/>
        </w:rPr>
        <w:t>13</w:t>
      </w:r>
      <w:r w:rsidRPr="00551F38">
        <w:rPr>
          <w:rFonts w:asciiTheme="minorHAnsi" w:hAnsiTheme="minorHAnsi" w:cstheme="minorHAnsi"/>
          <w:color w:val="auto"/>
        </w:rPr>
        <w:fldChar w:fldCharType="end"/>
      </w:r>
      <w:r w:rsidRPr="00551F38">
        <w:rPr>
          <w:rFonts w:asciiTheme="minorHAnsi" w:hAnsiTheme="minorHAnsi" w:cstheme="minorHAnsi"/>
          <w:color w:val="auto"/>
        </w:rPr>
        <w:t>. The approach we have established is well-adapted for both liquid and solid compounds</w:t>
      </w:r>
      <w:r w:rsidR="00BD790C" w:rsidRPr="00551F38">
        <w:rPr>
          <w:rFonts w:asciiTheme="minorHAnsi" w:hAnsiTheme="minorHAnsi" w:cstheme="minorHAnsi"/>
          <w:color w:val="auto"/>
        </w:rPr>
        <w:t>,</w:t>
      </w:r>
      <w:r w:rsidRPr="00551F38">
        <w:rPr>
          <w:rFonts w:asciiTheme="minorHAnsi" w:hAnsiTheme="minorHAnsi" w:cstheme="minorHAnsi"/>
          <w:color w:val="auto"/>
        </w:rPr>
        <w:t xml:space="preserve"> which allows evaluation of the antifungal properties of minimally processed plant</w:t>
      </w:r>
      <w:r w:rsidR="00BD790C" w:rsidRPr="00551F38">
        <w:rPr>
          <w:rFonts w:asciiTheme="minorHAnsi" w:hAnsiTheme="minorHAnsi" w:cstheme="minorHAnsi"/>
          <w:color w:val="auto"/>
        </w:rPr>
        <w:t>-</w:t>
      </w:r>
      <w:r w:rsidRPr="00551F38">
        <w:rPr>
          <w:rFonts w:asciiTheme="minorHAnsi" w:hAnsiTheme="minorHAnsi" w:cstheme="minorHAnsi"/>
          <w:color w:val="auto"/>
        </w:rPr>
        <w:t>derived product</w:t>
      </w:r>
      <w:r w:rsidR="00BD790C" w:rsidRPr="00551F38">
        <w:rPr>
          <w:rFonts w:asciiTheme="minorHAnsi" w:hAnsiTheme="minorHAnsi" w:cstheme="minorHAnsi"/>
          <w:color w:val="auto"/>
        </w:rPr>
        <w:t>s</w:t>
      </w:r>
      <w:r w:rsidRPr="00551F38">
        <w:rPr>
          <w:rFonts w:asciiTheme="minorHAnsi" w:hAnsiTheme="minorHAnsi" w:cstheme="minorHAnsi"/>
          <w:color w:val="auto"/>
        </w:rPr>
        <w:t xml:space="preserve">. </w:t>
      </w:r>
      <w:r w:rsidR="00E96AAF" w:rsidRPr="00551F38">
        <w:rPr>
          <w:rFonts w:asciiTheme="minorHAnsi" w:hAnsiTheme="minorHAnsi" w:cstheme="minorHAnsi"/>
          <w:color w:val="auto"/>
        </w:rPr>
        <w:t xml:space="preserve">This </w:t>
      </w:r>
      <w:r w:rsidR="00354B25" w:rsidRPr="00551F38">
        <w:rPr>
          <w:rFonts w:asciiTheme="minorHAnsi" w:hAnsiTheme="minorHAnsi" w:cstheme="minorHAnsi"/>
          <w:color w:val="auto"/>
        </w:rPr>
        <w:t xml:space="preserve">reduces </w:t>
      </w:r>
      <w:r w:rsidRPr="00551F38">
        <w:rPr>
          <w:rFonts w:asciiTheme="minorHAnsi" w:hAnsiTheme="minorHAnsi" w:cstheme="minorHAnsi"/>
          <w:color w:val="auto"/>
        </w:rPr>
        <w:t>the time required to test extracts and reduces pitfalls related to active substances displaying poor solubility. As some plant-derived products contain active molecules sensitive to high temperature</w:t>
      </w:r>
      <w:r w:rsidRPr="00551F38">
        <w:rPr>
          <w:rFonts w:asciiTheme="minorHAnsi" w:hAnsiTheme="minorHAnsi" w:cstheme="minorHAnsi"/>
          <w:color w:val="auto"/>
        </w:rPr>
        <w:fldChar w:fldCharType="begin" w:fldLock="1"/>
      </w:r>
      <w:r w:rsidRPr="00551F38">
        <w:rPr>
          <w:rFonts w:asciiTheme="minorHAnsi" w:hAnsiTheme="minorHAnsi" w:cstheme="minorHAnsi"/>
          <w:color w:val="auto"/>
        </w:rPr>
        <w:instrText>ADDIN CSL_CITATION { "citationItems" : [ { "id" : "ITEM-1", "itemData" : { "DOI" : "10.1038/s41598-018-25154-9", "ISSN" : "20452322", "abstract" : "Allicin (diallylthiosulfinate) is a defence molecule from garlic (Allium sativum L.) with broad antimicrobial activities in the low \u03bcM range against Gram-positive and-negative bacteria, including antibiotic resistant strains, and fungi. Allicin reacts with thiol groups and can inactivate essential enzymes. However, allicin is unstable at room temperature and antimicrobial activity is lost within minutes upon heating to &gt;80 \u00b0C. Allicin's antimicrobial activity is due to the thiosulfinate group, so we synthesized a series of allicin analogues and tested their antimicrobial properties and thermal stability. Dimethyl-, diethyl-, diallyl-, dipropyl-and dibenzyl-thiosulfinates were synthesized and tested in vitro against bacteria and the model fungus Saccharomyces cerevisiae, human and plant cells in culture and Arabidopsis root growth. The more volatile compounds showed significant antimicrobial properties via the gas phase. A chemogenetic screen with selected yeast mutants showed that the mode of action of the analogues was similar to that of allicin and that the glutathione pool and glutathione metabolism were of central importance for resistance against them. Thiosulfinates differed in their effectivity against specific organisms and some were thermally more stable than allicin. These analogues could be suitable for applications in medicine and agriculture either singly or in combination with other antimicrobials.", "author" : [ { "dropping-particle" : "", "family" : "Leontiev", "given" : "Roman", "non-dropping-particle" : "", "parse-names" : false, "suffix" : "" }, { "dropping-particle" : "", "family" : "Hohaus", "given" : "Nils", "non-dropping-particle" : "", "parse-names" : false, "suffix" : "" }, { "dropping-particle" : "", "family" : "Jacob", "given" : "Claus", "non-dropping-particle" : "", "parse-names" : false, "suffix" : "" }, { "dropping-particle" : "", "family" : "Gruhlke", "given" : "Martin C.H.", "non-dropping-particle" : "", "parse-names" : false, "suffix" : "" }, { "dropping-particle" : "", "family" : "Slusarenko", "given" : "Alan J.", "non-dropping-particle" : "", "parse-names" : false, "suffix" : "" } ], "container-title" : "Scientific Reports", "id" : "ITEM-1", "issue" : "1", "issued" : { "date-parts" : [ [ "2018" ] ] }, "page" : "1-19", "publisher" : "Springer US", "title" : "A Comparison of the Antibacterial and Antifungal Activities of Thiosulfinate Analogues of Allicin", "type" : "article-journal", "volume" : "8" }, "uris" : [ "http://www.mendeley.com/documents/?uuid=7d777b28-1c6e-42a7-a30b-21188e67e00b" ] } ], "mendeley" : { "formattedCitation" : "&lt;sup&gt;43&lt;/sup&gt;", "plainTextFormattedCitation" : "43", "previouslyFormattedCitation" : "&lt;sup&gt;43&lt;/sup&gt;" }, "properties" : { "noteIndex" : 12 }, "schema" : "https://github.com/citation-style-language/schema/raw/master/csl-citation.json" }</w:instrText>
      </w:r>
      <w:r w:rsidRPr="00551F38">
        <w:rPr>
          <w:rFonts w:asciiTheme="minorHAnsi" w:hAnsiTheme="minorHAnsi" w:cstheme="minorHAnsi"/>
          <w:color w:val="auto"/>
        </w:rPr>
        <w:fldChar w:fldCharType="separate"/>
      </w:r>
      <w:r w:rsidRPr="00551F38">
        <w:rPr>
          <w:rFonts w:asciiTheme="minorHAnsi" w:hAnsiTheme="minorHAnsi" w:cstheme="minorHAnsi"/>
          <w:color w:val="auto"/>
          <w:vertAlign w:val="superscript"/>
        </w:rPr>
        <w:t>43</w:t>
      </w:r>
      <w:r w:rsidRPr="00551F38">
        <w:rPr>
          <w:rFonts w:asciiTheme="minorHAnsi" w:hAnsiTheme="minorHAnsi" w:cstheme="minorHAnsi"/>
          <w:color w:val="auto"/>
        </w:rPr>
        <w:fldChar w:fldCharType="end"/>
      </w:r>
      <w:r w:rsidRPr="00551F38">
        <w:rPr>
          <w:rFonts w:asciiTheme="minorHAnsi" w:hAnsiTheme="minorHAnsi" w:cstheme="minorHAnsi"/>
          <w:color w:val="auto"/>
        </w:rPr>
        <w:t>, this offers the advantage of limiting the risk of a loss of activity of such compounds. This approach has been adapted from the agar-diffusion method and food</w:t>
      </w:r>
      <w:r w:rsidR="00BD790C" w:rsidRPr="00551F38">
        <w:rPr>
          <w:rFonts w:asciiTheme="minorHAnsi" w:hAnsiTheme="minorHAnsi" w:cstheme="minorHAnsi"/>
          <w:color w:val="auto"/>
        </w:rPr>
        <w:t>-</w:t>
      </w:r>
      <w:r w:rsidRPr="00551F38">
        <w:rPr>
          <w:rFonts w:asciiTheme="minorHAnsi" w:hAnsiTheme="minorHAnsi" w:cstheme="minorHAnsi"/>
          <w:color w:val="auto"/>
        </w:rPr>
        <w:t>poisoned method</w:t>
      </w:r>
      <w:r w:rsidRPr="00551F38">
        <w:rPr>
          <w:rFonts w:asciiTheme="minorHAnsi" w:hAnsiTheme="minorHAnsi" w:cstheme="minorHAnsi"/>
          <w:color w:val="auto"/>
        </w:rPr>
        <w:fldChar w:fldCharType="begin" w:fldLock="1"/>
      </w:r>
      <w:r w:rsidRPr="00551F38">
        <w:rPr>
          <w:rFonts w:asciiTheme="minorHAnsi" w:hAnsiTheme="minorHAnsi" w:cstheme="minorHAnsi"/>
          <w:color w:val="auto"/>
        </w:rPr>
        <w:instrText>ADDIN CSL_CITATION { "citationItems" : [ { "id" : "ITEM-1", "itemData" : { "abstract" : "A. (2007). Anti-fungal evaluation of some plant extracts against some plant pathogenic field and storage fungi. Journal of Agricultural Technology 4(1): 119-137. Aqueous extract of eight plants were screened for antifungal activity against Fusarium solani and Aspergillus flavus at 10% concentration by dry mycelial weight, spore germination and poisoned food techniques. The results revealed that Decalepis hamiltonii Wight &amp; Arn. (Asclepiadaceae) showed significant antifungal activity. The antifungal activity of aqueous extract of D. hamiltonii an edible plant, was further evaluated at different concentrations by poisoned food technique against eight species of Fusarium, ten species of Aspergillus, three species of Penicillium, two species of Drechslera and Alternaria alternata. These phytopathogenic fungi were isolated from Sorghum, Maize, and Paddy seeds. It was observed that aqueous extract showed significant antifungal activity against all the test pathogens. Species of P. chrysogenum was completely inhibited at 10% concentration. D. halodes and A. fumigatus were inhibited at 20% concentration, whereas F. lateritium and F. moniliforme, were inhibited at a higher concentration of 50%. D. hamiltonii was further subjected to different solvent extraction using petroleum ether, benzene, chloroform, methanol and ethanol to identify the solvent extract having high activity. It was observed that petroleum ether extract showed highly significant antifungal activity followed by benzene and chloroform extracts, whereas no activity was observed in methanol and ethanol extracts at 2000 \u00b5g/ml. This plant being an edible one can possible be exploited in the management of seed borne pathogenic fungi and prevention of biodeterioration of grains and mycotoxin elaboration during storage.", "author" : [ { "dropping-particle" : "", "family" : "Mohana", "given" : "D C", "non-dropping-particle" : "", "parse-names" : false, "suffix" : "" }, { "dropping-particle" : "", "family" : "Raveesha", "given" : "K A", "non-dropping-particle" : "", "parse-names" : false, "suffix" : "" } ], "container-title" : "Journal of Agricultural Technology", "id" : "ITEM-1", "issued" : { "date-parts" : [ [ "2007" ] ] }, "title" : "Anti-fungal evaluation of some plant extracts against some plant pathogenic field and storage fungi", "type" : "article-journal" }, "uris" : [ "http://www.mendeley.com/documents/?uuid=582f3bd0-f756-4d9c-9460-74af03764f77" ] }, { "id" : "ITEM-2", "itemData" : { "DOI" : "10.18052/www.scipress.com/ilns.13.70", "abstract" : "&lt;p&gt; The aqueous extracts of leaf of &lt;italic&gt;Citrus aurantifolia&lt;/italic&gt; L were assessed &lt;italic&gt;in vitro&lt;/italic&gt; for inhibitory activity against &lt;italic&gt;Macrophomina&lt;/italic&gt; &lt;italic&gt;phaseolina&lt;/italic&gt; isolated from dry root rot specimens of Gingelly. The antifungal activity was determined by poison food technique. The extracts have shown dose dependent inhibition of mycelial growth of test fungi. The extracts were more effective in inhibiting &lt;italic&gt;Macrophomina&lt;/italic&gt; &lt;italic&gt;phaseolina&lt;/italic&gt; . The extracts of &lt;italic&gt;Citrus aurantifolia&lt;/italic&gt; were found effective against Gingelly dry root rot pathogens. Further field experiments are to be carried out to recommend the extracts against the disease. &lt;/p&gt;", "author" : [ { "dropping-particle" : "", "family" : "Balamurugan", "given" : "S.", "non-dropping-particle" : "", "parse-names" : false, "suffix" : "" } ], "container-title" : "International Letters of Natural Sciences", "id" : "ITEM-2", "issued" : { "date-parts" : [ [ "2014" ] ] }, "page" : "70-74", "title" : "&lt;i&gt;In Vitro&lt;/i&gt; Antifungal Activity of &lt;i&gt;Citrus aurantifolia&lt;/i&gt; Linn Plant Extracts against Phytopathogenic Fungi &lt;i&gt;Macrophomina phaseolina&lt;/i&gt;", "type" : "article-journal", "volume" : "13" }, "uris" : [ "http://www.mendeley.com/documents/?uuid=19e65725-3d0b-4cde-90aa-bca4c9de26ff" ] }, { "id" : "ITEM-3", "itemData" : { "author" : [ { "dropping-particle" : "", "family" : "Ameziane", "given" : "N", "non-dropping-particle" : "", "parse-names" : false, "suffix" : "" }, { "dropping-particle" : "", "family" : "Boubaker", "given" : "H", "non-dropping-particle" : "", "parse-names" : false, "suffix" : "" }, { "dropping-particle" : "", "family" : "Boudyach", "given" : "H", "non-dropping-particle" : "", "parse-names" : false, "suffix" : "" }, { "dropping-particle" : "", "family" : "Msanda", "given" : "F", "non-dropping-particle" : "", "parse-names" : false, "suffix" : "" }, { "dropping-particle" : "", "family" : "Jilal", "given" : "A", "non-dropping-particle" : "", "parse-names" : false, "suffix" : "" }, { "dropping-particle" : "", "family" : "Ait", "given" : "A", "non-dropping-particle" : "", "parse-names" : false, "suffix" : "" }, { "dropping-particle" : "", "family" : "Ameziane", "given" : "N", "non-dropping-particle" : "", "parse-names" : false, "suffix" : "" }, { "dropping-particle" : "", "family" : "Boubaker", "given" : "H", "non-dropping-particle" : "", "parse-names" : false, "suffix" : "" }, { "dropping-particle" : "", "family" : "Boudyach", "given" : "H", "non-dropping-particle" : "", "parse-names" : false, "suffix" : "" }, { "dropping-particle" : "", "family" : "Msanda", "given" : "F", "non-dropping-particle" : "", "parse-names" : false, "suffix" : "" }, { "dropping-particle" : "", "family" : "Jilal", "given" : "A", "non-dropping-particle" : "", "parse-names" : false, "suffix" : "" } ], "id" : "ITEM-3", "issued" : { "date-parts" : [ [ "2007" ] ] }, "title" : "Antifungal activity of Moroccan plants against citrus fruit pathogens To cite this version : HAL Id : hal-00886356", "type" : "article-journal" }, "uris" : [ "http://www.mendeley.com/documents/?uuid=5179e929-c100-4a4e-82d3-e52ee27efbbc" ] }, { "id" : "ITEM-4", "itemData" : { "DOI" : "10.1016/j.mimet.2015.07.005", "ISSN" : "18728359", "abstract" : "A reference method for the antimicrobial susceptibility testing of common fungal pathogens such as dermatophytes, is currently lacking. In this study, we report the successful adaptation of solid agar-based spot culture growth inhibition assay (SPOTi) for dermatophytes, currently being used as a gold-standard in the anti-tubercular drug discovery field. The fungal-SPOTi assay correlated with the disc-diffusion method, and is validated using mycelial plugs. We propose the fungal-SPOTi as a high-throughput alternative to the disc-diffusion and broth micro-dilution anti-fungal assays to screen novel anti-fungals.", "author" : [ { "dropping-particle" : "", "family" : "Rizi", "given" : "Khalida", "non-dropping-particle" : "", "parse-names" : false, "suffix" : "" }, { "dropping-particle" : "", "family" : "Murdan", "given" : "Sudaxshina", "non-dropping-particle" : "", "parse-names" : false, "suffix" : "" }, { "dropping-particle" : "", "family" : "Danquah", "given" : "Cynthia A.", "non-dropping-particle" : "", "parse-names" : false, "suffix" : "" }, { "dropping-particle" : "", "family" : "Faull", "given" : "Jane", "non-dropping-particle" : "", "parse-names" : false, "suffix" : "" }, { "dropping-particle" : "", "family" : "Bhakta", "given" : "Sanjib", "non-dropping-particle" : "", "parse-names" : false, "suffix" : "" } ], "container-title" : "Journal of Microbiological Methods", "id" : "ITEM-4", "issued" : { "date-parts" : [ [ "2015" ] ] }, "page" : "36-40", "publisher" : "Elsevier B.V.", "title" : "Development of a rapid, reliable and quantitative method - \"SPOTi\" for testing antifungal efficacy", "type" : "article-journal", "volume" : "117" }, "uris" : [ "http://www.mendeley.com/documents/?uuid=82a30466-05e2-4a20-9a5e-06c521f05c42" ] }, { "id" : "ITEM-5", "itemData" : { "DOI" : "10.1128/JCM.41.12.5683", "author" : [ { "dropping-particle" : "", "family" : "Imhof", "given" : "Alexander", "non-dropping-particle" : "", "parse-names" : false, "suffix" : "" }, { "dropping-particle" : "", "family" : "Imhof", "given" : "Alexander", "non-dropping-particle" : "", "parse-names" : false, "suffix" : "" }, { "dropping-particle" : "", "family" : "Balajee", "given" : "S Arunmozhi", "non-dropping-particle" : "", "parse-names" : false, "suffix" : "" }, { "dropping-particle" : "", "family" : "Balajee", "given" : "S Arunmozhi", "non-dropping-particle" : "", "parse-names" : false, "suffix" : "" }, { "dropping-particle" : "", "family" : "Marr", "given" : "Kieren a", "non-dropping-particle" : "", "parse-names" : false, "suffix" : "" }, { "dropping-particle" : "", "family" : "Marr", "given" : "Kieren a", "non-dropping-particle" : "", "parse-names" : false, "suffix" : "" } ], "container-title" : "Microbiology", "id" : "ITEM-5", "issue" : "12", "issued" : { "date-parts" : [ [ "2003" ] ] }, "page" : "5683-5688", "title" : "New Methods To Assess Susceptibilities of", "type" : "article-journal", "volume" : "41" }, "uris" : [ "http://www.mendeley.com/documents/?uuid=e69f9e9f-21b2-4f92-a1a5-fddd8e208d79" ] } ], "mendeley" : { "formattedCitation" : "&lt;sup&gt;15\u201319&lt;/sup&gt;", "plainTextFormattedCitation" : "15\u201319", "previouslyFormattedCitation" : "&lt;sup&gt;15\u201319&lt;/sup&gt;" }, "properties" : { "noteIndex" : 10 }, "schema" : "https://github.com/citation-style-language/schema/raw/master/csl-citation.json" }</w:instrText>
      </w:r>
      <w:r w:rsidRPr="00551F38">
        <w:rPr>
          <w:rFonts w:asciiTheme="minorHAnsi" w:hAnsiTheme="minorHAnsi" w:cstheme="minorHAnsi"/>
          <w:color w:val="auto"/>
        </w:rPr>
        <w:fldChar w:fldCharType="separate"/>
      </w:r>
      <w:r w:rsidRPr="00551F38">
        <w:rPr>
          <w:rFonts w:asciiTheme="minorHAnsi" w:hAnsiTheme="minorHAnsi" w:cstheme="minorHAnsi"/>
          <w:color w:val="auto"/>
          <w:vertAlign w:val="superscript"/>
        </w:rPr>
        <w:t>15–19</w:t>
      </w:r>
      <w:r w:rsidRPr="00551F38">
        <w:rPr>
          <w:rFonts w:asciiTheme="minorHAnsi" w:hAnsiTheme="minorHAnsi" w:cstheme="minorHAnsi"/>
          <w:color w:val="auto"/>
        </w:rPr>
        <w:fldChar w:fldCharType="end"/>
      </w:r>
      <w:r w:rsidRPr="00551F38">
        <w:rPr>
          <w:rFonts w:asciiTheme="minorHAnsi" w:hAnsiTheme="minorHAnsi" w:cstheme="minorHAnsi"/>
          <w:color w:val="auto"/>
        </w:rPr>
        <w:t xml:space="preserve"> to additionally </w:t>
      </w:r>
      <w:r w:rsidR="00BD790C" w:rsidRPr="00551F38">
        <w:rPr>
          <w:rFonts w:asciiTheme="minorHAnsi" w:hAnsiTheme="minorHAnsi" w:cstheme="minorHAnsi"/>
          <w:color w:val="auto"/>
        </w:rPr>
        <w:t xml:space="preserve">permit the </w:t>
      </w:r>
      <w:r w:rsidRPr="00551F38">
        <w:rPr>
          <w:rFonts w:asciiTheme="minorHAnsi" w:hAnsiTheme="minorHAnsi" w:cstheme="minorHAnsi"/>
          <w:color w:val="auto"/>
        </w:rPr>
        <w:t>direct comparison of antifungal activities on different fungal growth stages using similar experimental setting</w:t>
      </w:r>
      <w:r w:rsidR="00BD790C" w:rsidRPr="00551F38">
        <w:rPr>
          <w:rFonts w:asciiTheme="minorHAnsi" w:hAnsiTheme="minorHAnsi" w:cstheme="minorHAnsi"/>
          <w:color w:val="auto"/>
        </w:rPr>
        <w:t>s</w:t>
      </w:r>
      <w:r w:rsidRPr="00551F38">
        <w:rPr>
          <w:rFonts w:asciiTheme="minorHAnsi" w:hAnsiTheme="minorHAnsi" w:cstheme="minorHAnsi"/>
          <w:color w:val="auto"/>
        </w:rPr>
        <w:t xml:space="preserve">. Agar-plug transfer allows accurate control of the quantities of microorganisms within the assay. This is an advantage over </w:t>
      </w:r>
      <w:r w:rsidR="00BD790C" w:rsidRPr="00551F38">
        <w:rPr>
          <w:rFonts w:asciiTheme="minorHAnsi" w:hAnsiTheme="minorHAnsi" w:cstheme="minorHAnsi"/>
          <w:color w:val="auto"/>
        </w:rPr>
        <w:t>disk</w:t>
      </w:r>
      <w:r w:rsidRPr="00551F38">
        <w:rPr>
          <w:rFonts w:asciiTheme="minorHAnsi" w:hAnsiTheme="minorHAnsi" w:cstheme="minorHAnsi"/>
          <w:color w:val="auto"/>
        </w:rPr>
        <w:t xml:space="preserve"> transfer</w:t>
      </w:r>
      <w:r w:rsidR="00BD790C" w:rsidRPr="00551F38">
        <w:rPr>
          <w:rFonts w:asciiTheme="minorHAnsi" w:hAnsiTheme="minorHAnsi" w:cstheme="minorHAnsi"/>
          <w:color w:val="auto"/>
        </w:rPr>
        <w:t>,</w:t>
      </w:r>
      <w:r w:rsidRPr="00551F38">
        <w:rPr>
          <w:rFonts w:asciiTheme="minorHAnsi" w:hAnsiTheme="minorHAnsi" w:cstheme="minorHAnsi"/>
          <w:color w:val="auto"/>
        </w:rPr>
        <w:t xml:space="preserve"> which leads to over-estimation of antifungal effects associated </w:t>
      </w:r>
      <w:r w:rsidR="00BD790C" w:rsidRPr="00551F38">
        <w:rPr>
          <w:rFonts w:asciiTheme="minorHAnsi" w:hAnsiTheme="minorHAnsi" w:cstheme="minorHAnsi"/>
          <w:color w:val="auto"/>
        </w:rPr>
        <w:t xml:space="preserve">with </w:t>
      </w:r>
      <w:r w:rsidRPr="00551F38">
        <w:rPr>
          <w:rFonts w:asciiTheme="minorHAnsi" w:hAnsiTheme="minorHAnsi" w:cstheme="minorHAnsi"/>
          <w:color w:val="auto"/>
        </w:rPr>
        <w:t>incomplete transfer of spore</w:t>
      </w:r>
      <w:r w:rsidR="00BD790C" w:rsidRPr="00551F38">
        <w:rPr>
          <w:rFonts w:asciiTheme="minorHAnsi" w:hAnsiTheme="minorHAnsi" w:cstheme="minorHAnsi"/>
          <w:color w:val="auto"/>
        </w:rPr>
        <w:t>s</w:t>
      </w:r>
      <w:r w:rsidRPr="00551F38">
        <w:rPr>
          <w:rFonts w:asciiTheme="minorHAnsi" w:hAnsiTheme="minorHAnsi" w:cstheme="minorHAnsi"/>
          <w:color w:val="auto"/>
        </w:rPr>
        <w:t xml:space="preserve"> or hyphae. Finally, whereas vapor</w:t>
      </w:r>
      <w:r w:rsidR="00BD790C" w:rsidRPr="00551F38">
        <w:rPr>
          <w:rFonts w:asciiTheme="minorHAnsi" w:hAnsiTheme="minorHAnsi" w:cstheme="minorHAnsi"/>
          <w:color w:val="auto"/>
        </w:rPr>
        <w:t>-</w:t>
      </w:r>
      <w:r w:rsidRPr="00551F38">
        <w:rPr>
          <w:rFonts w:asciiTheme="minorHAnsi" w:hAnsiTheme="minorHAnsi" w:cstheme="minorHAnsi"/>
          <w:color w:val="auto"/>
        </w:rPr>
        <w:t>phase assays are generally not applied to contact inhibition assays</w:t>
      </w:r>
      <w:r w:rsidRPr="00551F38">
        <w:rPr>
          <w:rFonts w:asciiTheme="minorHAnsi" w:hAnsiTheme="minorHAnsi" w:cstheme="minorHAnsi"/>
          <w:color w:val="auto"/>
        </w:rPr>
        <w:fldChar w:fldCharType="begin" w:fldLock="1"/>
      </w:r>
      <w:r w:rsidRPr="00551F38">
        <w:rPr>
          <w:rFonts w:asciiTheme="minorHAnsi" w:hAnsiTheme="minorHAnsi" w:cstheme="minorHAnsi"/>
          <w:color w:val="auto"/>
        </w:rPr>
        <w:instrText>ADDIN CSL_CITATION { "citationItems" : [ { "id" : "ITEM-1", "itemData" : { "ISSN" : "2148-9637", "abstract" : "Hospital-acquired infections caused by viruses, bacteria and fungi are a constant concern in the health system. In this respect the decontamination of hospital environments is a control measure which decreases the reservoirs of pathogenic microorganisms and their transmission. For that reason new products have been developed such as antimicrobial surfaces that prevent microbial contamination and cleaning vapour systems, in search of a potent disinfection method more friendly to the environment, less toxic, safer and biodegradable. In this way has been considered the use of microbicidal essential oils (EOs) in vapour-phase as an interesting alternative in the development of hospital decontamination devices. Although  in vitro  antimicrobial activity of EOs have been demonstrated, there are no standardized tests to evaluate these products in vapour-phase, the aim of this review is to present the different evaluation methods that have been used to establish the activity of the vapours of EOs and other disinfectants, with the purpose of provide a rational approach to the research, development and implementation of new biocide agents based on this natural product for cleaning in hospitals and healthcare", "author" : [ { "dropping-particle" : "", "family" : "Bueno", "given" : "Juan", "non-dropping-particle" : "", "parse-names" : false, "suffix" : "" } ], "container-title" : "Natural Volatiles &amp; Essential Oils", "id" : "ITEM-1", "issue" : "2", "issued" : { "date-parts" : [ [ "2015" ] ] }, "page" : "16-29", "title" : "Models of evaluation of antimicrobial activity of essential oils in vapour phase: a promising use in healthcare decontamination", "type" : "article-journal", "volume" : "2" }, "uris" : [ "http://www.mendeley.com/documents/?uuid=444082fe-8edb-4c4f-981a-26ca696de29d" ] }, { "id" : "ITEM-2", "itemData" : { "ISSN" : "22317546", "abstract" : "Staphylococcus aureus is an important human pathogen. In the present work, the bacterial inhibition efficacy of cinnamon and oregano essential oils (EOs) was evaluated and compared by using a disc volatilisation assay and a 96-well microplate assay. The comprehensive synergistic effects of their combinations were also indicated for eleven possible mixtures of cinnamon and oregano EOs at six dilution concentrations in both assays. The inhibition zones in the vapourphase at the highest test concentration of EOs (160 \u03bcL/L air) varied from 31.67 \u00b1 0.58 mm to 44.67 \u00b1 0.58 mm. The minimum inhibitory concentration (MIC) in the volatilisation assay was indicated at 5 \u03bcL/L air when the ratios of cinnamon and oregano EOs were 8:2 and 9:1, which also showed strong synergistic activities (FIC = 0.25). S. aureus was more sensitive to EOs in the vapour-phase than in the liquid-phase due to lower MICs in the vapour-phase. Time kill assays indicated that S. aureus was inhibited by oregano EO after exposure at 30 \u03bcL/L for 120 min. The optimal combinations of the EOs in the vapour phase have potential for applications in medical development or food preservation.", "author" : [ { "dropping-particle" : "", "family" : "Doi", "given" : "N. M.", "non-dropping-particle" : "", "parse-names" : false, "suffix" : "" }, { "dropping-particle" : "", "family" : "Sae-Eaw", "given" : "A.", "non-dropping-particle" : "", "parse-names" : false, "suffix" : "" }, { "dropping-particle" : "", "family" : "Suppakul", "given" : "P.", "non-dropping-particle" : "", "parse-names" : false, "suffix" : "" }, { "dropping-particle" : "", "family" : "Chompreeda", "given" : "P.", "non-dropping-particle" : "", "parse-names" : false, "suffix" : "" } ], "container-title" : "International Food Research Journal", "id" : "ITEM-2", "issue" : "2", "issued" : { "date-parts" : [ [ "2019" ] ] }, "page" : "459-467", "title" : "Assessment of synergistic effects on antimicrobial activity in vapour- and liquidphase of cinnamon and oregano essential oils against Staphylococcus aureus", "type" : "article-journal", "volume" : "26" }, "uris" : [ "http://www.mendeley.com/documents/?uuid=e04f80a2-4ef4-4082-8fee-2be5367f803e" ] }, { "id" : "ITEM-3", "itemData" : { "DOI" : "10.1111/lam.12804", "ISSN" : "1472765X", "abstract" : "The objectives of this study were to develop a new assay for the evaluation of the antimicrobial activities of essential oils (EOs) in vapour phase and to demonstrate the antimicrobial activities of commercial EOs against BRPs. To achieve the first objective, a microtube cap containing 100\u00a0\u03bcl of EO was embedded in an agar plate. An agar plug (diameter 13\u00a0mm) inoculated with a bacterial suspension containing108\u00a0CFU per ml was then placed over the cap and incubated at 37\u00b0C for 24\u00a0h. Subsequently, bacteria were recovered from the agar plug by immersion in 5\u00a0ml of broth for 10\u00a0min, followed by vortexing for 30\u00a0s, and the broths were then plated for enumeration. To demonstrate the usefulness of the assay, nine commercial EOs derived from the following specific plants: ajowan, carrot seed, cinnamon leaf, citronella, fennel, ginger grass, lavender, rosemary and thyme were first evaluated for their vapour phase antimicrobial activities against Mannheimia haemolytica serotype 1. Selected EOs were further tested against Pasteurella multocida and Histophilus somni. The EOs of ajowan, thyme and cinnamon leaf completely or partially inhibited BRPs growth. This new assay provided reproducible results on the vapour phase antimicrobial activities of EOs against BRPs. These results support further study of EOs as a potential mitigation strategy against BRPs. Significance and Impact of the Study: In this study, we present a new vapour phase assay for evaluating the antimicrobial activities of essential oils (EO) against bovine respiratory pathogens (BRPs). Using this assay, we identified EOs, such as ajowan, thyme and cinnamon leaf, that can effectively inhibit growth of the BRPs Mannheimia haemolytica serotype 1, Pasteurella multocida and Histophilus somni. This is the first study to demonstrate the vapour phase antimicrobial activity of EOs against BRPs.", "author" : [ { "dropping-particle" : "", "family" : "Amat", "given" : "S.", "non-dropping-particle" : "", "parse-names" : false, "suffix" : "" }, { "dropping-particle" : "", "family" : "Baines", "given" : "D.", "non-dropping-particle" : "", "parse-names" : false, "suffix" : "" }, { "dropping-particle" : "", "family" : "Alexander", "given" : "T. W.", "non-dropping-particle" : "", "parse-names" : false, "suffix" : "" } ], "container-title" : "Letters in Applied Microbiology", "id" : "ITEM-3", "issue" : "6", "issued" : { "date-parts" : [ [ "2017" ] ] }, "page" : "489-495", "title" : "A vapour phase assay for evaluating the antimicrobial activities of essential oils against bovine respiratory bacterial pathogens", "type" : "article-journal", "volume" : "65" }, "uris" : [ "http://www.mendeley.com/documents/?uuid=b94e3f9a-40c5-406a-8b92-d863f7fe8245" ] }, { "id" : "ITEM-4", "itemData" : { "DOI" : "10.1038/s41598-018-22395-6", "ISSN" : "20452322", "abstract" : "Multi-resistant microorganisms continue to challenge medicine and fuel the search for new antimicrobials. Here we show that essential oils and their components are a promising class of antifungals that can have specific anti-Candida activity via their vapour-phase. We quantify the vapour-phase-mediated antimicrobial activity (VMAA) of 175 essential oils and 37 essential oil components, representing more than a 1,000 unique molecules, against C. albicans and C. glabrata in a novel vapour-phase-mediated susceptibility assay. Approximately half of the tested essential oils and their components show growth-inhibitory VMAA. Moreover, an average greater activity was observed against the intrinsically more resistant C. glabrata, with essential oil component citronellal having a highly significant differential VMAA. In contrast, representatives of each class of antifungals currently used in clinical practice showed no VMAA. The vapour-phase-mediated susceptibility assay presented here thus allows for the simple detection of VMAA and can advance the search for novel (applications of existing) antimicrobials. This study represents the first comprehensive characterisation of essential oils and their components as a unique class of antifungals with antimicrobial properties that differentiate them from existing antifungal classes.", "author" : [ { "dropping-particle" : "", "family" : "Feyaerts", "given" : "Adam F.", "non-dropping-particle" : "", "parse-names" : false, "suffix" : "" }, { "dropping-particle" : "", "family" : "Math\u00e9", "given" : "Lotte", "non-dropping-particle" : "", "parse-names" : false, "suffix" : "" }, { "dropping-particle" : "", "family" : "Luyten", "given" : "Walter", "non-dropping-particle" : "", "parse-names" : false, "suffix" : "" }, { "dropping-particle" : "", "family" : "Graeve", "given" : "Stijn", "non-dropping-particle" : "De", "parse-names" : false, "suffix" : "" }, { "dropping-particle" : "", "family" : "Dyck", "given" : "Katrien", "non-dropping-particle" : "Van", "parse-names" : false, "suffix" : "" }, { "dropping-particle" : "", "family" : "Broekx", "given" : "Lize", "non-dropping-particle" : "", "parse-names" : false, "suffix" : "" }, { "dropping-particle" : "", "family" : "Dijck", "given" : "Patrick", "non-dropping-particle" : "Van", "parse-names" : false, "suffix" : "" } ], "container-title" : "Scientific Reports", "id" : "ITEM-4", "issue" : "1", "issued" : { "date-parts" : [ [ "2018" ] ] }, "page" : "1-10", "title" : "Essential oils and their components are a class of antifungals with potent vapour-phase-mediated anti-Candida activity", "type" : "article-journal", "volume" : "8" }, "uris" : [ "http://www.mendeley.com/documents/?uuid=adee364e-b187-4f07-80f1-7407f84bfa6b" ] }, { "id" : "ITEM-5", "itemData" : { "DOI" : "10.1371/journal.pone.0163147", "ISSN" : "19326203", "abstract" : "The aim of the present study was to determine the antibacterial activities of the phenolic essential oil (EO) compounds hinokitiol, carvacrol, thymol, and menthol against oral pathogens. Aggregatibacter actinomycetemcomitans, Streptococcus mutans, Methicillin-resistant Staphylococcus aureus (MRSA), and Escherichia. coli were used in this study. The minimum inhibitory concentrations (MICs), minimum bactericidal concentrations (MBCs), bacterial growth curves, temperature and pH stabilities, and synergistic effects of the liquid and vapor EO compounds were tested. The MIC/MBC of the EO compounds, ranging from the strongest to weakest, were hinokitiol (40-60 \u03bcg/mL/40-100 \u03bcg/mL), thymol (100-200 \u03bcg/mL/200-400 \u03bcg/mL), carvacrol (200-400 \u03bcg/mL/200-600 \u03bcg/mL), and menthol (500-more than 2500 \u03bcg/mL/1000-more than 2500 \u03bcg/mL). The antibacterial activities of the four EO phenolic compound based on the agar diffusion test and bacterial growth curves showed that the four EO phenolic compounds were stable under different temperatures for 24 h, but the thymol activity decreased when the temperature was higher than 80\u00b0C. The combination of liquid carvacrol with thymol did not show any synergistic effects. The activities of the vaporous carvacrol and thymol were inhibited by the presence of water. Continual violent shaking during culture enhanced the activity of menthol. Both liquid and vaporous hinokitiol were stable at different temperatures and pH conditions. The combination of vaporous hinokitiol with zinc oxide did not show synergistic effects. These results showed that the liquid and vapor phases of hinokitiol have strong anti-oral bacteria abilities. Hinokitiol has the potential to be applied in oral health care products, dental materials, and infection controls to exert antimicrobial activity.", "author" : [ { "dropping-particle" : "", "family" : "Wang", "given" : "Tong Hong", "non-dropping-particle" : "", "parse-names" : false, "suffix" : "" }, { "dropping-particle" : "", "family" : "Hsia", "given" : "Shih Min", "non-dropping-particle" : "", "parse-names" : false, "suffix" : "" }, { "dropping-particle" : "", "family" : "Wu", "given" : "Chi Hao", "non-dropping-particle" : "", "parse-names" : false, "suffix" : "" }, { "dropping-particle" : "", "family" : "Ko", "given" : "Shun Yao", "non-dropping-particle" : "", "parse-names" : false, "suffix" : "" }, { "dropping-particle" : "", "family" : "Chen", "given" : "Michael Yuanchien", "non-dropping-particle" : "", "parse-names" : false, "suffix" : "" }, { "dropping-particle" : "", "family" : "Shih", "given" : "Yin Hua", "non-dropping-particle" : "", "parse-names" : false, "suffix" : "" }, { "dropping-particle" : "", "family" : "Shieh", "given" : "Tzong Ming", "non-dropping-particle" : "", "parse-names" : false, "suffix" : "" }, { "dropping-particle" : "", "family" : "Chuang", "given" : "Li Chuan", "non-dropping-particle" : "", "parse-names" : false, "suffix" : "" }, { "dropping-particle" : "", "family" : "Wu", "given" : "Ching Yi", "non-dropping-particle" : "", "parse-names" : false, "suffix" : "" } ], "container-title" : "PLoS ONE", "id" : "ITEM-5", "issue" : "9", "issued" : { "date-parts" : [ [ "2016" ] ] }, "page" : "1-17", "title" : "Evaluation of the antibacterial potential of liquid and vapor phase phenolic essential oil compounds against oral microorganisms", "type" : "article-journal", "volume" : "11" }, "uris" : [ "http://www.mendeley.com/documents/?uuid=a0c9f1f1-67b5-49f7-a4e3-a59d7bd74135" ] } ], "mendeley" : { "formattedCitation" : "&lt;sup&gt;27\u201331&lt;/sup&gt;", "plainTextFormattedCitation" : "27\u201331", "previouslyFormattedCitation" : "&lt;sup&gt;27\u201331&lt;/sup&gt;" }, "properties" : { "noteIndex" : 11 }, "schema" : "https://github.com/citation-style-language/schema/raw/master/csl-citation.json" }</w:instrText>
      </w:r>
      <w:r w:rsidRPr="00551F38">
        <w:rPr>
          <w:rFonts w:asciiTheme="minorHAnsi" w:hAnsiTheme="minorHAnsi" w:cstheme="minorHAnsi"/>
          <w:color w:val="auto"/>
        </w:rPr>
        <w:fldChar w:fldCharType="separate"/>
      </w:r>
      <w:r w:rsidRPr="00551F38">
        <w:rPr>
          <w:rFonts w:asciiTheme="minorHAnsi" w:hAnsiTheme="minorHAnsi" w:cstheme="minorHAnsi"/>
          <w:color w:val="auto"/>
          <w:vertAlign w:val="superscript"/>
        </w:rPr>
        <w:t>27–31</w:t>
      </w:r>
      <w:r w:rsidRPr="00551F38">
        <w:rPr>
          <w:rFonts w:asciiTheme="minorHAnsi" w:hAnsiTheme="minorHAnsi" w:cstheme="minorHAnsi"/>
          <w:color w:val="auto"/>
        </w:rPr>
        <w:fldChar w:fldCharType="end"/>
      </w:r>
      <w:r w:rsidRPr="00551F38">
        <w:rPr>
          <w:rFonts w:asciiTheme="minorHAnsi" w:hAnsiTheme="minorHAnsi" w:cstheme="minorHAnsi"/>
          <w:color w:val="auto"/>
        </w:rPr>
        <w:t xml:space="preserve">, the method we propose </w:t>
      </w:r>
      <w:r w:rsidR="002B790F" w:rsidRPr="00551F38">
        <w:rPr>
          <w:rFonts w:asciiTheme="minorHAnsi" w:hAnsiTheme="minorHAnsi" w:cstheme="minorHAnsi"/>
          <w:color w:val="auto"/>
        </w:rPr>
        <w:t>addresses</w:t>
      </w:r>
      <w:r w:rsidRPr="00551F38">
        <w:rPr>
          <w:rFonts w:asciiTheme="minorHAnsi" w:hAnsiTheme="minorHAnsi" w:cstheme="minorHAnsi"/>
          <w:color w:val="auto"/>
        </w:rPr>
        <w:t xml:space="preserve"> the relative contributions of volatile and non-volatile agents contained in complex mixtures such as plant powders or extracts and ultimately </w:t>
      </w:r>
      <w:r w:rsidR="00BD790C" w:rsidRPr="00551F38">
        <w:rPr>
          <w:rFonts w:asciiTheme="minorHAnsi" w:hAnsiTheme="minorHAnsi" w:cstheme="minorHAnsi"/>
          <w:color w:val="auto"/>
        </w:rPr>
        <w:t xml:space="preserve">allows </w:t>
      </w:r>
      <w:r w:rsidRPr="00551F38">
        <w:rPr>
          <w:rFonts w:asciiTheme="minorHAnsi" w:hAnsiTheme="minorHAnsi" w:cstheme="minorHAnsi"/>
          <w:color w:val="auto"/>
        </w:rPr>
        <w:t>the evaluation of antifungal activities at different fungal</w:t>
      </w:r>
      <w:r w:rsidR="00BD790C" w:rsidRPr="00551F38">
        <w:rPr>
          <w:rFonts w:asciiTheme="minorHAnsi" w:hAnsiTheme="minorHAnsi" w:cstheme="minorHAnsi"/>
          <w:color w:val="auto"/>
        </w:rPr>
        <w:t>-</w:t>
      </w:r>
      <w:r w:rsidRPr="00551F38">
        <w:rPr>
          <w:rFonts w:asciiTheme="minorHAnsi" w:hAnsiTheme="minorHAnsi" w:cstheme="minorHAnsi"/>
          <w:color w:val="auto"/>
        </w:rPr>
        <w:t>growth stages.</w:t>
      </w:r>
    </w:p>
    <w:p w14:paraId="7069B9A1" w14:textId="77777777" w:rsidR="00565D89" w:rsidRDefault="00565D89" w:rsidP="00565D89">
      <w:pPr>
        <w:rPr>
          <w:rFonts w:asciiTheme="minorHAnsi" w:hAnsiTheme="minorHAnsi" w:cstheme="minorHAnsi"/>
          <w:color w:val="auto"/>
        </w:rPr>
      </w:pPr>
    </w:p>
    <w:p w14:paraId="3DBD8E67" w14:textId="35D6117D" w:rsidR="00BE73CB" w:rsidRPr="00551F38" w:rsidRDefault="00BE73CB" w:rsidP="00565D89">
      <w:pPr>
        <w:rPr>
          <w:rFonts w:asciiTheme="minorHAnsi" w:hAnsiTheme="minorHAnsi" w:cstheme="minorHAnsi"/>
          <w:color w:val="auto"/>
        </w:rPr>
      </w:pPr>
      <w:r w:rsidRPr="00551F38">
        <w:rPr>
          <w:rFonts w:asciiTheme="minorHAnsi" w:hAnsiTheme="minorHAnsi" w:cstheme="minorHAnsi"/>
          <w:color w:val="auto"/>
        </w:rPr>
        <w:t xml:space="preserve">The approach we describe here might be particularly relevant to support the need </w:t>
      </w:r>
      <w:r w:rsidR="00BD790C" w:rsidRPr="00551F38">
        <w:rPr>
          <w:rFonts w:asciiTheme="minorHAnsi" w:hAnsiTheme="minorHAnsi" w:cstheme="minorHAnsi"/>
          <w:color w:val="auto"/>
        </w:rPr>
        <w:t>f</w:t>
      </w:r>
      <w:r w:rsidRPr="00551F38">
        <w:rPr>
          <w:rFonts w:asciiTheme="minorHAnsi" w:hAnsiTheme="minorHAnsi" w:cstheme="minorHAnsi"/>
          <w:color w:val="auto"/>
        </w:rPr>
        <w:t>o</w:t>
      </w:r>
      <w:r w:rsidR="00BD790C" w:rsidRPr="00551F38">
        <w:rPr>
          <w:rFonts w:asciiTheme="minorHAnsi" w:hAnsiTheme="minorHAnsi" w:cstheme="minorHAnsi"/>
          <w:color w:val="auto"/>
        </w:rPr>
        <w:t>r</w:t>
      </w:r>
      <w:r w:rsidRPr="00551F38">
        <w:rPr>
          <w:rFonts w:asciiTheme="minorHAnsi" w:hAnsiTheme="minorHAnsi" w:cstheme="minorHAnsi"/>
          <w:color w:val="auto"/>
        </w:rPr>
        <w:t xml:space="preserve"> methods that evaluate antifungal properties </w:t>
      </w:r>
      <w:r w:rsidR="00BD790C" w:rsidRPr="00551F38">
        <w:rPr>
          <w:rFonts w:asciiTheme="minorHAnsi" w:hAnsiTheme="minorHAnsi" w:cstheme="minorHAnsi"/>
          <w:color w:val="auto"/>
        </w:rPr>
        <w:t xml:space="preserve">in </w:t>
      </w:r>
      <w:r w:rsidRPr="00551F38">
        <w:rPr>
          <w:rFonts w:asciiTheme="minorHAnsi" w:hAnsiTheme="minorHAnsi" w:cstheme="minorHAnsi"/>
          <w:color w:val="auto"/>
        </w:rPr>
        <w:t>plant-derived products for biocontrol. The quantitative method we propose allows operator</w:t>
      </w:r>
      <w:r w:rsidR="00BD790C" w:rsidRPr="00551F38">
        <w:rPr>
          <w:rFonts w:asciiTheme="minorHAnsi" w:hAnsiTheme="minorHAnsi" w:cstheme="minorHAnsi"/>
          <w:color w:val="auto"/>
        </w:rPr>
        <w:t>s</w:t>
      </w:r>
      <w:r w:rsidRPr="00551F38">
        <w:rPr>
          <w:rFonts w:asciiTheme="minorHAnsi" w:hAnsiTheme="minorHAnsi" w:cstheme="minorHAnsi"/>
          <w:color w:val="auto"/>
        </w:rPr>
        <w:t xml:space="preserve"> to determine the respective contributions of volatile and non-volatile compounds to the antifungal activity of a complex bioactive mixture. This provides valuable </w:t>
      </w:r>
      <w:r w:rsidR="002B790F" w:rsidRPr="00551F38">
        <w:rPr>
          <w:rFonts w:asciiTheme="minorHAnsi" w:hAnsiTheme="minorHAnsi" w:cstheme="minorHAnsi"/>
          <w:color w:val="auto"/>
        </w:rPr>
        <w:t>information</w:t>
      </w:r>
      <w:r w:rsidRPr="00551F38">
        <w:rPr>
          <w:rFonts w:asciiTheme="minorHAnsi" w:hAnsiTheme="minorHAnsi" w:cstheme="minorHAnsi"/>
          <w:color w:val="auto"/>
        </w:rPr>
        <w:t xml:space="preserve"> that can guide the choice of the modes of application </w:t>
      </w:r>
      <w:r w:rsidR="00384A05" w:rsidRPr="00551F38">
        <w:rPr>
          <w:rFonts w:asciiTheme="minorHAnsi" w:hAnsiTheme="minorHAnsi" w:cstheme="minorHAnsi"/>
          <w:color w:val="auto"/>
        </w:rPr>
        <w:t>f</w:t>
      </w:r>
      <w:r w:rsidRPr="00551F38">
        <w:rPr>
          <w:rFonts w:asciiTheme="minorHAnsi" w:hAnsiTheme="minorHAnsi" w:cstheme="minorHAnsi"/>
          <w:color w:val="auto"/>
        </w:rPr>
        <w:t>o</w:t>
      </w:r>
      <w:r w:rsidR="00384A05" w:rsidRPr="00551F38">
        <w:rPr>
          <w:rFonts w:asciiTheme="minorHAnsi" w:hAnsiTheme="minorHAnsi" w:cstheme="minorHAnsi"/>
          <w:color w:val="auto"/>
        </w:rPr>
        <w:t>r</w:t>
      </w:r>
      <w:r w:rsidRPr="00551F38">
        <w:rPr>
          <w:rFonts w:asciiTheme="minorHAnsi" w:hAnsiTheme="minorHAnsi" w:cstheme="minorHAnsi"/>
          <w:color w:val="auto"/>
        </w:rPr>
        <w:t xml:space="preserve"> the treatment and the relevance of performing liquid extraction. Application</w:t>
      </w:r>
      <w:r w:rsidR="00384A05" w:rsidRPr="00551F38">
        <w:rPr>
          <w:rFonts w:asciiTheme="minorHAnsi" w:hAnsiTheme="minorHAnsi" w:cstheme="minorHAnsi"/>
          <w:color w:val="auto"/>
        </w:rPr>
        <w:t>s</w:t>
      </w:r>
      <w:r w:rsidRPr="00551F38">
        <w:rPr>
          <w:rFonts w:asciiTheme="minorHAnsi" w:hAnsiTheme="minorHAnsi" w:cstheme="minorHAnsi"/>
          <w:color w:val="auto"/>
        </w:rPr>
        <w:t xml:space="preserve"> </w:t>
      </w:r>
      <w:r w:rsidR="00384A05" w:rsidRPr="00551F38">
        <w:rPr>
          <w:rFonts w:asciiTheme="minorHAnsi" w:hAnsiTheme="minorHAnsi" w:cstheme="minorHAnsi"/>
          <w:color w:val="auto"/>
        </w:rPr>
        <w:t xml:space="preserve">that </w:t>
      </w:r>
      <w:r w:rsidRPr="00551F38">
        <w:rPr>
          <w:rFonts w:asciiTheme="minorHAnsi" w:hAnsiTheme="minorHAnsi" w:cstheme="minorHAnsi"/>
          <w:color w:val="auto"/>
        </w:rPr>
        <w:t xml:space="preserve">might be considered at </w:t>
      </w:r>
      <w:r w:rsidR="00384A05" w:rsidRPr="00551F38">
        <w:rPr>
          <w:rFonts w:asciiTheme="minorHAnsi" w:hAnsiTheme="minorHAnsi" w:cstheme="minorHAnsi"/>
          <w:color w:val="auto"/>
        </w:rPr>
        <w:t xml:space="preserve">a </w:t>
      </w:r>
      <w:r w:rsidRPr="00551F38">
        <w:rPr>
          <w:rFonts w:asciiTheme="minorHAnsi" w:hAnsiTheme="minorHAnsi" w:cstheme="minorHAnsi"/>
          <w:color w:val="auto"/>
        </w:rPr>
        <w:t>distance from the targeted phytopathogen (for instance, inclusion of the biocontrol product into a packaging) or might need direct contact to optimize the efficacy of the biocontrol product (nebulization on</w:t>
      </w:r>
      <w:r w:rsidR="00384A05" w:rsidRPr="00551F38">
        <w:rPr>
          <w:rFonts w:asciiTheme="minorHAnsi" w:hAnsiTheme="minorHAnsi" w:cstheme="minorHAnsi"/>
          <w:color w:val="auto"/>
        </w:rPr>
        <w:t>to</w:t>
      </w:r>
      <w:r w:rsidRPr="00551F38">
        <w:rPr>
          <w:rFonts w:asciiTheme="minorHAnsi" w:hAnsiTheme="minorHAnsi" w:cstheme="minorHAnsi"/>
          <w:color w:val="auto"/>
        </w:rPr>
        <w:t xml:space="preserve"> plants or dipping fruit into a solution of biocontrol product). It also allows t</w:t>
      </w:r>
      <w:r w:rsidR="00384A05" w:rsidRPr="00551F38">
        <w:rPr>
          <w:rFonts w:asciiTheme="minorHAnsi" w:hAnsiTheme="minorHAnsi" w:cstheme="minorHAnsi"/>
          <w:color w:val="auto"/>
        </w:rPr>
        <w:t>he</w:t>
      </w:r>
      <w:r w:rsidRPr="00551F38">
        <w:rPr>
          <w:rFonts w:asciiTheme="minorHAnsi" w:hAnsiTheme="minorHAnsi" w:cstheme="minorHAnsi"/>
          <w:color w:val="auto"/>
        </w:rPr>
        <w:t xml:space="preserve"> compar</w:t>
      </w:r>
      <w:r w:rsidR="00384A05" w:rsidRPr="00551F38">
        <w:rPr>
          <w:rFonts w:asciiTheme="minorHAnsi" w:hAnsiTheme="minorHAnsi" w:cstheme="minorHAnsi"/>
          <w:color w:val="auto"/>
        </w:rPr>
        <w:t>ison of</w:t>
      </w:r>
      <w:r w:rsidRPr="00551F38">
        <w:rPr>
          <w:rFonts w:asciiTheme="minorHAnsi" w:hAnsiTheme="minorHAnsi" w:cstheme="minorHAnsi"/>
          <w:color w:val="auto"/>
        </w:rPr>
        <w:t xml:space="preserve"> antifungal efficacy at different fungal</w:t>
      </w:r>
      <w:r w:rsidR="00384A05" w:rsidRPr="00551F38">
        <w:rPr>
          <w:rFonts w:asciiTheme="minorHAnsi" w:hAnsiTheme="minorHAnsi" w:cstheme="minorHAnsi"/>
          <w:color w:val="auto"/>
        </w:rPr>
        <w:t>-</w:t>
      </w:r>
      <w:r w:rsidRPr="00551F38">
        <w:rPr>
          <w:rFonts w:asciiTheme="minorHAnsi" w:hAnsiTheme="minorHAnsi" w:cstheme="minorHAnsi"/>
          <w:color w:val="auto"/>
        </w:rPr>
        <w:t>growth stages from spore germination to later stage mycelium growth</w:t>
      </w:r>
      <w:r w:rsidR="00384A05" w:rsidRPr="00551F38">
        <w:rPr>
          <w:rFonts w:asciiTheme="minorHAnsi" w:hAnsiTheme="minorHAnsi" w:cstheme="minorHAnsi"/>
          <w:color w:val="auto"/>
        </w:rPr>
        <w:t>,</w:t>
      </w:r>
      <w:r w:rsidRPr="00551F38">
        <w:rPr>
          <w:rFonts w:asciiTheme="minorHAnsi" w:hAnsiTheme="minorHAnsi" w:cstheme="minorHAnsi"/>
          <w:color w:val="auto"/>
        </w:rPr>
        <w:t xml:space="preserve"> which leads to the definition of recommendations </w:t>
      </w:r>
      <w:r w:rsidR="00384A05" w:rsidRPr="00551F38">
        <w:rPr>
          <w:rFonts w:asciiTheme="minorHAnsi" w:hAnsiTheme="minorHAnsi" w:cstheme="minorHAnsi"/>
          <w:color w:val="auto"/>
        </w:rPr>
        <w:t>f</w:t>
      </w:r>
      <w:r w:rsidRPr="00551F38">
        <w:rPr>
          <w:rFonts w:asciiTheme="minorHAnsi" w:hAnsiTheme="minorHAnsi" w:cstheme="minorHAnsi"/>
          <w:color w:val="auto"/>
        </w:rPr>
        <w:t>o</w:t>
      </w:r>
      <w:r w:rsidR="00384A05" w:rsidRPr="00551F38">
        <w:rPr>
          <w:rFonts w:asciiTheme="minorHAnsi" w:hAnsiTheme="minorHAnsi" w:cstheme="minorHAnsi"/>
          <w:color w:val="auto"/>
        </w:rPr>
        <w:t>r</w:t>
      </w:r>
      <w:r w:rsidRPr="00551F38">
        <w:rPr>
          <w:rFonts w:asciiTheme="minorHAnsi" w:hAnsiTheme="minorHAnsi" w:cstheme="minorHAnsi"/>
          <w:color w:val="auto"/>
        </w:rPr>
        <w:t xml:space="preserve"> establish</w:t>
      </w:r>
      <w:r w:rsidR="00384A05" w:rsidRPr="00551F38">
        <w:rPr>
          <w:rFonts w:asciiTheme="minorHAnsi" w:hAnsiTheme="minorHAnsi" w:cstheme="minorHAnsi"/>
          <w:color w:val="auto"/>
        </w:rPr>
        <w:t>ing</w:t>
      </w:r>
      <w:r w:rsidRPr="00551F38">
        <w:rPr>
          <w:rFonts w:asciiTheme="minorHAnsi" w:hAnsiTheme="minorHAnsi" w:cstheme="minorHAnsi"/>
          <w:color w:val="auto"/>
        </w:rPr>
        <w:t xml:space="preserve"> control thresholds required to apply biocontrol products to crops. Indeed, defining the efficacy of the substances at different fungal stages may help to categorize whether </w:t>
      </w:r>
      <w:r w:rsidR="00384A05" w:rsidRPr="00551F38">
        <w:rPr>
          <w:rFonts w:asciiTheme="minorHAnsi" w:hAnsiTheme="minorHAnsi" w:cstheme="minorHAnsi"/>
          <w:color w:val="auto"/>
        </w:rPr>
        <w:t xml:space="preserve">substances can be </w:t>
      </w:r>
      <w:r w:rsidRPr="00551F38">
        <w:rPr>
          <w:rFonts w:asciiTheme="minorHAnsi" w:hAnsiTheme="minorHAnsi" w:cstheme="minorHAnsi"/>
          <w:color w:val="auto"/>
        </w:rPr>
        <w:t>used as preventive or curative treatment</w:t>
      </w:r>
      <w:r w:rsidR="00384A05" w:rsidRPr="00551F38">
        <w:rPr>
          <w:rFonts w:asciiTheme="minorHAnsi" w:hAnsiTheme="minorHAnsi" w:cstheme="minorHAnsi"/>
          <w:color w:val="auto"/>
        </w:rPr>
        <w:t>s</w:t>
      </w:r>
      <w:r w:rsidRPr="00551F38">
        <w:rPr>
          <w:rFonts w:asciiTheme="minorHAnsi" w:hAnsiTheme="minorHAnsi" w:cstheme="minorHAnsi"/>
          <w:color w:val="auto"/>
        </w:rPr>
        <w:t xml:space="preserve"> and to plan the schedule </w:t>
      </w:r>
      <w:r w:rsidR="00384A05" w:rsidRPr="00551F38">
        <w:rPr>
          <w:rFonts w:asciiTheme="minorHAnsi" w:hAnsiTheme="minorHAnsi" w:cstheme="minorHAnsi"/>
          <w:color w:val="auto"/>
        </w:rPr>
        <w:t>f</w:t>
      </w:r>
      <w:r w:rsidRPr="00551F38">
        <w:rPr>
          <w:rFonts w:asciiTheme="minorHAnsi" w:hAnsiTheme="minorHAnsi" w:cstheme="minorHAnsi"/>
          <w:color w:val="auto"/>
        </w:rPr>
        <w:t>o</w:t>
      </w:r>
      <w:r w:rsidR="00384A05" w:rsidRPr="00551F38">
        <w:rPr>
          <w:rFonts w:asciiTheme="minorHAnsi" w:hAnsiTheme="minorHAnsi" w:cstheme="minorHAnsi"/>
          <w:color w:val="auto"/>
        </w:rPr>
        <w:t>r</w:t>
      </w:r>
      <w:r w:rsidRPr="00551F38">
        <w:rPr>
          <w:rFonts w:asciiTheme="minorHAnsi" w:hAnsiTheme="minorHAnsi" w:cstheme="minorHAnsi"/>
          <w:color w:val="auto"/>
        </w:rPr>
        <w:t xml:space="preserve"> plant</w:t>
      </w:r>
      <w:r w:rsidR="00384A05" w:rsidRPr="00551F38">
        <w:rPr>
          <w:rFonts w:asciiTheme="minorHAnsi" w:hAnsiTheme="minorHAnsi" w:cstheme="minorHAnsi"/>
          <w:color w:val="auto"/>
        </w:rPr>
        <w:t>-treatments</w:t>
      </w:r>
      <w:r w:rsidRPr="00551F38">
        <w:rPr>
          <w:rFonts w:asciiTheme="minorHAnsi" w:hAnsiTheme="minorHAnsi" w:cstheme="minorHAnsi"/>
          <w:color w:val="auto"/>
        </w:rPr>
        <w:t xml:space="preserve"> with biocontrol products. This is essential to leverage the efficacy of the products when used in field or post-harvest. </w:t>
      </w:r>
    </w:p>
    <w:p w14:paraId="2248D877" w14:textId="77777777" w:rsidR="00567FA6" w:rsidRPr="00551F38" w:rsidRDefault="00567FA6" w:rsidP="00F9737F">
      <w:pPr>
        <w:rPr>
          <w:rFonts w:asciiTheme="minorHAnsi" w:hAnsiTheme="minorHAnsi" w:cstheme="minorHAnsi"/>
          <w:color w:val="auto"/>
        </w:rPr>
      </w:pPr>
    </w:p>
    <w:p w14:paraId="1734505F" w14:textId="1AE09BE0" w:rsidR="00AA03DF" w:rsidRPr="00551F38" w:rsidRDefault="00AA03DF" w:rsidP="001B1519">
      <w:pPr>
        <w:pStyle w:val="NormalWeb"/>
        <w:spacing w:before="0" w:beforeAutospacing="0" w:after="0" w:afterAutospacing="0"/>
        <w:rPr>
          <w:rFonts w:asciiTheme="minorHAnsi" w:hAnsiTheme="minorHAnsi" w:cstheme="minorHAnsi"/>
          <w:color w:val="808080"/>
        </w:rPr>
      </w:pPr>
      <w:r w:rsidRPr="00551F38">
        <w:rPr>
          <w:rFonts w:asciiTheme="minorHAnsi" w:hAnsiTheme="minorHAnsi" w:cstheme="minorHAnsi"/>
          <w:b/>
          <w:bCs/>
        </w:rPr>
        <w:lastRenderedPageBreak/>
        <w:t xml:space="preserve">ACKNOWLEDGMENTS: </w:t>
      </w:r>
    </w:p>
    <w:p w14:paraId="2D96E92E" w14:textId="46BF3072" w:rsidR="00AA03DF" w:rsidRPr="00551F38" w:rsidRDefault="00705C03" w:rsidP="001B1519">
      <w:pPr>
        <w:rPr>
          <w:rFonts w:asciiTheme="minorHAnsi" w:hAnsiTheme="minorHAnsi" w:cstheme="minorHAnsi"/>
          <w:b/>
          <w:bCs/>
        </w:rPr>
      </w:pPr>
      <w:r w:rsidRPr="00551F38">
        <w:t xml:space="preserve">We are very grateful to Frank Yates for </w:t>
      </w:r>
      <w:r w:rsidR="00B34D43" w:rsidRPr="00551F38">
        <w:t>his</w:t>
      </w:r>
      <w:r w:rsidRPr="00551F38">
        <w:t xml:space="preserve"> precious advice</w:t>
      </w:r>
      <w:r w:rsidR="0003688D" w:rsidRPr="00551F38">
        <w:t xml:space="preserve">. This work was supported by </w:t>
      </w:r>
      <w:proofErr w:type="spellStart"/>
      <w:r w:rsidR="0003688D" w:rsidRPr="00551F38">
        <w:t>Sup’Biotech</w:t>
      </w:r>
      <w:proofErr w:type="spellEnd"/>
      <w:r w:rsidR="002275A8" w:rsidRPr="00551F38">
        <w:t>.</w:t>
      </w:r>
    </w:p>
    <w:p w14:paraId="66030076" w14:textId="1F20DD8E" w:rsidR="00AA03DF" w:rsidRDefault="00AA03DF" w:rsidP="001B1519">
      <w:pPr>
        <w:rPr>
          <w:rFonts w:asciiTheme="minorHAnsi" w:hAnsiTheme="minorHAnsi" w:cstheme="minorHAnsi"/>
          <w:color w:val="auto"/>
        </w:rPr>
      </w:pPr>
    </w:p>
    <w:p w14:paraId="4AE0409D" w14:textId="4E0DAEF5" w:rsidR="00565D89" w:rsidRPr="00565D89" w:rsidRDefault="00565D89" w:rsidP="001B1519">
      <w:pPr>
        <w:rPr>
          <w:rFonts w:asciiTheme="minorHAnsi" w:hAnsiTheme="minorHAnsi" w:cstheme="minorHAnsi"/>
          <w:b/>
          <w:bCs/>
          <w:color w:val="auto"/>
        </w:rPr>
      </w:pPr>
      <w:r w:rsidRPr="00565D89">
        <w:rPr>
          <w:rFonts w:asciiTheme="minorHAnsi" w:hAnsiTheme="minorHAnsi" w:cstheme="minorHAnsi"/>
          <w:b/>
          <w:bCs/>
          <w:color w:val="auto"/>
        </w:rPr>
        <w:t>DISCLOSURE:</w:t>
      </w:r>
    </w:p>
    <w:p w14:paraId="7DFDCD49" w14:textId="309453A6" w:rsidR="00565D89" w:rsidRDefault="00565D89" w:rsidP="001B1519">
      <w:pPr>
        <w:rPr>
          <w:rFonts w:asciiTheme="minorHAnsi" w:hAnsiTheme="minorHAnsi" w:cstheme="minorHAnsi"/>
          <w:color w:val="auto"/>
        </w:rPr>
      </w:pPr>
      <w:r>
        <w:rPr>
          <w:rFonts w:asciiTheme="minorHAnsi" w:hAnsiTheme="minorHAnsi" w:cstheme="minorHAnsi"/>
          <w:color w:val="auto"/>
        </w:rPr>
        <w:t>None</w:t>
      </w:r>
    </w:p>
    <w:p w14:paraId="7AF33304" w14:textId="77777777" w:rsidR="00565D89" w:rsidRPr="00551F38" w:rsidRDefault="00565D89" w:rsidP="001B1519">
      <w:pPr>
        <w:rPr>
          <w:rFonts w:asciiTheme="minorHAnsi" w:hAnsiTheme="minorHAnsi" w:cstheme="minorHAnsi"/>
          <w:color w:val="auto"/>
        </w:rPr>
      </w:pPr>
    </w:p>
    <w:p w14:paraId="367008C1" w14:textId="4A133791" w:rsidR="009726EE" w:rsidRPr="00551F38" w:rsidRDefault="009726EE" w:rsidP="00B34D43">
      <w:pPr>
        <w:rPr>
          <w:rFonts w:asciiTheme="minorHAnsi" w:hAnsiTheme="minorHAnsi" w:cstheme="minorHAnsi"/>
          <w:b/>
          <w:color w:val="000000" w:themeColor="text1"/>
        </w:rPr>
      </w:pPr>
      <w:bookmarkStart w:id="3" w:name="References"/>
      <w:r w:rsidRPr="00551F38">
        <w:rPr>
          <w:rFonts w:asciiTheme="minorHAnsi" w:hAnsiTheme="minorHAnsi" w:cstheme="minorHAnsi"/>
          <w:b/>
          <w:bCs/>
        </w:rPr>
        <w:t>REFERENCES</w:t>
      </w:r>
      <w:r w:rsidR="00EF64FC" w:rsidRPr="00551F38">
        <w:rPr>
          <w:rFonts w:asciiTheme="minorHAnsi" w:hAnsiTheme="minorHAnsi" w:cstheme="minorHAnsi"/>
          <w:b/>
          <w:bCs/>
        </w:rPr>
        <w:t>:</w:t>
      </w:r>
      <w:r w:rsidRPr="00551F38">
        <w:rPr>
          <w:rFonts w:asciiTheme="minorHAnsi" w:hAnsiTheme="minorHAnsi" w:cstheme="minorHAnsi"/>
        </w:rPr>
        <w:t xml:space="preserve"> </w:t>
      </w:r>
      <w:bookmarkEnd w:id="3"/>
    </w:p>
    <w:p w14:paraId="508D1F4F" w14:textId="2817FC9B" w:rsidR="00E26078" w:rsidRPr="00551F38" w:rsidRDefault="00407A8E" w:rsidP="00E26078">
      <w:pPr>
        <w:ind w:left="640" w:hanging="640"/>
      </w:pPr>
      <w:r w:rsidRPr="00551F38">
        <w:rPr>
          <w:rFonts w:asciiTheme="minorHAnsi" w:hAnsiTheme="minorHAnsi" w:cstheme="minorHAnsi"/>
          <w:b/>
          <w:color w:val="808080" w:themeColor="background1" w:themeShade="80"/>
        </w:rPr>
        <w:fldChar w:fldCharType="begin" w:fldLock="1"/>
      </w:r>
      <w:r w:rsidRPr="00551F38">
        <w:rPr>
          <w:rFonts w:asciiTheme="minorHAnsi" w:hAnsiTheme="minorHAnsi" w:cstheme="minorHAnsi"/>
          <w:b/>
          <w:color w:val="808080" w:themeColor="background1" w:themeShade="80"/>
        </w:rPr>
        <w:instrText xml:space="preserve">ADDIN Mendeley Bibliography CSL_BIBLIOGRAPHY </w:instrText>
      </w:r>
      <w:r w:rsidRPr="00551F38">
        <w:rPr>
          <w:rFonts w:asciiTheme="minorHAnsi" w:hAnsiTheme="minorHAnsi" w:cstheme="minorHAnsi"/>
          <w:b/>
          <w:color w:val="808080" w:themeColor="background1" w:themeShade="80"/>
        </w:rPr>
        <w:fldChar w:fldCharType="separate"/>
      </w:r>
      <w:r w:rsidR="00E26078" w:rsidRPr="00551F38">
        <w:t>1.</w:t>
      </w:r>
      <w:r w:rsidR="00E26078" w:rsidRPr="00551F38">
        <w:tab/>
        <w:t xml:space="preserve">FAO </w:t>
      </w:r>
      <w:r w:rsidR="00E26078" w:rsidRPr="00551F38">
        <w:rPr>
          <w:i/>
          <w:iCs/>
        </w:rPr>
        <w:t>Global food losses and food waste – Extent, causes and prevention</w:t>
      </w:r>
      <w:r w:rsidR="00B95326" w:rsidRPr="00551F38">
        <w:rPr>
          <w:i/>
          <w:iCs/>
        </w:rPr>
        <w:t>.</w:t>
      </w:r>
      <w:r w:rsidR="00E26078" w:rsidRPr="00551F38">
        <w:t xml:space="preserve"> </w:t>
      </w:r>
      <w:r w:rsidR="00B95326" w:rsidRPr="00551F38">
        <w:t>Rome (</w:t>
      </w:r>
      <w:r w:rsidR="00E26078" w:rsidRPr="00551F38">
        <w:t>2011).</w:t>
      </w:r>
    </w:p>
    <w:p w14:paraId="3B427DC2" w14:textId="77777777" w:rsidR="00B95326" w:rsidRPr="00551F38" w:rsidRDefault="00B95326" w:rsidP="00E26078">
      <w:pPr>
        <w:ind w:left="640" w:hanging="640"/>
      </w:pPr>
    </w:p>
    <w:p w14:paraId="50F702D3" w14:textId="64589D5F" w:rsidR="00E26078" w:rsidRPr="00551F38" w:rsidRDefault="00E26078" w:rsidP="00E26078">
      <w:pPr>
        <w:ind w:left="640" w:hanging="640"/>
      </w:pPr>
      <w:r w:rsidRPr="00551F38">
        <w:t>2.</w:t>
      </w:r>
      <w:r w:rsidRPr="00551F38">
        <w:tab/>
        <w:t xml:space="preserve">da Cruz Cabral, L., Fernández Pinto, V., Patriarca, A. Application of plant derived compounds to control fungal spoilage and mycotoxin production in foods. </w:t>
      </w:r>
      <w:r w:rsidRPr="00551F38">
        <w:rPr>
          <w:i/>
          <w:iCs/>
        </w:rPr>
        <w:t>International Journal of Food Microbiology</w:t>
      </w:r>
      <w:r w:rsidRPr="00551F38">
        <w:t xml:space="preserve">. </w:t>
      </w:r>
      <w:r w:rsidRPr="00551F38">
        <w:rPr>
          <w:b/>
          <w:bCs/>
        </w:rPr>
        <w:t>166</w:t>
      </w:r>
      <w:r w:rsidRPr="00551F38">
        <w:t xml:space="preserve"> (1), 1–14 (2013).</w:t>
      </w:r>
    </w:p>
    <w:p w14:paraId="369A21D3" w14:textId="77777777" w:rsidR="00B95326" w:rsidRPr="00551F38" w:rsidRDefault="00B95326" w:rsidP="00E26078">
      <w:pPr>
        <w:ind w:left="640" w:hanging="640"/>
      </w:pPr>
    </w:p>
    <w:p w14:paraId="2F342C6C" w14:textId="1F3305D2" w:rsidR="00E26078" w:rsidRPr="00551F38" w:rsidRDefault="00E26078" w:rsidP="00E26078">
      <w:pPr>
        <w:ind w:left="640" w:hanging="640"/>
      </w:pPr>
      <w:r w:rsidRPr="00551F38">
        <w:t>3.</w:t>
      </w:r>
      <w:r w:rsidRPr="00551F38">
        <w:tab/>
        <w:t xml:space="preserve">Romanazzi, G., Smilanick, J.L., Feliziani, E., Droby, S. Postharvest </w:t>
      </w:r>
      <w:r w:rsidR="00B95326" w:rsidRPr="00551F38">
        <w:t>b</w:t>
      </w:r>
      <w:r w:rsidRPr="00551F38">
        <w:t xml:space="preserve">iology and </w:t>
      </w:r>
      <w:r w:rsidR="00B95326" w:rsidRPr="00551F38">
        <w:t>t</w:t>
      </w:r>
      <w:r w:rsidRPr="00551F38">
        <w:t xml:space="preserve">echnology </w:t>
      </w:r>
      <w:r w:rsidR="00B95326" w:rsidRPr="00551F38">
        <w:t>i</w:t>
      </w:r>
      <w:r w:rsidRPr="00551F38">
        <w:t xml:space="preserve">ntegrated management of postharvest gray mold on fruit crops. </w:t>
      </w:r>
      <w:r w:rsidRPr="00551F38">
        <w:rPr>
          <w:i/>
          <w:iCs/>
        </w:rPr>
        <w:t>Postharvest Biology and Technology</w:t>
      </w:r>
      <w:r w:rsidRPr="00551F38">
        <w:t xml:space="preserve">. </w:t>
      </w:r>
      <w:r w:rsidRPr="00551F38">
        <w:rPr>
          <w:b/>
          <w:bCs/>
        </w:rPr>
        <w:t>113</w:t>
      </w:r>
      <w:r w:rsidRPr="00551F38">
        <w:t>, (2016).</w:t>
      </w:r>
    </w:p>
    <w:p w14:paraId="6F574824" w14:textId="77777777" w:rsidR="00B95326" w:rsidRPr="00551F38" w:rsidRDefault="00B95326" w:rsidP="00E26078">
      <w:pPr>
        <w:ind w:left="640" w:hanging="640"/>
      </w:pPr>
    </w:p>
    <w:p w14:paraId="7F9907EB" w14:textId="6A36AF0E" w:rsidR="00E26078" w:rsidRPr="00551F38" w:rsidRDefault="00E26078" w:rsidP="00E26078">
      <w:pPr>
        <w:ind w:left="640" w:hanging="640"/>
      </w:pPr>
      <w:r w:rsidRPr="00551F38">
        <w:t>4.</w:t>
      </w:r>
      <w:r w:rsidRPr="00551F38">
        <w:tab/>
        <w:t xml:space="preserve">Morton, V., Staub, T. A Short History of Fungicides. </w:t>
      </w:r>
      <w:r w:rsidRPr="00551F38">
        <w:rPr>
          <w:i/>
          <w:iCs/>
        </w:rPr>
        <w:t>APSnet Feature Articles</w:t>
      </w:r>
      <w:r w:rsidRPr="00551F38">
        <w:t>. (1755), 1–12</w:t>
      </w:r>
      <w:r w:rsidR="00BE73CB" w:rsidRPr="00551F38">
        <w:t xml:space="preserve"> </w:t>
      </w:r>
      <w:r w:rsidRPr="00551F38">
        <w:t>(2008).</w:t>
      </w:r>
    </w:p>
    <w:p w14:paraId="4EE69835" w14:textId="77777777" w:rsidR="00E064AC" w:rsidRPr="00551F38" w:rsidRDefault="00E064AC" w:rsidP="00E26078">
      <w:pPr>
        <w:ind w:left="640" w:hanging="640"/>
      </w:pPr>
    </w:p>
    <w:p w14:paraId="2CD1B6A9" w14:textId="46F405C0" w:rsidR="00E26078" w:rsidRPr="00551F38" w:rsidRDefault="00E26078" w:rsidP="00E26078">
      <w:pPr>
        <w:ind w:left="640" w:hanging="640"/>
      </w:pPr>
      <w:r w:rsidRPr="00551F38">
        <w:t>5.</w:t>
      </w:r>
      <w:r w:rsidRPr="00551F38">
        <w:tab/>
        <w:t>Brandhorst</w:t>
      </w:r>
      <w:r w:rsidR="006D016F" w:rsidRPr="00551F38">
        <w:t>, T.T.</w:t>
      </w:r>
      <w:r w:rsidRPr="00551F38">
        <w:t xml:space="preserve"> and Klein</w:t>
      </w:r>
      <w:r w:rsidR="006D016F" w:rsidRPr="00551F38">
        <w:t>, B. S.</w:t>
      </w:r>
      <w:r w:rsidRPr="00551F38">
        <w:t xml:space="preserve"> Uncertainty surrounding the mechanism and safety of the post- harvest fungicide Fludioxonil. </w:t>
      </w:r>
      <w:r w:rsidR="00565D89">
        <w:rPr>
          <w:i/>
          <w:iCs/>
        </w:rPr>
        <w:t>Food and Chemical Toxicology</w:t>
      </w:r>
      <w:r w:rsidRPr="00551F38">
        <w:rPr>
          <w:i/>
          <w:iCs/>
        </w:rPr>
        <w:t>.</w:t>
      </w:r>
      <w:r w:rsidRPr="00551F38">
        <w:t xml:space="preserve"> </w:t>
      </w:r>
      <w:r w:rsidRPr="00551F38">
        <w:rPr>
          <w:b/>
          <w:bCs/>
        </w:rPr>
        <w:t>123</w:t>
      </w:r>
      <w:r w:rsidRPr="00551F38">
        <w:t>, 561–565</w:t>
      </w:r>
      <w:r w:rsidR="00471C5F" w:rsidRPr="00551F38">
        <w:t xml:space="preserve"> </w:t>
      </w:r>
      <w:r w:rsidRPr="00551F38">
        <w:t>(2019).</w:t>
      </w:r>
    </w:p>
    <w:p w14:paraId="3EAFE788" w14:textId="77777777" w:rsidR="00E064AC" w:rsidRPr="00551F38" w:rsidRDefault="00E064AC" w:rsidP="00E26078">
      <w:pPr>
        <w:ind w:left="640" w:hanging="640"/>
      </w:pPr>
    </w:p>
    <w:p w14:paraId="045947A4" w14:textId="06383782" w:rsidR="00E26078" w:rsidRPr="00551F38" w:rsidRDefault="00E26078" w:rsidP="00286307">
      <w:pPr>
        <w:ind w:left="640" w:hanging="640"/>
        <w:rPr>
          <w:lang w:val="en-GB"/>
        </w:rPr>
      </w:pPr>
      <w:r w:rsidRPr="00551F38">
        <w:rPr>
          <w:lang w:val="en-GB"/>
        </w:rPr>
        <w:t>6.</w:t>
      </w:r>
      <w:r w:rsidRPr="00551F38">
        <w:rPr>
          <w:lang w:val="en-GB"/>
        </w:rPr>
        <w:tab/>
      </w:r>
      <w:proofErr w:type="spellStart"/>
      <w:r w:rsidR="00286307" w:rsidRPr="00551F38">
        <w:rPr>
          <w:lang w:val="en-GB"/>
        </w:rPr>
        <w:t>Bénit</w:t>
      </w:r>
      <w:proofErr w:type="spellEnd"/>
      <w:r w:rsidR="00286307" w:rsidRPr="00551F38">
        <w:rPr>
          <w:lang w:val="en-GB"/>
        </w:rPr>
        <w:t>, P</w:t>
      </w:r>
      <w:r w:rsidR="00565D89">
        <w:rPr>
          <w:lang w:val="en-GB"/>
        </w:rPr>
        <w:t xml:space="preserve">. et al. </w:t>
      </w:r>
      <w:r w:rsidRPr="00551F38">
        <w:t xml:space="preserve">Evolutionarily conserved susceptibility of the mitochondrial respiratory chain to SDHI pesticides and its consequence on the impact of SDHIs on human cultured cells. </w:t>
      </w:r>
      <w:r w:rsidRPr="00551F38">
        <w:rPr>
          <w:i/>
          <w:iCs/>
        </w:rPr>
        <w:t>PLoS ONE</w:t>
      </w:r>
      <w:r w:rsidRPr="00551F38">
        <w:t xml:space="preserve">. </w:t>
      </w:r>
      <w:r w:rsidRPr="00551F38">
        <w:rPr>
          <w:b/>
          <w:bCs/>
        </w:rPr>
        <w:t>14</w:t>
      </w:r>
      <w:r w:rsidRPr="00551F38">
        <w:t xml:space="preserve"> (11), 1–20</w:t>
      </w:r>
      <w:r w:rsidR="00471C5F" w:rsidRPr="00551F38">
        <w:t xml:space="preserve"> </w:t>
      </w:r>
      <w:r w:rsidRPr="00551F38">
        <w:t>(2019).</w:t>
      </w:r>
    </w:p>
    <w:p w14:paraId="0A42FCE9" w14:textId="77777777" w:rsidR="00B700D7" w:rsidRPr="00551F38" w:rsidRDefault="00B700D7" w:rsidP="00E26078">
      <w:pPr>
        <w:ind w:left="640" w:hanging="640"/>
      </w:pPr>
    </w:p>
    <w:p w14:paraId="701E14AC" w14:textId="585D354F" w:rsidR="00E26078" w:rsidRPr="00551F38" w:rsidRDefault="00E26078" w:rsidP="00E26078">
      <w:pPr>
        <w:ind w:left="640" w:hanging="640"/>
      </w:pPr>
      <w:r w:rsidRPr="00551F38">
        <w:t>7.</w:t>
      </w:r>
      <w:r w:rsidRPr="00551F38">
        <w:tab/>
        <w:t xml:space="preserve">Usall, J., Torres, R., Teixidó, N. Biological control of postharvest diseases on fruit: a suitable alternative? </w:t>
      </w:r>
      <w:r w:rsidRPr="00551F38">
        <w:rPr>
          <w:i/>
          <w:iCs/>
        </w:rPr>
        <w:t>Current Opinion in Food Science</w:t>
      </w:r>
      <w:r w:rsidRPr="00551F38">
        <w:t xml:space="preserve">. </w:t>
      </w:r>
      <w:r w:rsidRPr="00551F38">
        <w:rPr>
          <w:b/>
          <w:bCs/>
        </w:rPr>
        <w:t>11</w:t>
      </w:r>
      <w:r w:rsidRPr="00551F38">
        <w:t>, 51–55 (2016).</w:t>
      </w:r>
    </w:p>
    <w:p w14:paraId="0AD2EE2C" w14:textId="77777777" w:rsidR="00B700D7" w:rsidRPr="00551F38" w:rsidRDefault="00B700D7" w:rsidP="00E26078">
      <w:pPr>
        <w:ind w:left="640" w:hanging="640"/>
      </w:pPr>
    </w:p>
    <w:p w14:paraId="4D0C103B" w14:textId="40F79A25" w:rsidR="00E26078" w:rsidRPr="00551F38" w:rsidRDefault="00E26078" w:rsidP="00E26078">
      <w:pPr>
        <w:ind w:left="640" w:hanging="640"/>
      </w:pPr>
      <w:r w:rsidRPr="00551F38">
        <w:t>8.</w:t>
      </w:r>
      <w:r w:rsidRPr="00551F38">
        <w:tab/>
        <w:t xml:space="preserve">Tripathi, P., Dubey, N.K. Exploitation of natural products as an alternative strategy to control postharvest fungal rotting of fruit and vegetables. </w:t>
      </w:r>
      <w:r w:rsidRPr="00551F38">
        <w:rPr>
          <w:i/>
          <w:iCs/>
        </w:rPr>
        <w:t>Postharvest Biology and Technology</w:t>
      </w:r>
      <w:r w:rsidRPr="00551F38">
        <w:t xml:space="preserve">. </w:t>
      </w:r>
      <w:r w:rsidRPr="00551F38">
        <w:rPr>
          <w:b/>
          <w:bCs/>
        </w:rPr>
        <w:t>32</w:t>
      </w:r>
      <w:r w:rsidRPr="00551F38">
        <w:t xml:space="preserve"> (3), 235–245</w:t>
      </w:r>
      <w:r w:rsidR="00471C5F" w:rsidRPr="00551F38">
        <w:t xml:space="preserve"> </w:t>
      </w:r>
      <w:r w:rsidRPr="00551F38">
        <w:t>(2004).</w:t>
      </w:r>
    </w:p>
    <w:p w14:paraId="75E165AA" w14:textId="77777777" w:rsidR="00B700D7" w:rsidRPr="00551F38" w:rsidRDefault="00B700D7" w:rsidP="00E26078">
      <w:pPr>
        <w:ind w:left="640" w:hanging="640"/>
      </w:pPr>
    </w:p>
    <w:p w14:paraId="62D78A1D" w14:textId="4CC79A6B" w:rsidR="00E26078" w:rsidRPr="00551F38" w:rsidRDefault="00E26078" w:rsidP="00E26078">
      <w:pPr>
        <w:ind w:left="640" w:hanging="640"/>
      </w:pPr>
      <w:r w:rsidRPr="00551F38">
        <w:t>9.</w:t>
      </w:r>
      <w:r w:rsidRPr="00551F38">
        <w:tab/>
        <w:t>Abbey, J.A</w:t>
      </w:r>
      <w:r w:rsidR="00565D89">
        <w:rPr>
          <w:lang w:val="en-GB"/>
        </w:rPr>
        <w:t xml:space="preserve">. et al. </w:t>
      </w:r>
      <w:proofErr w:type="spellStart"/>
      <w:r w:rsidRPr="00551F38">
        <w:t>Biofungicides</w:t>
      </w:r>
      <w:proofErr w:type="spellEnd"/>
      <w:r w:rsidRPr="00551F38">
        <w:t xml:space="preserve"> as alternative to synthetic fungicide control of grey mould (Botrytis cinerea)–prospects and challenges. </w:t>
      </w:r>
      <w:r w:rsidRPr="00551F38">
        <w:rPr>
          <w:i/>
          <w:iCs/>
        </w:rPr>
        <w:t>Biocontrol Science and Technology</w:t>
      </w:r>
      <w:r w:rsidRPr="00551F38">
        <w:t xml:space="preserve">. </w:t>
      </w:r>
      <w:r w:rsidRPr="00551F38">
        <w:rPr>
          <w:b/>
          <w:bCs/>
        </w:rPr>
        <w:t>29</w:t>
      </w:r>
      <w:r w:rsidRPr="00551F38">
        <w:t xml:space="preserve"> (3), 241–262</w:t>
      </w:r>
      <w:r w:rsidR="00471C5F" w:rsidRPr="00551F38">
        <w:t xml:space="preserve"> </w:t>
      </w:r>
      <w:r w:rsidRPr="00551F38">
        <w:t>(2019).</w:t>
      </w:r>
    </w:p>
    <w:p w14:paraId="41A6AC2A" w14:textId="77777777" w:rsidR="00B700D7" w:rsidRPr="00551F38" w:rsidRDefault="00B700D7" w:rsidP="00E26078">
      <w:pPr>
        <w:ind w:left="640" w:hanging="640"/>
      </w:pPr>
    </w:p>
    <w:p w14:paraId="01DA5CD8" w14:textId="602E3B51" w:rsidR="00E26078" w:rsidRPr="00551F38" w:rsidRDefault="00E26078" w:rsidP="00E26078">
      <w:pPr>
        <w:ind w:left="640" w:hanging="640"/>
      </w:pPr>
      <w:r w:rsidRPr="00551F38">
        <w:t>10.</w:t>
      </w:r>
      <w:r w:rsidRPr="00551F38">
        <w:tab/>
        <w:t xml:space="preserve">Soylu, E.M., Kurt, Ş., Soylu, S. In vitro and in vivo antifungal activities of the essential oils of various plants against tomato grey mould disease agent Botrytis cinerea. </w:t>
      </w:r>
      <w:r w:rsidRPr="00551F38">
        <w:rPr>
          <w:i/>
          <w:iCs/>
        </w:rPr>
        <w:t>International Journal of Food Microbiology</w:t>
      </w:r>
      <w:r w:rsidRPr="00551F38">
        <w:t xml:space="preserve">. </w:t>
      </w:r>
      <w:r w:rsidRPr="00551F38">
        <w:rPr>
          <w:b/>
          <w:bCs/>
        </w:rPr>
        <w:t>143</w:t>
      </w:r>
      <w:r w:rsidRPr="00551F38">
        <w:t xml:space="preserve"> (3), 183–189</w:t>
      </w:r>
      <w:r w:rsidR="00471C5F" w:rsidRPr="00551F38">
        <w:t xml:space="preserve"> </w:t>
      </w:r>
      <w:r w:rsidRPr="00551F38">
        <w:t>(2010).</w:t>
      </w:r>
    </w:p>
    <w:p w14:paraId="68A677F4" w14:textId="77777777" w:rsidR="00B700D7" w:rsidRPr="00551F38" w:rsidRDefault="00B700D7" w:rsidP="00E26078">
      <w:pPr>
        <w:ind w:left="640" w:hanging="640"/>
      </w:pPr>
    </w:p>
    <w:p w14:paraId="312889EF" w14:textId="4AD0A8A2" w:rsidR="00E26078" w:rsidRPr="00551F38" w:rsidRDefault="00E26078" w:rsidP="00E26078">
      <w:pPr>
        <w:ind w:left="640" w:hanging="640"/>
      </w:pPr>
      <w:r w:rsidRPr="00551F38">
        <w:t>11.</w:t>
      </w:r>
      <w:r w:rsidRPr="00551F38">
        <w:tab/>
        <w:t xml:space="preserve">Liu, S., Shao, X., Wei, Y., Li, Y., Xu, F., Wang, H. Solidago canadensis L. essential oil vapor </w:t>
      </w:r>
      <w:r w:rsidRPr="00551F38">
        <w:lastRenderedPageBreak/>
        <w:t xml:space="preserve">effectively inhibits botrytis cinerea growth and preserves postharvest quality of strawberry as a food model system. </w:t>
      </w:r>
      <w:r w:rsidRPr="00551F38">
        <w:rPr>
          <w:i/>
          <w:iCs/>
        </w:rPr>
        <w:t>Frontiers in Microbiology</w:t>
      </w:r>
      <w:r w:rsidRPr="00551F38">
        <w:t xml:space="preserve">. </w:t>
      </w:r>
      <w:r w:rsidRPr="00551F38">
        <w:rPr>
          <w:b/>
          <w:bCs/>
        </w:rPr>
        <w:t>7</w:t>
      </w:r>
      <w:r w:rsidRPr="00551F38">
        <w:t xml:space="preserve"> (AUG), 0–9</w:t>
      </w:r>
      <w:r w:rsidR="00471C5F" w:rsidRPr="00551F38">
        <w:t xml:space="preserve"> </w:t>
      </w:r>
      <w:r w:rsidRPr="00551F38">
        <w:t>(2016).</w:t>
      </w:r>
    </w:p>
    <w:p w14:paraId="41E21CA1" w14:textId="77777777" w:rsidR="00B700D7" w:rsidRPr="00551F38" w:rsidRDefault="00B700D7" w:rsidP="00E26078">
      <w:pPr>
        <w:ind w:left="640" w:hanging="640"/>
      </w:pPr>
    </w:p>
    <w:p w14:paraId="7B4069E5" w14:textId="73364523" w:rsidR="00E26078" w:rsidRPr="00551F38" w:rsidRDefault="00E26078" w:rsidP="00E26078">
      <w:pPr>
        <w:ind w:left="640" w:hanging="640"/>
      </w:pPr>
      <w:r w:rsidRPr="00551F38">
        <w:t>12.</w:t>
      </w:r>
      <w:r w:rsidRPr="00551F38">
        <w:tab/>
        <w:t xml:space="preserve">El-Mogy, M.M., Alsanius, B.W. Cassia oil for controlling plant and human pathogens on fresh strawberries. </w:t>
      </w:r>
      <w:r w:rsidRPr="00551F38">
        <w:rPr>
          <w:i/>
          <w:iCs/>
        </w:rPr>
        <w:t>Food Control</w:t>
      </w:r>
      <w:r w:rsidRPr="00551F38">
        <w:t xml:space="preserve">. </w:t>
      </w:r>
      <w:r w:rsidRPr="00551F38">
        <w:rPr>
          <w:b/>
          <w:bCs/>
        </w:rPr>
        <w:t>28</w:t>
      </w:r>
      <w:r w:rsidRPr="00551F38">
        <w:t xml:space="preserve"> (1), 157–162</w:t>
      </w:r>
      <w:r w:rsidR="00471C5F" w:rsidRPr="00551F38">
        <w:t xml:space="preserve"> </w:t>
      </w:r>
      <w:r w:rsidRPr="00551F38">
        <w:t>(2012).</w:t>
      </w:r>
    </w:p>
    <w:p w14:paraId="04073745" w14:textId="77777777" w:rsidR="00B700D7" w:rsidRPr="00551F38" w:rsidRDefault="00B700D7" w:rsidP="00E26078">
      <w:pPr>
        <w:ind w:left="640" w:hanging="640"/>
      </w:pPr>
    </w:p>
    <w:p w14:paraId="712B5F63" w14:textId="08CE5C38" w:rsidR="00E26078" w:rsidRPr="00551F38" w:rsidRDefault="00E26078" w:rsidP="00E26078">
      <w:pPr>
        <w:ind w:left="640" w:hanging="640"/>
      </w:pPr>
      <w:r w:rsidRPr="00551F38">
        <w:t>13.</w:t>
      </w:r>
      <w:r w:rsidRPr="00551F38">
        <w:tab/>
        <w:t xml:space="preserve">Balouiri, M., Sadiki, M., Ibnsouda, S.K. Methods for in vitro evaluating antimicrobial activity: A review. </w:t>
      </w:r>
      <w:r w:rsidRPr="00551F38">
        <w:rPr>
          <w:i/>
          <w:iCs/>
        </w:rPr>
        <w:t>Journal of Pharmaceutical Analysis</w:t>
      </w:r>
      <w:r w:rsidRPr="00551F38">
        <w:t xml:space="preserve">. </w:t>
      </w:r>
      <w:r w:rsidRPr="00551F38">
        <w:rPr>
          <w:b/>
          <w:bCs/>
        </w:rPr>
        <w:t>6</w:t>
      </w:r>
      <w:r w:rsidRPr="00551F38">
        <w:t xml:space="preserve"> (2), 71–79</w:t>
      </w:r>
      <w:r w:rsidR="00471C5F" w:rsidRPr="00551F38">
        <w:t xml:space="preserve"> </w:t>
      </w:r>
      <w:r w:rsidRPr="00551F38">
        <w:t>(2016).</w:t>
      </w:r>
    </w:p>
    <w:p w14:paraId="6FB490B4" w14:textId="77777777" w:rsidR="00B700D7" w:rsidRPr="00551F38" w:rsidRDefault="00B700D7" w:rsidP="00E26078">
      <w:pPr>
        <w:ind w:left="640" w:hanging="640"/>
      </w:pPr>
    </w:p>
    <w:p w14:paraId="27F75A11" w14:textId="0B1E631F" w:rsidR="00E26078" w:rsidRPr="00551F38" w:rsidRDefault="00E26078" w:rsidP="00E26078">
      <w:pPr>
        <w:ind w:left="640" w:hanging="640"/>
      </w:pPr>
      <w:r w:rsidRPr="00551F38">
        <w:t>14.</w:t>
      </w:r>
      <w:r w:rsidRPr="00551F38">
        <w:tab/>
        <w:t xml:space="preserve">Arikan, S. </w:t>
      </w:r>
      <w:proofErr w:type="gramStart"/>
      <w:r w:rsidRPr="00551F38">
        <w:t>Current status</w:t>
      </w:r>
      <w:proofErr w:type="gramEnd"/>
      <w:r w:rsidRPr="00551F38">
        <w:t xml:space="preserve"> of antifungal susceptibility testing methods. </w:t>
      </w:r>
      <w:r w:rsidRPr="00551F38">
        <w:rPr>
          <w:i/>
          <w:iCs/>
        </w:rPr>
        <w:t>Medical Mycology</w:t>
      </w:r>
      <w:r w:rsidRPr="00551F38">
        <w:t xml:space="preserve">. </w:t>
      </w:r>
      <w:r w:rsidRPr="00551F38">
        <w:rPr>
          <w:b/>
          <w:bCs/>
        </w:rPr>
        <w:t>45</w:t>
      </w:r>
      <w:r w:rsidRPr="00551F38">
        <w:t xml:space="preserve"> (7), 569–587</w:t>
      </w:r>
      <w:r w:rsidR="00471C5F" w:rsidRPr="00551F38">
        <w:t xml:space="preserve"> </w:t>
      </w:r>
      <w:r w:rsidRPr="00551F38">
        <w:t>(2007).</w:t>
      </w:r>
    </w:p>
    <w:p w14:paraId="27CD5CA0" w14:textId="77777777" w:rsidR="00B700D7" w:rsidRPr="00551F38" w:rsidRDefault="00B700D7" w:rsidP="00E26078">
      <w:pPr>
        <w:ind w:left="640" w:hanging="640"/>
      </w:pPr>
    </w:p>
    <w:p w14:paraId="574716D1" w14:textId="7EB79B6A" w:rsidR="00E26078" w:rsidRPr="00551F38" w:rsidRDefault="00E26078" w:rsidP="00E26078">
      <w:pPr>
        <w:ind w:left="640" w:hanging="640"/>
      </w:pPr>
      <w:r w:rsidRPr="00551F38">
        <w:t>15.</w:t>
      </w:r>
      <w:r w:rsidRPr="00551F38">
        <w:tab/>
        <w:t xml:space="preserve">Girmay, Z., Gorems, W., Birhanu, G., Zewdie, S. Growth and yield performance of Pleurotus ostreatus (Jacq. Fr.) Kumm (oyster mushroom) on different substrates. </w:t>
      </w:r>
      <w:r w:rsidRPr="00551F38">
        <w:rPr>
          <w:i/>
          <w:iCs/>
        </w:rPr>
        <w:t>AMB Express</w:t>
      </w:r>
      <w:r w:rsidRPr="00551F38">
        <w:t xml:space="preserve">. </w:t>
      </w:r>
      <w:r w:rsidRPr="00551F38">
        <w:rPr>
          <w:b/>
          <w:bCs/>
        </w:rPr>
        <w:t>6</w:t>
      </w:r>
      <w:r w:rsidRPr="00551F38">
        <w:t xml:space="preserve"> (1), 87 (2016).</w:t>
      </w:r>
    </w:p>
    <w:p w14:paraId="64D21B88" w14:textId="77777777" w:rsidR="00B700D7" w:rsidRPr="00551F38" w:rsidRDefault="00B700D7" w:rsidP="00E26078">
      <w:pPr>
        <w:ind w:left="640" w:hanging="640"/>
      </w:pPr>
    </w:p>
    <w:p w14:paraId="5D432531" w14:textId="6F174185" w:rsidR="00E26078" w:rsidRPr="00551F38" w:rsidRDefault="00E26078" w:rsidP="00E26078">
      <w:pPr>
        <w:ind w:left="640" w:hanging="640"/>
      </w:pPr>
      <w:r w:rsidRPr="00551F38">
        <w:t>16.</w:t>
      </w:r>
      <w:r w:rsidRPr="00551F38">
        <w:tab/>
        <w:t xml:space="preserve">Fischer, M.S., Glass, N.L. Communicate and </w:t>
      </w:r>
      <w:r w:rsidR="00B95326" w:rsidRPr="00551F38">
        <w:t>f</w:t>
      </w:r>
      <w:r w:rsidRPr="00551F38">
        <w:t xml:space="preserve">use: </w:t>
      </w:r>
      <w:r w:rsidR="00B95326" w:rsidRPr="00551F38">
        <w:t>h</w:t>
      </w:r>
      <w:r w:rsidRPr="00551F38">
        <w:t xml:space="preserve">ow </w:t>
      </w:r>
      <w:r w:rsidR="00B95326" w:rsidRPr="00551F38">
        <w:t>f</w:t>
      </w:r>
      <w:r w:rsidRPr="00551F38">
        <w:t xml:space="preserve">ilamentous </w:t>
      </w:r>
      <w:r w:rsidR="00B95326" w:rsidRPr="00551F38">
        <w:t>f</w:t>
      </w:r>
      <w:r w:rsidRPr="00551F38">
        <w:t xml:space="preserve">ungi </w:t>
      </w:r>
      <w:r w:rsidR="00B95326" w:rsidRPr="00551F38">
        <w:t>e</w:t>
      </w:r>
      <w:r w:rsidRPr="00551F38">
        <w:t xml:space="preserve">stablish and </w:t>
      </w:r>
      <w:r w:rsidR="00B95326" w:rsidRPr="00551F38">
        <w:t>m</w:t>
      </w:r>
      <w:r w:rsidRPr="00551F38">
        <w:t xml:space="preserve">aintain an </w:t>
      </w:r>
      <w:r w:rsidR="00B95326" w:rsidRPr="00551F38">
        <w:t>i</w:t>
      </w:r>
      <w:r w:rsidRPr="00551F38">
        <w:t xml:space="preserve">nterconnected </w:t>
      </w:r>
      <w:r w:rsidR="00B95326" w:rsidRPr="00551F38">
        <w:t>m</w:t>
      </w:r>
      <w:r w:rsidRPr="00551F38">
        <w:t xml:space="preserve">ycelial </w:t>
      </w:r>
      <w:r w:rsidR="00B95326" w:rsidRPr="00551F38">
        <w:t>n</w:t>
      </w:r>
      <w:r w:rsidRPr="00551F38">
        <w:t xml:space="preserve">etwork. </w:t>
      </w:r>
      <w:r w:rsidRPr="00551F38">
        <w:rPr>
          <w:i/>
          <w:iCs/>
        </w:rPr>
        <w:t>Frontiers in Microbiology</w:t>
      </w:r>
      <w:r w:rsidRPr="00551F38">
        <w:t xml:space="preserve">. </w:t>
      </w:r>
      <w:r w:rsidRPr="00551F38">
        <w:rPr>
          <w:b/>
          <w:bCs/>
        </w:rPr>
        <w:t>10</w:t>
      </w:r>
      <w:r w:rsidRPr="00551F38">
        <w:t xml:space="preserve"> (March), 1–20</w:t>
      </w:r>
      <w:r w:rsidR="00471C5F" w:rsidRPr="00551F38">
        <w:t xml:space="preserve"> </w:t>
      </w:r>
      <w:r w:rsidRPr="00551F38">
        <w:t>(2019).</w:t>
      </w:r>
    </w:p>
    <w:p w14:paraId="6A397556" w14:textId="77777777" w:rsidR="00B700D7" w:rsidRPr="00551F38" w:rsidRDefault="00B700D7" w:rsidP="00E26078">
      <w:pPr>
        <w:ind w:left="640" w:hanging="640"/>
      </w:pPr>
    </w:p>
    <w:p w14:paraId="73F6BDC3" w14:textId="5C779B12" w:rsidR="00E26078" w:rsidRPr="00551F38" w:rsidRDefault="00E26078" w:rsidP="00E26078">
      <w:pPr>
        <w:ind w:left="640" w:hanging="640"/>
      </w:pPr>
      <w:r w:rsidRPr="00551F38">
        <w:t>17.</w:t>
      </w:r>
      <w:r w:rsidRPr="00551F38">
        <w:tab/>
        <w:t xml:space="preserve">Mohana, D.C., Raveesha, K.A. Anti-fungal evaluation of some plant extracts against some plant pathogenic field and storage fungi. </w:t>
      </w:r>
      <w:r w:rsidRPr="00551F38">
        <w:rPr>
          <w:i/>
          <w:iCs/>
        </w:rPr>
        <w:t>Journal of Agricultural Technology</w:t>
      </w:r>
      <w:r w:rsidR="00B700D7" w:rsidRPr="00551F38">
        <w:rPr>
          <w:i/>
          <w:iCs/>
        </w:rPr>
        <w:t xml:space="preserve">. </w:t>
      </w:r>
      <w:r w:rsidR="00B700D7" w:rsidRPr="00551F38">
        <w:rPr>
          <w:b/>
          <w:bCs/>
        </w:rPr>
        <w:t xml:space="preserve">4 </w:t>
      </w:r>
      <w:r w:rsidR="00B700D7" w:rsidRPr="00551F38">
        <w:t>(1), 119-137</w:t>
      </w:r>
      <w:r w:rsidRPr="00551F38">
        <w:t xml:space="preserve"> (2007).</w:t>
      </w:r>
    </w:p>
    <w:p w14:paraId="55330E9A" w14:textId="77777777" w:rsidR="00B700D7" w:rsidRPr="00551F38" w:rsidRDefault="00B700D7" w:rsidP="00E26078">
      <w:pPr>
        <w:ind w:left="640" w:hanging="640"/>
      </w:pPr>
    </w:p>
    <w:p w14:paraId="5BDAD06F" w14:textId="5FE4A6C3" w:rsidR="00E26078" w:rsidRPr="00551F38" w:rsidRDefault="00E26078" w:rsidP="00E26078">
      <w:pPr>
        <w:ind w:left="640" w:hanging="640"/>
      </w:pPr>
      <w:r w:rsidRPr="00551F38">
        <w:t>18.</w:t>
      </w:r>
      <w:r w:rsidRPr="00551F38">
        <w:tab/>
        <w:t xml:space="preserve">Balamurugan, S. </w:t>
      </w:r>
      <w:r w:rsidRPr="00551F38">
        <w:rPr>
          <w:i/>
          <w:iCs/>
        </w:rPr>
        <w:t xml:space="preserve">In </w:t>
      </w:r>
      <w:r w:rsidR="00B95326" w:rsidRPr="00551F38">
        <w:rPr>
          <w:i/>
          <w:iCs/>
        </w:rPr>
        <w:t>v</w:t>
      </w:r>
      <w:r w:rsidRPr="00551F38">
        <w:rPr>
          <w:i/>
          <w:iCs/>
        </w:rPr>
        <w:t>itro</w:t>
      </w:r>
      <w:r w:rsidRPr="00551F38">
        <w:t xml:space="preserve"> </w:t>
      </w:r>
      <w:r w:rsidR="00B95326" w:rsidRPr="00551F38">
        <w:t>a</w:t>
      </w:r>
      <w:r w:rsidRPr="00551F38">
        <w:t xml:space="preserve">ntifungal </w:t>
      </w:r>
      <w:r w:rsidR="00B95326" w:rsidRPr="00551F38">
        <w:t>a</w:t>
      </w:r>
      <w:r w:rsidRPr="00551F38">
        <w:t xml:space="preserve">ctivity of </w:t>
      </w:r>
      <w:r w:rsidRPr="00551F38">
        <w:rPr>
          <w:i/>
          <w:iCs/>
        </w:rPr>
        <w:t>Citrus aurantifolia</w:t>
      </w:r>
      <w:r w:rsidRPr="00551F38">
        <w:t xml:space="preserve"> </w:t>
      </w:r>
      <w:r w:rsidR="00B95326" w:rsidRPr="00551F38">
        <w:t>l</w:t>
      </w:r>
      <w:r w:rsidRPr="00551F38">
        <w:t xml:space="preserve">inn </w:t>
      </w:r>
      <w:r w:rsidR="00B95326" w:rsidRPr="00551F38">
        <w:t>p</w:t>
      </w:r>
      <w:r w:rsidRPr="00551F38">
        <w:t xml:space="preserve">lant </w:t>
      </w:r>
      <w:r w:rsidR="00B95326" w:rsidRPr="00551F38">
        <w:t>e</w:t>
      </w:r>
      <w:r w:rsidRPr="00551F38">
        <w:t xml:space="preserve">xtracts against </w:t>
      </w:r>
      <w:r w:rsidR="00B95326" w:rsidRPr="00551F38">
        <w:t>p</w:t>
      </w:r>
      <w:r w:rsidRPr="00551F38">
        <w:t xml:space="preserve">hytopathogenic </w:t>
      </w:r>
      <w:r w:rsidR="00B95326" w:rsidRPr="00551F38">
        <w:t>f</w:t>
      </w:r>
      <w:r w:rsidRPr="00551F38">
        <w:t xml:space="preserve">ungi </w:t>
      </w:r>
      <w:r w:rsidRPr="00551F38">
        <w:rPr>
          <w:i/>
          <w:iCs/>
        </w:rPr>
        <w:t>Macrophomina phaseolina</w:t>
      </w:r>
      <w:r w:rsidRPr="00551F38">
        <w:t xml:space="preserve">. </w:t>
      </w:r>
      <w:r w:rsidRPr="00551F38">
        <w:rPr>
          <w:i/>
          <w:iCs/>
        </w:rPr>
        <w:t>International Letters of Natural Sciences</w:t>
      </w:r>
      <w:r w:rsidRPr="00551F38">
        <w:t xml:space="preserve">. </w:t>
      </w:r>
      <w:r w:rsidRPr="00551F38">
        <w:rPr>
          <w:b/>
          <w:bCs/>
        </w:rPr>
        <w:t>13</w:t>
      </w:r>
      <w:r w:rsidRPr="00551F38">
        <w:t>, 70–74</w:t>
      </w:r>
      <w:r w:rsidR="00471C5F" w:rsidRPr="00551F38">
        <w:t xml:space="preserve"> </w:t>
      </w:r>
      <w:r w:rsidRPr="00551F38">
        <w:t>(2014).</w:t>
      </w:r>
    </w:p>
    <w:p w14:paraId="61DE720F" w14:textId="77777777" w:rsidR="00B924B8" w:rsidRPr="00551F38" w:rsidRDefault="00B924B8" w:rsidP="00E26078">
      <w:pPr>
        <w:ind w:left="640" w:hanging="640"/>
      </w:pPr>
    </w:p>
    <w:p w14:paraId="747B100E" w14:textId="661D1FC6" w:rsidR="00E26078" w:rsidRPr="00551F38" w:rsidRDefault="00E26078" w:rsidP="00E26078">
      <w:pPr>
        <w:ind w:left="640" w:hanging="640"/>
      </w:pPr>
      <w:r w:rsidRPr="00551F38">
        <w:t>19.</w:t>
      </w:r>
      <w:r w:rsidRPr="00551F38">
        <w:tab/>
      </w:r>
      <w:proofErr w:type="spellStart"/>
      <w:r w:rsidR="00E65D5D" w:rsidRPr="00551F38">
        <w:t>Ameziane</w:t>
      </w:r>
      <w:proofErr w:type="spellEnd"/>
      <w:r w:rsidR="00E65D5D" w:rsidRPr="00551F38">
        <w:t>, N</w:t>
      </w:r>
      <w:r w:rsidR="00565D89">
        <w:rPr>
          <w:lang w:val="en-GB"/>
        </w:rPr>
        <w:t xml:space="preserve">. et al. </w:t>
      </w:r>
      <w:r w:rsidRPr="00551F38">
        <w:t>Antifungal activity of Moroccan plants against citrus fruit pathogens</w:t>
      </w:r>
      <w:r w:rsidR="00912E48" w:rsidRPr="00551F38">
        <w:t xml:space="preserve">. </w:t>
      </w:r>
      <w:r w:rsidR="00912E48" w:rsidRPr="00551F38">
        <w:rPr>
          <w:i/>
          <w:iCs/>
        </w:rPr>
        <w:t>Agronomy for sustainable development</w:t>
      </w:r>
      <w:r w:rsidR="00912E48" w:rsidRPr="00551F38">
        <w:t>. 27 (3), 273-277</w:t>
      </w:r>
      <w:r w:rsidRPr="00551F38">
        <w:t xml:space="preserve"> (2007).</w:t>
      </w:r>
    </w:p>
    <w:p w14:paraId="100EF848" w14:textId="77777777" w:rsidR="00B924B8" w:rsidRPr="00551F38" w:rsidRDefault="00B924B8" w:rsidP="00E26078">
      <w:pPr>
        <w:ind w:left="640" w:hanging="640"/>
      </w:pPr>
    </w:p>
    <w:p w14:paraId="3023F235" w14:textId="20EDFA9B" w:rsidR="00E26078" w:rsidRPr="00551F38" w:rsidRDefault="00E26078" w:rsidP="00E26078">
      <w:pPr>
        <w:ind w:left="640" w:hanging="640"/>
      </w:pPr>
      <w:r w:rsidRPr="00551F38">
        <w:t>20.</w:t>
      </w:r>
      <w:r w:rsidRPr="00551F38">
        <w:tab/>
        <w:t xml:space="preserve">Rizi, K., Murdan, S., Danquah, C.A., Faull, J., Bhakta, S. Development of a rapid, </w:t>
      </w:r>
      <w:proofErr w:type="gramStart"/>
      <w:r w:rsidRPr="00551F38">
        <w:t>reliable</w:t>
      </w:r>
      <w:proofErr w:type="gramEnd"/>
      <w:r w:rsidRPr="00551F38">
        <w:t xml:space="preserve"> and quantitative method - “SPOTi” for testing antifungal efficacy. </w:t>
      </w:r>
      <w:r w:rsidRPr="00551F38">
        <w:rPr>
          <w:i/>
          <w:iCs/>
        </w:rPr>
        <w:t>Journal of Microbiological Methods</w:t>
      </w:r>
      <w:r w:rsidRPr="00551F38">
        <w:t xml:space="preserve">. </w:t>
      </w:r>
      <w:r w:rsidRPr="00551F38">
        <w:rPr>
          <w:b/>
          <w:bCs/>
        </w:rPr>
        <w:t>117</w:t>
      </w:r>
      <w:r w:rsidRPr="00551F38">
        <w:t>, 36–40</w:t>
      </w:r>
      <w:r w:rsidR="00471C5F" w:rsidRPr="00551F38">
        <w:t xml:space="preserve"> </w:t>
      </w:r>
      <w:r w:rsidRPr="00551F38">
        <w:t>(2015).</w:t>
      </w:r>
    </w:p>
    <w:p w14:paraId="64B3C015" w14:textId="77777777" w:rsidR="00B924B8" w:rsidRPr="00551F38" w:rsidRDefault="00B924B8" w:rsidP="00E26078">
      <w:pPr>
        <w:ind w:left="640" w:hanging="640"/>
      </w:pPr>
    </w:p>
    <w:p w14:paraId="6E0F9E50" w14:textId="3C02CE06" w:rsidR="00E26078" w:rsidRPr="00551F38" w:rsidRDefault="00E26078" w:rsidP="00E26078">
      <w:pPr>
        <w:ind w:left="640" w:hanging="640"/>
      </w:pPr>
      <w:r w:rsidRPr="00551F38">
        <w:t>21.</w:t>
      </w:r>
      <w:r w:rsidRPr="00551F38">
        <w:tab/>
        <w:t xml:space="preserve">Imhof, A., Balajee, S.A., Marr, K., Marr, K. </w:t>
      </w:r>
      <w:r w:rsidR="00B95326" w:rsidRPr="00551F38">
        <w:t>N</w:t>
      </w:r>
      <w:r w:rsidRPr="00551F38">
        <w:t xml:space="preserve">ew </w:t>
      </w:r>
      <w:r w:rsidR="00B95326" w:rsidRPr="00551F38">
        <w:t>m</w:t>
      </w:r>
      <w:r w:rsidRPr="00551F38">
        <w:t xml:space="preserve">ethods </w:t>
      </w:r>
      <w:r w:rsidR="00B95326" w:rsidRPr="00551F38">
        <w:t>t</w:t>
      </w:r>
      <w:r w:rsidRPr="00551F38">
        <w:t xml:space="preserve">o </w:t>
      </w:r>
      <w:r w:rsidR="00B95326" w:rsidRPr="00551F38">
        <w:t>a</w:t>
      </w:r>
      <w:r w:rsidRPr="00551F38">
        <w:t xml:space="preserve">ssess </w:t>
      </w:r>
      <w:r w:rsidR="00B95326" w:rsidRPr="00551F38">
        <w:t>s</w:t>
      </w:r>
      <w:r w:rsidRPr="00551F38">
        <w:t>usceptibilities of</w:t>
      </w:r>
      <w:r w:rsidR="00B95326" w:rsidRPr="00551F38">
        <w:t xml:space="preserve"> </w:t>
      </w:r>
      <w:r w:rsidR="00B95326" w:rsidRPr="00551F38">
        <w:rPr>
          <w:i/>
          <w:iCs/>
        </w:rPr>
        <w:t>Aspergillus</w:t>
      </w:r>
      <w:r w:rsidR="00B95326" w:rsidRPr="00551F38">
        <w:t xml:space="preserve"> isolates to caspofungin</w:t>
      </w:r>
      <w:r w:rsidRPr="00551F38">
        <w:t xml:space="preserve">. </w:t>
      </w:r>
      <w:r w:rsidRPr="00551F38">
        <w:rPr>
          <w:i/>
          <w:iCs/>
        </w:rPr>
        <w:t>Microbiology</w:t>
      </w:r>
      <w:r w:rsidRPr="00551F38">
        <w:t xml:space="preserve">. </w:t>
      </w:r>
      <w:r w:rsidRPr="00551F38">
        <w:rPr>
          <w:b/>
          <w:bCs/>
        </w:rPr>
        <w:t>41</w:t>
      </w:r>
      <w:r w:rsidRPr="00551F38">
        <w:t xml:space="preserve"> (12), 5683–5688</w:t>
      </w:r>
      <w:r w:rsidR="00471C5F" w:rsidRPr="00551F38">
        <w:t xml:space="preserve"> </w:t>
      </w:r>
      <w:r w:rsidRPr="00551F38">
        <w:t>(2003).</w:t>
      </w:r>
    </w:p>
    <w:p w14:paraId="70219BD2" w14:textId="77777777" w:rsidR="00B924B8" w:rsidRPr="00551F38" w:rsidRDefault="00B924B8" w:rsidP="00E26078">
      <w:pPr>
        <w:ind w:left="640" w:hanging="640"/>
      </w:pPr>
    </w:p>
    <w:p w14:paraId="683952B4" w14:textId="6DE5B28A" w:rsidR="00E26078" w:rsidRPr="00551F38" w:rsidRDefault="00E26078" w:rsidP="00E26078">
      <w:pPr>
        <w:ind w:left="640" w:hanging="640"/>
      </w:pPr>
      <w:r w:rsidRPr="00551F38">
        <w:t>22.</w:t>
      </w:r>
      <w:r w:rsidRPr="00551F38">
        <w:tab/>
        <w:t xml:space="preserve">Goussous, S.J., Abu el-Samen, F.M., Tahhan, R.A. Antifungal activity of several medicinal plants extracts against the early blight pathogen (Alternaria solani). </w:t>
      </w:r>
      <w:r w:rsidRPr="00551F38">
        <w:rPr>
          <w:i/>
          <w:iCs/>
        </w:rPr>
        <w:t>Archives of Phytopathology and Plant Protection</w:t>
      </w:r>
      <w:r w:rsidRPr="00551F38">
        <w:t xml:space="preserve">. </w:t>
      </w:r>
      <w:r w:rsidRPr="00551F38">
        <w:rPr>
          <w:b/>
          <w:bCs/>
        </w:rPr>
        <w:t>43</w:t>
      </w:r>
      <w:r w:rsidRPr="00551F38">
        <w:t xml:space="preserve"> (17), 1745–1757</w:t>
      </w:r>
      <w:r w:rsidR="00471C5F" w:rsidRPr="00551F38">
        <w:t xml:space="preserve"> </w:t>
      </w:r>
      <w:r w:rsidRPr="00551F38">
        <w:t>(2010).</w:t>
      </w:r>
    </w:p>
    <w:p w14:paraId="1FFF3831" w14:textId="77777777" w:rsidR="00B924B8" w:rsidRPr="00551F38" w:rsidRDefault="00B924B8" w:rsidP="00E26078">
      <w:pPr>
        <w:ind w:left="640" w:hanging="640"/>
      </w:pPr>
    </w:p>
    <w:p w14:paraId="7A26B61A" w14:textId="1FED507E" w:rsidR="00E26078" w:rsidRPr="00551F38" w:rsidRDefault="00E26078" w:rsidP="00E26078">
      <w:pPr>
        <w:ind w:left="640" w:hanging="640"/>
      </w:pPr>
      <w:r w:rsidRPr="00551F38">
        <w:t>23.</w:t>
      </w:r>
      <w:r w:rsidRPr="00551F38">
        <w:tab/>
        <w:t xml:space="preserve">Ng, T.B. Antifungal </w:t>
      </w:r>
      <w:proofErr w:type="gramStart"/>
      <w:r w:rsidRPr="00551F38">
        <w:t>proteins</w:t>
      </w:r>
      <w:proofErr w:type="gramEnd"/>
      <w:r w:rsidRPr="00551F38">
        <w:t xml:space="preserve"> and peptides of leguminous and non-leguminous origins. </w:t>
      </w:r>
      <w:r w:rsidRPr="00551F38">
        <w:rPr>
          <w:i/>
          <w:iCs/>
        </w:rPr>
        <w:t>Peptides</w:t>
      </w:r>
      <w:r w:rsidRPr="00551F38">
        <w:t xml:space="preserve">. </w:t>
      </w:r>
      <w:r w:rsidRPr="00551F38">
        <w:rPr>
          <w:b/>
          <w:bCs/>
        </w:rPr>
        <w:t>25</w:t>
      </w:r>
      <w:r w:rsidRPr="00551F38">
        <w:t xml:space="preserve"> (7), 1215–1222</w:t>
      </w:r>
      <w:r w:rsidR="00471C5F" w:rsidRPr="00551F38">
        <w:t xml:space="preserve"> </w:t>
      </w:r>
      <w:r w:rsidRPr="00551F38">
        <w:t>(2004).</w:t>
      </w:r>
    </w:p>
    <w:p w14:paraId="6E35B25C" w14:textId="77777777" w:rsidR="00B924B8" w:rsidRPr="00551F38" w:rsidRDefault="00B924B8" w:rsidP="00E26078">
      <w:pPr>
        <w:ind w:left="640" w:hanging="640"/>
      </w:pPr>
    </w:p>
    <w:p w14:paraId="3A25072C" w14:textId="4DF73304" w:rsidR="00E26078" w:rsidRPr="00551F38" w:rsidRDefault="00E26078" w:rsidP="00E26078">
      <w:pPr>
        <w:ind w:left="640" w:hanging="640"/>
      </w:pPr>
      <w:r w:rsidRPr="00551F38">
        <w:t>24.</w:t>
      </w:r>
      <w:r w:rsidRPr="00551F38">
        <w:tab/>
        <w:t xml:space="preserve">Hu, Z., Zhang, H., Shi, K. Plant peptides in plant defense responses. </w:t>
      </w:r>
      <w:r w:rsidRPr="00551F38">
        <w:rPr>
          <w:i/>
          <w:iCs/>
        </w:rPr>
        <w:t>Plant Signaling and Behavior</w:t>
      </w:r>
      <w:r w:rsidRPr="00551F38">
        <w:t xml:space="preserve">. </w:t>
      </w:r>
      <w:r w:rsidRPr="00551F38">
        <w:rPr>
          <w:b/>
          <w:bCs/>
        </w:rPr>
        <w:t>13</w:t>
      </w:r>
      <w:r w:rsidRPr="00551F38">
        <w:t xml:space="preserve"> (8)</w:t>
      </w:r>
      <w:r w:rsidR="00471C5F" w:rsidRPr="00551F38">
        <w:t xml:space="preserve"> </w:t>
      </w:r>
      <w:r w:rsidRPr="00551F38">
        <w:t>(2018).</w:t>
      </w:r>
    </w:p>
    <w:p w14:paraId="1F6D03BC" w14:textId="77777777" w:rsidR="00B924B8" w:rsidRPr="00551F38" w:rsidRDefault="00B924B8" w:rsidP="00E26078">
      <w:pPr>
        <w:ind w:left="640" w:hanging="640"/>
      </w:pPr>
    </w:p>
    <w:p w14:paraId="3990E30C" w14:textId="4716A57F" w:rsidR="00E26078" w:rsidRPr="00551F38" w:rsidRDefault="00E26078" w:rsidP="00E26078">
      <w:pPr>
        <w:ind w:left="640" w:hanging="640"/>
      </w:pPr>
      <w:r w:rsidRPr="00551F38">
        <w:t>25.</w:t>
      </w:r>
      <w:r w:rsidRPr="00551F38">
        <w:tab/>
        <w:t xml:space="preserve">Iriti, M., Faoro, F. Chemical diversity and defence metabolism: How plants cope with pathogens and ozone pollution. </w:t>
      </w:r>
      <w:r w:rsidRPr="00551F38">
        <w:rPr>
          <w:i/>
          <w:iCs/>
        </w:rPr>
        <w:t>International Journal of Molecular Sciences</w:t>
      </w:r>
      <w:r w:rsidRPr="00551F38">
        <w:t xml:space="preserve">. </w:t>
      </w:r>
      <w:r w:rsidRPr="00551F38">
        <w:rPr>
          <w:b/>
          <w:bCs/>
        </w:rPr>
        <w:t>10</w:t>
      </w:r>
      <w:r w:rsidRPr="00551F38">
        <w:t xml:space="preserve"> (8), 3371–3399</w:t>
      </w:r>
      <w:r w:rsidR="00471C5F" w:rsidRPr="00551F38">
        <w:t xml:space="preserve"> </w:t>
      </w:r>
      <w:r w:rsidRPr="00551F38">
        <w:t>(2009).</w:t>
      </w:r>
    </w:p>
    <w:p w14:paraId="4AD7CA49" w14:textId="77777777" w:rsidR="00B924B8" w:rsidRPr="00551F38" w:rsidRDefault="00B924B8" w:rsidP="00E26078">
      <w:pPr>
        <w:ind w:left="640" w:hanging="640"/>
      </w:pPr>
    </w:p>
    <w:p w14:paraId="066328D1" w14:textId="3E552260" w:rsidR="00E26078" w:rsidRPr="00551F38" w:rsidRDefault="00E26078" w:rsidP="00E26078">
      <w:pPr>
        <w:ind w:left="640" w:hanging="640"/>
      </w:pPr>
      <w:r w:rsidRPr="00551F38">
        <w:t>26.</w:t>
      </w:r>
      <w:r w:rsidRPr="00551F38">
        <w:tab/>
        <w:t xml:space="preserve">Lanzotti, V., Bonanomi, G., Scala, F. What makes Allium species effective against pathogenic microbes? </w:t>
      </w:r>
      <w:r w:rsidRPr="00551F38">
        <w:rPr>
          <w:i/>
          <w:iCs/>
        </w:rPr>
        <w:t>Phytochemistry Reviews</w:t>
      </w:r>
      <w:r w:rsidRPr="00551F38">
        <w:t xml:space="preserve">. </w:t>
      </w:r>
      <w:r w:rsidRPr="00551F38">
        <w:rPr>
          <w:b/>
          <w:bCs/>
        </w:rPr>
        <w:t>12</w:t>
      </w:r>
      <w:r w:rsidRPr="00551F38">
        <w:t xml:space="preserve"> (4), 751–772</w:t>
      </w:r>
      <w:r w:rsidR="00471C5F" w:rsidRPr="00551F38">
        <w:t xml:space="preserve"> </w:t>
      </w:r>
      <w:r w:rsidRPr="00551F38">
        <w:t>(2013).</w:t>
      </w:r>
    </w:p>
    <w:p w14:paraId="6314931E" w14:textId="77777777" w:rsidR="00B924B8" w:rsidRPr="00551F38" w:rsidRDefault="00B924B8" w:rsidP="00E26078">
      <w:pPr>
        <w:ind w:left="640" w:hanging="640"/>
      </w:pPr>
    </w:p>
    <w:p w14:paraId="25218B28" w14:textId="50770A14" w:rsidR="00E26078" w:rsidRPr="00551F38" w:rsidRDefault="00E26078" w:rsidP="00E26078">
      <w:pPr>
        <w:ind w:left="640" w:hanging="640"/>
      </w:pPr>
      <w:r w:rsidRPr="00551F38">
        <w:t>27.</w:t>
      </w:r>
      <w:r w:rsidRPr="00551F38">
        <w:tab/>
        <w:t xml:space="preserve">Kyung, K.H. Antimicrobial properties of allium species. </w:t>
      </w:r>
      <w:r w:rsidRPr="00551F38">
        <w:rPr>
          <w:i/>
          <w:iCs/>
        </w:rPr>
        <w:t>Current Opinion in Biotechnology</w:t>
      </w:r>
      <w:r w:rsidRPr="00551F38">
        <w:t xml:space="preserve">. </w:t>
      </w:r>
      <w:r w:rsidRPr="00551F38">
        <w:rPr>
          <w:b/>
          <w:bCs/>
        </w:rPr>
        <w:t>23</w:t>
      </w:r>
      <w:r w:rsidRPr="00551F38">
        <w:t xml:space="preserve"> (2), 142–147</w:t>
      </w:r>
      <w:r w:rsidR="00471C5F" w:rsidRPr="00551F38">
        <w:t xml:space="preserve"> </w:t>
      </w:r>
      <w:r w:rsidRPr="00551F38">
        <w:t>(2012).</w:t>
      </w:r>
    </w:p>
    <w:p w14:paraId="01CA8DEA" w14:textId="77777777" w:rsidR="00B924B8" w:rsidRPr="00551F38" w:rsidRDefault="00B924B8" w:rsidP="00E26078">
      <w:pPr>
        <w:ind w:left="640" w:hanging="640"/>
      </w:pPr>
    </w:p>
    <w:p w14:paraId="12E43DF9" w14:textId="5E17180E" w:rsidR="00E26078" w:rsidRPr="00551F38" w:rsidRDefault="00E26078" w:rsidP="00E26078">
      <w:pPr>
        <w:ind w:left="640" w:hanging="640"/>
      </w:pPr>
      <w:r w:rsidRPr="00551F38">
        <w:t>28.</w:t>
      </w:r>
      <w:r w:rsidRPr="00551F38">
        <w:tab/>
        <w:t xml:space="preserve">Hyldgaard, M., Mygind, T., Meyer, R.L. Essential oils in food preservation: mode of action, synergies, and interactions with food matrix components. </w:t>
      </w:r>
      <w:r w:rsidRPr="00551F38">
        <w:rPr>
          <w:i/>
          <w:iCs/>
        </w:rPr>
        <w:t>Frontiers in microbiology</w:t>
      </w:r>
      <w:r w:rsidRPr="00551F38">
        <w:t xml:space="preserve">. </w:t>
      </w:r>
      <w:r w:rsidRPr="00551F38">
        <w:rPr>
          <w:b/>
          <w:bCs/>
        </w:rPr>
        <w:t>3</w:t>
      </w:r>
      <w:r w:rsidRPr="00551F38">
        <w:t xml:space="preserve"> (January), 12</w:t>
      </w:r>
      <w:r w:rsidR="00471C5F" w:rsidRPr="00551F38">
        <w:t xml:space="preserve"> </w:t>
      </w:r>
      <w:r w:rsidRPr="00551F38">
        <w:t>(2012).</w:t>
      </w:r>
    </w:p>
    <w:p w14:paraId="3702C6A6" w14:textId="77777777" w:rsidR="00B924B8" w:rsidRPr="00551F38" w:rsidRDefault="00B924B8" w:rsidP="00E26078">
      <w:pPr>
        <w:ind w:left="640" w:hanging="640"/>
      </w:pPr>
    </w:p>
    <w:p w14:paraId="592A3506" w14:textId="47FF4DCF" w:rsidR="00E26078" w:rsidRPr="00551F38" w:rsidRDefault="00E26078" w:rsidP="00E26078">
      <w:pPr>
        <w:ind w:left="640" w:hanging="640"/>
      </w:pPr>
      <w:r w:rsidRPr="00551F38">
        <w:t>29.</w:t>
      </w:r>
      <w:r w:rsidRPr="00551F38">
        <w:tab/>
        <w:t xml:space="preserve">Bueno, J. Models of evaluation of antimicrobial activity of essential oils in vapour phase: a promising use in healthcare decontamination. </w:t>
      </w:r>
      <w:r w:rsidRPr="00551F38">
        <w:rPr>
          <w:i/>
          <w:iCs/>
        </w:rPr>
        <w:t>Natural Volatiles &amp; Essential Oils</w:t>
      </w:r>
      <w:r w:rsidRPr="00551F38">
        <w:t xml:space="preserve">. </w:t>
      </w:r>
      <w:r w:rsidRPr="00551F38">
        <w:rPr>
          <w:b/>
          <w:bCs/>
        </w:rPr>
        <w:t>2</w:t>
      </w:r>
      <w:r w:rsidRPr="00551F38">
        <w:t xml:space="preserve"> (2), 16–29 (2015).</w:t>
      </w:r>
    </w:p>
    <w:p w14:paraId="2858DCD6" w14:textId="77777777" w:rsidR="00B924B8" w:rsidRPr="00551F38" w:rsidRDefault="00B924B8" w:rsidP="00E26078">
      <w:pPr>
        <w:ind w:left="640" w:hanging="640"/>
      </w:pPr>
    </w:p>
    <w:p w14:paraId="43411087" w14:textId="2BE07F83" w:rsidR="00E26078" w:rsidRPr="00551F38" w:rsidRDefault="00E26078" w:rsidP="00E26078">
      <w:pPr>
        <w:ind w:left="640" w:hanging="640"/>
      </w:pPr>
      <w:r w:rsidRPr="00551F38">
        <w:t>30.</w:t>
      </w:r>
      <w:r w:rsidRPr="00551F38">
        <w:tab/>
        <w:t xml:space="preserve">Doi, N.M., Sae-Eaw, A., Suppakul, P., Chompreeda, P. Assessment of synergistic effects on antimicrobial activity in vapour- and liquidphase of cinnamon and oregano essential oils against Staphylococcus aureus. </w:t>
      </w:r>
      <w:r w:rsidRPr="00551F38">
        <w:rPr>
          <w:i/>
          <w:iCs/>
        </w:rPr>
        <w:t>International Food Research Journal</w:t>
      </w:r>
      <w:r w:rsidRPr="00551F38">
        <w:t xml:space="preserve">. </w:t>
      </w:r>
      <w:r w:rsidRPr="00551F38">
        <w:rPr>
          <w:b/>
          <w:bCs/>
        </w:rPr>
        <w:t>26</w:t>
      </w:r>
      <w:r w:rsidRPr="00551F38">
        <w:t xml:space="preserve"> (2), 459–467 (2019).</w:t>
      </w:r>
    </w:p>
    <w:p w14:paraId="5E888BD8" w14:textId="77777777" w:rsidR="00B924B8" w:rsidRPr="00551F38" w:rsidRDefault="00B924B8" w:rsidP="00E26078">
      <w:pPr>
        <w:ind w:left="640" w:hanging="640"/>
      </w:pPr>
    </w:p>
    <w:p w14:paraId="3223F3B8" w14:textId="5C3D75C8" w:rsidR="00E26078" w:rsidRPr="00551F38" w:rsidRDefault="00E26078" w:rsidP="00E26078">
      <w:pPr>
        <w:ind w:left="640" w:hanging="640"/>
      </w:pPr>
      <w:r w:rsidRPr="00551F38">
        <w:t>31.</w:t>
      </w:r>
      <w:r w:rsidRPr="00551F38">
        <w:tab/>
        <w:t xml:space="preserve">Amat, S., Baines, D., Alexander, T.W. A vapour phase assay for evaluating the antimicrobial activities of essential oils against bovine respiratory bacterial pathogens. </w:t>
      </w:r>
      <w:r w:rsidRPr="00551F38">
        <w:rPr>
          <w:i/>
          <w:iCs/>
        </w:rPr>
        <w:t>Letters in Applied Microbiology</w:t>
      </w:r>
      <w:r w:rsidRPr="00551F38">
        <w:t xml:space="preserve">. </w:t>
      </w:r>
      <w:r w:rsidRPr="00551F38">
        <w:rPr>
          <w:b/>
          <w:bCs/>
        </w:rPr>
        <w:t>65</w:t>
      </w:r>
      <w:r w:rsidRPr="00551F38">
        <w:t xml:space="preserve"> (6), 489–495</w:t>
      </w:r>
      <w:r w:rsidR="00471C5F" w:rsidRPr="00551F38">
        <w:t xml:space="preserve"> </w:t>
      </w:r>
      <w:r w:rsidRPr="00551F38">
        <w:t>(2017).</w:t>
      </w:r>
    </w:p>
    <w:p w14:paraId="3CDC699A" w14:textId="77777777" w:rsidR="00B924B8" w:rsidRPr="00551F38" w:rsidRDefault="00B924B8" w:rsidP="00E26078">
      <w:pPr>
        <w:ind w:left="640" w:hanging="640"/>
      </w:pPr>
    </w:p>
    <w:p w14:paraId="2849AA2B" w14:textId="590A4A24" w:rsidR="00E26078" w:rsidRPr="00551F38" w:rsidRDefault="00E26078" w:rsidP="00CD6485">
      <w:pPr>
        <w:ind w:left="640" w:hanging="640"/>
      </w:pPr>
      <w:r w:rsidRPr="00551F38">
        <w:rPr>
          <w:lang w:val="en-GB"/>
        </w:rPr>
        <w:t>32.</w:t>
      </w:r>
      <w:r w:rsidRPr="00551F38">
        <w:rPr>
          <w:lang w:val="en-GB"/>
        </w:rPr>
        <w:tab/>
      </w:r>
      <w:proofErr w:type="spellStart"/>
      <w:r w:rsidRPr="00551F38">
        <w:rPr>
          <w:lang w:val="en-GB"/>
        </w:rPr>
        <w:t>Feyaerts</w:t>
      </w:r>
      <w:proofErr w:type="spellEnd"/>
      <w:r w:rsidRPr="00551F38">
        <w:rPr>
          <w:lang w:val="en-GB"/>
        </w:rPr>
        <w:t>, A.F</w:t>
      </w:r>
      <w:r w:rsidR="00565D89">
        <w:rPr>
          <w:lang w:val="en-GB"/>
        </w:rPr>
        <w:t xml:space="preserve">. et al. </w:t>
      </w:r>
      <w:r w:rsidRPr="00551F38">
        <w:t xml:space="preserve">Essential oils and their components are a class of antifungals with potent vapour-phase-mediated anti-Candida activity. </w:t>
      </w:r>
      <w:r w:rsidRPr="00551F38">
        <w:rPr>
          <w:i/>
          <w:iCs/>
        </w:rPr>
        <w:t>Scientific Reports</w:t>
      </w:r>
      <w:r w:rsidRPr="00551F38">
        <w:t xml:space="preserve">. </w:t>
      </w:r>
      <w:r w:rsidRPr="00551F38">
        <w:rPr>
          <w:b/>
          <w:bCs/>
        </w:rPr>
        <w:t>8</w:t>
      </w:r>
      <w:r w:rsidRPr="00551F38">
        <w:t xml:space="preserve"> (1), 1–10</w:t>
      </w:r>
      <w:r w:rsidR="00471C5F" w:rsidRPr="00551F38">
        <w:t xml:space="preserve"> </w:t>
      </w:r>
      <w:r w:rsidRPr="00551F38">
        <w:t>(2018).</w:t>
      </w:r>
    </w:p>
    <w:p w14:paraId="5F72E2F2" w14:textId="77777777" w:rsidR="00B924B8" w:rsidRPr="00551F38" w:rsidRDefault="00B924B8" w:rsidP="00E26078">
      <w:pPr>
        <w:ind w:left="640" w:hanging="640"/>
      </w:pPr>
    </w:p>
    <w:p w14:paraId="2D1202AC" w14:textId="0E20D1AB" w:rsidR="00E26078" w:rsidRPr="00551F38" w:rsidRDefault="00E26078" w:rsidP="005F5177">
      <w:pPr>
        <w:ind w:left="640" w:hanging="640"/>
        <w:rPr>
          <w:lang w:val="en-GB"/>
        </w:rPr>
      </w:pPr>
      <w:r w:rsidRPr="00551F38">
        <w:t>33.</w:t>
      </w:r>
      <w:r w:rsidRPr="00551F38">
        <w:tab/>
        <w:t>Wang, T.H.</w:t>
      </w:r>
      <w:r w:rsidR="005F5177" w:rsidRPr="00551F38">
        <w:rPr>
          <w:rFonts w:ascii="Times New Roman" w:hAnsi="Times New Roman" w:cs="Times New Roman"/>
          <w:color w:val="auto"/>
          <w:lang w:val="en-GB" w:eastAsia="fr-FR"/>
        </w:rPr>
        <w:t>,</w:t>
      </w:r>
      <w:r w:rsidR="005F5177" w:rsidRPr="00551F38">
        <w:rPr>
          <w:lang w:val="en-GB"/>
        </w:rPr>
        <w:t xml:space="preserve"> Hsia, S. M., Wu, C.H., Ko, S.Y., Chen, M.Y., Shih, Y.H., Shieh, T.M., Chuang, L.C., </w:t>
      </w:r>
      <w:r w:rsidRPr="00551F38">
        <w:t xml:space="preserve">Evaluation of the antibacterial potential of liquid and vapor phase phenolic essential oil compounds against oral microorganisms. </w:t>
      </w:r>
      <w:r w:rsidRPr="00551F38">
        <w:rPr>
          <w:i/>
          <w:iCs/>
        </w:rPr>
        <w:t>PLoS ONE</w:t>
      </w:r>
      <w:r w:rsidRPr="00551F38">
        <w:t xml:space="preserve">. </w:t>
      </w:r>
      <w:r w:rsidRPr="00551F38">
        <w:rPr>
          <w:b/>
          <w:bCs/>
        </w:rPr>
        <w:t>11</w:t>
      </w:r>
      <w:r w:rsidRPr="00551F38">
        <w:t xml:space="preserve"> (9), 1–17</w:t>
      </w:r>
      <w:r w:rsidR="00471C5F" w:rsidRPr="00551F38">
        <w:t xml:space="preserve"> </w:t>
      </w:r>
      <w:r w:rsidRPr="00551F38">
        <w:t>(2016).</w:t>
      </w:r>
    </w:p>
    <w:p w14:paraId="73BD34F2" w14:textId="77777777" w:rsidR="00B924B8" w:rsidRPr="00551F38" w:rsidRDefault="00B924B8" w:rsidP="00E26078">
      <w:pPr>
        <w:ind w:left="640" w:hanging="640"/>
      </w:pPr>
    </w:p>
    <w:p w14:paraId="26FD4C2A" w14:textId="78949EB5" w:rsidR="00E26078" w:rsidRPr="00551F38" w:rsidRDefault="00E26078" w:rsidP="009219D7">
      <w:pPr>
        <w:pStyle w:val="NormalWeb"/>
        <w:spacing w:before="0" w:beforeAutospacing="0" w:after="0" w:afterAutospacing="0"/>
        <w:ind w:left="640" w:hanging="640"/>
        <w:rPr>
          <w:rFonts w:ascii="Times New Roman" w:hAnsi="Times New Roman" w:cs="Times New Roman"/>
          <w:color w:val="auto"/>
        </w:rPr>
      </w:pPr>
      <w:r w:rsidRPr="00551F38">
        <w:t>34.</w:t>
      </w:r>
      <w:r w:rsidRPr="00551F38">
        <w:tab/>
        <w:t>Dean, R</w:t>
      </w:r>
      <w:r w:rsidR="00565D89">
        <w:rPr>
          <w:lang w:val="en-GB"/>
        </w:rPr>
        <w:t xml:space="preserve">. et al. </w:t>
      </w:r>
      <w:r w:rsidRPr="00551F38">
        <w:t xml:space="preserve">The Top 10 fungal pathogens in molecular plant pathology. </w:t>
      </w:r>
      <w:r w:rsidRPr="00551F38">
        <w:rPr>
          <w:i/>
          <w:iCs/>
        </w:rPr>
        <w:t>Molecular Plant Pathology</w:t>
      </w:r>
      <w:r w:rsidRPr="00551F38">
        <w:t xml:space="preserve">. </w:t>
      </w:r>
      <w:r w:rsidRPr="00551F38">
        <w:rPr>
          <w:b/>
          <w:bCs/>
        </w:rPr>
        <w:t>13</w:t>
      </w:r>
      <w:r w:rsidRPr="00551F38">
        <w:t xml:space="preserve"> (4), 414–430</w:t>
      </w:r>
      <w:r w:rsidR="00471C5F" w:rsidRPr="00551F38">
        <w:t xml:space="preserve"> </w:t>
      </w:r>
      <w:r w:rsidRPr="00551F38">
        <w:t>(2012).</w:t>
      </w:r>
    </w:p>
    <w:p w14:paraId="75C2C3B9" w14:textId="77777777" w:rsidR="00B924B8" w:rsidRPr="00551F38" w:rsidRDefault="00B924B8" w:rsidP="00E26078">
      <w:pPr>
        <w:ind w:left="640" w:hanging="640"/>
      </w:pPr>
    </w:p>
    <w:p w14:paraId="5E5FAC44" w14:textId="418C0246" w:rsidR="00E26078" w:rsidRPr="00551F38" w:rsidRDefault="00E26078" w:rsidP="00E26078">
      <w:pPr>
        <w:ind w:left="640" w:hanging="640"/>
      </w:pPr>
      <w:r w:rsidRPr="00551F38">
        <w:t>35.</w:t>
      </w:r>
      <w:r w:rsidRPr="00551F38">
        <w:tab/>
        <w:t xml:space="preserve">Leadbeater, A. Recent developments and challenges in chemical disease control. </w:t>
      </w:r>
      <w:r w:rsidRPr="00551F38">
        <w:rPr>
          <w:i/>
          <w:iCs/>
        </w:rPr>
        <w:t>Plant Protection Science</w:t>
      </w:r>
      <w:r w:rsidRPr="00551F38">
        <w:t xml:space="preserve">. </w:t>
      </w:r>
      <w:r w:rsidRPr="00551F38">
        <w:rPr>
          <w:b/>
          <w:bCs/>
        </w:rPr>
        <w:t>51</w:t>
      </w:r>
      <w:r w:rsidRPr="00551F38">
        <w:t xml:space="preserve"> (4), 163–169</w:t>
      </w:r>
      <w:r w:rsidR="00471C5F" w:rsidRPr="00551F38">
        <w:t xml:space="preserve"> </w:t>
      </w:r>
      <w:r w:rsidRPr="00551F38">
        <w:t>(2015).</w:t>
      </w:r>
    </w:p>
    <w:p w14:paraId="33401FE1" w14:textId="77777777" w:rsidR="00B924B8" w:rsidRPr="00551F38" w:rsidRDefault="00B924B8" w:rsidP="00E26078">
      <w:pPr>
        <w:ind w:left="640" w:hanging="640"/>
      </w:pPr>
    </w:p>
    <w:p w14:paraId="176091B6" w14:textId="3F68843B" w:rsidR="00E26078" w:rsidRPr="00551F38" w:rsidRDefault="00E26078" w:rsidP="00E26078">
      <w:pPr>
        <w:ind w:left="640" w:hanging="640"/>
      </w:pPr>
      <w:r w:rsidRPr="00551F38">
        <w:lastRenderedPageBreak/>
        <w:t>36.</w:t>
      </w:r>
      <w:r w:rsidRPr="00551F38">
        <w:tab/>
        <w:t xml:space="preserve">Jin, C., Zeng, Z., Fu, Z., Jin, Y. Oral imazalil exposure induces gut microbiota dysbiosis and colonic inflammation in mice. </w:t>
      </w:r>
      <w:r w:rsidRPr="00551F38">
        <w:rPr>
          <w:i/>
          <w:iCs/>
        </w:rPr>
        <w:t>Chemosphere</w:t>
      </w:r>
      <w:r w:rsidRPr="00551F38">
        <w:t xml:space="preserve">. </w:t>
      </w:r>
      <w:r w:rsidRPr="00551F38">
        <w:rPr>
          <w:b/>
          <w:bCs/>
        </w:rPr>
        <w:t>160</w:t>
      </w:r>
      <w:r w:rsidRPr="00551F38">
        <w:t xml:space="preserve"> (July), 349–358</w:t>
      </w:r>
      <w:r w:rsidR="00471C5F" w:rsidRPr="00551F38">
        <w:t xml:space="preserve"> </w:t>
      </w:r>
      <w:r w:rsidRPr="00551F38">
        <w:t>(2016).</w:t>
      </w:r>
    </w:p>
    <w:p w14:paraId="27A5B48F" w14:textId="77777777" w:rsidR="00B924B8" w:rsidRPr="00551F38" w:rsidRDefault="00B924B8" w:rsidP="00E26078">
      <w:pPr>
        <w:ind w:left="640" w:hanging="640"/>
      </w:pPr>
    </w:p>
    <w:p w14:paraId="6EC2A0E5" w14:textId="01FC45E2" w:rsidR="00E26078" w:rsidRPr="00551F38" w:rsidRDefault="00E26078" w:rsidP="00E26078">
      <w:pPr>
        <w:ind w:left="640" w:hanging="640"/>
      </w:pPr>
      <w:r w:rsidRPr="00551F38">
        <w:t>37.</w:t>
      </w:r>
      <w:r w:rsidRPr="00551F38">
        <w:tab/>
        <w:t xml:space="preserve">Kumar, R., Ghatak, A., Balodi, R., Bhagat, A.P. Decay mechanism of postharvest pathogens and their management using non-chemical and biological approaches. </w:t>
      </w:r>
      <w:r w:rsidRPr="00551F38">
        <w:rPr>
          <w:i/>
          <w:iCs/>
        </w:rPr>
        <w:t>Journal of Postharvest Technology</w:t>
      </w:r>
      <w:r w:rsidRPr="00551F38">
        <w:t xml:space="preserve">. </w:t>
      </w:r>
      <w:r w:rsidRPr="00551F38">
        <w:rPr>
          <w:b/>
          <w:bCs/>
        </w:rPr>
        <w:t>6</w:t>
      </w:r>
      <w:r w:rsidRPr="00551F38">
        <w:t xml:space="preserve"> (1), 1–11 (2018).</w:t>
      </w:r>
    </w:p>
    <w:p w14:paraId="4611AF77" w14:textId="77777777" w:rsidR="00B924B8" w:rsidRPr="00551F38" w:rsidRDefault="00B924B8" w:rsidP="00E26078">
      <w:pPr>
        <w:ind w:left="640" w:hanging="640"/>
      </w:pPr>
    </w:p>
    <w:p w14:paraId="3BA370B8" w14:textId="40E9C359" w:rsidR="00E26078" w:rsidRPr="00551F38" w:rsidRDefault="00E26078" w:rsidP="00E26078">
      <w:pPr>
        <w:ind w:left="640" w:hanging="640"/>
      </w:pPr>
      <w:r w:rsidRPr="00551F38">
        <w:t>38.</w:t>
      </w:r>
      <w:r w:rsidRPr="00551F38">
        <w:tab/>
        <w:t xml:space="preserve">Talibi, I., Boubaker, H., Boudyach, E.H., Ait Ben Aoumar, A. Alternative methods for the control of postharvest citrus diseases. </w:t>
      </w:r>
      <w:r w:rsidRPr="00551F38">
        <w:rPr>
          <w:i/>
          <w:iCs/>
        </w:rPr>
        <w:t>Journal of Applied Microbiology</w:t>
      </w:r>
      <w:r w:rsidRPr="00551F38">
        <w:t xml:space="preserve">. </w:t>
      </w:r>
      <w:r w:rsidRPr="00551F38">
        <w:rPr>
          <w:b/>
          <w:bCs/>
        </w:rPr>
        <w:t>117</w:t>
      </w:r>
      <w:r w:rsidRPr="00551F38">
        <w:t xml:space="preserve"> (1), 1–17</w:t>
      </w:r>
      <w:r w:rsidR="00471C5F" w:rsidRPr="00551F38">
        <w:t xml:space="preserve"> </w:t>
      </w:r>
      <w:r w:rsidRPr="00551F38">
        <w:t>(2014).</w:t>
      </w:r>
    </w:p>
    <w:p w14:paraId="62F7F21B" w14:textId="77777777" w:rsidR="00B924B8" w:rsidRPr="00551F38" w:rsidRDefault="00B924B8" w:rsidP="00E26078">
      <w:pPr>
        <w:ind w:left="640" w:hanging="640"/>
      </w:pPr>
    </w:p>
    <w:p w14:paraId="082822AE" w14:textId="1ED275B3" w:rsidR="00E26078" w:rsidRPr="00551F38" w:rsidRDefault="00E26078" w:rsidP="00E26078">
      <w:pPr>
        <w:ind w:left="640" w:hanging="640"/>
      </w:pPr>
      <w:r w:rsidRPr="00551F38">
        <w:t>39.</w:t>
      </w:r>
      <w:r w:rsidRPr="00551F38">
        <w:tab/>
        <w:t xml:space="preserve">Arya, R., Sharma, R., Malhotra, M., Kumar, V., Sharma, A.K. Biodegradation Aspects of Carbendazim and Sulfosulfuron: Trends, Scope and Relevance. </w:t>
      </w:r>
      <w:r w:rsidRPr="00551F38">
        <w:rPr>
          <w:i/>
          <w:iCs/>
        </w:rPr>
        <w:t>Current Medicinal Chemistry</w:t>
      </w:r>
      <w:r w:rsidRPr="00551F38">
        <w:t xml:space="preserve">. </w:t>
      </w:r>
      <w:r w:rsidRPr="00551F38">
        <w:rPr>
          <w:b/>
          <w:bCs/>
        </w:rPr>
        <w:t>22</w:t>
      </w:r>
      <w:r w:rsidRPr="00551F38">
        <w:t xml:space="preserve"> (9), 1147–1155</w:t>
      </w:r>
      <w:r w:rsidR="00471C5F" w:rsidRPr="00551F38">
        <w:t xml:space="preserve"> </w:t>
      </w:r>
      <w:r w:rsidRPr="00551F38">
        <w:t>(2015).</w:t>
      </w:r>
    </w:p>
    <w:p w14:paraId="0AFA09E8" w14:textId="77777777" w:rsidR="00B924B8" w:rsidRPr="00551F38" w:rsidRDefault="00B924B8" w:rsidP="00E26078">
      <w:pPr>
        <w:ind w:left="640" w:hanging="640"/>
      </w:pPr>
    </w:p>
    <w:p w14:paraId="06C72CE7" w14:textId="26924636" w:rsidR="00E26078" w:rsidRPr="00551F38" w:rsidRDefault="00E26078" w:rsidP="00E26078">
      <w:pPr>
        <w:ind w:left="640" w:hanging="640"/>
      </w:pPr>
      <w:r w:rsidRPr="00551F38">
        <w:t>40.</w:t>
      </w:r>
      <w:r w:rsidRPr="00551F38">
        <w:tab/>
      </w:r>
      <w:r w:rsidR="009219D7" w:rsidRPr="00551F38">
        <w:t>European Food Safety Authority</w:t>
      </w:r>
      <w:r w:rsidRPr="00551F38">
        <w:t xml:space="preserve"> Conclusion on the peer review of the pesticide risk assessment of the active substance carbendazim. </w:t>
      </w:r>
      <w:r w:rsidRPr="00551F38">
        <w:rPr>
          <w:i/>
          <w:iCs/>
        </w:rPr>
        <w:t>EFSA Journal</w:t>
      </w:r>
      <w:r w:rsidRPr="00551F38">
        <w:t xml:space="preserve">. </w:t>
      </w:r>
      <w:r w:rsidRPr="00551F38">
        <w:rPr>
          <w:b/>
          <w:bCs/>
        </w:rPr>
        <w:t>8</w:t>
      </w:r>
      <w:r w:rsidRPr="00551F38">
        <w:t xml:space="preserve"> (5), 1–76</w:t>
      </w:r>
      <w:r w:rsidR="00471C5F" w:rsidRPr="00551F38">
        <w:t xml:space="preserve"> </w:t>
      </w:r>
      <w:r w:rsidRPr="00551F38">
        <w:t>(2010).</w:t>
      </w:r>
    </w:p>
    <w:p w14:paraId="01BD622E" w14:textId="77777777" w:rsidR="00B924B8" w:rsidRPr="00551F38" w:rsidRDefault="00B924B8" w:rsidP="00E26078">
      <w:pPr>
        <w:ind w:left="640" w:hanging="640"/>
      </w:pPr>
    </w:p>
    <w:p w14:paraId="22125C88" w14:textId="4A3A8F5A" w:rsidR="00E26078" w:rsidRPr="00551F38" w:rsidRDefault="00E26078" w:rsidP="00E26078">
      <w:pPr>
        <w:ind w:left="640" w:hanging="640"/>
      </w:pPr>
      <w:r w:rsidRPr="00551F38">
        <w:t>41.</w:t>
      </w:r>
      <w:r w:rsidRPr="00551F38">
        <w:tab/>
        <w:t xml:space="preserve">Sakkas, H., Papadopoulou, C. Antimicrobial activity of basil, oregano, and thyme essential oils. </w:t>
      </w:r>
      <w:r w:rsidRPr="00551F38">
        <w:rPr>
          <w:i/>
          <w:iCs/>
        </w:rPr>
        <w:t>Journal of Microbiology and Biotechnology</w:t>
      </w:r>
      <w:r w:rsidRPr="00551F38">
        <w:t xml:space="preserve">. </w:t>
      </w:r>
      <w:r w:rsidRPr="00551F38">
        <w:rPr>
          <w:b/>
          <w:bCs/>
        </w:rPr>
        <w:t>27</w:t>
      </w:r>
      <w:r w:rsidRPr="00551F38">
        <w:t xml:space="preserve"> (3), 429–438</w:t>
      </w:r>
      <w:r w:rsidR="00471C5F" w:rsidRPr="00551F38">
        <w:t xml:space="preserve"> </w:t>
      </w:r>
      <w:r w:rsidRPr="00551F38">
        <w:t>(2017).</w:t>
      </w:r>
    </w:p>
    <w:p w14:paraId="439A55D3" w14:textId="77777777" w:rsidR="00B924B8" w:rsidRPr="00551F38" w:rsidRDefault="00B924B8" w:rsidP="00E26078">
      <w:pPr>
        <w:ind w:left="640" w:hanging="640"/>
      </w:pPr>
    </w:p>
    <w:p w14:paraId="3574933E" w14:textId="27396EEC" w:rsidR="00E26078" w:rsidRPr="00551F38" w:rsidRDefault="00E26078" w:rsidP="00E26078">
      <w:pPr>
        <w:ind w:left="640" w:hanging="640"/>
      </w:pPr>
      <w:r w:rsidRPr="00551F38">
        <w:t>42.</w:t>
      </w:r>
      <w:r w:rsidRPr="00551F38">
        <w:tab/>
        <w:t xml:space="preserve">Steyaert, J.M., Weld, R.J., Mendoza-Mendoza, A., Stewart, A. Reproduction without sex: conidiation in the filamentous fungus Trichoderma. </w:t>
      </w:r>
      <w:r w:rsidRPr="00551F38">
        <w:rPr>
          <w:i/>
          <w:iCs/>
        </w:rPr>
        <w:t>Microbiology (Reading, England)</w:t>
      </w:r>
      <w:r w:rsidRPr="00551F38">
        <w:t xml:space="preserve">. </w:t>
      </w:r>
      <w:r w:rsidRPr="00551F38">
        <w:rPr>
          <w:b/>
          <w:bCs/>
        </w:rPr>
        <w:t>156</w:t>
      </w:r>
      <w:r w:rsidRPr="00551F38">
        <w:t xml:space="preserve"> (Pt 10), 2887–900</w:t>
      </w:r>
      <w:r w:rsidR="00471C5F" w:rsidRPr="00551F38">
        <w:t xml:space="preserve"> </w:t>
      </w:r>
      <w:r w:rsidRPr="00551F38">
        <w:t>(2010).</w:t>
      </w:r>
    </w:p>
    <w:p w14:paraId="616117EB" w14:textId="77777777" w:rsidR="00B924B8" w:rsidRPr="00551F38" w:rsidRDefault="00B924B8" w:rsidP="00E26078">
      <w:pPr>
        <w:ind w:left="640" w:hanging="640"/>
      </w:pPr>
    </w:p>
    <w:p w14:paraId="54417016" w14:textId="06FA2EE9" w:rsidR="00E26078" w:rsidRPr="00551F38" w:rsidRDefault="00E26078" w:rsidP="00E26078">
      <w:pPr>
        <w:ind w:left="640" w:hanging="640"/>
      </w:pPr>
      <w:r w:rsidRPr="00551F38">
        <w:t>43.</w:t>
      </w:r>
      <w:r w:rsidRPr="00551F38">
        <w:tab/>
        <w:t xml:space="preserve">Leontiev, R., Hohaus, N., Jacob, C., Gruhlke, M.C.H., Slusarenko, A.J. A Comparison of the </w:t>
      </w:r>
      <w:r w:rsidR="002C22EC" w:rsidRPr="00551F38">
        <w:t>a</w:t>
      </w:r>
      <w:r w:rsidRPr="00551F38">
        <w:t xml:space="preserve">ntibacterial and </w:t>
      </w:r>
      <w:r w:rsidR="002C22EC" w:rsidRPr="00551F38">
        <w:t>a</w:t>
      </w:r>
      <w:r w:rsidRPr="00551F38">
        <w:t xml:space="preserve">ntifungal </w:t>
      </w:r>
      <w:r w:rsidR="002C22EC" w:rsidRPr="00551F38">
        <w:t>a</w:t>
      </w:r>
      <w:r w:rsidRPr="00551F38">
        <w:t xml:space="preserve">ctivities of </w:t>
      </w:r>
      <w:r w:rsidR="002C22EC" w:rsidRPr="00551F38">
        <w:t>t</w:t>
      </w:r>
      <w:r w:rsidRPr="00551F38">
        <w:t xml:space="preserve">hiosulfinate </w:t>
      </w:r>
      <w:r w:rsidR="002C22EC" w:rsidRPr="00551F38">
        <w:t>a</w:t>
      </w:r>
      <w:r w:rsidRPr="00551F38">
        <w:t xml:space="preserve">nalogues of </w:t>
      </w:r>
      <w:r w:rsidR="002C22EC" w:rsidRPr="00551F38">
        <w:t>a</w:t>
      </w:r>
      <w:r w:rsidRPr="00551F38">
        <w:t xml:space="preserve">llicin. </w:t>
      </w:r>
      <w:r w:rsidRPr="00551F38">
        <w:rPr>
          <w:i/>
          <w:iCs/>
        </w:rPr>
        <w:t>Scientific Reports</w:t>
      </w:r>
      <w:r w:rsidRPr="00551F38">
        <w:t xml:space="preserve">. </w:t>
      </w:r>
      <w:r w:rsidRPr="00551F38">
        <w:rPr>
          <w:b/>
          <w:bCs/>
        </w:rPr>
        <w:t>8</w:t>
      </w:r>
      <w:r w:rsidRPr="00551F38">
        <w:t xml:space="preserve"> (1), 1–19</w:t>
      </w:r>
      <w:r w:rsidR="00471C5F" w:rsidRPr="00551F38">
        <w:t xml:space="preserve"> </w:t>
      </w:r>
      <w:r w:rsidRPr="00551F38">
        <w:t>(2018).</w:t>
      </w:r>
    </w:p>
    <w:p w14:paraId="46E64FB3" w14:textId="77777777" w:rsidR="00B924B8" w:rsidRPr="00551F38" w:rsidRDefault="00B924B8" w:rsidP="00E26078">
      <w:pPr>
        <w:ind w:left="640" w:hanging="640"/>
      </w:pPr>
    </w:p>
    <w:p w14:paraId="6D75EF87" w14:textId="4F69E4DF" w:rsidR="00E26078" w:rsidRPr="00551F38" w:rsidRDefault="00E26078" w:rsidP="00E26078">
      <w:pPr>
        <w:ind w:left="640" w:hanging="640"/>
      </w:pPr>
      <w:r w:rsidRPr="00551F38">
        <w:t>44.</w:t>
      </w:r>
      <w:r w:rsidRPr="00551F38">
        <w:tab/>
      </w:r>
      <w:proofErr w:type="spellStart"/>
      <w:r w:rsidRPr="00551F38">
        <w:t>Scorzoni</w:t>
      </w:r>
      <w:proofErr w:type="spellEnd"/>
      <w:r w:rsidRPr="00551F38">
        <w:t>, L</w:t>
      </w:r>
      <w:r w:rsidR="00565D89">
        <w:rPr>
          <w:lang w:val="en-GB"/>
        </w:rPr>
        <w:t xml:space="preserve">. et al. </w:t>
      </w:r>
      <w:r w:rsidRPr="00551F38">
        <w:t xml:space="preserve">The use of standard methodology for determination of antifungal activity of natural products against medical yeasts Candida sp and Cryptococcus sp. </w:t>
      </w:r>
      <w:r w:rsidRPr="00551F38">
        <w:rPr>
          <w:i/>
          <w:iCs/>
        </w:rPr>
        <w:t>Brazilian Journal of Microbiology</w:t>
      </w:r>
      <w:r w:rsidRPr="00551F38">
        <w:t xml:space="preserve">. </w:t>
      </w:r>
      <w:r w:rsidRPr="00551F38">
        <w:rPr>
          <w:b/>
          <w:bCs/>
        </w:rPr>
        <w:t>38</w:t>
      </w:r>
      <w:r w:rsidRPr="00551F38">
        <w:t xml:space="preserve"> (3), 391–397</w:t>
      </w:r>
      <w:r w:rsidR="00471C5F" w:rsidRPr="00551F38">
        <w:t xml:space="preserve"> </w:t>
      </w:r>
      <w:r w:rsidRPr="00551F38">
        <w:t>(2007).</w:t>
      </w:r>
    </w:p>
    <w:p w14:paraId="626A41AB" w14:textId="03D7EBCC" w:rsidR="00C17BFF" w:rsidRPr="00551F38" w:rsidRDefault="00407A8E" w:rsidP="009219D7">
      <w:pPr>
        <w:rPr>
          <w:rFonts w:asciiTheme="minorHAnsi" w:hAnsiTheme="minorHAnsi" w:cstheme="minorHAnsi"/>
          <w:b/>
          <w:color w:val="808080" w:themeColor="background1" w:themeShade="80"/>
        </w:rPr>
      </w:pPr>
      <w:r w:rsidRPr="00551F38">
        <w:rPr>
          <w:rFonts w:asciiTheme="minorHAnsi" w:hAnsiTheme="minorHAnsi" w:cstheme="minorHAnsi"/>
          <w:b/>
          <w:color w:val="808080" w:themeColor="background1" w:themeShade="80"/>
        </w:rPr>
        <w:fldChar w:fldCharType="end"/>
      </w:r>
    </w:p>
    <w:sectPr w:rsidR="00C17BFF" w:rsidRPr="00551F38" w:rsidSect="00B81B15">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AB68A" w14:textId="77777777" w:rsidR="001D6964" w:rsidRDefault="001D6964" w:rsidP="00621C4E">
      <w:r>
        <w:separator/>
      </w:r>
    </w:p>
  </w:endnote>
  <w:endnote w:type="continuationSeparator" w:id="0">
    <w:p w14:paraId="0AA65CA5" w14:textId="77777777" w:rsidR="001D6964" w:rsidRDefault="001D6964" w:rsidP="00621C4E">
      <w:r>
        <w:continuationSeparator/>
      </w:r>
    </w:p>
  </w:endnote>
  <w:endnote w:type="continuationNotice" w:id="1">
    <w:p w14:paraId="5B227060" w14:textId="77777777" w:rsidR="001D6964" w:rsidRDefault="001D6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8462598"/>
      <w:docPartObj>
        <w:docPartGallery w:val="Page Numbers (Bottom of Page)"/>
        <w:docPartUnique/>
      </w:docPartObj>
    </w:sdtPr>
    <w:sdtEndPr/>
    <w:sdtContent>
      <w:p w14:paraId="157250E6" w14:textId="695A7CF2" w:rsidR="00255CAA" w:rsidRDefault="00255CAA">
        <w:pPr>
          <w:pStyle w:val="Footer"/>
          <w:jc w:val="right"/>
        </w:pPr>
        <w:r>
          <w:fldChar w:fldCharType="begin"/>
        </w:r>
        <w:r>
          <w:instrText>PAGE   \* MERGEFORMAT</w:instrText>
        </w:r>
        <w:r>
          <w:fldChar w:fldCharType="separate"/>
        </w:r>
        <w:r>
          <w:rPr>
            <w:lang w:val="fr-FR"/>
          </w:rPr>
          <w:t>2</w:t>
        </w:r>
        <w:r>
          <w:fldChar w:fldCharType="end"/>
        </w:r>
      </w:p>
    </w:sdtContent>
  </w:sdt>
  <w:p w14:paraId="39947363" w14:textId="71AB2B06" w:rsidR="00255CAA" w:rsidRPr="00494F77" w:rsidRDefault="00255CA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255CAA" w:rsidRDefault="00255CA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9E4A3" w14:textId="77777777" w:rsidR="001D6964" w:rsidRDefault="001D6964" w:rsidP="00621C4E">
      <w:r>
        <w:separator/>
      </w:r>
    </w:p>
  </w:footnote>
  <w:footnote w:type="continuationSeparator" w:id="0">
    <w:p w14:paraId="10950597" w14:textId="77777777" w:rsidR="001D6964" w:rsidRDefault="001D6964" w:rsidP="00621C4E">
      <w:r>
        <w:continuationSeparator/>
      </w:r>
    </w:p>
  </w:footnote>
  <w:footnote w:type="continuationNotice" w:id="1">
    <w:p w14:paraId="78C8AEAE" w14:textId="77777777" w:rsidR="001D6964" w:rsidRDefault="001D69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255CAA" w:rsidRPr="006F06E4" w:rsidRDefault="00255CA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D9CA025" w:rsidR="00255CAA" w:rsidRPr="006F06E4" w:rsidRDefault="00255CA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4129B3"/>
    <w:multiLevelType w:val="multilevel"/>
    <w:tmpl w:val="1DD8634C"/>
    <w:lvl w:ilvl="0">
      <w:start w:val="4"/>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E0142"/>
    <w:multiLevelType w:val="multilevel"/>
    <w:tmpl w:val="DB807F6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1670BE9"/>
    <w:multiLevelType w:val="multilevel"/>
    <w:tmpl w:val="5D0AA4A0"/>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057DBC"/>
    <w:multiLevelType w:val="hybridMultilevel"/>
    <w:tmpl w:val="6E6475E6"/>
    <w:lvl w:ilvl="0" w:tplc="AF00000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8D7A42"/>
    <w:multiLevelType w:val="multilevel"/>
    <w:tmpl w:val="1DB865F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E526F9D"/>
    <w:multiLevelType w:val="multilevel"/>
    <w:tmpl w:val="043827A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2996D07"/>
    <w:multiLevelType w:val="multilevel"/>
    <w:tmpl w:val="D9EE1A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0D41A4"/>
    <w:multiLevelType w:val="multilevel"/>
    <w:tmpl w:val="F90013D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591FB9"/>
    <w:multiLevelType w:val="multilevel"/>
    <w:tmpl w:val="D7DEEFC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E1C7EDD"/>
    <w:multiLevelType w:val="multilevel"/>
    <w:tmpl w:val="56A4555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B3F7B0E"/>
    <w:multiLevelType w:val="multilevel"/>
    <w:tmpl w:val="4EAA270A"/>
    <w:lvl w:ilvl="0">
      <w:start w:val="4"/>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5"/>
  </w:num>
  <w:num w:numId="3">
    <w:abstractNumId w:val="6"/>
  </w:num>
  <w:num w:numId="4">
    <w:abstractNumId w:val="23"/>
  </w:num>
  <w:num w:numId="5">
    <w:abstractNumId w:val="13"/>
  </w:num>
  <w:num w:numId="6">
    <w:abstractNumId w:val="22"/>
  </w:num>
  <w:num w:numId="7">
    <w:abstractNumId w:val="0"/>
  </w:num>
  <w:num w:numId="8">
    <w:abstractNumId w:val="14"/>
  </w:num>
  <w:num w:numId="9">
    <w:abstractNumId w:val="15"/>
  </w:num>
  <w:num w:numId="10">
    <w:abstractNumId w:val="24"/>
  </w:num>
  <w:num w:numId="11">
    <w:abstractNumId w:val="29"/>
  </w:num>
  <w:num w:numId="12">
    <w:abstractNumId w:val="3"/>
  </w:num>
  <w:num w:numId="13">
    <w:abstractNumId w:val="26"/>
  </w:num>
  <w:num w:numId="14">
    <w:abstractNumId w:val="35"/>
  </w:num>
  <w:num w:numId="15">
    <w:abstractNumId w:val="16"/>
  </w:num>
  <w:num w:numId="16">
    <w:abstractNumId w:val="12"/>
  </w:num>
  <w:num w:numId="17">
    <w:abstractNumId w:val="27"/>
  </w:num>
  <w:num w:numId="18">
    <w:abstractNumId w:val="18"/>
  </w:num>
  <w:num w:numId="19">
    <w:abstractNumId w:val="31"/>
  </w:num>
  <w:num w:numId="20">
    <w:abstractNumId w:val="4"/>
  </w:num>
  <w:num w:numId="21">
    <w:abstractNumId w:val="33"/>
  </w:num>
  <w:num w:numId="22">
    <w:abstractNumId w:val="30"/>
  </w:num>
  <w:num w:numId="23">
    <w:abstractNumId w:val="19"/>
  </w:num>
  <w:num w:numId="24">
    <w:abstractNumId w:val="36"/>
  </w:num>
  <w:num w:numId="25">
    <w:abstractNumId w:val="9"/>
  </w:num>
  <w:num w:numId="26">
    <w:abstractNumId w:val="2"/>
  </w:num>
  <w:num w:numId="27">
    <w:abstractNumId w:val="8"/>
  </w:num>
  <w:num w:numId="28">
    <w:abstractNumId w:val="38"/>
  </w:num>
  <w:num w:numId="29">
    <w:abstractNumId w:val="11"/>
  </w:num>
  <w:num w:numId="30">
    <w:abstractNumId w:val="20"/>
  </w:num>
  <w:num w:numId="31">
    <w:abstractNumId w:val="5"/>
  </w:num>
  <w:num w:numId="32">
    <w:abstractNumId w:val="10"/>
  </w:num>
  <w:num w:numId="33">
    <w:abstractNumId w:val="17"/>
  </w:num>
  <w:num w:numId="34">
    <w:abstractNumId w:val="1"/>
  </w:num>
  <w:num w:numId="35">
    <w:abstractNumId w:val="34"/>
  </w:num>
  <w:num w:numId="36">
    <w:abstractNumId w:val="32"/>
  </w:num>
  <w:num w:numId="37">
    <w:abstractNumId w:val="21"/>
  </w:num>
  <w:num w:numId="38">
    <w:abstractNumId w:val="28"/>
  </w:num>
  <w:num w:numId="39">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565"/>
    <w:rsid w:val="00001169"/>
    <w:rsid w:val="00001806"/>
    <w:rsid w:val="00001BBC"/>
    <w:rsid w:val="00002673"/>
    <w:rsid w:val="00005815"/>
    <w:rsid w:val="00006E68"/>
    <w:rsid w:val="00007C65"/>
    <w:rsid w:val="00007DBC"/>
    <w:rsid w:val="00007EA1"/>
    <w:rsid w:val="000100F0"/>
    <w:rsid w:val="000119B1"/>
    <w:rsid w:val="000129B2"/>
    <w:rsid w:val="00012FF9"/>
    <w:rsid w:val="0001389C"/>
    <w:rsid w:val="00014314"/>
    <w:rsid w:val="00020B33"/>
    <w:rsid w:val="000212AE"/>
    <w:rsid w:val="00021434"/>
    <w:rsid w:val="00021774"/>
    <w:rsid w:val="00021DF3"/>
    <w:rsid w:val="00022D28"/>
    <w:rsid w:val="00023869"/>
    <w:rsid w:val="00024598"/>
    <w:rsid w:val="00025143"/>
    <w:rsid w:val="000279B0"/>
    <w:rsid w:val="0003039F"/>
    <w:rsid w:val="00032519"/>
    <w:rsid w:val="00032769"/>
    <w:rsid w:val="000328FB"/>
    <w:rsid w:val="00032E52"/>
    <w:rsid w:val="0003311E"/>
    <w:rsid w:val="00033A96"/>
    <w:rsid w:val="0003688D"/>
    <w:rsid w:val="0003718E"/>
    <w:rsid w:val="00037704"/>
    <w:rsid w:val="00037B58"/>
    <w:rsid w:val="00044558"/>
    <w:rsid w:val="00044602"/>
    <w:rsid w:val="00047DCA"/>
    <w:rsid w:val="00050DEC"/>
    <w:rsid w:val="000516C6"/>
    <w:rsid w:val="00051B73"/>
    <w:rsid w:val="0005541A"/>
    <w:rsid w:val="000575CF"/>
    <w:rsid w:val="00060ABE"/>
    <w:rsid w:val="00061A50"/>
    <w:rsid w:val="00061FC4"/>
    <w:rsid w:val="0006361B"/>
    <w:rsid w:val="00064104"/>
    <w:rsid w:val="00064F32"/>
    <w:rsid w:val="000652E3"/>
    <w:rsid w:val="00066025"/>
    <w:rsid w:val="00067A8F"/>
    <w:rsid w:val="000701D1"/>
    <w:rsid w:val="0007027E"/>
    <w:rsid w:val="00074CF8"/>
    <w:rsid w:val="000777E7"/>
    <w:rsid w:val="00080A20"/>
    <w:rsid w:val="00082796"/>
    <w:rsid w:val="00082DF4"/>
    <w:rsid w:val="00082EC9"/>
    <w:rsid w:val="00083AD3"/>
    <w:rsid w:val="00085771"/>
    <w:rsid w:val="00086FF5"/>
    <w:rsid w:val="00087C0A"/>
    <w:rsid w:val="000911EC"/>
    <w:rsid w:val="00091788"/>
    <w:rsid w:val="000931E3"/>
    <w:rsid w:val="00093BC4"/>
    <w:rsid w:val="000943E6"/>
    <w:rsid w:val="000945BD"/>
    <w:rsid w:val="00094E36"/>
    <w:rsid w:val="00095C54"/>
    <w:rsid w:val="00097929"/>
    <w:rsid w:val="000A0F2D"/>
    <w:rsid w:val="000A15EC"/>
    <w:rsid w:val="000A1E80"/>
    <w:rsid w:val="000A271B"/>
    <w:rsid w:val="000A2E7A"/>
    <w:rsid w:val="000A3B70"/>
    <w:rsid w:val="000A4165"/>
    <w:rsid w:val="000A5153"/>
    <w:rsid w:val="000A7136"/>
    <w:rsid w:val="000B01D2"/>
    <w:rsid w:val="000B10AE"/>
    <w:rsid w:val="000B2A68"/>
    <w:rsid w:val="000B30BF"/>
    <w:rsid w:val="000B3162"/>
    <w:rsid w:val="000B4BBD"/>
    <w:rsid w:val="000B566B"/>
    <w:rsid w:val="000B5946"/>
    <w:rsid w:val="000B595C"/>
    <w:rsid w:val="000B662E"/>
    <w:rsid w:val="000B668F"/>
    <w:rsid w:val="000B7294"/>
    <w:rsid w:val="000B75D0"/>
    <w:rsid w:val="000C05A9"/>
    <w:rsid w:val="000C1CF8"/>
    <w:rsid w:val="000C33FA"/>
    <w:rsid w:val="000C3FDF"/>
    <w:rsid w:val="000C49CF"/>
    <w:rsid w:val="000C4BCF"/>
    <w:rsid w:val="000C52E9"/>
    <w:rsid w:val="000C5520"/>
    <w:rsid w:val="000C5B8B"/>
    <w:rsid w:val="000C5CDC"/>
    <w:rsid w:val="000C65DC"/>
    <w:rsid w:val="000C66F3"/>
    <w:rsid w:val="000C6900"/>
    <w:rsid w:val="000D0F9F"/>
    <w:rsid w:val="000D1048"/>
    <w:rsid w:val="000D2590"/>
    <w:rsid w:val="000D28BF"/>
    <w:rsid w:val="000D31E8"/>
    <w:rsid w:val="000D76E4"/>
    <w:rsid w:val="000E0C25"/>
    <w:rsid w:val="000E2DFA"/>
    <w:rsid w:val="000E3816"/>
    <w:rsid w:val="000E4F77"/>
    <w:rsid w:val="000E5C39"/>
    <w:rsid w:val="000E7408"/>
    <w:rsid w:val="000F03C7"/>
    <w:rsid w:val="000F265C"/>
    <w:rsid w:val="000F37B2"/>
    <w:rsid w:val="000F3AFA"/>
    <w:rsid w:val="000F3F50"/>
    <w:rsid w:val="000F5712"/>
    <w:rsid w:val="000F6611"/>
    <w:rsid w:val="000F7E22"/>
    <w:rsid w:val="00102ED2"/>
    <w:rsid w:val="0010691E"/>
    <w:rsid w:val="00106D99"/>
    <w:rsid w:val="00107554"/>
    <w:rsid w:val="001075E9"/>
    <w:rsid w:val="00107869"/>
    <w:rsid w:val="001104F3"/>
    <w:rsid w:val="001105CE"/>
    <w:rsid w:val="00112EEB"/>
    <w:rsid w:val="00113F76"/>
    <w:rsid w:val="001173FF"/>
    <w:rsid w:val="00120A65"/>
    <w:rsid w:val="00121EB3"/>
    <w:rsid w:val="00121F0E"/>
    <w:rsid w:val="00123D65"/>
    <w:rsid w:val="001245CE"/>
    <w:rsid w:val="0012563A"/>
    <w:rsid w:val="0012647C"/>
    <w:rsid w:val="001264DE"/>
    <w:rsid w:val="00126683"/>
    <w:rsid w:val="00126968"/>
    <w:rsid w:val="001313A7"/>
    <w:rsid w:val="0013276F"/>
    <w:rsid w:val="001342B5"/>
    <w:rsid w:val="00134D3C"/>
    <w:rsid w:val="0013587F"/>
    <w:rsid w:val="0013621E"/>
    <w:rsid w:val="0013642E"/>
    <w:rsid w:val="0014166B"/>
    <w:rsid w:val="001428E5"/>
    <w:rsid w:val="00142EFE"/>
    <w:rsid w:val="00143859"/>
    <w:rsid w:val="001478FB"/>
    <w:rsid w:val="00147B48"/>
    <w:rsid w:val="0015203A"/>
    <w:rsid w:val="00152A23"/>
    <w:rsid w:val="001531CB"/>
    <w:rsid w:val="00153D08"/>
    <w:rsid w:val="001546F3"/>
    <w:rsid w:val="00156B11"/>
    <w:rsid w:val="00157341"/>
    <w:rsid w:val="00157BCB"/>
    <w:rsid w:val="00160525"/>
    <w:rsid w:val="00160A87"/>
    <w:rsid w:val="00162CB7"/>
    <w:rsid w:val="0016558A"/>
    <w:rsid w:val="001665C9"/>
    <w:rsid w:val="00166E5C"/>
    <w:rsid w:val="00166F32"/>
    <w:rsid w:val="00170ED2"/>
    <w:rsid w:val="00171304"/>
    <w:rsid w:val="001718C0"/>
    <w:rsid w:val="00171E5B"/>
    <w:rsid w:val="00171F94"/>
    <w:rsid w:val="0017296C"/>
    <w:rsid w:val="00175D4E"/>
    <w:rsid w:val="0017668A"/>
    <w:rsid w:val="001766FE"/>
    <w:rsid w:val="001771E7"/>
    <w:rsid w:val="001771F8"/>
    <w:rsid w:val="00177BDB"/>
    <w:rsid w:val="00180100"/>
    <w:rsid w:val="001823E0"/>
    <w:rsid w:val="0018604F"/>
    <w:rsid w:val="00186845"/>
    <w:rsid w:val="00186FD5"/>
    <w:rsid w:val="001872F0"/>
    <w:rsid w:val="001911FF"/>
    <w:rsid w:val="00192006"/>
    <w:rsid w:val="00193180"/>
    <w:rsid w:val="00194776"/>
    <w:rsid w:val="0019530C"/>
    <w:rsid w:val="00196792"/>
    <w:rsid w:val="00196EC5"/>
    <w:rsid w:val="001A0271"/>
    <w:rsid w:val="001A3185"/>
    <w:rsid w:val="001A4BD8"/>
    <w:rsid w:val="001B1519"/>
    <w:rsid w:val="001B2E2D"/>
    <w:rsid w:val="001B36E1"/>
    <w:rsid w:val="001B3EDB"/>
    <w:rsid w:val="001B5B58"/>
    <w:rsid w:val="001B5CD2"/>
    <w:rsid w:val="001C029A"/>
    <w:rsid w:val="001C0342"/>
    <w:rsid w:val="001C0BEE"/>
    <w:rsid w:val="001C0F4B"/>
    <w:rsid w:val="001C1E49"/>
    <w:rsid w:val="001C27C1"/>
    <w:rsid w:val="001C2A98"/>
    <w:rsid w:val="001C3B86"/>
    <w:rsid w:val="001C460E"/>
    <w:rsid w:val="001C4D95"/>
    <w:rsid w:val="001D30AC"/>
    <w:rsid w:val="001D3D7D"/>
    <w:rsid w:val="001D3FFF"/>
    <w:rsid w:val="001D4997"/>
    <w:rsid w:val="001D500E"/>
    <w:rsid w:val="001D625F"/>
    <w:rsid w:val="001D68A4"/>
    <w:rsid w:val="001D6964"/>
    <w:rsid w:val="001D7576"/>
    <w:rsid w:val="001E0894"/>
    <w:rsid w:val="001E0E3F"/>
    <w:rsid w:val="001E14A0"/>
    <w:rsid w:val="001E155E"/>
    <w:rsid w:val="001E7376"/>
    <w:rsid w:val="001F225C"/>
    <w:rsid w:val="001F6381"/>
    <w:rsid w:val="00200792"/>
    <w:rsid w:val="0020160F"/>
    <w:rsid w:val="002019AC"/>
    <w:rsid w:val="00201CFA"/>
    <w:rsid w:val="0020220D"/>
    <w:rsid w:val="00202448"/>
    <w:rsid w:val="00202D15"/>
    <w:rsid w:val="00202EC4"/>
    <w:rsid w:val="00205B3F"/>
    <w:rsid w:val="00205F3F"/>
    <w:rsid w:val="00206631"/>
    <w:rsid w:val="002106E0"/>
    <w:rsid w:val="00212EAE"/>
    <w:rsid w:val="00214BEE"/>
    <w:rsid w:val="002204EB"/>
    <w:rsid w:val="002205B8"/>
    <w:rsid w:val="002205D5"/>
    <w:rsid w:val="00221947"/>
    <w:rsid w:val="00222AFC"/>
    <w:rsid w:val="00222DB1"/>
    <w:rsid w:val="00225720"/>
    <w:rsid w:val="002259E5"/>
    <w:rsid w:val="00226140"/>
    <w:rsid w:val="002274F3"/>
    <w:rsid w:val="002275A8"/>
    <w:rsid w:val="00230132"/>
    <w:rsid w:val="0023094C"/>
    <w:rsid w:val="00233484"/>
    <w:rsid w:val="00234303"/>
    <w:rsid w:val="00234BE3"/>
    <w:rsid w:val="00235A90"/>
    <w:rsid w:val="0023624F"/>
    <w:rsid w:val="002401C8"/>
    <w:rsid w:val="0024194D"/>
    <w:rsid w:val="00241E48"/>
    <w:rsid w:val="0024214E"/>
    <w:rsid w:val="00242623"/>
    <w:rsid w:val="00242AB1"/>
    <w:rsid w:val="00246050"/>
    <w:rsid w:val="0024683B"/>
    <w:rsid w:val="00250558"/>
    <w:rsid w:val="00252184"/>
    <w:rsid w:val="00252B73"/>
    <w:rsid w:val="0025357C"/>
    <w:rsid w:val="00253E8D"/>
    <w:rsid w:val="00255CAA"/>
    <w:rsid w:val="002605D1"/>
    <w:rsid w:val="00260652"/>
    <w:rsid w:val="00261F25"/>
    <w:rsid w:val="002648A9"/>
    <w:rsid w:val="0026536F"/>
    <w:rsid w:val="0026553C"/>
    <w:rsid w:val="002661A0"/>
    <w:rsid w:val="0026790A"/>
    <w:rsid w:val="00267DD5"/>
    <w:rsid w:val="00271B19"/>
    <w:rsid w:val="00271E70"/>
    <w:rsid w:val="0027218B"/>
    <w:rsid w:val="00273A42"/>
    <w:rsid w:val="00273BD6"/>
    <w:rsid w:val="0027439B"/>
    <w:rsid w:val="00274A0A"/>
    <w:rsid w:val="00275825"/>
    <w:rsid w:val="00277593"/>
    <w:rsid w:val="00280909"/>
    <w:rsid w:val="00280918"/>
    <w:rsid w:val="0028259C"/>
    <w:rsid w:val="00282AF6"/>
    <w:rsid w:val="00284D92"/>
    <w:rsid w:val="0028596A"/>
    <w:rsid w:val="00286307"/>
    <w:rsid w:val="0028651F"/>
    <w:rsid w:val="00286FDE"/>
    <w:rsid w:val="00287085"/>
    <w:rsid w:val="00287A59"/>
    <w:rsid w:val="00287DC0"/>
    <w:rsid w:val="00290AF9"/>
    <w:rsid w:val="00291131"/>
    <w:rsid w:val="00291F4C"/>
    <w:rsid w:val="002935A6"/>
    <w:rsid w:val="00293DB7"/>
    <w:rsid w:val="00294483"/>
    <w:rsid w:val="00295D64"/>
    <w:rsid w:val="002967CF"/>
    <w:rsid w:val="00297788"/>
    <w:rsid w:val="002A02BC"/>
    <w:rsid w:val="002A0498"/>
    <w:rsid w:val="002A3285"/>
    <w:rsid w:val="002A34F9"/>
    <w:rsid w:val="002A3D23"/>
    <w:rsid w:val="002A455E"/>
    <w:rsid w:val="002A484B"/>
    <w:rsid w:val="002A596F"/>
    <w:rsid w:val="002A64A6"/>
    <w:rsid w:val="002A7C96"/>
    <w:rsid w:val="002B02E2"/>
    <w:rsid w:val="002B1FE3"/>
    <w:rsid w:val="002B3301"/>
    <w:rsid w:val="002B6FBB"/>
    <w:rsid w:val="002B790F"/>
    <w:rsid w:val="002B7E32"/>
    <w:rsid w:val="002B7F8C"/>
    <w:rsid w:val="002C023A"/>
    <w:rsid w:val="002C128E"/>
    <w:rsid w:val="002C1445"/>
    <w:rsid w:val="002C22EC"/>
    <w:rsid w:val="002C47D4"/>
    <w:rsid w:val="002C4D7D"/>
    <w:rsid w:val="002D09BE"/>
    <w:rsid w:val="002D0F38"/>
    <w:rsid w:val="002D77E3"/>
    <w:rsid w:val="002E172C"/>
    <w:rsid w:val="002E6029"/>
    <w:rsid w:val="002F0D7C"/>
    <w:rsid w:val="002F2859"/>
    <w:rsid w:val="002F310D"/>
    <w:rsid w:val="002F5A37"/>
    <w:rsid w:val="002F6C9F"/>
    <w:rsid w:val="002F6E3C"/>
    <w:rsid w:val="0030117D"/>
    <w:rsid w:val="00301F30"/>
    <w:rsid w:val="00302D1B"/>
    <w:rsid w:val="003038FD"/>
    <w:rsid w:val="00303C87"/>
    <w:rsid w:val="003067CA"/>
    <w:rsid w:val="0031041D"/>
    <w:rsid w:val="003108E5"/>
    <w:rsid w:val="00310C88"/>
    <w:rsid w:val="003115A8"/>
    <w:rsid w:val="0031190F"/>
    <w:rsid w:val="003120CB"/>
    <w:rsid w:val="00312D50"/>
    <w:rsid w:val="0031385F"/>
    <w:rsid w:val="003138E7"/>
    <w:rsid w:val="00315431"/>
    <w:rsid w:val="00315B9D"/>
    <w:rsid w:val="00317176"/>
    <w:rsid w:val="003176B9"/>
    <w:rsid w:val="00320153"/>
    <w:rsid w:val="00320367"/>
    <w:rsid w:val="0032089C"/>
    <w:rsid w:val="00321A84"/>
    <w:rsid w:val="00322871"/>
    <w:rsid w:val="00324D74"/>
    <w:rsid w:val="00326DAC"/>
    <w:rsid w:val="00326FB3"/>
    <w:rsid w:val="003309AF"/>
    <w:rsid w:val="00330A92"/>
    <w:rsid w:val="003316D4"/>
    <w:rsid w:val="003321B2"/>
    <w:rsid w:val="00332BBE"/>
    <w:rsid w:val="00333822"/>
    <w:rsid w:val="00336715"/>
    <w:rsid w:val="00336A12"/>
    <w:rsid w:val="003373A0"/>
    <w:rsid w:val="00337DEE"/>
    <w:rsid w:val="003401EC"/>
    <w:rsid w:val="0034043E"/>
    <w:rsid w:val="00340DFD"/>
    <w:rsid w:val="00344954"/>
    <w:rsid w:val="00345DE8"/>
    <w:rsid w:val="00350CD7"/>
    <w:rsid w:val="00351211"/>
    <w:rsid w:val="003532DB"/>
    <w:rsid w:val="00354B25"/>
    <w:rsid w:val="00355B66"/>
    <w:rsid w:val="00360C17"/>
    <w:rsid w:val="003621C6"/>
    <w:rsid w:val="003622B8"/>
    <w:rsid w:val="0036291C"/>
    <w:rsid w:val="003638D6"/>
    <w:rsid w:val="00364704"/>
    <w:rsid w:val="00366B76"/>
    <w:rsid w:val="00367DC6"/>
    <w:rsid w:val="00370165"/>
    <w:rsid w:val="00373051"/>
    <w:rsid w:val="00373B8F"/>
    <w:rsid w:val="003768F4"/>
    <w:rsid w:val="00376D95"/>
    <w:rsid w:val="00377FBB"/>
    <w:rsid w:val="0038181A"/>
    <w:rsid w:val="00383671"/>
    <w:rsid w:val="00383755"/>
    <w:rsid w:val="0038383B"/>
    <w:rsid w:val="00384001"/>
    <w:rsid w:val="00384A05"/>
    <w:rsid w:val="00385140"/>
    <w:rsid w:val="00387B28"/>
    <w:rsid w:val="003904C0"/>
    <w:rsid w:val="00390E0C"/>
    <w:rsid w:val="00393CC7"/>
    <w:rsid w:val="00395ED8"/>
    <w:rsid w:val="00396302"/>
    <w:rsid w:val="003971F7"/>
    <w:rsid w:val="003A075F"/>
    <w:rsid w:val="003A07E8"/>
    <w:rsid w:val="003A0DE3"/>
    <w:rsid w:val="003A16FC"/>
    <w:rsid w:val="003A1D20"/>
    <w:rsid w:val="003A232F"/>
    <w:rsid w:val="003A27CE"/>
    <w:rsid w:val="003A2C8A"/>
    <w:rsid w:val="003A3A47"/>
    <w:rsid w:val="003A423D"/>
    <w:rsid w:val="003A4FCD"/>
    <w:rsid w:val="003A780D"/>
    <w:rsid w:val="003B0944"/>
    <w:rsid w:val="003B0D35"/>
    <w:rsid w:val="003B1593"/>
    <w:rsid w:val="003B2875"/>
    <w:rsid w:val="003B4381"/>
    <w:rsid w:val="003B5C17"/>
    <w:rsid w:val="003B7520"/>
    <w:rsid w:val="003C1043"/>
    <w:rsid w:val="003C1A30"/>
    <w:rsid w:val="003C3BC9"/>
    <w:rsid w:val="003C5505"/>
    <w:rsid w:val="003C6779"/>
    <w:rsid w:val="003C71BE"/>
    <w:rsid w:val="003D033C"/>
    <w:rsid w:val="003D2998"/>
    <w:rsid w:val="003D2F0A"/>
    <w:rsid w:val="003D316A"/>
    <w:rsid w:val="003D3891"/>
    <w:rsid w:val="003D3E21"/>
    <w:rsid w:val="003D3FE9"/>
    <w:rsid w:val="003D542E"/>
    <w:rsid w:val="003D5D84"/>
    <w:rsid w:val="003E0F4F"/>
    <w:rsid w:val="003E18AC"/>
    <w:rsid w:val="003E210B"/>
    <w:rsid w:val="003E2A12"/>
    <w:rsid w:val="003E2CEE"/>
    <w:rsid w:val="003E3384"/>
    <w:rsid w:val="003E3CA4"/>
    <w:rsid w:val="003E4B97"/>
    <w:rsid w:val="003E548E"/>
    <w:rsid w:val="003E5E1E"/>
    <w:rsid w:val="003E6B7F"/>
    <w:rsid w:val="003E7351"/>
    <w:rsid w:val="003E74FA"/>
    <w:rsid w:val="003E7840"/>
    <w:rsid w:val="003F0161"/>
    <w:rsid w:val="003F1BB7"/>
    <w:rsid w:val="003F787B"/>
    <w:rsid w:val="003F7AFC"/>
    <w:rsid w:val="00400359"/>
    <w:rsid w:val="00400DC8"/>
    <w:rsid w:val="0040503F"/>
    <w:rsid w:val="0040689B"/>
    <w:rsid w:val="00407A8E"/>
    <w:rsid w:val="00407EC8"/>
    <w:rsid w:val="0041110A"/>
    <w:rsid w:val="00411624"/>
    <w:rsid w:val="004116AE"/>
    <w:rsid w:val="004146A6"/>
    <w:rsid w:val="004148E1"/>
    <w:rsid w:val="00414CFA"/>
    <w:rsid w:val="00415EC0"/>
    <w:rsid w:val="00415F3D"/>
    <w:rsid w:val="00420BE9"/>
    <w:rsid w:val="00423A63"/>
    <w:rsid w:val="00423AD8"/>
    <w:rsid w:val="00423FDD"/>
    <w:rsid w:val="00424C85"/>
    <w:rsid w:val="004260BD"/>
    <w:rsid w:val="0042766B"/>
    <w:rsid w:val="0043012F"/>
    <w:rsid w:val="00430F1F"/>
    <w:rsid w:val="00430FEE"/>
    <w:rsid w:val="00431DB8"/>
    <w:rsid w:val="004326EA"/>
    <w:rsid w:val="00433BB8"/>
    <w:rsid w:val="00436A22"/>
    <w:rsid w:val="00440ACD"/>
    <w:rsid w:val="00440CDE"/>
    <w:rsid w:val="004412C5"/>
    <w:rsid w:val="00443467"/>
    <w:rsid w:val="0044434C"/>
    <w:rsid w:val="0044456B"/>
    <w:rsid w:val="00446BE1"/>
    <w:rsid w:val="00447071"/>
    <w:rsid w:val="0044776D"/>
    <w:rsid w:val="00447BD1"/>
    <w:rsid w:val="004507F3"/>
    <w:rsid w:val="00450A5F"/>
    <w:rsid w:val="00450AF4"/>
    <w:rsid w:val="0045109E"/>
    <w:rsid w:val="00452DDE"/>
    <w:rsid w:val="00456A57"/>
    <w:rsid w:val="00460377"/>
    <w:rsid w:val="004607DE"/>
    <w:rsid w:val="00460DA7"/>
    <w:rsid w:val="0046282B"/>
    <w:rsid w:val="0046372C"/>
    <w:rsid w:val="00464C82"/>
    <w:rsid w:val="004659AD"/>
    <w:rsid w:val="004671C7"/>
    <w:rsid w:val="00471C5F"/>
    <w:rsid w:val="00472F4D"/>
    <w:rsid w:val="004730BF"/>
    <w:rsid w:val="00474DCB"/>
    <w:rsid w:val="0047535C"/>
    <w:rsid w:val="00475B41"/>
    <w:rsid w:val="00475C28"/>
    <w:rsid w:val="004762F6"/>
    <w:rsid w:val="00477179"/>
    <w:rsid w:val="00480FC4"/>
    <w:rsid w:val="00482285"/>
    <w:rsid w:val="00484C88"/>
    <w:rsid w:val="00485870"/>
    <w:rsid w:val="00485FE8"/>
    <w:rsid w:val="0048606B"/>
    <w:rsid w:val="0048785C"/>
    <w:rsid w:val="00490BCE"/>
    <w:rsid w:val="00492473"/>
    <w:rsid w:val="00492EB5"/>
    <w:rsid w:val="00493BBC"/>
    <w:rsid w:val="004947A5"/>
    <w:rsid w:val="00494F77"/>
    <w:rsid w:val="00495150"/>
    <w:rsid w:val="00497721"/>
    <w:rsid w:val="004A0229"/>
    <w:rsid w:val="004A262B"/>
    <w:rsid w:val="004A2B26"/>
    <w:rsid w:val="004A35D2"/>
    <w:rsid w:val="004A5D8E"/>
    <w:rsid w:val="004A71E4"/>
    <w:rsid w:val="004A7635"/>
    <w:rsid w:val="004B090F"/>
    <w:rsid w:val="004B2F00"/>
    <w:rsid w:val="004B496B"/>
    <w:rsid w:val="004B667A"/>
    <w:rsid w:val="004B6E31"/>
    <w:rsid w:val="004B71E8"/>
    <w:rsid w:val="004C1D66"/>
    <w:rsid w:val="004C31D7"/>
    <w:rsid w:val="004C3B32"/>
    <w:rsid w:val="004C41FF"/>
    <w:rsid w:val="004C4762"/>
    <w:rsid w:val="004C4AD2"/>
    <w:rsid w:val="004C5CDD"/>
    <w:rsid w:val="004C63C8"/>
    <w:rsid w:val="004C6981"/>
    <w:rsid w:val="004D1B29"/>
    <w:rsid w:val="004D1F21"/>
    <w:rsid w:val="004D268C"/>
    <w:rsid w:val="004D59D8"/>
    <w:rsid w:val="004D5DA1"/>
    <w:rsid w:val="004D72FB"/>
    <w:rsid w:val="004D7910"/>
    <w:rsid w:val="004E0AF1"/>
    <w:rsid w:val="004E150F"/>
    <w:rsid w:val="004E1DCA"/>
    <w:rsid w:val="004E23A1"/>
    <w:rsid w:val="004E2BC2"/>
    <w:rsid w:val="004E3489"/>
    <w:rsid w:val="004E358A"/>
    <w:rsid w:val="004E3AFA"/>
    <w:rsid w:val="004E5171"/>
    <w:rsid w:val="004E59ED"/>
    <w:rsid w:val="004E6160"/>
    <w:rsid w:val="004E6243"/>
    <w:rsid w:val="004E6588"/>
    <w:rsid w:val="004F13FC"/>
    <w:rsid w:val="004F2742"/>
    <w:rsid w:val="004F2CEC"/>
    <w:rsid w:val="004F4849"/>
    <w:rsid w:val="004F4AE7"/>
    <w:rsid w:val="00502A0A"/>
    <w:rsid w:val="00504663"/>
    <w:rsid w:val="00506F9B"/>
    <w:rsid w:val="00507C50"/>
    <w:rsid w:val="00511A4F"/>
    <w:rsid w:val="00513DF1"/>
    <w:rsid w:val="00514D40"/>
    <w:rsid w:val="00515AE5"/>
    <w:rsid w:val="00517C3A"/>
    <w:rsid w:val="0052054F"/>
    <w:rsid w:val="00525AEB"/>
    <w:rsid w:val="00527BF4"/>
    <w:rsid w:val="005319A6"/>
    <w:rsid w:val="005324BE"/>
    <w:rsid w:val="00533350"/>
    <w:rsid w:val="00534F6C"/>
    <w:rsid w:val="00535994"/>
    <w:rsid w:val="0053646D"/>
    <w:rsid w:val="00536C37"/>
    <w:rsid w:val="00536D67"/>
    <w:rsid w:val="005376FB"/>
    <w:rsid w:val="00540AAD"/>
    <w:rsid w:val="0054203F"/>
    <w:rsid w:val="00543EC1"/>
    <w:rsid w:val="005463BA"/>
    <w:rsid w:val="00546458"/>
    <w:rsid w:val="00546DDB"/>
    <w:rsid w:val="00547BA5"/>
    <w:rsid w:val="0055087C"/>
    <w:rsid w:val="005516D1"/>
    <w:rsid w:val="00551F38"/>
    <w:rsid w:val="00552822"/>
    <w:rsid w:val="00553413"/>
    <w:rsid w:val="00555983"/>
    <w:rsid w:val="00557AE8"/>
    <w:rsid w:val="00557E62"/>
    <w:rsid w:val="0056084F"/>
    <w:rsid w:val="00560D80"/>
    <w:rsid w:val="00560E31"/>
    <w:rsid w:val="00561728"/>
    <w:rsid w:val="00561A29"/>
    <w:rsid w:val="00561BDA"/>
    <w:rsid w:val="005623D5"/>
    <w:rsid w:val="00562916"/>
    <w:rsid w:val="005648A9"/>
    <w:rsid w:val="005656B2"/>
    <w:rsid w:val="00565D89"/>
    <w:rsid w:val="0056654F"/>
    <w:rsid w:val="0056672A"/>
    <w:rsid w:val="005673E3"/>
    <w:rsid w:val="00567DBF"/>
    <w:rsid w:val="00567FA6"/>
    <w:rsid w:val="005803E9"/>
    <w:rsid w:val="00581B23"/>
    <w:rsid w:val="0058219C"/>
    <w:rsid w:val="00582842"/>
    <w:rsid w:val="00584EB5"/>
    <w:rsid w:val="00586505"/>
    <w:rsid w:val="0058707F"/>
    <w:rsid w:val="00591DBD"/>
    <w:rsid w:val="005931FE"/>
    <w:rsid w:val="00594088"/>
    <w:rsid w:val="0059508E"/>
    <w:rsid w:val="00596059"/>
    <w:rsid w:val="00596243"/>
    <w:rsid w:val="005A0028"/>
    <w:rsid w:val="005A03CD"/>
    <w:rsid w:val="005A04FB"/>
    <w:rsid w:val="005A0ACC"/>
    <w:rsid w:val="005A1548"/>
    <w:rsid w:val="005A1AF9"/>
    <w:rsid w:val="005A2F7A"/>
    <w:rsid w:val="005A34CE"/>
    <w:rsid w:val="005A3749"/>
    <w:rsid w:val="005A4A8F"/>
    <w:rsid w:val="005A7716"/>
    <w:rsid w:val="005A7FAE"/>
    <w:rsid w:val="005B0072"/>
    <w:rsid w:val="005B0473"/>
    <w:rsid w:val="005B0732"/>
    <w:rsid w:val="005B38A0"/>
    <w:rsid w:val="005B45D2"/>
    <w:rsid w:val="005B491C"/>
    <w:rsid w:val="005B4DBF"/>
    <w:rsid w:val="005B5DE2"/>
    <w:rsid w:val="005B674C"/>
    <w:rsid w:val="005B79FB"/>
    <w:rsid w:val="005C020C"/>
    <w:rsid w:val="005C17BD"/>
    <w:rsid w:val="005C24F2"/>
    <w:rsid w:val="005C7561"/>
    <w:rsid w:val="005D1E57"/>
    <w:rsid w:val="005D2F57"/>
    <w:rsid w:val="005D34F6"/>
    <w:rsid w:val="005D4F1A"/>
    <w:rsid w:val="005D5B80"/>
    <w:rsid w:val="005D6AD6"/>
    <w:rsid w:val="005E00A9"/>
    <w:rsid w:val="005E0FFB"/>
    <w:rsid w:val="005E1884"/>
    <w:rsid w:val="005E22DE"/>
    <w:rsid w:val="005F0FDD"/>
    <w:rsid w:val="005F21E6"/>
    <w:rsid w:val="005F23F8"/>
    <w:rsid w:val="005F373A"/>
    <w:rsid w:val="005F4F87"/>
    <w:rsid w:val="005F5177"/>
    <w:rsid w:val="005F6B0E"/>
    <w:rsid w:val="005F760E"/>
    <w:rsid w:val="005F7B1D"/>
    <w:rsid w:val="005F7EE1"/>
    <w:rsid w:val="00600903"/>
    <w:rsid w:val="00600C78"/>
    <w:rsid w:val="00601483"/>
    <w:rsid w:val="0060222A"/>
    <w:rsid w:val="00603B08"/>
    <w:rsid w:val="006070C4"/>
    <w:rsid w:val="00610C21"/>
    <w:rsid w:val="00611907"/>
    <w:rsid w:val="00612DFB"/>
    <w:rsid w:val="00613116"/>
    <w:rsid w:val="00614B76"/>
    <w:rsid w:val="0061640D"/>
    <w:rsid w:val="00617D1A"/>
    <w:rsid w:val="006202A6"/>
    <w:rsid w:val="0062054B"/>
    <w:rsid w:val="00620926"/>
    <w:rsid w:val="0062112D"/>
    <w:rsid w:val="00621C4E"/>
    <w:rsid w:val="00622559"/>
    <w:rsid w:val="00623D39"/>
    <w:rsid w:val="00624B92"/>
    <w:rsid w:val="00624EAE"/>
    <w:rsid w:val="006305D7"/>
    <w:rsid w:val="00630A9A"/>
    <w:rsid w:val="00630D99"/>
    <w:rsid w:val="00631151"/>
    <w:rsid w:val="006322F2"/>
    <w:rsid w:val="00632F63"/>
    <w:rsid w:val="00633411"/>
    <w:rsid w:val="00633A01"/>
    <w:rsid w:val="00633B97"/>
    <w:rsid w:val="00633E30"/>
    <w:rsid w:val="006341F7"/>
    <w:rsid w:val="00634545"/>
    <w:rsid w:val="00634585"/>
    <w:rsid w:val="00634CEA"/>
    <w:rsid w:val="00635014"/>
    <w:rsid w:val="006369CE"/>
    <w:rsid w:val="00640CA2"/>
    <w:rsid w:val="006411CA"/>
    <w:rsid w:val="006450C9"/>
    <w:rsid w:val="00645317"/>
    <w:rsid w:val="00645698"/>
    <w:rsid w:val="0064605E"/>
    <w:rsid w:val="006469C0"/>
    <w:rsid w:val="00647F74"/>
    <w:rsid w:val="00650083"/>
    <w:rsid w:val="00653C24"/>
    <w:rsid w:val="00654AA3"/>
    <w:rsid w:val="00655B69"/>
    <w:rsid w:val="00655FCB"/>
    <w:rsid w:val="00656DCB"/>
    <w:rsid w:val="00657BC4"/>
    <w:rsid w:val="00657E45"/>
    <w:rsid w:val="0066125E"/>
    <w:rsid w:val="006619C8"/>
    <w:rsid w:val="00664D6F"/>
    <w:rsid w:val="00666800"/>
    <w:rsid w:val="006676F1"/>
    <w:rsid w:val="00670060"/>
    <w:rsid w:val="0067018B"/>
    <w:rsid w:val="00671710"/>
    <w:rsid w:val="00672F49"/>
    <w:rsid w:val="00673356"/>
    <w:rsid w:val="00673414"/>
    <w:rsid w:val="00674047"/>
    <w:rsid w:val="00676079"/>
    <w:rsid w:val="00676ECD"/>
    <w:rsid w:val="00677D0A"/>
    <w:rsid w:val="00677D80"/>
    <w:rsid w:val="00677DD9"/>
    <w:rsid w:val="0068185F"/>
    <w:rsid w:val="0068634C"/>
    <w:rsid w:val="00694CD7"/>
    <w:rsid w:val="00695232"/>
    <w:rsid w:val="006960CE"/>
    <w:rsid w:val="00697084"/>
    <w:rsid w:val="006A01CF"/>
    <w:rsid w:val="006A3193"/>
    <w:rsid w:val="006A3867"/>
    <w:rsid w:val="006A5B7A"/>
    <w:rsid w:val="006A60DD"/>
    <w:rsid w:val="006A68D2"/>
    <w:rsid w:val="006A71C2"/>
    <w:rsid w:val="006A7A8E"/>
    <w:rsid w:val="006B0679"/>
    <w:rsid w:val="006B074C"/>
    <w:rsid w:val="006B14AD"/>
    <w:rsid w:val="006B3041"/>
    <w:rsid w:val="006B3B84"/>
    <w:rsid w:val="006B4BB0"/>
    <w:rsid w:val="006B4E7C"/>
    <w:rsid w:val="006B5D47"/>
    <w:rsid w:val="006B5D8C"/>
    <w:rsid w:val="006B72D4"/>
    <w:rsid w:val="006C11CC"/>
    <w:rsid w:val="006C1AEB"/>
    <w:rsid w:val="006C21AA"/>
    <w:rsid w:val="006C5667"/>
    <w:rsid w:val="006C57FE"/>
    <w:rsid w:val="006C6586"/>
    <w:rsid w:val="006C668E"/>
    <w:rsid w:val="006C7ECB"/>
    <w:rsid w:val="006D016F"/>
    <w:rsid w:val="006D07E1"/>
    <w:rsid w:val="006D47C7"/>
    <w:rsid w:val="006D636B"/>
    <w:rsid w:val="006E3AC6"/>
    <w:rsid w:val="006E4B63"/>
    <w:rsid w:val="006F035E"/>
    <w:rsid w:val="006F06E4"/>
    <w:rsid w:val="006F13AE"/>
    <w:rsid w:val="006F2B4B"/>
    <w:rsid w:val="006F331B"/>
    <w:rsid w:val="006F3DD6"/>
    <w:rsid w:val="006F759B"/>
    <w:rsid w:val="006F7B41"/>
    <w:rsid w:val="00700479"/>
    <w:rsid w:val="00700FA8"/>
    <w:rsid w:val="00702B5D"/>
    <w:rsid w:val="00702D43"/>
    <w:rsid w:val="00703ED2"/>
    <w:rsid w:val="00703FF7"/>
    <w:rsid w:val="00704D47"/>
    <w:rsid w:val="00704FBF"/>
    <w:rsid w:val="00705C03"/>
    <w:rsid w:val="00706E68"/>
    <w:rsid w:val="00707B8D"/>
    <w:rsid w:val="00711C28"/>
    <w:rsid w:val="00713636"/>
    <w:rsid w:val="00714B8C"/>
    <w:rsid w:val="00715834"/>
    <w:rsid w:val="0071675D"/>
    <w:rsid w:val="00717736"/>
    <w:rsid w:val="00721B0B"/>
    <w:rsid w:val="00723A1E"/>
    <w:rsid w:val="0072444F"/>
    <w:rsid w:val="00726272"/>
    <w:rsid w:val="00727A4D"/>
    <w:rsid w:val="00732632"/>
    <w:rsid w:val="00732B47"/>
    <w:rsid w:val="00733A70"/>
    <w:rsid w:val="0073485F"/>
    <w:rsid w:val="00735CF5"/>
    <w:rsid w:val="00735F55"/>
    <w:rsid w:val="00740218"/>
    <w:rsid w:val="0074063A"/>
    <w:rsid w:val="0074066C"/>
    <w:rsid w:val="00741EA6"/>
    <w:rsid w:val="00742AA4"/>
    <w:rsid w:val="00743BA1"/>
    <w:rsid w:val="007447D5"/>
    <w:rsid w:val="00744ED2"/>
    <w:rsid w:val="00745453"/>
    <w:rsid w:val="00745F1E"/>
    <w:rsid w:val="007466DB"/>
    <w:rsid w:val="007515FE"/>
    <w:rsid w:val="00755307"/>
    <w:rsid w:val="00755854"/>
    <w:rsid w:val="007601D0"/>
    <w:rsid w:val="007603BB"/>
    <w:rsid w:val="00760580"/>
    <w:rsid w:val="0076101A"/>
    <w:rsid w:val="0076109D"/>
    <w:rsid w:val="00764875"/>
    <w:rsid w:val="00767107"/>
    <w:rsid w:val="00770CC6"/>
    <w:rsid w:val="0077214E"/>
    <w:rsid w:val="00773617"/>
    <w:rsid w:val="00773BFD"/>
    <w:rsid w:val="007743B3"/>
    <w:rsid w:val="00774490"/>
    <w:rsid w:val="0077581E"/>
    <w:rsid w:val="007768F3"/>
    <w:rsid w:val="00777229"/>
    <w:rsid w:val="00777D11"/>
    <w:rsid w:val="007819FF"/>
    <w:rsid w:val="00782245"/>
    <w:rsid w:val="0078360C"/>
    <w:rsid w:val="00783E77"/>
    <w:rsid w:val="0078480F"/>
    <w:rsid w:val="00784A4C"/>
    <w:rsid w:val="00784BC6"/>
    <w:rsid w:val="0078523D"/>
    <w:rsid w:val="0078599F"/>
    <w:rsid w:val="00791344"/>
    <w:rsid w:val="00791BC6"/>
    <w:rsid w:val="007923EC"/>
    <w:rsid w:val="007931DF"/>
    <w:rsid w:val="007944FA"/>
    <w:rsid w:val="00794E61"/>
    <w:rsid w:val="00797420"/>
    <w:rsid w:val="007A0172"/>
    <w:rsid w:val="007A1804"/>
    <w:rsid w:val="007A201A"/>
    <w:rsid w:val="007A215A"/>
    <w:rsid w:val="007A2511"/>
    <w:rsid w:val="007A260E"/>
    <w:rsid w:val="007A2DD0"/>
    <w:rsid w:val="007A2E13"/>
    <w:rsid w:val="007A4D4C"/>
    <w:rsid w:val="007A4DD6"/>
    <w:rsid w:val="007A5CB9"/>
    <w:rsid w:val="007A6DFC"/>
    <w:rsid w:val="007A7BDE"/>
    <w:rsid w:val="007B20AE"/>
    <w:rsid w:val="007B273F"/>
    <w:rsid w:val="007B536B"/>
    <w:rsid w:val="007B6B07"/>
    <w:rsid w:val="007B6D43"/>
    <w:rsid w:val="007B749A"/>
    <w:rsid w:val="007B7C6E"/>
    <w:rsid w:val="007C2F4B"/>
    <w:rsid w:val="007C52A0"/>
    <w:rsid w:val="007D1CE3"/>
    <w:rsid w:val="007D44D7"/>
    <w:rsid w:val="007D621A"/>
    <w:rsid w:val="007D62AB"/>
    <w:rsid w:val="007D7B3A"/>
    <w:rsid w:val="007E058A"/>
    <w:rsid w:val="007E1EA0"/>
    <w:rsid w:val="007E26E3"/>
    <w:rsid w:val="007E2887"/>
    <w:rsid w:val="007E5278"/>
    <w:rsid w:val="007E69FC"/>
    <w:rsid w:val="007E749C"/>
    <w:rsid w:val="007F1B4B"/>
    <w:rsid w:val="007F1B5C"/>
    <w:rsid w:val="007F260E"/>
    <w:rsid w:val="007F6525"/>
    <w:rsid w:val="007F6FC8"/>
    <w:rsid w:val="007F77DC"/>
    <w:rsid w:val="00801257"/>
    <w:rsid w:val="00803B0A"/>
    <w:rsid w:val="00804DED"/>
    <w:rsid w:val="00805B96"/>
    <w:rsid w:val="00807CB5"/>
    <w:rsid w:val="008104DE"/>
    <w:rsid w:val="008105BE"/>
    <w:rsid w:val="008115A5"/>
    <w:rsid w:val="00811D46"/>
    <w:rsid w:val="00811D56"/>
    <w:rsid w:val="0081415D"/>
    <w:rsid w:val="00816B06"/>
    <w:rsid w:val="00820229"/>
    <w:rsid w:val="0082197B"/>
    <w:rsid w:val="00822448"/>
    <w:rsid w:val="00822ABE"/>
    <w:rsid w:val="008244D1"/>
    <w:rsid w:val="00824505"/>
    <w:rsid w:val="00824E7E"/>
    <w:rsid w:val="00825DCC"/>
    <w:rsid w:val="00826856"/>
    <w:rsid w:val="008269E7"/>
    <w:rsid w:val="0082761F"/>
    <w:rsid w:val="00827F51"/>
    <w:rsid w:val="0083104E"/>
    <w:rsid w:val="008322EB"/>
    <w:rsid w:val="00833975"/>
    <w:rsid w:val="008343BE"/>
    <w:rsid w:val="00836535"/>
    <w:rsid w:val="00836AA6"/>
    <w:rsid w:val="00840CBB"/>
    <w:rsid w:val="00840FB4"/>
    <w:rsid w:val="008410B2"/>
    <w:rsid w:val="00841780"/>
    <w:rsid w:val="0084388F"/>
    <w:rsid w:val="00844221"/>
    <w:rsid w:val="00844CFD"/>
    <w:rsid w:val="008500A0"/>
    <w:rsid w:val="008524E5"/>
    <w:rsid w:val="0085351C"/>
    <w:rsid w:val="0085435A"/>
    <w:rsid w:val="008549CA"/>
    <w:rsid w:val="008556C3"/>
    <w:rsid w:val="00855942"/>
    <w:rsid w:val="00856558"/>
    <w:rsid w:val="0085687C"/>
    <w:rsid w:val="00856AD8"/>
    <w:rsid w:val="008611C1"/>
    <w:rsid w:val="00861F69"/>
    <w:rsid w:val="00862A7A"/>
    <w:rsid w:val="00864A03"/>
    <w:rsid w:val="00867B11"/>
    <w:rsid w:val="008705FC"/>
    <w:rsid w:val="008706C5"/>
    <w:rsid w:val="00870A6A"/>
    <w:rsid w:val="00871E72"/>
    <w:rsid w:val="00873707"/>
    <w:rsid w:val="00874263"/>
    <w:rsid w:val="00874B20"/>
    <w:rsid w:val="008757C6"/>
    <w:rsid w:val="008763E1"/>
    <w:rsid w:val="0087775C"/>
    <w:rsid w:val="00877EC8"/>
    <w:rsid w:val="00880F36"/>
    <w:rsid w:val="008811EE"/>
    <w:rsid w:val="00882050"/>
    <w:rsid w:val="00882121"/>
    <w:rsid w:val="0088263C"/>
    <w:rsid w:val="00885530"/>
    <w:rsid w:val="0088689C"/>
    <w:rsid w:val="00887291"/>
    <w:rsid w:val="008910D1"/>
    <w:rsid w:val="00891C66"/>
    <w:rsid w:val="0089241E"/>
    <w:rsid w:val="0089296C"/>
    <w:rsid w:val="0089360B"/>
    <w:rsid w:val="00894E61"/>
    <w:rsid w:val="0089523D"/>
    <w:rsid w:val="00896ABD"/>
    <w:rsid w:val="00897AB6"/>
    <w:rsid w:val="00897DA8"/>
    <w:rsid w:val="008A053D"/>
    <w:rsid w:val="008A16E5"/>
    <w:rsid w:val="008A3380"/>
    <w:rsid w:val="008A7A9C"/>
    <w:rsid w:val="008B4F85"/>
    <w:rsid w:val="008B5218"/>
    <w:rsid w:val="008B5993"/>
    <w:rsid w:val="008B7102"/>
    <w:rsid w:val="008B75DE"/>
    <w:rsid w:val="008B7AF8"/>
    <w:rsid w:val="008B7D93"/>
    <w:rsid w:val="008C0293"/>
    <w:rsid w:val="008C2825"/>
    <w:rsid w:val="008C3B7D"/>
    <w:rsid w:val="008C464C"/>
    <w:rsid w:val="008C61F8"/>
    <w:rsid w:val="008C626F"/>
    <w:rsid w:val="008C6423"/>
    <w:rsid w:val="008C64E6"/>
    <w:rsid w:val="008C6646"/>
    <w:rsid w:val="008C790E"/>
    <w:rsid w:val="008C7C7B"/>
    <w:rsid w:val="008D0F90"/>
    <w:rsid w:val="008D3715"/>
    <w:rsid w:val="008D45CB"/>
    <w:rsid w:val="008D4B31"/>
    <w:rsid w:val="008D4C29"/>
    <w:rsid w:val="008D4C93"/>
    <w:rsid w:val="008D5465"/>
    <w:rsid w:val="008D5AAC"/>
    <w:rsid w:val="008D5E61"/>
    <w:rsid w:val="008D7EB7"/>
    <w:rsid w:val="008D7EC5"/>
    <w:rsid w:val="008E2965"/>
    <w:rsid w:val="008E3684"/>
    <w:rsid w:val="008E4A59"/>
    <w:rsid w:val="008E57F5"/>
    <w:rsid w:val="008E7606"/>
    <w:rsid w:val="008F1DAA"/>
    <w:rsid w:val="008F3EBD"/>
    <w:rsid w:val="008F60B2"/>
    <w:rsid w:val="008F6EBB"/>
    <w:rsid w:val="008F7C41"/>
    <w:rsid w:val="00901C70"/>
    <w:rsid w:val="009031E2"/>
    <w:rsid w:val="00903F7E"/>
    <w:rsid w:val="009107EB"/>
    <w:rsid w:val="0091276C"/>
    <w:rsid w:val="00912E48"/>
    <w:rsid w:val="009134C1"/>
    <w:rsid w:val="009145BE"/>
    <w:rsid w:val="009165AC"/>
    <w:rsid w:val="00916FFC"/>
    <w:rsid w:val="0091778C"/>
    <w:rsid w:val="0092053F"/>
    <w:rsid w:val="009219D7"/>
    <w:rsid w:val="00923259"/>
    <w:rsid w:val="0092340A"/>
    <w:rsid w:val="0092534B"/>
    <w:rsid w:val="009268CF"/>
    <w:rsid w:val="0092769D"/>
    <w:rsid w:val="009278BC"/>
    <w:rsid w:val="009302D1"/>
    <w:rsid w:val="009313D9"/>
    <w:rsid w:val="00932051"/>
    <w:rsid w:val="009340FF"/>
    <w:rsid w:val="00935B7F"/>
    <w:rsid w:val="00941293"/>
    <w:rsid w:val="009440E3"/>
    <w:rsid w:val="00944660"/>
    <w:rsid w:val="00946372"/>
    <w:rsid w:val="0095032B"/>
    <w:rsid w:val="009505B6"/>
    <w:rsid w:val="00950B13"/>
    <w:rsid w:val="00950C17"/>
    <w:rsid w:val="00951DAD"/>
    <w:rsid w:val="00951FAF"/>
    <w:rsid w:val="00953B3E"/>
    <w:rsid w:val="00954740"/>
    <w:rsid w:val="00954EF9"/>
    <w:rsid w:val="009557BC"/>
    <w:rsid w:val="00955AE5"/>
    <w:rsid w:val="00957383"/>
    <w:rsid w:val="009579A6"/>
    <w:rsid w:val="00962E71"/>
    <w:rsid w:val="00963ABC"/>
    <w:rsid w:val="00963DDB"/>
    <w:rsid w:val="00965D21"/>
    <w:rsid w:val="00966737"/>
    <w:rsid w:val="00966D09"/>
    <w:rsid w:val="00966D8C"/>
    <w:rsid w:val="00967764"/>
    <w:rsid w:val="009704FB"/>
    <w:rsid w:val="00970B0E"/>
    <w:rsid w:val="00970BB9"/>
    <w:rsid w:val="009724BD"/>
    <w:rsid w:val="009726EE"/>
    <w:rsid w:val="00972CDE"/>
    <w:rsid w:val="009733DD"/>
    <w:rsid w:val="00974BBE"/>
    <w:rsid w:val="00975573"/>
    <w:rsid w:val="00975A60"/>
    <w:rsid w:val="00976D03"/>
    <w:rsid w:val="00977B30"/>
    <w:rsid w:val="00980DFD"/>
    <w:rsid w:val="009813D1"/>
    <w:rsid w:val="00982F41"/>
    <w:rsid w:val="0098335E"/>
    <w:rsid w:val="00984A23"/>
    <w:rsid w:val="00984D5B"/>
    <w:rsid w:val="00985090"/>
    <w:rsid w:val="00986D62"/>
    <w:rsid w:val="00987710"/>
    <w:rsid w:val="009904AB"/>
    <w:rsid w:val="0099387E"/>
    <w:rsid w:val="0099482A"/>
    <w:rsid w:val="00995688"/>
    <w:rsid w:val="009958A6"/>
    <w:rsid w:val="00996456"/>
    <w:rsid w:val="009A04F5"/>
    <w:rsid w:val="009A08FD"/>
    <w:rsid w:val="009A0919"/>
    <w:rsid w:val="009A0FAE"/>
    <w:rsid w:val="009A15EF"/>
    <w:rsid w:val="009A38A5"/>
    <w:rsid w:val="009A5A57"/>
    <w:rsid w:val="009A5B73"/>
    <w:rsid w:val="009A7744"/>
    <w:rsid w:val="009B118B"/>
    <w:rsid w:val="009B1737"/>
    <w:rsid w:val="009B3642"/>
    <w:rsid w:val="009B3D4B"/>
    <w:rsid w:val="009B4E63"/>
    <w:rsid w:val="009B5B99"/>
    <w:rsid w:val="009B62FC"/>
    <w:rsid w:val="009B63B5"/>
    <w:rsid w:val="009B6EFC"/>
    <w:rsid w:val="009B760F"/>
    <w:rsid w:val="009C1A06"/>
    <w:rsid w:val="009C1FD0"/>
    <w:rsid w:val="009C2DF8"/>
    <w:rsid w:val="009C31BF"/>
    <w:rsid w:val="009C68B7"/>
    <w:rsid w:val="009D0834"/>
    <w:rsid w:val="009D095A"/>
    <w:rsid w:val="009D0A1E"/>
    <w:rsid w:val="009D2AE3"/>
    <w:rsid w:val="009D52BC"/>
    <w:rsid w:val="009D7D0A"/>
    <w:rsid w:val="009E09D9"/>
    <w:rsid w:val="009E3FF4"/>
    <w:rsid w:val="009E7D6F"/>
    <w:rsid w:val="009F01B1"/>
    <w:rsid w:val="009F0DBB"/>
    <w:rsid w:val="009F3887"/>
    <w:rsid w:val="009F40DC"/>
    <w:rsid w:val="009F659A"/>
    <w:rsid w:val="009F732B"/>
    <w:rsid w:val="00A007AF"/>
    <w:rsid w:val="00A00BC5"/>
    <w:rsid w:val="00A00EE6"/>
    <w:rsid w:val="00A01525"/>
    <w:rsid w:val="00A01FE0"/>
    <w:rsid w:val="00A02CD1"/>
    <w:rsid w:val="00A06945"/>
    <w:rsid w:val="00A10656"/>
    <w:rsid w:val="00A113C0"/>
    <w:rsid w:val="00A12FA6"/>
    <w:rsid w:val="00A132C2"/>
    <w:rsid w:val="00A1339B"/>
    <w:rsid w:val="00A14ABA"/>
    <w:rsid w:val="00A20732"/>
    <w:rsid w:val="00A22791"/>
    <w:rsid w:val="00A22B30"/>
    <w:rsid w:val="00A24CB6"/>
    <w:rsid w:val="00A25865"/>
    <w:rsid w:val="00A26CD2"/>
    <w:rsid w:val="00A27667"/>
    <w:rsid w:val="00A32979"/>
    <w:rsid w:val="00A34A67"/>
    <w:rsid w:val="00A37078"/>
    <w:rsid w:val="00A3707C"/>
    <w:rsid w:val="00A37462"/>
    <w:rsid w:val="00A441C3"/>
    <w:rsid w:val="00A459E1"/>
    <w:rsid w:val="00A46AC4"/>
    <w:rsid w:val="00A46BB6"/>
    <w:rsid w:val="00A478A5"/>
    <w:rsid w:val="00A51ED5"/>
    <w:rsid w:val="00A52296"/>
    <w:rsid w:val="00A55661"/>
    <w:rsid w:val="00A60417"/>
    <w:rsid w:val="00A61B70"/>
    <w:rsid w:val="00A61FA8"/>
    <w:rsid w:val="00A637F4"/>
    <w:rsid w:val="00A63FA7"/>
    <w:rsid w:val="00A64DF2"/>
    <w:rsid w:val="00A65485"/>
    <w:rsid w:val="00A66E05"/>
    <w:rsid w:val="00A67655"/>
    <w:rsid w:val="00A7023E"/>
    <w:rsid w:val="00A70753"/>
    <w:rsid w:val="00A712D2"/>
    <w:rsid w:val="00A72172"/>
    <w:rsid w:val="00A8044F"/>
    <w:rsid w:val="00A809A6"/>
    <w:rsid w:val="00A80F3B"/>
    <w:rsid w:val="00A82C8A"/>
    <w:rsid w:val="00A8346B"/>
    <w:rsid w:val="00A84F14"/>
    <w:rsid w:val="00A852FF"/>
    <w:rsid w:val="00A87337"/>
    <w:rsid w:val="00A873A9"/>
    <w:rsid w:val="00A90C97"/>
    <w:rsid w:val="00A92DDC"/>
    <w:rsid w:val="00A9444E"/>
    <w:rsid w:val="00A94F5F"/>
    <w:rsid w:val="00A960C8"/>
    <w:rsid w:val="00A96604"/>
    <w:rsid w:val="00A97C0E"/>
    <w:rsid w:val="00AA03DF"/>
    <w:rsid w:val="00AA185B"/>
    <w:rsid w:val="00AA1B4F"/>
    <w:rsid w:val="00AA21D8"/>
    <w:rsid w:val="00AA271A"/>
    <w:rsid w:val="00AA3270"/>
    <w:rsid w:val="00AA375A"/>
    <w:rsid w:val="00AA3B2A"/>
    <w:rsid w:val="00AA54F3"/>
    <w:rsid w:val="00AA630A"/>
    <w:rsid w:val="00AA6B43"/>
    <w:rsid w:val="00AA720D"/>
    <w:rsid w:val="00AA79FC"/>
    <w:rsid w:val="00AA7B1F"/>
    <w:rsid w:val="00AB0B88"/>
    <w:rsid w:val="00AB0F4A"/>
    <w:rsid w:val="00AB2347"/>
    <w:rsid w:val="00AB3145"/>
    <w:rsid w:val="00AB367A"/>
    <w:rsid w:val="00AB545D"/>
    <w:rsid w:val="00AB7BF8"/>
    <w:rsid w:val="00AC01D1"/>
    <w:rsid w:val="00AC03B7"/>
    <w:rsid w:val="00AC0AAF"/>
    <w:rsid w:val="00AC0AB2"/>
    <w:rsid w:val="00AC0E9F"/>
    <w:rsid w:val="00AC258A"/>
    <w:rsid w:val="00AC498F"/>
    <w:rsid w:val="00AC52A5"/>
    <w:rsid w:val="00AC6EFD"/>
    <w:rsid w:val="00AC7151"/>
    <w:rsid w:val="00AD1DFC"/>
    <w:rsid w:val="00AD286E"/>
    <w:rsid w:val="00AD3565"/>
    <w:rsid w:val="00AD460A"/>
    <w:rsid w:val="00AD53CC"/>
    <w:rsid w:val="00AD6A05"/>
    <w:rsid w:val="00AD7558"/>
    <w:rsid w:val="00AE05F1"/>
    <w:rsid w:val="00AE0792"/>
    <w:rsid w:val="00AE118B"/>
    <w:rsid w:val="00AE15DD"/>
    <w:rsid w:val="00AE15F2"/>
    <w:rsid w:val="00AE272B"/>
    <w:rsid w:val="00AE30FD"/>
    <w:rsid w:val="00AE3E3A"/>
    <w:rsid w:val="00AE5DA4"/>
    <w:rsid w:val="00AE77B4"/>
    <w:rsid w:val="00AE7C1A"/>
    <w:rsid w:val="00AE7DF8"/>
    <w:rsid w:val="00AF0D9C"/>
    <w:rsid w:val="00AF13AB"/>
    <w:rsid w:val="00AF1D36"/>
    <w:rsid w:val="00AF2411"/>
    <w:rsid w:val="00AF280B"/>
    <w:rsid w:val="00AF3F6F"/>
    <w:rsid w:val="00AF5F75"/>
    <w:rsid w:val="00AF6001"/>
    <w:rsid w:val="00B00B72"/>
    <w:rsid w:val="00B00E9C"/>
    <w:rsid w:val="00B01A16"/>
    <w:rsid w:val="00B044F1"/>
    <w:rsid w:val="00B04FFA"/>
    <w:rsid w:val="00B062D6"/>
    <w:rsid w:val="00B079FE"/>
    <w:rsid w:val="00B07F45"/>
    <w:rsid w:val="00B1021A"/>
    <w:rsid w:val="00B10271"/>
    <w:rsid w:val="00B109CF"/>
    <w:rsid w:val="00B11729"/>
    <w:rsid w:val="00B129F2"/>
    <w:rsid w:val="00B140D9"/>
    <w:rsid w:val="00B14375"/>
    <w:rsid w:val="00B1481A"/>
    <w:rsid w:val="00B153E5"/>
    <w:rsid w:val="00B15870"/>
    <w:rsid w:val="00B15A1F"/>
    <w:rsid w:val="00B15FE9"/>
    <w:rsid w:val="00B165E9"/>
    <w:rsid w:val="00B16E80"/>
    <w:rsid w:val="00B2148A"/>
    <w:rsid w:val="00B220C2"/>
    <w:rsid w:val="00B22252"/>
    <w:rsid w:val="00B2276E"/>
    <w:rsid w:val="00B25B32"/>
    <w:rsid w:val="00B26542"/>
    <w:rsid w:val="00B32616"/>
    <w:rsid w:val="00B34D43"/>
    <w:rsid w:val="00B350C9"/>
    <w:rsid w:val="00B36AF0"/>
    <w:rsid w:val="00B36C42"/>
    <w:rsid w:val="00B374E4"/>
    <w:rsid w:val="00B42EA7"/>
    <w:rsid w:val="00B51845"/>
    <w:rsid w:val="00B51923"/>
    <w:rsid w:val="00B51B91"/>
    <w:rsid w:val="00B5337C"/>
    <w:rsid w:val="00B53FDE"/>
    <w:rsid w:val="00B56397"/>
    <w:rsid w:val="00B56765"/>
    <w:rsid w:val="00B571DA"/>
    <w:rsid w:val="00B6027B"/>
    <w:rsid w:val="00B604BE"/>
    <w:rsid w:val="00B6070F"/>
    <w:rsid w:val="00B62F15"/>
    <w:rsid w:val="00B636C8"/>
    <w:rsid w:val="00B65EDB"/>
    <w:rsid w:val="00B6617B"/>
    <w:rsid w:val="00B67AFF"/>
    <w:rsid w:val="00B67C41"/>
    <w:rsid w:val="00B700D7"/>
    <w:rsid w:val="00B70B59"/>
    <w:rsid w:val="00B7106D"/>
    <w:rsid w:val="00B71A81"/>
    <w:rsid w:val="00B7362A"/>
    <w:rsid w:val="00B73657"/>
    <w:rsid w:val="00B739B3"/>
    <w:rsid w:val="00B74C19"/>
    <w:rsid w:val="00B76A3E"/>
    <w:rsid w:val="00B81B15"/>
    <w:rsid w:val="00B826AC"/>
    <w:rsid w:val="00B83437"/>
    <w:rsid w:val="00B83630"/>
    <w:rsid w:val="00B907EC"/>
    <w:rsid w:val="00B915AE"/>
    <w:rsid w:val="00B91D61"/>
    <w:rsid w:val="00B924B8"/>
    <w:rsid w:val="00B95326"/>
    <w:rsid w:val="00B95AF3"/>
    <w:rsid w:val="00BA1735"/>
    <w:rsid w:val="00BA19FA"/>
    <w:rsid w:val="00BA4288"/>
    <w:rsid w:val="00BA550D"/>
    <w:rsid w:val="00BA75AC"/>
    <w:rsid w:val="00BB0902"/>
    <w:rsid w:val="00BB1A57"/>
    <w:rsid w:val="00BB1F9C"/>
    <w:rsid w:val="00BB48E5"/>
    <w:rsid w:val="00BB5607"/>
    <w:rsid w:val="00BB5ACA"/>
    <w:rsid w:val="00BB627F"/>
    <w:rsid w:val="00BB64D0"/>
    <w:rsid w:val="00BC0C17"/>
    <w:rsid w:val="00BC15E2"/>
    <w:rsid w:val="00BC2F04"/>
    <w:rsid w:val="00BC3823"/>
    <w:rsid w:val="00BC5841"/>
    <w:rsid w:val="00BC5E38"/>
    <w:rsid w:val="00BC6968"/>
    <w:rsid w:val="00BC7A1B"/>
    <w:rsid w:val="00BD201A"/>
    <w:rsid w:val="00BD22BF"/>
    <w:rsid w:val="00BD2DC4"/>
    <w:rsid w:val="00BD2EF0"/>
    <w:rsid w:val="00BD45E9"/>
    <w:rsid w:val="00BD60B4"/>
    <w:rsid w:val="00BD790C"/>
    <w:rsid w:val="00BD796B"/>
    <w:rsid w:val="00BE1D00"/>
    <w:rsid w:val="00BE3AC9"/>
    <w:rsid w:val="00BE40C0"/>
    <w:rsid w:val="00BE445C"/>
    <w:rsid w:val="00BE5F4A"/>
    <w:rsid w:val="00BE73CB"/>
    <w:rsid w:val="00BE73EB"/>
    <w:rsid w:val="00BE7AEF"/>
    <w:rsid w:val="00BE7B79"/>
    <w:rsid w:val="00BF01B3"/>
    <w:rsid w:val="00BF09B0"/>
    <w:rsid w:val="00BF1544"/>
    <w:rsid w:val="00BF1B53"/>
    <w:rsid w:val="00BF246D"/>
    <w:rsid w:val="00BF2682"/>
    <w:rsid w:val="00BF49CD"/>
    <w:rsid w:val="00C01A0D"/>
    <w:rsid w:val="00C03740"/>
    <w:rsid w:val="00C05413"/>
    <w:rsid w:val="00C05D46"/>
    <w:rsid w:val="00C06F06"/>
    <w:rsid w:val="00C16736"/>
    <w:rsid w:val="00C17BFF"/>
    <w:rsid w:val="00C20FAD"/>
    <w:rsid w:val="00C225F1"/>
    <w:rsid w:val="00C2375F"/>
    <w:rsid w:val="00C245BC"/>
    <w:rsid w:val="00C247CB"/>
    <w:rsid w:val="00C27396"/>
    <w:rsid w:val="00C32E66"/>
    <w:rsid w:val="00C3355F"/>
    <w:rsid w:val="00C33A04"/>
    <w:rsid w:val="00C3569A"/>
    <w:rsid w:val="00C43CD5"/>
    <w:rsid w:val="00C43F48"/>
    <w:rsid w:val="00C448AD"/>
    <w:rsid w:val="00C448FF"/>
    <w:rsid w:val="00C45158"/>
    <w:rsid w:val="00C45E57"/>
    <w:rsid w:val="00C46D3E"/>
    <w:rsid w:val="00C52F29"/>
    <w:rsid w:val="00C55592"/>
    <w:rsid w:val="00C56520"/>
    <w:rsid w:val="00C56CE6"/>
    <w:rsid w:val="00C5745F"/>
    <w:rsid w:val="00C579FF"/>
    <w:rsid w:val="00C60005"/>
    <w:rsid w:val="00C60BFF"/>
    <w:rsid w:val="00C60CB7"/>
    <w:rsid w:val="00C61204"/>
    <w:rsid w:val="00C61A98"/>
    <w:rsid w:val="00C61F57"/>
    <w:rsid w:val="00C63201"/>
    <w:rsid w:val="00C64D2C"/>
    <w:rsid w:val="00C64E62"/>
    <w:rsid w:val="00C651D5"/>
    <w:rsid w:val="00C65CCC"/>
    <w:rsid w:val="00C65DA9"/>
    <w:rsid w:val="00C70E81"/>
    <w:rsid w:val="00C72A1D"/>
    <w:rsid w:val="00C72ACE"/>
    <w:rsid w:val="00C7618F"/>
    <w:rsid w:val="00C765A9"/>
    <w:rsid w:val="00C81157"/>
    <w:rsid w:val="00C81163"/>
    <w:rsid w:val="00C81203"/>
    <w:rsid w:val="00C8162D"/>
    <w:rsid w:val="00C830BB"/>
    <w:rsid w:val="00C83A0B"/>
    <w:rsid w:val="00C842D0"/>
    <w:rsid w:val="00C84ED1"/>
    <w:rsid w:val="00C863CC"/>
    <w:rsid w:val="00C86BCC"/>
    <w:rsid w:val="00C9038F"/>
    <w:rsid w:val="00C90C5A"/>
    <w:rsid w:val="00C9279E"/>
    <w:rsid w:val="00C92AAB"/>
    <w:rsid w:val="00C92AFC"/>
    <w:rsid w:val="00C93294"/>
    <w:rsid w:val="00C95D4C"/>
    <w:rsid w:val="00C96369"/>
    <w:rsid w:val="00C9637F"/>
    <w:rsid w:val="00C9708A"/>
    <w:rsid w:val="00CA0E8C"/>
    <w:rsid w:val="00CA1CC6"/>
    <w:rsid w:val="00CA2435"/>
    <w:rsid w:val="00CA4068"/>
    <w:rsid w:val="00CA433F"/>
    <w:rsid w:val="00CA67F4"/>
    <w:rsid w:val="00CA6A32"/>
    <w:rsid w:val="00CA73A2"/>
    <w:rsid w:val="00CA757F"/>
    <w:rsid w:val="00CB109B"/>
    <w:rsid w:val="00CB27A0"/>
    <w:rsid w:val="00CB37F8"/>
    <w:rsid w:val="00CB67D4"/>
    <w:rsid w:val="00CB7DC3"/>
    <w:rsid w:val="00CC150B"/>
    <w:rsid w:val="00CC3DF4"/>
    <w:rsid w:val="00CC5BE1"/>
    <w:rsid w:val="00CC75A2"/>
    <w:rsid w:val="00CC7A18"/>
    <w:rsid w:val="00CD00C6"/>
    <w:rsid w:val="00CD085B"/>
    <w:rsid w:val="00CD0E2F"/>
    <w:rsid w:val="00CD1D49"/>
    <w:rsid w:val="00CD2092"/>
    <w:rsid w:val="00CD2F20"/>
    <w:rsid w:val="00CD5328"/>
    <w:rsid w:val="00CD6485"/>
    <w:rsid w:val="00CD6B20"/>
    <w:rsid w:val="00CD7932"/>
    <w:rsid w:val="00CE1339"/>
    <w:rsid w:val="00CE1D79"/>
    <w:rsid w:val="00CE2C6E"/>
    <w:rsid w:val="00CE42D5"/>
    <w:rsid w:val="00CE4B2D"/>
    <w:rsid w:val="00CE61CC"/>
    <w:rsid w:val="00CE6E42"/>
    <w:rsid w:val="00CE7190"/>
    <w:rsid w:val="00CF1C04"/>
    <w:rsid w:val="00CF20B7"/>
    <w:rsid w:val="00CF283B"/>
    <w:rsid w:val="00CF451D"/>
    <w:rsid w:val="00CF4A86"/>
    <w:rsid w:val="00CF6692"/>
    <w:rsid w:val="00CF66FB"/>
    <w:rsid w:val="00CF7441"/>
    <w:rsid w:val="00CF7EA1"/>
    <w:rsid w:val="00D00D16"/>
    <w:rsid w:val="00D03C6C"/>
    <w:rsid w:val="00D04760"/>
    <w:rsid w:val="00D04A95"/>
    <w:rsid w:val="00D0524D"/>
    <w:rsid w:val="00D06288"/>
    <w:rsid w:val="00D068C7"/>
    <w:rsid w:val="00D071EE"/>
    <w:rsid w:val="00D07395"/>
    <w:rsid w:val="00D10EA9"/>
    <w:rsid w:val="00D11FBF"/>
    <w:rsid w:val="00D128A4"/>
    <w:rsid w:val="00D147C8"/>
    <w:rsid w:val="00D15131"/>
    <w:rsid w:val="00D15AD9"/>
    <w:rsid w:val="00D15D2B"/>
    <w:rsid w:val="00D16FA2"/>
    <w:rsid w:val="00D20954"/>
    <w:rsid w:val="00D21C39"/>
    <w:rsid w:val="00D21FC6"/>
    <w:rsid w:val="00D2243A"/>
    <w:rsid w:val="00D22D31"/>
    <w:rsid w:val="00D23FC8"/>
    <w:rsid w:val="00D24BA6"/>
    <w:rsid w:val="00D26C02"/>
    <w:rsid w:val="00D31830"/>
    <w:rsid w:val="00D322F2"/>
    <w:rsid w:val="00D32ADA"/>
    <w:rsid w:val="00D33393"/>
    <w:rsid w:val="00D33D36"/>
    <w:rsid w:val="00D33D84"/>
    <w:rsid w:val="00D34D94"/>
    <w:rsid w:val="00D35B53"/>
    <w:rsid w:val="00D366E3"/>
    <w:rsid w:val="00D409E2"/>
    <w:rsid w:val="00D427D7"/>
    <w:rsid w:val="00D43816"/>
    <w:rsid w:val="00D43DAA"/>
    <w:rsid w:val="00D44E62"/>
    <w:rsid w:val="00D50B06"/>
    <w:rsid w:val="00D50BD6"/>
    <w:rsid w:val="00D51570"/>
    <w:rsid w:val="00D53E51"/>
    <w:rsid w:val="00D54EFD"/>
    <w:rsid w:val="00D556AD"/>
    <w:rsid w:val="00D56C25"/>
    <w:rsid w:val="00D60381"/>
    <w:rsid w:val="00D616DE"/>
    <w:rsid w:val="00D61AA5"/>
    <w:rsid w:val="00D62201"/>
    <w:rsid w:val="00D63052"/>
    <w:rsid w:val="00D651D1"/>
    <w:rsid w:val="00D65EA4"/>
    <w:rsid w:val="00D70D27"/>
    <w:rsid w:val="00D717BB"/>
    <w:rsid w:val="00D7226B"/>
    <w:rsid w:val="00D72529"/>
    <w:rsid w:val="00D72707"/>
    <w:rsid w:val="00D73B7B"/>
    <w:rsid w:val="00D75A9C"/>
    <w:rsid w:val="00D8198C"/>
    <w:rsid w:val="00D829C8"/>
    <w:rsid w:val="00D82B9A"/>
    <w:rsid w:val="00D83DD2"/>
    <w:rsid w:val="00D83F24"/>
    <w:rsid w:val="00D86176"/>
    <w:rsid w:val="00D86945"/>
    <w:rsid w:val="00D86D61"/>
    <w:rsid w:val="00D87410"/>
    <w:rsid w:val="00D87917"/>
    <w:rsid w:val="00D906F9"/>
    <w:rsid w:val="00D90871"/>
    <w:rsid w:val="00D9102D"/>
    <w:rsid w:val="00D9155F"/>
    <w:rsid w:val="00D92568"/>
    <w:rsid w:val="00D9403F"/>
    <w:rsid w:val="00D959B4"/>
    <w:rsid w:val="00D95A46"/>
    <w:rsid w:val="00D97DDF"/>
    <w:rsid w:val="00DA3559"/>
    <w:rsid w:val="00DA44DE"/>
    <w:rsid w:val="00DA750B"/>
    <w:rsid w:val="00DB0B54"/>
    <w:rsid w:val="00DB0F0E"/>
    <w:rsid w:val="00DB19F2"/>
    <w:rsid w:val="00DB2ABB"/>
    <w:rsid w:val="00DB5000"/>
    <w:rsid w:val="00DB620A"/>
    <w:rsid w:val="00DB6323"/>
    <w:rsid w:val="00DB778C"/>
    <w:rsid w:val="00DC04A2"/>
    <w:rsid w:val="00DC3832"/>
    <w:rsid w:val="00DC4DE6"/>
    <w:rsid w:val="00DC5938"/>
    <w:rsid w:val="00DC6EB3"/>
    <w:rsid w:val="00DC7A51"/>
    <w:rsid w:val="00DC7DC0"/>
    <w:rsid w:val="00DD05C7"/>
    <w:rsid w:val="00DD12D4"/>
    <w:rsid w:val="00DD318F"/>
    <w:rsid w:val="00DD3B1E"/>
    <w:rsid w:val="00DD5743"/>
    <w:rsid w:val="00DD68F5"/>
    <w:rsid w:val="00DE06B2"/>
    <w:rsid w:val="00DE1E44"/>
    <w:rsid w:val="00DE1E4A"/>
    <w:rsid w:val="00DE5B5F"/>
    <w:rsid w:val="00DE72D9"/>
    <w:rsid w:val="00DE7AC2"/>
    <w:rsid w:val="00DE7E97"/>
    <w:rsid w:val="00DF0CC6"/>
    <w:rsid w:val="00DF614E"/>
    <w:rsid w:val="00DF761C"/>
    <w:rsid w:val="00DF76A8"/>
    <w:rsid w:val="00DF7DB5"/>
    <w:rsid w:val="00E00696"/>
    <w:rsid w:val="00E0332D"/>
    <w:rsid w:val="00E03651"/>
    <w:rsid w:val="00E03808"/>
    <w:rsid w:val="00E04442"/>
    <w:rsid w:val="00E045F8"/>
    <w:rsid w:val="00E0520A"/>
    <w:rsid w:val="00E060C2"/>
    <w:rsid w:val="00E06324"/>
    <w:rsid w:val="00E064AC"/>
    <w:rsid w:val="00E0692E"/>
    <w:rsid w:val="00E07414"/>
    <w:rsid w:val="00E078C5"/>
    <w:rsid w:val="00E07B81"/>
    <w:rsid w:val="00E10659"/>
    <w:rsid w:val="00E10AFD"/>
    <w:rsid w:val="00E119AA"/>
    <w:rsid w:val="00E11D05"/>
    <w:rsid w:val="00E12B11"/>
    <w:rsid w:val="00E12FB0"/>
    <w:rsid w:val="00E1352E"/>
    <w:rsid w:val="00E14814"/>
    <w:rsid w:val="00E1591B"/>
    <w:rsid w:val="00E15BA4"/>
    <w:rsid w:val="00E16A50"/>
    <w:rsid w:val="00E17C11"/>
    <w:rsid w:val="00E20960"/>
    <w:rsid w:val="00E22E50"/>
    <w:rsid w:val="00E2412F"/>
    <w:rsid w:val="00E249D5"/>
    <w:rsid w:val="00E25017"/>
    <w:rsid w:val="00E26078"/>
    <w:rsid w:val="00E26E78"/>
    <w:rsid w:val="00E26F73"/>
    <w:rsid w:val="00E30A34"/>
    <w:rsid w:val="00E31875"/>
    <w:rsid w:val="00E33C68"/>
    <w:rsid w:val="00E34EEB"/>
    <w:rsid w:val="00E3687C"/>
    <w:rsid w:val="00E37DCD"/>
    <w:rsid w:val="00E41450"/>
    <w:rsid w:val="00E44526"/>
    <w:rsid w:val="00E44EB9"/>
    <w:rsid w:val="00E45386"/>
    <w:rsid w:val="00E45904"/>
    <w:rsid w:val="00E45BDC"/>
    <w:rsid w:val="00E460B7"/>
    <w:rsid w:val="00E46358"/>
    <w:rsid w:val="00E471DC"/>
    <w:rsid w:val="00E50EB4"/>
    <w:rsid w:val="00E5239B"/>
    <w:rsid w:val="00E52471"/>
    <w:rsid w:val="00E531C2"/>
    <w:rsid w:val="00E5328D"/>
    <w:rsid w:val="00E532FC"/>
    <w:rsid w:val="00E54F1E"/>
    <w:rsid w:val="00E559B4"/>
    <w:rsid w:val="00E55BB0"/>
    <w:rsid w:val="00E609E5"/>
    <w:rsid w:val="00E60F27"/>
    <w:rsid w:val="00E62DB6"/>
    <w:rsid w:val="00E631F6"/>
    <w:rsid w:val="00E64D93"/>
    <w:rsid w:val="00E65D5D"/>
    <w:rsid w:val="00E65EDB"/>
    <w:rsid w:val="00E66927"/>
    <w:rsid w:val="00E67525"/>
    <w:rsid w:val="00E677B8"/>
    <w:rsid w:val="00E67E9E"/>
    <w:rsid w:val="00E67FA1"/>
    <w:rsid w:val="00E7115E"/>
    <w:rsid w:val="00E7387D"/>
    <w:rsid w:val="00E73D53"/>
    <w:rsid w:val="00E75111"/>
    <w:rsid w:val="00E76D15"/>
    <w:rsid w:val="00E77296"/>
    <w:rsid w:val="00E80B9F"/>
    <w:rsid w:val="00E81D7E"/>
    <w:rsid w:val="00E84BC8"/>
    <w:rsid w:val="00E87527"/>
    <w:rsid w:val="00E87EF7"/>
    <w:rsid w:val="00E93763"/>
    <w:rsid w:val="00E954DA"/>
    <w:rsid w:val="00E9639D"/>
    <w:rsid w:val="00E9648A"/>
    <w:rsid w:val="00E96560"/>
    <w:rsid w:val="00E96AAF"/>
    <w:rsid w:val="00E96C4C"/>
    <w:rsid w:val="00EA25F7"/>
    <w:rsid w:val="00EA2AAE"/>
    <w:rsid w:val="00EA2EC0"/>
    <w:rsid w:val="00EA427A"/>
    <w:rsid w:val="00EA723B"/>
    <w:rsid w:val="00EB0012"/>
    <w:rsid w:val="00EB6350"/>
    <w:rsid w:val="00EB687A"/>
    <w:rsid w:val="00EB7F42"/>
    <w:rsid w:val="00EC2F62"/>
    <w:rsid w:val="00EC3464"/>
    <w:rsid w:val="00EC62EB"/>
    <w:rsid w:val="00EC6E9F"/>
    <w:rsid w:val="00EC7E76"/>
    <w:rsid w:val="00ED09E5"/>
    <w:rsid w:val="00ED242F"/>
    <w:rsid w:val="00ED44F0"/>
    <w:rsid w:val="00ED4B33"/>
    <w:rsid w:val="00ED4BFB"/>
    <w:rsid w:val="00ED54DC"/>
    <w:rsid w:val="00ED56EE"/>
    <w:rsid w:val="00ED5993"/>
    <w:rsid w:val="00ED7DD6"/>
    <w:rsid w:val="00EE060B"/>
    <w:rsid w:val="00EE15A1"/>
    <w:rsid w:val="00EE2A7C"/>
    <w:rsid w:val="00EE2C42"/>
    <w:rsid w:val="00EE2E4F"/>
    <w:rsid w:val="00EE341B"/>
    <w:rsid w:val="00EE4453"/>
    <w:rsid w:val="00EE5858"/>
    <w:rsid w:val="00EE5FCE"/>
    <w:rsid w:val="00EE6BBD"/>
    <w:rsid w:val="00EE6E1E"/>
    <w:rsid w:val="00EE705F"/>
    <w:rsid w:val="00EF08B7"/>
    <w:rsid w:val="00EF1462"/>
    <w:rsid w:val="00EF33D0"/>
    <w:rsid w:val="00EF54FD"/>
    <w:rsid w:val="00EF58C1"/>
    <w:rsid w:val="00EF64FC"/>
    <w:rsid w:val="00F00569"/>
    <w:rsid w:val="00F010B7"/>
    <w:rsid w:val="00F07F0D"/>
    <w:rsid w:val="00F125C1"/>
    <w:rsid w:val="00F13112"/>
    <w:rsid w:val="00F13BC8"/>
    <w:rsid w:val="00F16FE6"/>
    <w:rsid w:val="00F20FBC"/>
    <w:rsid w:val="00F238BD"/>
    <w:rsid w:val="00F24992"/>
    <w:rsid w:val="00F26A3B"/>
    <w:rsid w:val="00F274E0"/>
    <w:rsid w:val="00F277B0"/>
    <w:rsid w:val="00F32F2F"/>
    <w:rsid w:val="00F33F3F"/>
    <w:rsid w:val="00F35BDD"/>
    <w:rsid w:val="00F35EF0"/>
    <w:rsid w:val="00F3674F"/>
    <w:rsid w:val="00F367D0"/>
    <w:rsid w:val="00F3781F"/>
    <w:rsid w:val="00F403FD"/>
    <w:rsid w:val="00F40B24"/>
    <w:rsid w:val="00F41E72"/>
    <w:rsid w:val="00F43A35"/>
    <w:rsid w:val="00F45BDF"/>
    <w:rsid w:val="00F470AA"/>
    <w:rsid w:val="00F50300"/>
    <w:rsid w:val="00F5414B"/>
    <w:rsid w:val="00F54189"/>
    <w:rsid w:val="00F56E39"/>
    <w:rsid w:val="00F60A2C"/>
    <w:rsid w:val="00F623E9"/>
    <w:rsid w:val="00F63951"/>
    <w:rsid w:val="00F63C86"/>
    <w:rsid w:val="00F660CC"/>
    <w:rsid w:val="00F703A7"/>
    <w:rsid w:val="00F75C76"/>
    <w:rsid w:val="00F766BE"/>
    <w:rsid w:val="00F77EB9"/>
    <w:rsid w:val="00F80635"/>
    <w:rsid w:val="00F8115F"/>
    <w:rsid w:val="00F815D1"/>
    <w:rsid w:val="00F81E7E"/>
    <w:rsid w:val="00F81F0F"/>
    <w:rsid w:val="00F8222C"/>
    <w:rsid w:val="00F825F4"/>
    <w:rsid w:val="00F838DF"/>
    <w:rsid w:val="00F92AA1"/>
    <w:rsid w:val="00F932DE"/>
    <w:rsid w:val="00F94375"/>
    <w:rsid w:val="00F963DD"/>
    <w:rsid w:val="00F9641A"/>
    <w:rsid w:val="00F97004"/>
    <w:rsid w:val="00F9737F"/>
    <w:rsid w:val="00FA067D"/>
    <w:rsid w:val="00FA1106"/>
    <w:rsid w:val="00FA1A35"/>
    <w:rsid w:val="00FA2045"/>
    <w:rsid w:val="00FA3C47"/>
    <w:rsid w:val="00FA7A66"/>
    <w:rsid w:val="00FB0082"/>
    <w:rsid w:val="00FB1AA9"/>
    <w:rsid w:val="00FB40E7"/>
    <w:rsid w:val="00FB4B5A"/>
    <w:rsid w:val="00FB5963"/>
    <w:rsid w:val="00FB5DAA"/>
    <w:rsid w:val="00FB6800"/>
    <w:rsid w:val="00FC04B9"/>
    <w:rsid w:val="00FC161A"/>
    <w:rsid w:val="00FC23D5"/>
    <w:rsid w:val="00FC4337"/>
    <w:rsid w:val="00FC4C1A"/>
    <w:rsid w:val="00FC628F"/>
    <w:rsid w:val="00FC6468"/>
    <w:rsid w:val="00FC6D49"/>
    <w:rsid w:val="00FD0280"/>
    <w:rsid w:val="00FD118F"/>
    <w:rsid w:val="00FD160A"/>
    <w:rsid w:val="00FD2150"/>
    <w:rsid w:val="00FD4922"/>
    <w:rsid w:val="00FD59AB"/>
    <w:rsid w:val="00FD6461"/>
    <w:rsid w:val="00FE0281"/>
    <w:rsid w:val="00FE0D3B"/>
    <w:rsid w:val="00FE48AC"/>
    <w:rsid w:val="00FE52F1"/>
    <w:rsid w:val="00FE7083"/>
    <w:rsid w:val="00FF00F4"/>
    <w:rsid w:val="00FF019F"/>
    <w:rsid w:val="00FF107D"/>
    <w:rsid w:val="00FF1B2A"/>
    <w:rsid w:val="00FF1C27"/>
    <w:rsid w:val="00FF2160"/>
    <w:rsid w:val="00FF2E31"/>
    <w:rsid w:val="00FF30DE"/>
    <w:rsid w:val="00FF4EAE"/>
    <w:rsid w:val="00FF644B"/>
    <w:rsid w:val="00FF6F49"/>
    <w:rsid w:val="00FF6F5E"/>
    <w:rsid w:val="00FF76DC"/>
    <w:rsid w:val="00FF7C90"/>
    <w:rsid w:val="00FF7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Default">
    <w:name w:val="Default"/>
    <w:rsid w:val="00603B08"/>
    <w:pPr>
      <w:autoSpaceDE w:val="0"/>
      <w:autoSpaceDN w:val="0"/>
      <w:adjustRightInd w:val="0"/>
    </w:pPr>
    <w:rPr>
      <w:rFonts w:ascii="Calibri" w:hAnsi="Calibri" w:cs="Calibri"/>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11983">
      <w:bodyDiv w:val="1"/>
      <w:marLeft w:val="0"/>
      <w:marRight w:val="0"/>
      <w:marTop w:val="0"/>
      <w:marBottom w:val="0"/>
      <w:divBdr>
        <w:top w:val="none" w:sz="0" w:space="0" w:color="auto"/>
        <w:left w:val="none" w:sz="0" w:space="0" w:color="auto"/>
        <w:bottom w:val="none" w:sz="0" w:space="0" w:color="auto"/>
        <w:right w:val="none" w:sz="0" w:space="0" w:color="auto"/>
      </w:divBdr>
    </w:div>
    <w:div w:id="14917350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5715204">
      <w:bodyDiv w:val="1"/>
      <w:marLeft w:val="0"/>
      <w:marRight w:val="0"/>
      <w:marTop w:val="0"/>
      <w:marBottom w:val="0"/>
      <w:divBdr>
        <w:top w:val="none" w:sz="0" w:space="0" w:color="auto"/>
        <w:left w:val="none" w:sz="0" w:space="0" w:color="auto"/>
        <w:bottom w:val="none" w:sz="0" w:space="0" w:color="auto"/>
        <w:right w:val="none" w:sz="0" w:space="0" w:color="auto"/>
      </w:divBdr>
    </w:div>
    <w:div w:id="42029814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025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217179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ntina.gligorijevic@supbiotech.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es.saint-pol@supbiotech.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atrick.gonzalez@supbiotech.fr" TargetMode="External"/><Relationship Id="rId4" Type="http://schemas.openxmlformats.org/officeDocument/2006/relationships/settings" Target="settings.xml"/><Relationship Id="rId9" Type="http://schemas.openxmlformats.org/officeDocument/2006/relationships/hyperlink" Target="mailto:coralie.benel@supbiotech.f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85D04-71FC-4EBF-9159-AECAD2B6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30403</Words>
  <Characters>173299</Characters>
  <Application>Microsoft Office Word</Application>
  <DocSecurity>0</DocSecurity>
  <Lines>1444</Lines>
  <Paragraphs>406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203296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2020-10-21T13:28:00Z</dcterms:created>
  <dcterms:modified xsi:type="dcterms:W3CDTF">2020-11-12T20:08:00Z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http://www.zotero.org/styles/the-journal-of-cell-biology</vt:lpwstr>
  </property>
  <property fmtid="{D5CDD505-2E9C-101B-9397-08002B2CF9AE}" pid="21" name="Mendeley Recent Style Name 9_1">
    <vt:lpwstr>The Journal of Cell Biology</vt:lpwstr>
  </property>
  <property fmtid="{D5CDD505-2E9C-101B-9397-08002B2CF9AE}" pid="22" name="Mendeley Document_1">
    <vt:lpwstr>True</vt:lpwstr>
  </property>
  <property fmtid="{D5CDD505-2E9C-101B-9397-08002B2CF9AE}" pid="23" name="Mendeley Unique User Id_1">
    <vt:lpwstr>0eb0d6e3-2fc0-3acf-999b-247727bbe7e2</vt:lpwstr>
  </property>
  <property fmtid="{D5CDD505-2E9C-101B-9397-08002B2CF9AE}" pid="24" name="Mendeley Citation Style_1">
    <vt:lpwstr>http://www.zotero.org/styles/journal-of-visualized-experiments</vt:lpwstr>
  </property>
</Properties>
</file>