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6790" w14:textId="53334881" w:rsidR="00592630" w:rsidRDefault="00592630">
      <w:pPr>
        <w:rPr>
          <w:lang w:val="en-CA"/>
        </w:rPr>
      </w:pPr>
      <w:r>
        <w:rPr>
          <w:lang w:val="en-CA"/>
        </w:rPr>
        <w:t>2</w:t>
      </w:r>
      <w:r w:rsidR="00D53CE3">
        <w:rPr>
          <w:lang w:val="en-CA"/>
        </w:rPr>
        <w:t>3</w:t>
      </w:r>
      <w:r>
        <w:rPr>
          <w:lang w:val="en-CA"/>
        </w:rPr>
        <w:t xml:space="preserve"> August 2020</w:t>
      </w:r>
    </w:p>
    <w:p w14:paraId="310B2D9E" w14:textId="77777777" w:rsidR="00592630" w:rsidRDefault="00592630">
      <w:pPr>
        <w:rPr>
          <w:lang w:val="en-CA"/>
        </w:rPr>
      </w:pPr>
    </w:p>
    <w:p w14:paraId="27766F35" w14:textId="14E1E303" w:rsidR="00461BFC" w:rsidRDefault="00BB5807">
      <w:pPr>
        <w:rPr>
          <w:lang w:val="en-CA"/>
        </w:rPr>
      </w:pPr>
      <w:r>
        <w:rPr>
          <w:lang w:val="en-CA"/>
        </w:rPr>
        <w:t xml:space="preserve">Dear Dr. </w:t>
      </w:r>
      <w:r w:rsidR="00592630" w:rsidRPr="00592630">
        <w:rPr>
          <w:lang w:val="en-CA"/>
        </w:rPr>
        <w:t>Bajaj</w:t>
      </w:r>
      <w:r w:rsidR="00592630">
        <w:rPr>
          <w:lang w:val="en-CA"/>
        </w:rPr>
        <w:t>:</w:t>
      </w:r>
    </w:p>
    <w:p w14:paraId="36FEF237" w14:textId="6D9F0317" w:rsidR="00BB5807" w:rsidRDefault="00BB5807">
      <w:pPr>
        <w:rPr>
          <w:lang w:val="en-CA"/>
        </w:rPr>
      </w:pPr>
    </w:p>
    <w:p w14:paraId="1A8C8192" w14:textId="1659BB06" w:rsidR="00BB5807" w:rsidRDefault="00BB5807" w:rsidP="008B3AC9">
      <w:pPr>
        <w:jc w:val="both"/>
        <w:rPr>
          <w:lang w:val="en-CA"/>
        </w:rPr>
      </w:pPr>
      <w:r>
        <w:rPr>
          <w:lang w:val="en-CA"/>
        </w:rPr>
        <w:t xml:space="preserve">We thank the editor and reviewers for taking time to evaluate our manuscript and provide constructive </w:t>
      </w:r>
      <w:r w:rsidR="000D3DFB">
        <w:rPr>
          <w:lang w:val="en-CA"/>
        </w:rPr>
        <w:t>feedbacks</w:t>
      </w:r>
      <w:r>
        <w:rPr>
          <w:lang w:val="en-CA"/>
        </w:rPr>
        <w:t xml:space="preserve"> to improve this protocol paper. We have carefully considered all the editorial and reviewers’ comments and</w:t>
      </w:r>
      <w:r w:rsidR="00592630">
        <w:rPr>
          <w:lang w:val="en-CA"/>
        </w:rPr>
        <w:t xml:space="preserve"> these have been addressed in the revised manuscript as described in detail below.</w:t>
      </w:r>
    </w:p>
    <w:p w14:paraId="326E043D" w14:textId="41A56D21" w:rsidR="00EB4E18" w:rsidRDefault="00EB4E18">
      <w:pPr>
        <w:rPr>
          <w:lang w:val="en-CA"/>
        </w:rPr>
      </w:pPr>
    </w:p>
    <w:p w14:paraId="1940DBB6" w14:textId="50C2598C" w:rsidR="00EB4E18" w:rsidRDefault="00EB4E18">
      <w:pPr>
        <w:rPr>
          <w:lang w:val="en-CA"/>
        </w:rPr>
      </w:pPr>
      <w:r>
        <w:rPr>
          <w:lang w:val="en-CA"/>
        </w:rPr>
        <w:t>Sincerely,</w:t>
      </w:r>
    </w:p>
    <w:p w14:paraId="35C95813" w14:textId="600AA543" w:rsidR="00EB4E18" w:rsidRDefault="00EB4E18">
      <w:pPr>
        <w:rPr>
          <w:lang w:val="en-CA"/>
        </w:rPr>
      </w:pPr>
      <w:r>
        <w:rPr>
          <w:lang w:val="en-CA"/>
        </w:rPr>
        <w:t>Dr. Alison Allan</w:t>
      </w:r>
    </w:p>
    <w:p w14:paraId="0EE41519" w14:textId="4E9936DA" w:rsidR="00EB4E18" w:rsidRDefault="00EB4E18">
      <w:pPr>
        <w:rPr>
          <w:lang w:val="en-CA"/>
        </w:rPr>
      </w:pPr>
      <w:r>
        <w:rPr>
          <w:lang w:val="en-CA"/>
        </w:rPr>
        <w:t>Professor, Dept. of Anatomy and Cell Biology</w:t>
      </w:r>
    </w:p>
    <w:p w14:paraId="66DA3324" w14:textId="6819F29C" w:rsidR="00EB4E18" w:rsidRDefault="00EB4E18">
      <w:pPr>
        <w:rPr>
          <w:lang w:val="en-CA"/>
        </w:rPr>
      </w:pPr>
      <w:r>
        <w:rPr>
          <w:lang w:val="en-CA"/>
        </w:rPr>
        <w:t>University of Western Ontario</w:t>
      </w:r>
    </w:p>
    <w:p w14:paraId="43948F1C" w14:textId="1F6A7179" w:rsidR="00592630" w:rsidRDefault="00592630">
      <w:pPr>
        <w:rPr>
          <w:b/>
          <w:bCs/>
          <w:lang w:val="en-CA"/>
        </w:rPr>
      </w:pPr>
    </w:p>
    <w:p w14:paraId="518FF324" w14:textId="77777777" w:rsidR="00152099" w:rsidRDefault="00152099">
      <w:pPr>
        <w:rPr>
          <w:b/>
          <w:bCs/>
          <w:lang w:val="en-CA"/>
        </w:rPr>
      </w:pPr>
    </w:p>
    <w:p w14:paraId="2067048F" w14:textId="4DB4659A" w:rsidR="00EB4E18" w:rsidRPr="00152099" w:rsidRDefault="00EB4E18" w:rsidP="00152099">
      <w:pPr>
        <w:pStyle w:val="ListParagraph"/>
        <w:numPr>
          <w:ilvl w:val="0"/>
          <w:numId w:val="4"/>
        </w:numPr>
        <w:spacing w:after="120"/>
        <w:ind w:left="357" w:hanging="357"/>
        <w:contextualSpacing w:val="0"/>
        <w:rPr>
          <w:b/>
          <w:bCs/>
          <w:lang w:val="en-CA"/>
        </w:rPr>
      </w:pPr>
      <w:r w:rsidRPr="00592630">
        <w:rPr>
          <w:b/>
          <w:bCs/>
          <w:lang w:val="en-CA"/>
        </w:rPr>
        <w:t xml:space="preserve">Editorial </w:t>
      </w:r>
      <w:r w:rsidR="00592630">
        <w:rPr>
          <w:b/>
          <w:bCs/>
          <w:lang w:val="en-CA"/>
        </w:rPr>
        <w:t>C</w:t>
      </w:r>
      <w:r w:rsidRPr="00592630">
        <w:rPr>
          <w:b/>
          <w:bCs/>
          <w:lang w:val="en-CA"/>
        </w:rPr>
        <w:t>omments</w:t>
      </w:r>
    </w:p>
    <w:p w14:paraId="07D9E538" w14:textId="759292BF" w:rsidR="007443A7" w:rsidRPr="00C83F87" w:rsidRDefault="00592630" w:rsidP="00C83F87">
      <w:pPr>
        <w:pStyle w:val="ListParagraph"/>
        <w:numPr>
          <w:ilvl w:val="0"/>
          <w:numId w:val="6"/>
        </w:numPr>
        <w:spacing w:after="120"/>
        <w:ind w:left="357" w:hanging="357"/>
        <w:jc w:val="both"/>
        <w:rPr>
          <w:lang w:val="en-CA"/>
        </w:rPr>
      </w:pPr>
      <w:r>
        <w:rPr>
          <w:b/>
          <w:bCs/>
          <w:color w:val="FF0000"/>
          <w:lang w:val="en-CA"/>
        </w:rPr>
        <w:t>“</w:t>
      </w:r>
      <w:r w:rsidR="007443A7" w:rsidRPr="00592630">
        <w:rPr>
          <w:b/>
          <w:bCs/>
          <w:i/>
          <w:iCs/>
          <w:color w:val="FF0000"/>
          <w:lang w:val="en-CA"/>
        </w:rPr>
        <w:t>Protocol Language</w:t>
      </w:r>
      <w:r w:rsidR="007443A7" w:rsidRPr="00592630">
        <w:rPr>
          <w:b/>
          <w:bCs/>
          <w:i/>
          <w:iCs/>
          <w:lang w:val="en-CA"/>
        </w:rPr>
        <w:t xml:space="preserve">: </w:t>
      </w:r>
      <w:r w:rsidR="007443A7" w:rsidRPr="00592630">
        <w:rPr>
          <w:i/>
          <w:iCs/>
          <w:lang w:val="en-CA"/>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592630">
        <w:rPr>
          <w:i/>
          <w:iCs/>
          <w:lang w:val="en-CA"/>
        </w:rPr>
        <w:t xml:space="preserve"> </w:t>
      </w:r>
      <w:r w:rsidR="007443A7" w:rsidRPr="00592630">
        <w:rPr>
          <w:i/>
          <w:iCs/>
          <w:lang w:val="en-CA"/>
        </w:rPr>
        <w:t>Some examples NOT in the imperative: Lines 104‒125, step 7.4, etc</w:t>
      </w:r>
      <w:r>
        <w:rPr>
          <w:lang w:val="en-CA"/>
        </w:rPr>
        <w:t>”</w:t>
      </w:r>
    </w:p>
    <w:p w14:paraId="48904787" w14:textId="1D60FAB9" w:rsidR="007443A7" w:rsidRDefault="007443A7" w:rsidP="007443A7">
      <w:pPr>
        <w:jc w:val="both"/>
        <w:rPr>
          <w:lang w:val="en-CA"/>
        </w:rPr>
      </w:pPr>
      <w:r w:rsidRPr="00E87FD7">
        <w:rPr>
          <w:u w:val="single"/>
          <w:lang w:val="en-CA"/>
        </w:rPr>
        <w:t>Response:</w:t>
      </w:r>
      <w:r>
        <w:rPr>
          <w:lang w:val="en-CA"/>
        </w:rPr>
        <w:t xml:space="preserve"> The text in the protocol section has been </w:t>
      </w:r>
      <w:r w:rsidR="00592630">
        <w:rPr>
          <w:lang w:val="en-CA"/>
        </w:rPr>
        <w:t xml:space="preserve">carefully reviewed and revised to ensure that it is written in the </w:t>
      </w:r>
      <w:r>
        <w:rPr>
          <w:lang w:val="en-CA"/>
        </w:rPr>
        <w:t xml:space="preserve">imperative </w:t>
      </w:r>
      <w:r w:rsidR="00592630">
        <w:rPr>
          <w:lang w:val="en-CA"/>
        </w:rPr>
        <w:t>voice/</w:t>
      </w:r>
      <w:r>
        <w:rPr>
          <w:lang w:val="en-CA"/>
        </w:rPr>
        <w:t>tense.</w:t>
      </w:r>
    </w:p>
    <w:p w14:paraId="0EA5A2BF" w14:textId="036138B5" w:rsidR="007443A7" w:rsidRDefault="007443A7" w:rsidP="007443A7">
      <w:pPr>
        <w:jc w:val="both"/>
        <w:rPr>
          <w:lang w:val="en-CA"/>
        </w:rPr>
      </w:pPr>
    </w:p>
    <w:p w14:paraId="3406F701" w14:textId="0C981FF3" w:rsidR="007443A7" w:rsidRPr="00E277EE" w:rsidRDefault="00E277EE" w:rsidP="00E277EE">
      <w:pPr>
        <w:pStyle w:val="ListParagraph"/>
        <w:numPr>
          <w:ilvl w:val="0"/>
          <w:numId w:val="6"/>
        </w:numPr>
        <w:jc w:val="both"/>
        <w:rPr>
          <w:i/>
          <w:iCs/>
          <w:lang w:val="en-CA"/>
        </w:rPr>
      </w:pPr>
      <w:r w:rsidRPr="00E277EE">
        <w:rPr>
          <w:b/>
          <w:bCs/>
          <w:i/>
          <w:iCs/>
          <w:color w:val="FF0000"/>
          <w:lang w:val="en-CA"/>
        </w:rPr>
        <w:t>“</w:t>
      </w:r>
      <w:r w:rsidR="007443A7" w:rsidRPr="00E277EE">
        <w:rPr>
          <w:b/>
          <w:bCs/>
          <w:i/>
          <w:iCs/>
          <w:color w:val="FF0000"/>
          <w:lang w:val="en-CA"/>
        </w:rPr>
        <w:t>Protocol Detail</w:t>
      </w:r>
      <w:r w:rsidR="007443A7" w:rsidRPr="00E277EE">
        <w:rPr>
          <w:i/>
          <w:iCs/>
          <w:lang w:val="en-CA"/>
        </w:rPr>
        <w:t>: Please note that your protocol will be used to generate the script for the video, and must contain everything that you would like shown in the video. Please ensure that all specific details (e.g. button clicks for software actions, numerical values for settings, etc) have been added to your protocol steps. There should be enough detail in each step to supplement the actions seen in the video so that viewers can easily replicate the protocol.</w:t>
      </w:r>
    </w:p>
    <w:p w14:paraId="0A3EA9E6" w14:textId="77777777" w:rsidR="007443A7" w:rsidRPr="00E277EE" w:rsidRDefault="007443A7" w:rsidP="00E277EE">
      <w:pPr>
        <w:ind w:left="360"/>
        <w:jc w:val="both"/>
        <w:rPr>
          <w:i/>
          <w:iCs/>
          <w:lang w:val="en-CA"/>
        </w:rPr>
      </w:pPr>
      <w:r w:rsidRPr="00E277EE">
        <w:rPr>
          <w:i/>
          <w:iCs/>
          <w:lang w:val="en-CA"/>
        </w:rPr>
        <w:t>1) Please include an ethics statement before your numbered protocol steps indicating that the protocol follows the guidelines of your institutions human research ethics committee.</w:t>
      </w:r>
    </w:p>
    <w:p w14:paraId="21088970" w14:textId="77777777" w:rsidR="007443A7" w:rsidRPr="00E277EE" w:rsidRDefault="007443A7" w:rsidP="00E277EE">
      <w:pPr>
        <w:ind w:left="360"/>
        <w:jc w:val="both"/>
        <w:rPr>
          <w:i/>
          <w:iCs/>
          <w:lang w:val="en-CA"/>
        </w:rPr>
      </w:pPr>
      <w:r w:rsidRPr="00E277EE">
        <w:rPr>
          <w:i/>
          <w:iCs/>
          <w:lang w:val="en-CA"/>
        </w:rPr>
        <w:t>2) 5.7‒5.11: Provide detailed software steps such as button clicks and menu selections.</w:t>
      </w:r>
    </w:p>
    <w:p w14:paraId="203AB9EA" w14:textId="0FD4C894" w:rsidR="007443A7" w:rsidRPr="00C83F87" w:rsidRDefault="007443A7" w:rsidP="00C83F87">
      <w:pPr>
        <w:spacing w:after="120"/>
        <w:ind w:left="357"/>
        <w:jc w:val="both"/>
        <w:rPr>
          <w:i/>
          <w:iCs/>
          <w:lang w:val="en-CA"/>
        </w:rPr>
      </w:pPr>
      <w:r w:rsidRPr="00E277EE">
        <w:rPr>
          <w:i/>
          <w:iCs/>
          <w:lang w:val="en-CA"/>
        </w:rPr>
        <w:t>3) 6.6: Mention magnification</w:t>
      </w:r>
      <w:r w:rsidR="00E277EE" w:rsidRPr="00E277EE">
        <w:rPr>
          <w:i/>
          <w:iCs/>
          <w:lang w:val="en-CA"/>
        </w:rPr>
        <w:t>”</w:t>
      </w:r>
      <w:r w:rsidR="00C83F87">
        <w:rPr>
          <w:i/>
          <w:iCs/>
          <w:lang w:val="en-CA"/>
        </w:rPr>
        <w:t>.</w:t>
      </w:r>
    </w:p>
    <w:p w14:paraId="46582CA5" w14:textId="7184BF13" w:rsidR="007443A7" w:rsidRPr="00E87FD7" w:rsidRDefault="007443A7" w:rsidP="007443A7">
      <w:pPr>
        <w:jc w:val="both"/>
        <w:rPr>
          <w:u w:val="single"/>
          <w:lang w:val="en-CA"/>
        </w:rPr>
      </w:pPr>
      <w:r w:rsidRPr="00E87FD7">
        <w:rPr>
          <w:u w:val="single"/>
          <w:lang w:val="en-CA"/>
        </w:rPr>
        <w:t xml:space="preserve">Response: </w:t>
      </w:r>
    </w:p>
    <w:p w14:paraId="4BD4691B" w14:textId="54A43974" w:rsidR="00901935" w:rsidRPr="00E277EE" w:rsidRDefault="00247EFE" w:rsidP="00E277EE">
      <w:pPr>
        <w:pStyle w:val="ListParagraph"/>
        <w:numPr>
          <w:ilvl w:val="0"/>
          <w:numId w:val="2"/>
        </w:numPr>
        <w:jc w:val="both"/>
        <w:rPr>
          <w:lang w:val="en-CA"/>
        </w:rPr>
      </w:pPr>
      <w:r w:rsidRPr="00E277EE">
        <w:rPr>
          <w:lang w:val="en-CA"/>
        </w:rPr>
        <w:t>The ethical statement</w:t>
      </w:r>
      <w:r w:rsidR="00E277EE">
        <w:rPr>
          <w:lang w:val="en-CA"/>
        </w:rPr>
        <w:t>s</w:t>
      </w:r>
      <w:r w:rsidRPr="00E277EE">
        <w:rPr>
          <w:lang w:val="en-CA"/>
        </w:rPr>
        <w:t xml:space="preserve"> ha</w:t>
      </w:r>
      <w:r w:rsidR="00E277EE">
        <w:rPr>
          <w:lang w:val="en-CA"/>
        </w:rPr>
        <w:t>ve</w:t>
      </w:r>
      <w:r w:rsidRPr="00E277EE">
        <w:rPr>
          <w:lang w:val="en-CA"/>
        </w:rPr>
        <w:t xml:space="preserve"> been added </w:t>
      </w:r>
      <w:r w:rsidR="00E277EE">
        <w:rPr>
          <w:lang w:val="en-CA"/>
        </w:rPr>
        <w:t xml:space="preserve">to the protocol </w:t>
      </w:r>
      <w:r w:rsidR="00901935" w:rsidRPr="00E277EE">
        <w:rPr>
          <w:lang w:val="en-CA"/>
        </w:rPr>
        <w:t xml:space="preserve">to indicate that the protocol follows the guidelines of our institutional </w:t>
      </w:r>
      <w:r w:rsidR="00E277EE">
        <w:rPr>
          <w:lang w:val="en-CA"/>
        </w:rPr>
        <w:t xml:space="preserve">human and animal </w:t>
      </w:r>
      <w:r w:rsidR="00901935" w:rsidRPr="00E277EE">
        <w:rPr>
          <w:lang w:val="en-CA"/>
        </w:rPr>
        <w:t>research ethics committee</w:t>
      </w:r>
      <w:r w:rsidR="00E277EE">
        <w:rPr>
          <w:lang w:val="en-CA"/>
        </w:rPr>
        <w:t xml:space="preserve"> (</w:t>
      </w:r>
      <w:r w:rsidR="00DE63B7">
        <w:rPr>
          <w:lang w:val="en-CA"/>
        </w:rPr>
        <w:t>Line 221-226</w:t>
      </w:r>
      <w:r w:rsidR="00E277EE">
        <w:rPr>
          <w:lang w:val="en-CA"/>
        </w:rPr>
        <w:t xml:space="preserve">, and </w:t>
      </w:r>
      <w:r w:rsidR="00DE63B7">
        <w:rPr>
          <w:lang w:val="en-CA"/>
        </w:rPr>
        <w:t>Lines 571-572</w:t>
      </w:r>
      <w:bookmarkStart w:id="0" w:name="_GoBack"/>
      <w:bookmarkEnd w:id="0"/>
      <w:r w:rsidR="00E277EE">
        <w:rPr>
          <w:lang w:val="en-CA"/>
        </w:rPr>
        <w:t xml:space="preserve"> in the revised manuscript.</w:t>
      </w:r>
    </w:p>
    <w:p w14:paraId="48D3698C" w14:textId="23F6CF02" w:rsidR="00901935" w:rsidRDefault="009F6A57" w:rsidP="00901935">
      <w:pPr>
        <w:pStyle w:val="ListParagraph"/>
        <w:numPr>
          <w:ilvl w:val="0"/>
          <w:numId w:val="2"/>
        </w:numPr>
        <w:jc w:val="both"/>
        <w:rPr>
          <w:lang w:val="en-CA"/>
        </w:rPr>
      </w:pPr>
      <w:r>
        <w:rPr>
          <w:lang w:val="en-CA"/>
        </w:rPr>
        <w:t>During cell sorting experiment, the software</w:t>
      </w:r>
      <w:r w:rsidR="00E277EE">
        <w:rPr>
          <w:lang w:val="en-CA"/>
        </w:rPr>
        <w:t xml:space="preserve"> and commands</w:t>
      </w:r>
      <w:r>
        <w:rPr>
          <w:lang w:val="en-CA"/>
        </w:rPr>
        <w:t xml:space="preserve"> </w:t>
      </w:r>
      <w:r w:rsidR="00E277EE">
        <w:rPr>
          <w:lang w:val="en-CA"/>
        </w:rPr>
        <w:t xml:space="preserve">used </w:t>
      </w:r>
      <w:r>
        <w:rPr>
          <w:lang w:val="en-CA"/>
        </w:rPr>
        <w:t>for setting up the sort controls, gates and display plots varies from instrument to instrument</w:t>
      </w:r>
      <w:r w:rsidR="00E277EE">
        <w:rPr>
          <w:lang w:val="en-CA"/>
        </w:rPr>
        <w:t xml:space="preserve"> depending on the model and manufacturer</w:t>
      </w:r>
      <w:r>
        <w:rPr>
          <w:lang w:val="en-CA"/>
        </w:rPr>
        <w:t>. therefore, we have not mentioned these details in the current protocol</w:t>
      </w:r>
      <w:r w:rsidR="00E277EE">
        <w:rPr>
          <w:lang w:val="en-CA"/>
        </w:rPr>
        <w:t xml:space="preserve"> as they would vary from user to user</w:t>
      </w:r>
      <w:r>
        <w:rPr>
          <w:lang w:val="en-CA"/>
        </w:rPr>
        <w:t>.</w:t>
      </w:r>
    </w:p>
    <w:p w14:paraId="39D6E222" w14:textId="15448274" w:rsidR="00901935" w:rsidRDefault="00E277EE" w:rsidP="00901935">
      <w:pPr>
        <w:pStyle w:val="ListParagraph"/>
        <w:numPr>
          <w:ilvl w:val="0"/>
          <w:numId w:val="2"/>
        </w:numPr>
        <w:jc w:val="both"/>
        <w:rPr>
          <w:lang w:val="en-CA"/>
        </w:rPr>
      </w:pPr>
      <w:r>
        <w:rPr>
          <w:lang w:val="en-CA"/>
        </w:rPr>
        <w:t>The magnification has now been included in S</w:t>
      </w:r>
      <w:r w:rsidR="00901935">
        <w:rPr>
          <w:lang w:val="en-CA"/>
        </w:rPr>
        <w:t>tep 6.6</w:t>
      </w:r>
      <w:r>
        <w:rPr>
          <w:lang w:val="en-CA"/>
        </w:rPr>
        <w:t xml:space="preserve"> in the revised manuscript.</w:t>
      </w:r>
    </w:p>
    <w:p w14:paraId="656B7207" w14:textId="0C33C165" w:rsidR="00901935" w:rsidRPr="006573C9" w:rsidRDefault="006573C9" w:rsidP="006573C9">
      <w:pPr>
        <w:pStyle w:val="ListParagraph"/>
        <w:numPr>
          <w:ilvl w:val="0"/>
          <w:numId w:val="6"/>
        </w:numPr>
        <w:spacing w:after="120"/>
        <w:ind w:left="357" w:hanging="357"/>
        <w:jc w:val="both"/>
        <w:rPr>
          <w:lang w:val="en-CA"/>
        </w:rPr>
      </w:pPr>
      <w:r>
        <w:rPr>
          <w:b/>
          <w:bCs/>
          <w:color w:val="FF0000"/>
          <w:lang w:val="en-CA"/>
        </w:rPr>
        <w:lastRenderedPageBreak/>
        <w:t>“</w:t>
      </w:r>
      <w:r w:rsidR="00E87FD7" w:rsidRPr="00C55D07">
        <w:rPr>
          <w:b/>
          <w:bCs/>
          <w:i/>
          <w:iCs/>
          <w:color w:val="FF0000"/>
          <w:lang w:val="en-CA"/>
        </w:rPr>
        <w:t>Figures</w:t>
      </w:r>
      <w:r w:rsidR="00E87FD7" w:rsidRPr="00C55D07">
        <w:rPr>
          <w:i/>
          <w:iCs/>
          <w:lang w:val="en-CA"/>
        </w:rPr>
        <w:t>: Fig 4: define the error bars</w:t>
      </w:r>
      <w:r>
        <w:rPr>
          <w:lang w:val="en-CA"/>
        </w:rPr>
        <w:t>”.</w:t>
      </w:r>
    </w:p>
    <w:p w14:paraId="1F88E020" w14:textId="3EEC54BF" w:rsidR="00E87FD7" w:rsidRDefault="00901935" w:rsidP="00901935">
      <w:pPr>
        <w:jc w:val="both"/>
        <w:rPr>
          <w:lang w:val="en-CA"/>
        </w:rPr>
      </w:pPr>
      <w:r w:rsidRPr="00E87FD7">
        <w:rPr>
          <w:u w:val="single"/>
          <w:lang w:val="en-CA"/>
        </w:rPr>
        <w:t>Response:</w:t>
      </w:r>
      <w:r w:rsidR="00E87FD7">
        <w:rPr>
          <w:b/>
          <w:bCs/>
          <w:lang w:val="en-CA"/>
        </w:rPr>
        <w:t xml:space="preserve"> </w:t>
      </w:r>
      <w:r w:rsidR="008F4C43" w:rsidRPr="008F4C43">
        <w:rPr>
          <w:lang w:val="en-CA"/>
        </w:rPr>
        <w:t>The error bars ha</w:t>
      </w:r>
      <w:r w:rsidR="006573C9">
        <w:rPr>
          <w:lang w:val="en-CA"/>
        </w:rPr>
        <w:t>ve</w:t>
      </w:r>
      <w:r w:rsidR="001509E3">
        <w:rPr>
          <w:lang w:val="en-CA"/>
        </w:rPr>
        <w:t xml:space="preserve"> now</w:t>
      </w:r>
      <w:r w:rsidR="008F4C43" w:rsidRPr="008F4C43">
        <w:rPr>
          <w:lang w:val="en-CA"/>
        </w:rPr>
        <w:t xml:space="preserve"> been defined in </w:t>
      </w:r>
      <w:r w:rsidR="006573C9">
        <w:rPr>
          <w:lang w:val="en-CA"/>
        </w:rPr>
        <w:t>the F</w:t>
      </w:r>
      <w:r w:rsidR="008F4C43" w:rsidRPr="008F4C43">
        <w:rPr>
          <w:lang w:val="en-CA"/>
        </w:rPr>
        <w:t xml:space="preserve">igure 4 </w:t>
      </w:r>
      <w:r w:rsidR="006573C9">
        <w:rPr>
          <w:lang w:val="en-CA"/>
        </w:rPr>
        <w:t>legend</w:t>
      </w:r>
      <w:r w:rsidR="008F4C43" w:rsidRPr="008F4C43">
        <w:rPr>
          <w:lang w:val="en-CA"/>
        </w:rPr>
        <w:t>.</w:t>
      </w:r>
    </w:p>
    <w:p w14:paraId="693CC7C7" w14:textId="77777777" w:rsidR="007A154C" w:rsidRDefault="007A154C" w:rsidP="007A154C">
      <w:pPr>
        <w:jc w:val="both"/>
        <w:rPr>
          <w:lang w:val="en-CA"/>
        </w:rPr>
      </w:pPr>
    </w:p>
    <w:p w14:paraId="7DD223ED" w14:textId="280B58AC" w:rsidR="00E87FD7" w:rsidRPr="00C55D07" w:rsidRDefault="00C55D07" w:rsidP="00C55D07">
      <w:pPr>
        <w:pStyle w:val="ListParagraph"/>
        <w:numPr>
          <w:ilvl w:val="0"/>
          <w:numId w:val="6"/>
        </w:numPr>
        <w:spacing w:after="120"/>
        <w:ind w:left="357" w:hanging="357"/>
        <w:jc w:val="both"/>
        <w:rPr>
          <w:i/>
          <w:iCs/>
          <w:lang w:val="en-CA"/>
        </w:rPr>
      </w:pPr>
      <w:r w:rsidRPr="00C55D07">
        <w:rPr>
          <w:b/>
          <w:bCs/>
          <w:i/>
          <w:iCs/>
          <w:color w:val="FF0000"/>
          <w:lang w:val="en-CA"/>
        </w:rPr>
        <w:t>“</w:t>
      </w:r>
      <w:r w:rsidR="008F4C43" w:rsidRPr="00C55D07">
        <w:rPr>
          <w:b/>
          <w:bCs/>
          <w:i/>
          <w:iCs/>
          <w:color w:val="FF0000"/>
          <w:lang w:val="en-CA"/>
        </w:rPr>
        <w:t>References:</w:t>
      </w:r>
      <w:r w:rsidR="008F4C43" w:rsidRPr="00C55D07">
        <w:rPr>
          <w:i/>
          <w:iCs/>
          <w:lang w:val="en-CA"/>
        </w:rPr>
        <w:t xml:space="preserve"> Please spell out journal names</w:t>
      </w:r>
      <w:r w:rsidRPr="00C55D07">
        <w:rPr>
          <w:i/>
          <w:iCs/>
          <w:lang w:val="en-CA"/>
        </w:rPr>
        <w:t>”</w:t>
      </w:r>
    </w:p>
    <w:p w14:paraId="3A052C11" w14:textId="25C92059" w:rsidR="00E87FD7" w:rsidRDefault="008F4C43" w:rsidP="00901935">
      <w:pPr>
        <w:jc w:val="both"/>
        <w:rPr>
          <w:lang w:val="en-CA"/>
        </w:rPr>
      </w:pPr>
      <w:r w:rsidRPr="008F4C43">
        <w:rPr>
          <w:u w:val="single"/>
          <w:lang w:val="en-CA"/>
        </w:rPr>
        <w:t>Response:</w:t>
      </w:r>
      <w:r w:rsidR="00554C1D">
        <w:rPr>
          <w:lang w:val="en-CA"/>
        </w:rPr>
        <w:t xml:space="preserve"> The </w:t>
      </w:r>
      <w:r w:rsidR="00621CFA">
        <w:rPr>
          <w:lang w:val="en-CA"/>
        </w:rPr>
        <w:t xml:space="preserve">full </w:t>
      </w:r>
      <w:r w:rsidR="00554C1D">
        <w:rPr>
          <w:lang w:val="en-CA"/>
        </w:rPr>
        <w:t xml:space="preserve">journal names </w:t>
      </w:r>
      <w:r w:rsidR="00621CFA">
        <w:rPr>
          <w:lang w:val="en-CA"/>
        </w:rPr>
        <w:t xml:space="preserve">are now included </w:t>
      </w:r>
      <w:r w:rsidR="00554C1D">
        <w:rPr>
          <w:lang w:val="en-CA"/>
        </w:rPr>
        <w:t xml:space="preserve">in the </w:t>
      </w:r>
      <w:r w:rsidR="00621CFA">
        <w:rPr>
          <w:lang w:val="en-CA"/>
        </w:rPr>
        <w:t>R</w:t>
      </w:r>
      <w:r w:rsidR="00554C1D">
        <w:rPr>
          <w:lang w:val="en-CA"/>
        </w:rPr>
        <w:t>eference section</w:t>
      </w:r>
      <w:r w:rsidR="00621CFA">
        <w:rPr>
          <w:lang w:val="en-CA"/>
        </w:rPr>
        <w:t>.</w:t>
      </w:r>
    </w:p>
    <w:p w14:paraId="57341E55" w14:textId="057C888F" w:rsidR="00554C1D" w:rsidRDefault="00554C1D" w:rsidP="00901935">
      <w:pPr>
        <w:jc w:val="both"/>
        <w:rPr>
          <w:lang w:val="en-CA"/>
        </w:rPr>
      </w:pPr>
    </w:p>
    <w:p w14:paraId="158F9C16" w14:textId="7CE14323" w:rsidR="00554C1D" w:rsidRPr="00621CFA" w:rsidRDefault="00621CFA" w:rsidP="00621CFA">
      <w:pPr>
        <w:pStyle w:val="ListParagraph"/>
        <w:numPr>
          <w:ilvl w:val="0"/>
          <w:numId w:val="6"/>
        </w:numPr>
        <w:spacing w:after="120"/>
        <w:ind w:left="357" w:hanging="357"/>
        <w:jc w:val="both"/>
        <w:rPr>
          <w:i/>
          <w:iCs/>
          <w:lang w:val="en-CA"/>
        </w:rPr>
      </w:pPr>
      <w:r w:rsidRPr="00621CFA">
        <w:rPr>
          <w:lang w:val="en-CA"/>
        </w:rPr>
        <w:t>“</w:t>
      </w:r>
      <w:r w:rsidR="00554C1D" w:rsidRPr="00621CFA">
        <w:rPr>
          <w:b/>
          <w:bCs/>
          <w:i/>
          <w:iCs/>
          <w:color w:val="FF0000"/>
          <w:lang w:val="en-CA"/>
        </w:rPr>
        <w:t>Commercial Language</w:t>
      </w:r>
      <w:r w:rsidR="00554C1D" w:rsidRPr="00621CFA">
        <w:rPr>
          <w:i/>
          <w:iCs/>
          <w:lang w:val="en-CA"/>
        </w:rPr>
        <w:t>:</w:t>
      </w:r>
      <w:r w:rsidRPr="00621CFA">
        <w:rPr>
          <w:i/>
          <w:iCs/>
          <w:lang w:val="en-CA"/>
        </w:rPr>
        <w:t xml:space="preserve"> </w:t>
      </w:r>
      <w:r w:rsidR="00554C1D" w:rsidRPr="00621CFA">
        <w:rPr>
          <w:i/>
          <w:iCs/>
          <w:lang w:val="en-CA"/>
        </w:rPr>
        <w:t>JoVE is unable to publish manuscripts containing commercial sounding language, including trademark or registered trademark symbols (TM/R) and the mention of company brand names before an instrument or reagent. Examples of commercial sounding language in your manuscript are ALDEFLOUR, Matrigel, etc</w:t>
      </w:r>
      <w:r w:rsidRPr="00621CFA">
        <w:rPr>
          <w:i/>
          <w:iCs/>
          <w:lang w:val="en-CA"/>
        </w:rPr>
        <w:t xml:space="preserve">. </w:t>
      </w:r>
      <w:r w:rsidR="00554C1D" w:rsidRPr="00621CFA">
        <w:rPr>
          <w:i/>
          <w:iCs/>
          <w:lang w:val="en-CA"/>
        </w:rPr>
        <w:t>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621CFA">
        <w:rPr>
          <w:i/>
          <w:iCs/>
          <w:lang w:val="en-CA"/>
        </w:rPr>
        <w:t>”</w:t>
      </w:r>
      <w:r w:rsidR="00554C1D" w:rsidRPr="00621CFA">
        <w:rPr>
          <w:i/>
          <w:iCs/>
          <w:lang w:val="en-CA"/>
        </w:rPr>
        <w:t>.</w:t>
      </w:r>
    </w:p>
    <w:p w14:paraId="234BFAEB" w14:textId="06D82DED" w:rsidR="00554C1D" w:rsidRDefault="00554C1D" w:rsidP="00901935">
      <w:pPr>
        <w:jc w:val="both"/>
        <w:rPr>
          <w:lang w:val="en-CA"/>
        </w:rPr>
      </w:pPr>
      <w:r w:rsidRPr="00554C1D">
        <w:rPr>
          <w:u w:val="single"/>
          <w:lang w:val="en-CA"/>
        </w:rPr>
        <w:t>Response:</w:t>
      </w:r>
      <w:r w:rsidRPr="00DB2DE8">
        <w:rPr>
          <w:lang w:val="en-CA"/>
        </w:rPr>
        <w:t xml:space="preserve"> </w:t>
      </w:r>
      <w:r w:rsidR="00DB2DE8" w:rsidRPr="00DB2DE8">
        <w:rPr>
          <w:lang w:val="en-CA"/>
        </w:rPr>
        <w:t xml:space="preserve">The </w:t>
      </w:r>
      <w:r w:rsidR="00DB2DE8">
        <w:rPr>
          <w:lang w:val="en-CA"/>
        </w:rPr>
        <w:t>commercial terms ha</w:t>
      </w:r>
      <w:r w:rsidR="00B5666E">
        <w:rPr>
          <w:lang w:val="en-CA"/>
        </w:rPr>
        <w:t>ve</w:t>
      </w:r>
      <w:r w:rsidR="00DB2DE8">
        <w:rPr>
          <w:lang w:val="en-CA"/>
        </w:rPr>
        <w:t xml:space="preserve"> been replaced with generic names</w:t>
      </w:r>
      <w:r w:rsidR="00B5666E">
        <w:rPr>
          <w:lang w:val="en-CA"/>
        </w:rPr>
        <w:t xml:space="preserve"> and specific commercial products have been referenced in the Table of Materials</w:t>
      </w:r>
      <w:r w:rsidR="00DB2DE8">
        <w:rPr>
          <w:lang w:val="en-CA"/>
        </w:rPr>
        <w:t>.</w:t>
      </w:r>
    </w:p>
    <w:p w14:paraId="565887A7" w14:textId="1D5902BD" w:rsidR="00DB2DE8" w:rsidRDefault="00DB2DE8" w:rsidP="00901935">
      <w:pPr>
        <w:jc w:val="both"/>
        <w:rPr>
          <w:lang w:val="en-CA"/>
        </w:rPr>
      </w:pPr>
    </w:p>
    <w:p w14:paraId="6763B4C6" w14:textId="55A7EE34" w:rsidR="00DB2DE8" w:rsidRPr="00152099" w:rsidRDefault="00152099" w:rsidP="00152099">
      <w:pPr>
        <w:pStyle w:val="ListParagraph"/>
        <w:numPr>
          <w:ilvl w:val="0"/>
          <w:numId w:val="6"/>
        </w:numPr>
        <w:spacing w:after="120"/>
        <w:ind w:left="357" w:hanging="357"/>
        <w:jc w:val="both"/>
        <w:rPr>
          <w:i/>
          <w:iCs/>
          <w:lang w:val="en-CA"/>
        </w:rPr>
      </w:pPr>
      <w:r w:rsidRPr="00152099">
        <w:rPr>
          <w:b/>
          <w:bCs/>
          <w:i/>
          <w:iCs/>
          <w:color w:val="FF0000"/>
          <w:lang w:val="en-CA"/>
        </w:rPr>
        <w:t>“</w:t>
      </w:r>
      <w:r w:rsidR="00DB2DE8" w:rsidRPr="00152099">
        <w:rPr>
          <w:b/>
          <w:bCs/>
          <w:i/>
          <w:iCs/>
          <w:color w:val="FF0000"/>
          <w:lang w:val="en-CA"/>
        </w:rPr>
        <w:t>Table of Materials:</w:t>
      </w:r>
      <w:r w:rsidR="00DB2DE8" w:rsidRPr="00152099">
        <w:rPr>
          <w:i/>
          <w:iCs/>
          <w:lang w:val="en-CA"/>
        </w:rPr>
        <w:t xml:space="preserve"> Please sort in alphabetical order</w:t>
      </w:r>
      <w:r w:rsidRPr="00152099">
        <w:rPr>
          <w:i/>
          <w:iCs/>
          <w:lang w:val="en-CA"/>
        </w:rPr>
        <w:t>”</w:t>
      </w:r>
      <w:r w:rsidR="00DB2DE8" w:rsidRPr="00152099">
        <w:rPr>
          <w:i/>
          <w:iCs/>
          <w:lang w:val="en-CA"/>
        </w:rPr>
        <w:t>.</w:t>
      </w:r>
    </w:p>
    <w:p w14:paraId="5F9AEFD2" w14:textId="1E9281C6" w:rsidR="00DB2DE8" w:rsidRDefault="00DB2DE8" w:rsidP="00901935">
      <w:pPr>
        <w:jc w:val="both"/>
        <w:rPr>
          <w:lang w:val="en-CA"/>
        </w:rPr>
      </w:pPr>
      <w:r w:rsidRPr="00152099">
        <w:rPr>
          <w:u w:val="single"/>
          <w:lang w:val="en-CA"/>
        </w:rPr>
        <w:t>Response</w:t>
      </w:r>
      <w:r>
        <w:rPr>
          <w:lang w:val="en-CA"/>
        </w:rPr>
        <w:t xml:space="preserve">: The </w:t>
      </w:r>
      <w:r w:rsidR="005E2DE4">
        <w:rPr>
          <w:lang w:val="en-CA"/>
        </w:rPr>
        <w:t>T</w:t>
      </w:r>
      <w:r>
        <w:rPr>
          <w:lang w:val="en-CA"/>
        </w:rPr>
        <w:t xml:space="preserve">able of </w:t>
      </w:r>
      <w:r w:rsidR="005E2DE4">
        <w:rPr>
          <w:lang w:val="en-CA"/>
        </w:rPr>
        <w:t>M</w:t>
      </w:r>
      <w:r>
        <w:rPr>
          <w:lang w:val="en-CA"/>
        </w:rPr>
        <w:t xml:space="preserve">aterials has </w:t>
      </w:r>
      <w:r w:rsidR="00152099">
        <w:rPr>
          <w:lang w:val="en-CA"/>
        </w:rPr>
        <w:t xml:space="preserve">now </w:t>
      </w:r>
      <w:r>
        <w:rPr>
          <w:lang w:val="en-CA"/>
        </w:rPr>
        <w:t xml:space="preserve">been sorted </w:t>
      </w:r>
      <w:r w:rsidR="00152099">
        <w:rPr>
          <w:lang w:val="en-CA"/>
        </w:rPr>
        <w:t xml:space="preserve">in </w:t>
      </w:r>
      <w:r>
        <w:rPr>
          <w:lang w:val="en-CA"/>
        </w:rPr>
        <w:t>alphabetical order.</w:t>
      </w:r>
    </w:p>
    <w:p w14:paraId="1CF3CC2F" w14:textId="4FECEEB4" w:rsidR="00DB2DE8" w:rsidRDefault="00DB2DE8" w:rsidP="00901935">
      <w:pPr>
        <w:jc w:val="both"/>
        <w:rPr>
          <w:lang w:val="en-CA"/>
        </w:rPr>
      </w:pPr>
    </w:p>
    <w:p w14:paraId="4F8E621B" w14:textId="2456832C" w:rsidR="00DB2DE8" w:rsidRDefault="00DB2DE8" w:rsidP="00901935">
      <w:pPr>
        <w:jc w:val="both"/>
        <w:rPr>
          <w:lang w:val="en-CA"/>
        </w:rPr>
      </w:pPr>
    </w:p>
    <w:p w14:paraId="292F714E" w14:textId="16F8D506" w:rsidR="002D156D" w:rsidRDefault="002D156D" w:rsidP="002D156D">
      <w:pPr>
        <w:pStyle w:val="ListParagraph"/>
        <w:numPr>
          <w:ilvl w:val="0"/>
          <w:numId w:val="4"/>
        </w:numPr>
        <w:jc w:val="both"/>
        <w:rPr>
          <w:b/>
          <w:bCs/>
          <w:lang w:val="en-CA"/>
        </w:rPr>
      </w:pPr>
      <w:r>
        <w:rPr>
          <w:b/>
          <w:bCs/>
          <w:lang w:val="en-CA"/>
        </w:rPr>
        <w:t>Reviewers’ Comments</w:t>
      </w:r>
    </w:p>
    <w:p w14:paraId="6310FB07" w14:textId="77777777" w:rsidR="002D156D" w:rsidRPr="002D156D" w:rsidRDefault="002D156D" w:rsidP="002D156D">
      <w:pPr>
        <w:pStyle w:val="ListParagraph"/>
        <w:ind w:left="360"/>
        <w:jc w:val="both"/>
        <w:rPr>
          <w:b/>
          <w:bCs/>
          <w:lang w:val="en-CA"/>
        </w:rPr>
      </w:pPr>
    </w:p>
    <w:p w14:paraId="1AD1C0BA" w14:textId="0363482A" w:rsidR="00DB2DE8" w:rsidRDefault="00DB2DE8" w:rsidP="00901935">
      <w:pPr>
        <w:jc w:val="both"/>
        <w:rPr>
          <w:b/>
          <w:bCs/>
          <w:lang w:val="en-CA"/>
        </w:rPr>
      </w:pPr>
      <w:r w:rsidRPr="002D156D">
        <w:rPr>
          <w:b/>
          <w:bCs/>
          <w:u w:val="single"/>
          <w:lang w:val="en-CA"/>
        </w:rPr>
        <w:t>Reviewer #1</w:t>
      </w:r>
      <w:r>
        <w:rPr>
          <w:b/>
          <w:bCs/>
          <w:lang w:val="en-CA"/>
        </w:rPr>
        <w:t>:</w:t>
      </w:r>
    </w:p>
    <w:p w14:paraId="6C740389" w14:textId="39B88FFD" w:rsidR="00DB2DE8" w:rsidRDefault="00DB2DE8" w:rsidP="00901935">
      <w:pPr>
        <w:jc w:val="both"/>
        <w:rPr>
          <w:b/>
          <w:bCs/>
          <w:lang w:val="en-CA"/>
        </w:rPr>
      </w:pPr>
    </w:p>
    <w:p w14:paraId="55F7D98B" w14:textId="0ADA5EBE" w:rsidR="00605A59" w:rsidRPr="00152099" w:rsidRDefault="00152099" w:rsidP="00CD1357">
      <w:pPr>
        <w:pStyle w:val="ListParagraph"/>
        <w:numPr>
          <w:ilvl w:val="0"/>
          <w:numId w:val="7"/>
        </w:numPr>
        <w:spacing w:after="120"/>
        <w:jc w:val="both"/>
        <w:rPr>
          <w:i/>
          <w:iCs/>
          <w:lang w:val="en-CA"/>
        </w:rPr>
      </w:pPr>
      <w:r w:rsidRPr="00152099">
        <w:rPr>
          <w:i/>
          <w:iCs/>
          <w:lang w:val="en-CA"/>
        </w:rPr>
        <w:t>“</w:t>
      </w:r>
      <w:r w:rsidR="00605A59" w:rsidRPr="00152099">
        <w:rPr>
          <w:i/>
          <w:iCs/>
          <w:lang w:val="en-CA"/>
        </w:rPr>
        <w:t>Trypsin should be replaced with a different reagent such as TriPLE or Accutase that preserve cells surface protein digestion</w:t>
      </w:r>
      <w:r w:rsidRPr="00152099">
        <w:rPr>
          <w:i/>
          <w:iCs/>
          <w:lang w:val="en-CA"/>
        </w:rPr>
        <w:t>”.</w:t>
      </w:r>
    </w:p>
    <w:p w14:paraId="7A0FD1E1" w14:textId="1A713675" w:rsidR="00605A59" w:rsidRDefault="00605A59" w:rsidP="00605A59">
      <w:pPr>
        <w:jc w:val="both"/>
        <w:rPr>
          <w:lang w:val="en-CA"/>
        </w:rPr>
      </w:pPr>
      <w:r w:rsidRPr="00605A59">
        <w:rPr>
          <w:u w:val="single"/>
          <w:lang w:val="en-CA"/>
        </w:rPr>
        <w:t>Response:</w:t>
      </w:r>
      <w:r>
        <w:rPr>
          <w:lang w:val="en-CA"/>
        </w:rPr>
        <w:t xml:space="preserve"> We agree with this suggestion. </w:t>
      </w:r>
      <w:r w:rsidR="005E2DE4">
        <w:rPr>
          <w:lang w:val="en-CA"/>
        </w:rPr>
        <w:t xml:space="preserve">However, as per the journal’s </w:t>
      </w:r>
      <w:r w:rsidR="00152099">
        <w:rPr>
          <w:lang w:val="en-CA"/>
        </w:rPr>
        <w:t xml:space="preserve">formatting </w:t>
      </w:r>
      <w:r w:rsidR="00FE5185">
        <w:rPr>
          <w:lang w:val="en-CA"/>
        </w:rPr>
        <w:t>guidelines, commercial</w:t>
      </w:r>
      <w:r w:rsidR="005E2DE4">
        <w:rPr>
          <w:lang w:val="en-CA"/>
        </w:rPr>
        <w:t xml:space="preserve"> </w:t>
      </w:r>
      <w:r w:rsidR="00152099">
        <w:rPr>
          <w:lang w:val="en-CA"/>
        </w:rPr>
        <w:t xml:space="preserve">reagent </w:t>
      </w:r>
      <w:r w:rsidR="005E2DE4">
        <w:rPr>
          <w:lang w:val="en-CA"/>
        </w:rPr>
        <w:t xml:space="preserve">names cannot be used in the protocol and </w:t>
      </w:r>
      <w:r w:rsidR="00152099">
        <w:rPr>
          <w:lang w:val="en-CA"/>
        </w:rPr>
        <w:t xml:space="preserve">thus </w:t>
      </w:r>
      <w:r w:rsidR="005E2DE4">
        <w:rPr>
          <w:lang w:val="en-CA"/>
        </w:rPr>
        <w:t>we have refrained from</w:t>
      </w:r>
      <w:r w:rsidR="006A10BD">
        <w:rPr>
          <w:lang w:val="en-CA"/>
        </w:rPr>
        <w:t xml:space="preserve"> </w:t>
      </w:r>
      <w:r w:rsidR="00152099">
        <w:rPr>
          <w:lang w:val="en-CA"/>
        </w:rPr>
        <w:t xml:space="preserve">mentioning </w:t>
      </w:r>
      <w:r w:rsidR="005E2DE4">
        <w:rPr>
          <w:lang w:val="en-CA"/>
        </w:rPr>
        <w:t xml:space="preserve">commercial </w:t>
      </w:r>
      <w:r w:rsidR="00152099">
        <w:rPr>
          <w:lang w:val="en-CA"/>
        </w:rPr>
        <w:t xml:space="preserve">reagent </w:t>
      </w:r>
      <w:r w:rsidR="005E2DE4">
        <w:rPr>
          <w:lang w:val="en-CA"/>
        </w:rPr>
        <w:t>names</w:t>
      </w:r>
      <w:r w:rsidR="00AD18AF">
        <w:rPr>
          <w:lang w:val="en-CA"/>
        </w:rPr>
        <w:t>.</w:t>
      </w:r>
    </w:p>
    <w:p w14:paraId="2CB89151" w14:textId="77777777" w:rsidR="00605A59" w:rsidRPr="00605A59" w:rsidRDefault="00605A59" w:rsidP="00605A59">
      <w:pPr>
        <w:jc w:val="both"/>
        <w:rPr>
          <w:lang w:val="en-CA"/>
        </w:rPr>
      </w:pPr>
    </w:p>
    <w:p w14:paraId="704DC059" w14:textId="185FEDEE" w:rsidR="00605A59" w:rsidRPr="00CD1357" w:rsidRDefault="00CD1357" w:rsidP="00CD1357">
      <w:pPr>
        <w:pStyle w:val="ListParagraph"/>
        <w:numPr>
          <w:ilvl w:val="0"/>
          <w:numId w:val="7"/>
        </w:numPr>
        <w:spacing w:after="120"/>
        <w:ind w:left="357" w:hanging="357"/>
        <w:jc w:val="both"/>
        <w:rPr>
          <w:i/>
          <w:iCs/>
          <w:lang w:val="en-CA"/>
        </w:rPr>
      </w:pPr>
      <w:r w:rsidRPr="00CD1357">
        <w:rPr>
          <w:i/>
          <w:iCs/>
          <w:lang w:val="en-CA"/>
        </w:rPr>
        <w:t>“</w:t>
      </w:r>
      <w:r w:rsidR="00605A59" w:rsidRPr="00CD1357">
        <w:rPr>
          <w:i/>
          <w:iCs/>
          <w:lang w:val="en-CA"/>
        </w:rPr>
        <w:t xml:space="preserve">The protocol for the generation of single suspension from tissue samples should be performed in just one step using the collagenase and </w:t>
      </w:r>
      <w:r w:rsidR="00FE5185" w:rsidRPr="00CD1357">
        <w:rPr>
          <w:i/>
          <w:iCs/>
          <w:lang w:val="en-CA"/>
        </w:rPr>
        <w:t>DNase</w:t>
      </w:r>
      <w:r w:rsidR="00605A59" w:rsidRPr="00CD1357">
        <w:rPr>
          <w:i/>
          <w:iCs/>
          <w:lang w:val="en-CA"/>
        </w:rPr>
        <w:t xml:space="preserve"> combined possibly</w:t>
      </w:r>
      <w:r w:rsidRPr="00CD1357">
        <w:rPr>
          <w:i/>
          <w:iCs/>
          <w:lang w:val="en-CA"/>
        </w:rPr>
        <w:t>”</w:t>
      </w:r>
      <w:r>
        <w:rPr>
          <w:i/>
          <w:iCs/>
          <w:lang w:val="en-CA"/>
        </w:rPr>
        <w:t>.</w:t>
      </w:r>
    </w:p>
    <w:p w14:paraId="594526AF" w14:textId="37AF2F5F" w:rsidR="00605A59" w:rsidRDefault="00605A59" w:rsidP="00605A59">
      <w:pPr>
        <w:jc w:val="both"/>
        <w:rPr>
          <w:lang w:val="en-CA"/>
        </w:rPr>
      </w:pPr>
      <w:r w:rsidRPr="00DE690F">
        <w:rPr>
          <w:u w:val="single"/>
          <w:lang w:val="en-CA"/>
        </w:rPr>
        <w:t>Response:</w:t>
      </w:r>
      <w:r>
        <w:rPr>
          <w:lang w:val="en-CA"/>
        </w:rPr>
        <w:t xml:space="preserve"> We thank the reviewer for t</w:t>
      </w:r>
      <w:r w:rsidR="00CD1357">
        <w:rPr>
          <w:lang w:val="en-CA"/>
        </w:rPr>
        <w:t>his suggestion</w:t>
      </w:r>
      <w:r>
        <w:rPr>
          <w:lang w:val="en-CA"/>
        </w:rPr>
        <w:t xml:space="preserve">. </w:t>
      </w:r>
      <w:r w:rsidR="00CD1357">
        <w:rPr>
          <w:lang w:val="en-CA"/>
        </w:rPr>
        <w:t xml:space="preserve">Although </w:t>
      </w:r>
      <w:r>
        <w:rPr>
          <w:lang w:val="en-CA"/>
        </w:rPr>
        <w:t xml:space="preserve">DNase could be used with collagenase during </w:t>
      </w:r>
      <w:r w:rsidR="00D464AE">
        <w:rPr>
          <w:lang w:val="en-CA"/>
        </w:rPr>
        <w:t xml:space="preserve">tissue digestion process, </w:t>
      </w:r>
      <w:r w:rsidR="00CD1357">
        <w:rPr>
          <w:lang w:val="en-CA"/>
        </w:rPr>
        <w:t xml:space="preserve">in our experience the DNase is </w:t>
      </w:r>
      <w:r w:rsidR="00FA5E91">
        <w:rPr>
          <w:lang w:val="en-CA"/>
        </w:rPr>
        <w:t xml:space="preserve">much </w:t>
      </w:r>
      <w:r w:rsidR="00CD1357">
        <w:rPr>
          <w:lang w:val="en-CA"/>
        </w:rPr>
        <w:t xml:space="preserve">more effectively used </w:t>
      </w:r>
      <w:r w:rsidR="00FA5E91">
        <w:rPr>
          <w:lang w:val="en-CA"/>
        </w:rPr>
        <w:t>just prior to staining for cell sorting in order</w:t>
      </w:r>
      <w:r w:rsidR="00CD1357">
        <w:rPr>
          <w:lang w:val="en-CA"/>
        </w:rPr>
        <w:t xml:space="preserve"> to ensure the greatest prevention </w:t>
      </w:r>
      <w:r w:rsidR="00FA5E91">
        <w:rPr>
          <w:lang w:val="en-CA"/>
        </w:rPr>
        <w:t xml:space="preserve">of </w:t>
      </w:r>
      <w:r w:rsidR="00542123">
        <w:rPr>
          <w:lang w:val="en-CA"/>
        </w:rPr>
        <w:t xml:space="preserve">cell clumping </w:t>
      </w:r>
      <w:r w:rsidR="00FA5E91">
        <w:rPr>
          <w:lang w:val="en-CA"/>
        </w:rPr>
        <w:t xml:space="preserve">and non-specific uptake </w:t>
      </w:r>
      <w:r w:rsidR="00A27C4B">
        <w:rPr>
          <w:lang w:val="en-CA"/>
        </w:rPr>
        <w:t xml:space="preserve">of </w:t>
      </w:r>
      <w:r w:rsidR="00FA5E91" w:rsidRPr="00FA5E91">
        <w:rPr>
          <w:lang w:val="en-CA"/>
        </w:rPr>
        <w:t>7AAD dye</w:t>
      </w:r>
      <w:r w:rsidR="00FA5E91">
        <w:rPr>
          <w:lang w:val="en-CA"/>
        </w:rPr>
        <w:t xml:space="preserve"> that can </w:t>
      </w:r>
      <w:r w:rsidR="00542123">
        <w:rPr>
          <w:lang w:val="en-CA"/>
        </w:rPr>
        <w:t xml:space="preserve">reduce the efficiency of sorting process. </w:t>
      </w:r>
    </w:p>
    <w:p w14:paraId="387939FF" w14:textId="1D7B300F" w:rsidR="00D27336" w:rsidRDefault="00D27336" w:rsidP="00605A59">
      <w:pPr>
        <w:jc w:val="both"/>
        <w:rPr>
          <w:lang w:val="en-CA"/>
        </w:rPr>
      </w:pPr>
    </w:p>
    <w:p w14:paraId="19EF743C" w14:textId="124AF1E6" w:rsidR="002D156D" w:rsidRDefault="002D156D" w:rsidP="00605A59">
      <w:pPr>
        <w:jc w:val="both"/>
        <w:rPr>
          <w:lang w:val="en-CA"/>
        </w:rPr>
      </w:pPr>
    </w:p>
    <w:p w14:paraId="602EBEB3" w14:textId="77777777" w:rsidR="002D156D" w:rsidRPr="00605A59" w:rsidRDefault="002D156D" w:rsidP="00605A59">
      <w:pPr>
        <w:jc w:val="both"/>
        <w:rPr>
          <w:lang w:val="en-CA"/>
        </w:rPr>
      </w:pPr>
    </w:p>
    <w:p w14:paraId="6E550FDE" w14:textId="3532FC32" w:rsidR="00605A59" w:rsidRPr="00FA5E91" w:rsidRDefault="00FA5E91" w:rsidP="00FA5E91">
      <w:pPr>
        <w:pStyle w:val="ListParagraph"/>
        <w:numPr>
          <w:ilvl w:val="0"/>
          <w:numId w:val="7"/>
        </w:numPr>
        <w:spacing w:after="120"/>
        <w:ind w:left="357" w:hanging="357"/>
        <w:jc w:val="both"/>
        <w:rPr>
          <w:i/>
          <w:iCs/>
          <w:lang w:val="en-CA"/>
        </w:rPr>
      </w:pPr>
      <w:r w:rsidRPr="00FA5E91">
        <w:rPr>
          <w:i/>
          <w:iCs/>
          <w:lang w:val="en-CA"/>
        </w:rPr>
        <w:lastRenderedPageBreak/>
        <w:t>“</w:t>
      </w:r>
      <w:r w:rsidR="00605A59" w:rsidRPr="00FA5E91">
        <w:rPr>
          <w:i/>
          <w:iCs/>
          <w:lang w:val="en-CA"/>
        </w:rPr>
        <w:t>Centrifuge speed should be reduce</w:t>
      </w:r>
      <w:r>
        <w:rPr>
          <w:i/>
          <w:iCs/>
          <w:lang w:val="en-CA"/>
        </w:rPr>
        <w:t>d</w:t>
      </w:r>
      <w:r w:rsidR="00605A59" w:rsidRPr="00FA5E91">
        <w:rPr>
          <w:i/>
          <w:iCs/>
          <w:lang w:val="en-CA"/>
        </w:rPr>
        <w:t xml:space="preserve"> from 1000g to 500-750g</w:t>
      </w:r>
      <w:r w:rsidRPr="00FA5E91">
        <w:rPr>
          <w:i/>
          <w:iCs/>
          <w:lang w:val="en-CA"/>
        </w:rPr>
        <w:t>”.</w:t>
      </w:r>
    </w:p>
    <w:p w14:paraId="74013D2B" w14:textId="11692EA6" w:rsidR="002C29E9" w:rsidRPr="00DE690F" w:rsidRDefault="002C29E9" w:rsidP="00605A59">
      <w:pPr>
        <w:jc w:val="both"/>
        <w:rPr>
          <w:lang w:val="en-CA"/>
        </w:rPr>
      </w:pPr>
      <w:r w:rsidRPr="00DE690F">
        <w:rPr>
          <w:u w:val="single"/>
          <w:lang w:val="en-CA"/>
        </w:rPr>
        <w:t>Response:</w:t>
      </w:r>
      <w:r>
        <w:rPr>
          <w:lang w:val="en-CA"/>
        </w:rPr>
        <w:t xml:space="preserve"> We thank the reviewer for th</w:t>
      </w:r>
      <w:r w:rsidR="00FA5E91">
        <w:rPr>
          <w:lang w:val="en-CA"/>
        </w:rPr>
        <w:t>is</w:t>
      </w:r>
      <w:r>
        <w:rPr>
          <w:lang w:val="en-CA"/>
        </w:rPr>
        <w:t xml:space="preserve"> </w:t>
      </w:r>
      <w:r w:rsidR="00FA5E91">
        <w:rPr>
          <w:lang w:val="en-CA"/>
        </w:rPr>
        <w:t>suggestion</w:t>
      </w:r>
      <w:r>
        <w:rPr>
          <w:lang w:val="en-CA"/>
        </w:rPr>
        <w:t xml:space="preserve">. </w:t>
      </w:r>
      <w:r w:rsidR="00FA5E91">
        <w:rPr>
          <w:lang w:val="en-CA"/>
        </w:rPr>
        <w:t>In optimizing our protocol, w</w:t>
      </w:r>
      <w:r w:rsidR="00705FF1">
        <w:rPr>
          <w:lang w:val="en-CA"/>
        </w:rPr>
        <w:t xml:space="preserve">e have observed that </w:t>
      </w:r>
      <w:r w:rsidR="00FA5E91">
        <w:rPr>
          <w:lang w:val="en-CA"/>
        </w:rPr>
        <w:t xml:space="preserve">centrifugation at </w:t>
      </w:r>
      <w:r>
        <w:rPr>
          <w:lang w:val="en-CA"/>
        </w:rPr>
        <w:t xml:space="preserve">1000 x </w:t>
      </w:r>
      <w:r w:rsidRPr="002C29E9">
        <w:rPr>
          <w:i/>
          <w:iCs/>
          <w:lang w:val="en-CA"/>
        </w:rPr>
        <w:t>g</w:t>
      </w:r>
      <w:r>
        <w:rPr>
          <w:lang w:val="en-CA"/>
        </w:rPr>
        <w:t xml:space="preserve"> </w:t>
      </w:r>
      <w:r w:rsidR="00FA5E91">
        <w:rPr>
          <w:lang w:val="en-CA"/>
        </w:rPr>
        <w:t xml:space="preserve">(compared to lower speeds of 500-750 x g) improves overall cell recovery without affecting cell viability. </w:t>
      </w:r>
      <w:r w:rsidR="00705FF1">
        <w:rPr>
          <w:lang w:val="en-CA"/>
        </w:rPr>
        <w:t>Therefore,</w:t>
      </w:r>
      <w:r>
        <w:rPr>
          <w:lang w:val="en-CA"/>
        </w:rPr>
        <w:t xml:space="preserve"> we </w:t>
      </w:r>
      <w:r w:rsidR="00DE690F">
        <w:rPr>
          <w:lang w:val="en-CA"/>
        </w:rPr>
        <w:t>perform</w:t>
      </w:r>
      <w:r w:rsidR="00FA5E91">
        <w:rPr>
          <w:lang w:val="en-CA"/>
        </w:rPr>
        <w:t xml:space="preserve"> </w:t>
      </w:r>
      <w:r w:rsidR="00DE690F">
        <w:rPr>
          <w:lang w:val="en-CA"/>
        </w:rPr>
        <w:t xml:space="preserve">cell pelleting at 1000 x </w:t>
      </w:r>
      <w:r w:rsidR="00DE690F" w:rsidRPr="00DE690F">
        <w:rPr>
          <w:i/>
          <w:iCs/>
          <w:lang w:val="en-CA"/>
        </w:rPr>
        <w:t>g</w:t>
      </w:r>
      <w:r w:rsidR="00DE690F">
        <w:rPr>
          <w:lang w:val="en-CA"/>
        </w:rPr>
        <w:t>.</w:t>
      </w:r>
    </w:p>
    <w:p w14:paraId="4F97D041" w14:textId="77777777" w:rsidR="002C29E9" w:rsidRPr="00605A59" w:rsidRDefault="002C29E9" w:rsidP="00605A59">
      <w:pPr>
        <w:jc w:val="both"/>
        <w:rPr>
          <w:lang w:val="en-CA"/>
        </w:rPr>
      </w:pPr>
    </w:p>
    <w:p w14:paraId="504EB155" w14:textId="2299B881" w:rsidR="00605A59" w:rsidRPr="00C2583E" w:rsidRDefault="00C2583E" w:rsidP="00C2583E">
      <w:pPr>
        <w:pStyle w:val="ListParagraph"/>
        <w:numPr>
          <w:ilvl w:val="0"/>
          <w:numId w:val="7"/>
        </w:numPr>
        <w:spacing w:after="120"/>
        <w:ind w:left="357" w:hanging="357"/>
        <w:jc w:val="both"/>
        <w:rPr>
          <w:lang w:val="en-CA"/>
        </w:rPr>
      </w:pPr>
      <w:r w:rsidRPr="00C2583E">
        <w:rPr>
          <w:i/>
          <w:iCs/>
          <w:lang w:val="en-CA"/>
        </w:rPr>
        <w:t>“</w:t>
      </w:r>
      <w:r w:rsidR="00605A59" w:rsidRPr="00C2583E">
        <w:rPr>
          <w:i/>
          <w:iCs/>
          <w:lang w:val="en-CA"/>
        </w:rPr>
        <w:t>Gating boundaries should be determined using FMO gating controls</w:t>
      </w:r>
      <w:r w:rsidRPr="00C2583E">
        <w:rPr>
          <w:i/>
          <w:iCs/>
          <w:lang w:val="en-CA"/>
        </w:rPr>
        <w:t>”</w:t>
      </w:r>
      <w:r>
        <w:rPr>
          <w:lang w:val="en-CA"/>
        </w:rPr>
        <w:t>.</w:t>
      </w:r>
    </w:p>
    <w:p w14:paraId="7EE31C63" w14:textId="64462C2C" w:rsidR="00DE690F" w:rsidRDefault="00DE690F" w:rsidP="00605A59">
      <w:pPr>
        <w:jc w:val="both"/>
        <w:rPr>
          <w:lang w:val="en-CA"/>
        </w:rPr>
      </w:pPr>
      <w:r w:rsidRPr="00DE690F">
        <w:rPr>
          <w:u w:val="single"/>
          <w:lang w:val="en-CA"/>
        </w:rPr>
        <w:t>Response:</w:t>
      </w:r>
      <w:r>
        <w:rPr>
          <w:lang w:val="en-CA"/>
        </w:rPr>
        <w:t xml:space="preserve"> We </w:t>
      </w:r>
      <w:r w:rsidR="00C2583E">
        <w:rPr>
          <w:lang w:val="en-CA"/>
        </w:rPr>
        <w:t xml:space="preserve">apologize for omitting this detail from the protocol. </w:t>
      </w:r>
      <w:r>
        <w:rPr>
          <w:lang w:val="en-CA"/>
        </w:rPr>
        <w:t xml:space="preserve">We have </w:t>
      </w:r>
      <w:r w:rsidR="00C2583E">
        <w:rPr>
          <w:lang w:val="en-CA"/>
        </w:rPr>
        <w:t xml:space="preserve">now included this as part of the description of the </w:t>
      </w:r>
      <w:r>
        <w:rPr>
          <w:lang w:val="en-CA"/>
        </w:rPr>
        <w:t>gating strategy in step</w:t>
      </w:r>
      <w:r w:rsidR="00C2583E">
        <w:rPr>
          <w:lang w:val="en-CA"/>
        </w:rPr>
        <w:t xml:space="preserve">s 5.1 and </w:t>
      </w:r>
      <w:r>
        <w:rPr>
          <w:lang w:val="en-CA"/>
        </w:rPr>
        <w:t>5.8</w:t>
      </w:r>
      <w:r w:rsidR="00C2583E">
        <w:rPr>
          <w:lang w:val="en-CA"/>
        </w:rPr>
        <w:t xml:space="preserve"> of the protocol</w:t>
      </w:r>
      <w:r w:rsidR="00B948E8">
        <w:rPr>
          <w:lang w:val="en-CA"/>
        </w:rPr>
        <w:t xml:space="preserve"> in the revised manuscript</w:t>
      </w:r>
      <w:r w:rsidR="00C2583E">
        <w:rPr>
          <w:lang w:val="en-CA"/>
        </w:rPr>
        <w:t xml:space="preserve">. </w:t>
      </w:r>
    </w:p>
    <w:p w14:paraId="7FC88F35" w14:textId="77777777" w:rsidR="00DE690F" w:rsidRPr="00605A59" w:rsidRDefault="00DE690F" w:rsidP="00605A59">
      <w:pPr>
        <w:jc w:val="both"/>
        <w:rPr>
          <w:lang w:val="en-CA"/>
        </w:rPr>
      </w:pPr>
    </w:p>
    <w:p w14:paraId="0F265D97" w14:textId="6A386C32" w:rsidR="00DB2DE8" w:rsidRPr="00A54B90" w:rsidRDefault="00A54B90" w:rsidP="00A54B90">
      <w:pPr>
        <w:pStyle w:val="ListParagraph"/>
        <w:numPr>
          <w:ilvl w:val="0"/>
          <w:numId w:val="7"/>
        </w:numPr>
        <w:spacing w:after="120"/>
        <w:ind w:left="357" w:hanging="357"/>
        <w:jc w:val="both"/>
        <w:rPr>
          <w:i/>
          <w:iCs/>
          <w:lang w:val="en-CA"/>
        </w:rPr>
      </w:pPr>
      <w:r w:rsidRPr="00A54B90">
        <w:rPr>
          <w:i/>
          <w:iCs/>
          <w:lang w:val="en-CA"/>
        </w:rPr>
        <w:t>“</w:t>
      </w:r>
      <w:r w:rsidR="00605A59" w:rsidRPr="00A54B90">
        <w:rPr>
          <w:i/>
          <w:iCs/>
          <w:lang w:val="en-CA"/>
        </w:rPr>
        <w:t xml:space="preserve">I suggest to improve the quality of the image in </w:t>
      </w:r>
      <w:r w:rsidRPr="00A54B90">
        <w:rPr>
          <w:i/>
          <w:iCs/>
          <w:lang w:val="en-CA"/>
        </w:rPr>
        <w:t>F</w:t>
      </w:r>
      <w:r w:rsidR="00605A59" w:rsidRPr="00A54B90">
        <w:rPr>
          <w:i/>
          <w:iCs/>
          <w:lang w:val="en-CA"/>
        </w:rPr>
        <w:t>ig.3. The scale is incorrect and MDA-MB-468 cultures do not represent spheres. They seem to be more similar to aggregates of few cells</w:t>
      </w:r>
      <w:r w:rsidRPr="00A54B90">
        <w:rPr>
          <w:i/>
          <w:iCs/>
          <w:lang w:val="en-CA"/>
        </w:rPr>
        <w:t>”</w:t>
      </w:r>
      <w:r>
        <w:rPr>
          <w:i/>
          <w:iCs/>
          <w:lang w:val="en-CA"/>
        </w:rPr>
        <w:t>.</w:t>
      </w:r>
    </w:p>
    <w:p w14:paraId="4A80C6C3" w14:textId="2406A77D" w:rsidR="00DE690F" w:rsidRDefault="00DE690F" w:rsidP="00605A59">
      <w:pPr>
        <w:jc w:val="both"/>
        <w:rPr>
          <w:lang w:val="en-CA"/>
        </w:rPr>
      </w:pPr>
      <w:r w:rsidRPr="00A54B90">
        <w:rPr>
          <w:u w:val="single"/>
          <w:lang w:val="en-CA"/>
        </w:rPr>
        <w:t>Response</w:t>
      </w:r>
      <w:r>
        <w:rPr>
          <w:lang w:val="en-CA"/>
        </w:rPr>
        <w:t xml:space="preserve">: </w:t>
      </w:r>
      <w:r w:rsidR="00051F58">
        <w:rPr>
          <w:lang w:val="en-CA"/>
        </w:rPr>
        <w:t xml:space="preserve">We </w:t>
      </w:r>
      <w:r w:rsidR="002749D5">
        <w:rPr>
          <w:lang w:val="en-CA"/>
        </w:rPr>
        <w:t>have improved the quality of the image for the MBA</w:t>
      </w:r>
      <w:r w:rsidR="003217D6">
        <w:rPr>
          <w:lang w:val="en-CA"/>
        </w:rPr>
        <w:t xml:space="preserve">-MB-468 mammosphere image and ensured that the scale bars are accurate. The reason that we included images of mammospheres generated from different breast cancer cell lines and PDXs was to highlight the heterogeneity in size and cellular aggregation patterns across cell lines. In the case of MDA-MB-468 cells, these images are representative of how these cells grow under mammosphere-forming conditions. </w:t>
      </w:r>
    </w:p>
    <w:p w14:paraId="4DF54EB7" w14:textId="56D9AEE7" w:rsidR="00DE690F" w:rsidRDefault="00DE690F" w:rsidP="00605A59">
      <w:pPr>
        <w:jc w:val="both"/>
        <w:rPr>
          <w:lang w:val="en-CA"/>
        </w:rPr>
      </w:pPr>
    </w:p>
    <w:p w14:paraId="7817A763" w14:textId="2B2C5351" w:rsidR="00DE690F" w:rsidRPr="002D156D" w:rsidRDefault="00DE690F" w:rsidP="00605A59">
      <w:pPr>
        <w:jc w:val="both"/>
        <w:rPr>
          <w:b/>
          <w:bCs/>
          <w:u w:val="single"/>
          <w:lang w:val="en-CA"/>
        </w:rPr>
      </w:pPr>
      <w:r w:rsidRPr="002D156D">
        <w:rPr>
          <w:b/>
          <w:bCs/>
          <w:u w:val="single"/>
          <w:lang w:val="en-CA"/>
        </w:rPr>
        <w:t>Reviewer #2:</w:t>
      </w:r>
    </w:p>
    <w:p w14:paraId="5E851AE6" w14:textId="2AE4E796" w:rsidR="00DE690F" w:rsidRDefault="00DE690F" w:rsidP="00605A59">
      <w:pPr>
        <w:jc w:val="both"/>
        <w:rPr>
          <w:lang w:val="en-CA"/>
        </w:rPr>
      </w:pPr>
    </w:p>
    <w:p w14:paraId="2A951D17" w14:textId="7C338D2B" w:rsidR="00DE690F" w:rsidRPr="002D156D" w:rsidRDefault="002D156D" w:rsidP="002D156D">
      <w:pPr>
        <w:pStyle w:val="ListParagraph"/>
        <w:numPr>
          <w:ilvl w:val="0"/>
          <w:numId w:val="8"/>
        </w:numPr>
        <w:spacing w:after="120"/>
        <w:ind w:left="357" w:hanging="357"/>
        <w:jc w:val="both"/>
        <w:rPr>
          <w:lang w:val="en-CA"/>
        </w:rPr>
      </w:pPr>
      <w:r w:rsidRPr="002D156D">
        <w:rPr>
          <w:lang w:val="en-CA"/>
        </w:rPr>
        <w:t>“</w:t>
      </w:r>
      <w:r w:rsidR="00DE690F" w:rsidRPr="002D156D">
        <w:rPr>
          <w:i/>
          <w:iCs/>
          <w:lang w:val="en-CA"/>
        </w:rPr>
        <w:t>Some protocols are not well described and lack repeatability. In some functional identification assays, the composition of media was not clear enough. For example, what cytokines have been added? Why are these cytokines added</w:t>
      </w:r>
      <w:r w:rsidR="00DE690F" w:rsidRPr="002D156D">
        <w:rPr>
          <w:lang w:val="en-CA"/>
        </w:rPr>
        <w:t>?</w:t>
      </w:r>
      <w:r w:rsidRPr="002D156D">
        <w:rPr>
          <w:lang w:val="en-CA"/>
        </w:rPr>
        <w:t>”</w:t>
      </w:r>
      <w:r>
        <w:rPr>
          <w:lang w:val="en-CA"/>
        </w:rPr>
        <w:t>.</w:t>
      </w:r>
    </w:p>
    <w:p w14:paraId="41CAE3AF" w14:textId="06C67D45" w:rsidR="00DE690F" w:rsidRDefault="00DE690F" w:rsidP="00DE690F">
      <w:pPr>
        <w:jc w:val="both"/>
        <w:rPr>
          <w:lang w:val="en-CA"/>
        </w:rPr>
      </w:pPr>
      <w:r w:rsidRPr="00FB5C0D">
        <w:rPr>
          <w:u w:val="single"/>
          <w:lang w:val="en-CA"/>
        </w:rPr>
        <w:t>Response:</w:t>
      </w:r>
      <w:r w:rsidRPr="00FB5C0D">
        <w:rPr>
          <w:lang w:val="en-CA"/>
        </w:rPr>
        <w:t xml:space="preserve"> </w:t>
      </w:r>
      <w:r w:rsidR="002D156D">
        <w:rPr>
          <w:lang w:val="en-CA"/>
        </w:rPr>
        <w:t>As per the journal’s formatting guidelines; t</w:t>
      </w:r>
      <w:r w:rsidRPr="00FB5C0D">
        <w:rPr>
          <w:lang w:val="en-CA"/>
        </w:rPr>
        <w:t xml:space="preserve">he details of media compositions </w:t>
      </w:r>
      <w:r w:rsidR="002D156D">
        <w:rPr>
          <w:lang w:val="en-CA"/>
        </w:rPr>
        <w:t xml:space="preserve">including cytokines </w:t>
      </w:r>
      <w:r w:rsidRPr="00FB5C0D">
        <w:rPr>
          <w:lang w:val="en-CA"/>
        </w:rPr>
        <w:t xml:space="preserve">are </w:t>
      </w:r>
      <w:r w:rsidR="002D156D">
        <w:rPr>
          <w:lang w:val="en-CA"/>
        </w:rPr>
        <w:t xml:space="preserve">described in full in the </w:t>
      </w:r>
      <w:r w:rsidRPr="00FB5C0D">
        <w:rPr>
          <w:lang w:val="en-CA"/>
        </w:rPr>
        <w:t>Table of Materials.</w:t>
      </w:r>
      <w:r w:rsidR="00343AC9">
        <w:rPr>
          <w:lang w:val="en-CA"/>
        </w:rPr>
        <w:t xml:space="preserve"> The media compositions a</w:t>
      </w:r>
      <w:r w:rsidR="002D156D">
        <w:rPr>
          <w:lang w:val="en-CA"/>
        </w:rPr>
        <w:t>re</w:t>
      </w:r>
      <w:r w:rsidR="00343AC9">
        <w:rPr>
          <w:lang w:val="en-CA"/>
        </w:rPr>
        <w:t xml:space="preserve"> based on previously published </w:t>
      </w:r>
      <w:r w:rsidR="002D156D">
        <w:rPr>
          <w:lang w:val="en-CA"/>
        </w:rPr>
        <w:t xml:space="preserve">literature which describes the rationale for the media composition in detail. </w:t>
      </w:r>
      <w:r w:rsidR="00343AC9">
        <w:rPr>
          <w:lang w:val="en-CA"/>
        </w:rPr>
        <w:t>The 3D organoid media composition is based on Sachs et al., 2018 (Reference 7</w:t>
      </w:r>
      <w:r w:rsidR="00C06F10">
        <w:rPr>
          <w:lang w:val="en-CA"/>
        </w:rPr>
        <w:t>4</w:t>
      </w:r>
      <w:r w:rsidR="00343AC9">
        <w:rPr>
          <w:lang w:val="en-CA"/>
        </w:rPr>
        <w:t>).</w:t>
      </w:r>
      <w:r w:rsidR="002D156D">
        <w:rPr>
          <w:lang w:val="en-CA"/>
        </w:rPr>
        <w:t xml:space="preserve"> The mammosphere media composition is based on </w:t>
      </w:r>
      <w:r w:rsidR="00DF5091">
        <w:rPr>
          <w:lang w:val="en-CA"/>
        </w:rPr>
        <w:t>Ponti et al., 2005 (Reference 62).</w:t>
      </w:r>
    </w:p>
    <w:p w14:paraId="0E0E305B" w14:textId="77777777" w:rsidR="008B5784" w:rsidRDefault="008B5784" w:rsidP="00DE690F">
      <w:pPr>
        <w:jc w:val="both"/>
        <w:rPr>
          <w:lang w:val="en-CA"/>
        </w:rPr>
      </w:pPr>
    </w:p>
    <w:p w14:paraId="64AE29BD" w14:textId="7C8B1F13" w:rsidR="00DE690F" w:rsidRPr="008B5784" w:rsidRDefault="008B5784" w:rsidP="008B5784">
      <w:pPr>
        <w:pStyle w:val="ListParagraph"/>
        <w:numPr>
          <w:ilvl w:val="0"/>
          <w:numId w:val="8"/>
        </w:numPr>
        <w:spacing w:after="120"/>
        <w:ind w:left="357" w:hanging="357"/>
        <w:jc w:val="both"/>
        <w:rPr>
          <w:i/>
          <w:iCs/>
          <w:lang w:val="en-CA"/>
        </w:rPr>
      </w:pPr>
      <w:r w:rsidRPr="008B5784">
        <w:rPr>
          <w:i/>
          <w:iCs/>
          <w:lang w:val="en-CA"/>
        </w:rPr>
        <w:t>“</w:t>
      </w:r>
      <w:r w:rsidR="00DE690F" w:rsidRPr="008B5784">
        <w:rPr>
          <w:i/>
          <w:iCs/>
          <w:lang w:val="en-CA"/>
        </w:rPr>
        <w:t>It is not clear whether the cells need to be replenished with culture medium during the long incubation period of the colony forming assay and mammosphere assay</w:t>
      </w:r>
      <w:r w:rsidRPr="008B5784">
        <w:rPr>
          <w:i/>
          <w:iCs/>
          <w:lang w:val="en-CA"/>
        </w:rPr>
        <w:t>”.</w:t>
      </w:r>
    </w:p>
    <w:p w14:paraId="37C85C08" w14:textId="3A0C278B" w:rsidR="005706D7" w:rsidRDefault="00DE690F" w:rsidP="00DE690F">
      <w:pPr>
        <w:jc w:val="both"/>
        <w:rPr>
          <w:lang w:val="en-CA"/>
        </w:rPr>
      </w:pPr>
      <w:r w:rsidRPr="008B5784">
        <w:rPr>
          <w:u w:val="single"/>
          <w:lang w:val="en-CA"/>
        </w:rPr>
        <w:t>Response</w:t>
      </w:r>
      <w:r>
        <w:rPr>
          <w:lang w:val="en-CA"/>
        </w:rPr>
        <w:t>:</w:t>
      </w:r>
      <w:r w:rsidR="005706D7">
        <w:rPr>
          <w:lang w:val="en-CA"/>
        </w:rPr>
        <w:t xml:space="preserve"> We </w:t>
      </w:r>
      <w:r w:rsidR="008B5784">
        <w:rPr>
          <w:lang w:val="en-CA"/>
        </w:rPr>
        <w:t>apologize for omission</w:t>
      </w:r>
      <w:r w:rsidR="007D759F">
        <w:rPr>
          <w:lang w:val="en-CA"/>
        </w:rPr>
        <w:t xml:space="preserve"> of this detail</w:t>
      </w:r>
      <w:r w:rsidR="008B5784">
        <w:rPr>
          <w:lang w:val="en-CA"/>
        </w:rPr>
        <w:t xml:space="preserve">. </w:t>
      </w:r>
      <w:r w:rsidR="005706D7">
        <w:rPr>
          <w:lang w:val="en-CA"/>
        </w:rPr>
        <w:t xml:space="preserve">The culture medium </w:t>
      </w:r>
      <w:r w:rsidR="008B5784">
        <w:rPr>
          <w:lang w:val="en-CA"/>
        </w:rPr>
        <w:t xml:space="preserve">should be </w:t>
      </w:r>
      <w:r w:rsidR="005706D7">
        <w:rPr>
          <w:lang w:val="en-CA"/>
        </w:rPr>
        <w:t>replenished</w:t>
      </w:r>
      <w:r w:rsidR="00F34AD0">
        <w:rPr>
          <w:lang w:val="en-CA"/>
        </w:rPr>
        <w:t xml:space="preserve"> </w:t>
      </w:r>
      <w:r w:rsidR="00FC4612">
        <w:rPr>
          <w:lang w:val="en-CA"/>
        </w:rPr>
        <w:t xml:space="preserve">twice </w:t>
      </w:r>
      <w:r w:rsidR="008B5784">
        <w:rPr>
          <w:lang w:val="en-CA"/>
        </w:rPr>
        <w:t>per</w:t>
      </w:r>
      <w:r w:rsidR="00FC4612">
        <w:rPr>
          <w:lang w:val="en-CA"/>
        </w:rPr>
        <w:t xml:space="preserve"> week</w:t>
      </w:r>
      <w:r w:rsidR="005706D7">
        <w:rPr>
          <w:lang w:val="en-CA"/>
        </w:rPr>
        <w:t xml:space="preserve"> for the </w:t>
      </w:r>
      <w:r w:rsidR="008B5784" w:rsidRPr="008B5784">
        <w:rPr>
          <w:lang w:val="en-CA"/>
        </w:rPr>
        <w:t xml:space="preserve">colony forming assay </w:t>
      </w:r>
      <w:r w:rsidR="001812C0">
        <w:rPr>
          <w:lang w:val="en-CA"/>
        </w:rPr>
        <w:t xml:space="preserve">(without fibroblasts) </w:t>
      </w:r>
      <w:r w:rsidR="008B5784">
        <w:rPr>
          <w:lang w:val="en-CA"/>
        </w:rPr>
        <w:t xml:space="preserve">and </w:t>
      </w:r>
      <w:r w:rsidR="005706D7">
        <w:rPr>
          <w:lang w:val="en-CA"/>
        </w:rPr>
        <w:t>mammosphere assay</w:t>
      </w:r>
      <w:r w:rsidR="00F34AD0">
        <w:rPr>
          <w:lang w:val="en-CA"/>
        </w:rPr>
        <w:t xml:space="preserve">. </w:t>
      </w:r>
      <w:r w:rsidR="001812C0">
        <w:rPr>
          <w:lang w:val="en-CA"/>
        </w:rPr>
        <w:t xml:space="preserve">For the colony forming assays with fibroblasts, media is not replenished. </w:t>
      </w:r>
      <w:r w:rsidR="00F34AD0">
        <w:rPr>
          <w:lang w:val="en-CA"/>
        </w:rPr>
        <w:t>T</w:t>
      </w:r>
      <w:r w:rsidR="00C40CBF">
        <w:rPr>
          <w:lang w:val="en-CA"/>
        </w:rPr>
        <w:t>his</w:t>
      </w:r>
      <w:r w:rsidR="005706D7">
        <w:rPr>
          <w:lang w:val="en-CA"/>
        </w:rPr>
        <w:t xml:space="preserve"> has now been </w:t>
      </w:r>
      <w:r w:rsidR="007D759F">
        <w:rPr>
          <w:lang w:val="en-CA"/>
        </w:rPr>
        <w:t xml:space="preserve">detailed </w:t>
      </w:r>
      <w:r w:rsidR="008B5784">
        <w:rPr>
          <w:lang w:val="en-CA"/>
        </w:rPr>
        <w:t xml:space="preserve">in protocol steps </w:t>
      </w:r>
      <w:r w:rsidR="00DE1CA0">
        <w:rPr>
          <w:lang w:val="en-CA"/>
        </w:rPr>
        <w:t>6.4</w:t>
      </w:r>
      <w:r w:rsidR="001812C0">
        <w:rPr>
          <w:lang w:val="en-CA"/>
        </w:rPr>
        <w:t xml:space="preserve">, </w:t>
      </w:r>
      <w:r w:rsidR="008B5784">
        <w:rPr>
          <w:lang w:val="en-CA"/>
        </w:rPr>
        <w:t>7.2</w:t>
      </w:r>
      <w:r w:rsidR="001812C0">
        <w:rPr>
          <w:lang w:val="en-CA"/>
        </w:rPr>
        <w:t>, and 6.12</w:t>
      </w:r>
      <w:r w:rsidR="00DE1CA0">
        <w:rPr>
          <w:lang w:val="en-CA"/>
        </w:rPr>
        <w:t xml:space="preserve"> respectively</w:t>
      </w:r>
      <w:r w:rsidR="005706D7">
        <w:rPr>
          <w:lang w:val="en-CA"/>
        </w:rPr>
        <w:t xml:space="preserve">. </w:t>
      </w:r>
    </w:p>
    <w:p w14:paraId="19D4A8A0" w14:textId="35BB59C0" w:rsidR="00DE690F" w:rsidRDefault="00DE690F" w:rsidP="00DE690F">
      <w:pPr>
        <w:jc w:val="both"/>
        <w:rPr>
          <w:lang w:val="en-CA"/>
        </w:rPr>
      </w:pPr>
    </w:p>
    <w:p w14:paraId="6F6EF93B" w14:textId="0F5C4E83" w:rsidR="00BB3437" w:rsidRDefault="00BB3437" w:rsidP="00DE690F">
      <w:pPr>
        <w:jc w:val="both"/>
        <w:rPr>
          <w:lang w:val="en-CA"/>
        </w:rPr>
      </w:pPr>
    </w:p>
    <w:p w14:paraId="633CB7A7" w14:textId="77777777" w:rsidR="00BB3437" w:rsidRPr="00DE690F" w:rsidRDefault="00BB3437" w:rsidP="00DE690F">
      <w:pPr>
        <w:jc w:val="both"/>
        <w:rPr>
          <w:lang w:val="en-CA"/>
        </w:rPr>
      </w:pPr>
    </w:p>
    <w:p w14:paraId="49285515" w14:textId="5930A6DA" w:rsidR="005706D7" w:rsidRPr="00BB3437" w:rsidRDefault="00BB3437" w:rsidP="00BB3437">
      <w:pPr>
        <w:pStyle w:val="ListParagraph"/>
        <w:numPr>
          <w:ilvl w:val="0"/>
          <w:numId w:val="8"/>
        </w:numPr>
        <w:spacing w:after="120"/>
        <w:ind w:left="357" w:hanging="357"/>
        <w:jc w:val="both"/>
        <w:rPr>
          <w:lang w:val="en-CA"/>
        </w:rPr>
      </w:pPr>
      <w:r>
        <w:rPr>
          <w:lang w:val="en-CA"/>
        </w:rPr>
        <w:lastRenderedPageBreak/>
        <w:t>“</w:t>
      </w:r>
      <w:r w:rsidR="00DE690F" w:rsidRPr="00BB3437">
        <w:rPr>
          <w:i/>
          <w:iCs/>
          <w:lang w:val="en-CA"/>
        </w:rPr>
        <w:t>The presentation of cell concentration and density in some protocols is not standard and inconsistent</w:t>
      </w:r>
      <w:r>
        <w:rPr>
          <w:lang w:val="en-CA"/>
        </w:rPr>
        <w:t>”</w:t>
      </w:r>
      <w:r w:rsidR="00DE690F" w:rsidRPr="00BB3437">
        <w:rPr>
          <w:lang w:val="en-CA"/>
        </w:rPr>
        <w:t>.</w:t>
      </w:r>
    </w:p>
    <w:p w14:paraId="166AFCD8" w14:textId="7E0F8DAE" w:rsidR="005706D7" w:rsidRDefault="005706D7" w:rsidP="00DE690F">
      <w:pPr>
        <w:jc w:val="both"/>
        <w:rPr>
          <w:lang w:val="en-CA"/>
        </w:rPr>
      </w:pPr>
      <w:r w:rsidRPr="00BB3437">
        <w:rPr>
          <w:u w:val="single"/>
          <w:lang w:val="en-CA"/>
        </w:rPr>
        <w:t>Response</w:t>
      </w:r>
      <w:r>
        <w:rPr>
          <w:lang w:val="en-CA"/>
        </w:rPr>
        <w:t xml:space="preserve">: </w:t>
      </w:r>
      <w:r w:rsidR="00BB3437">
        <w:rPr>
          <w:lang w:val="en-CA"/>
        </w:rPr>
        <w:t xml:space="preserve">We have corrected the presentation of cell concentration to be consistent throughout the protocol. </w:t>
      </w:r>
    </w:p>
    <w:p w14:paraId="73E9199B" w14:textId="77777777" w:rsidR="005706D7" w:rsidRPr="00DE690F" w:rsidRDefault="005706D7" w:rsidP="00DE690F">
      <w:pPr>
        <w:jc w:val="both"/>
        <w:rPr>
          <w:lang w:val="en-CA"/>
        </w:rPr>
      </w:pPr>
    </w:p>
    <w:p w14:paraId="627E85EE" w14:textId="1B3541D0" w:rsidR="00DE690F" w:rsidRPr="00755274" w:rsidRDefault="00755274" w:rsidP="00755274">
      <w:pPr>
        <w:pStyle w:val="ListParagraph"/>
        <w:numPr>
          <w:ilvl w:val="0"/>
          <w:numId w:val="8"/>
        </w:numPr>
        <w:spacing w:after="120"/>
        <w:ind w:left="357" w:hanging="357"/>
        <w:jc w:val="both"/>
        <w:rPr>
          <w:lang w:val="en-CA"/>
        </w:rPr>
      </w:pPr>
      <w:r w:rsidRPr="00755274">
        <w:rPr>
          <w:i/>
          <w:iCs/>
          <w:lang w:val="en-CA"/>
        </w:rPr>
        <w:t>“</w:t>
      </w:r>
      <w:r w:rsidR="00DE690F" w:rsidRPr="00755274">
        <w:rPr>
          <w:i/>
          <w:iCs/>
          <w:lang w:val="en-CA"/>
        </w:rPr>
        <w:t>Some of the reagents used in the experiment are missing key information, such as the manufacturer, model and item number</w:t>
      </w:r>
      <w:r w:rsidRPr="00755274">
        <w:rPr>
          <w:i/>
          <w:iCs/>
          <w:lang w:val="en-CA"/>
        </w:rPr>
        <w:t>”</w:t>
      </w:r>
      <w:r w:rsidR="00DE690F" w:rsidRPr="00755274">
        <w:rPr>
          <w:lang w:val="en-CA"/>
        </w:rPr>
        <w:t>.</w:t>
      </w:r>
    </w:p>
    <w:p w14:paraId="43FCDE5E" w14:textId="62D70A82" w:rsidR="005706D7" w:rsidRDefault="005706D7" w:rsidP="00605A59">
      <w:pPr>
        <w:jc w:val="both"/>
        <w:rPr>
          <w:lang w:val="en-CA"/>
        </w:rPr>
      </w:pPr>
      <w:r w:rsidRPr="00755274">
        <w:rPr>
          <w:u w:val="single"/>
          <w:lang w:val="en-CA"/>
        </w:rPr>
        <w:t>Response</w:t>
      </w:r>
      <w:r>
        <w:rPr>
          <w:lang w:val="en-CA"/>
        </w:rPr>
        <w:t xml:space="preserve">: </w:t>
      </w:r>
      <w:r w:rsidR="00755274">
        <w:rPr>
          <w:lang w:val="en-CA"/>
        </w:rPr>
        <w:t xml:space="preserve">As per the journal’s formatting guidelines, all detailed information for the reagents and materials is presented in the </w:t>
      </w:r>
      <w:r>
        <w:rPr>
          <w:lang w:val="en-CA"/>
        </w:rPr>
        <w:t>Table of Materials.</w:t>
      </w:r>
    </w:p>
    <w:p w14:paraId="06AFE649" w14:textId="0CCF316A" w:rsidR="005706D7" w:rsidRDefault="005706D7" w:rsidP="00605A59">
      <w:pPr>
        <w:jc w:val="both"/>
        <w:rPr>
          <w:lang w:val="en-CA"/>
        </w:rPr>
      </w:pPr>
    </w:p>
    <w:p w14:paraId="03A75CB2" w14:textId="77777777" w:rsidR="00F74E28" w:rsidRDefault="00F74E28" w:rsidP="00605A59">
      <w:pPr>
        <w:jc w:val="both"/>
        <w:rPr>
          <w:lang w:val="en-CA"/>
        </w:rPr>
      </w:pPr>
    </w:p>
    <w:p w14:paraId="2C970D4B" w14:textId="67906BD4" w:rsidR="005706D7" w:rsidRPr="005706D7" w:rsidRDefault="005706D7" w:rsidP="00605A59">
      <w:pPr>
        <w:jc w:val="both"/>
        <w:rPr>
          <w:b/>
          <w:bCs/>
          <w:lang w:val="en-CA"/>
        </w:rPr>
      </w:pPr>
      <w:r w:rsidRPr="00A61FAD">
        <w:rPr>
          <w:b/>
          <w:bCs/>
          <w:lang w:val="en-CA"/>
        </w:rPr>
        <w:t>Reviewer #3:</w:t>
      </w:r>
    </w:p>
    <w:p w14:paraId="0A308A62" w14:textId="2A858F3D" w:rsidR="005706D7" w:rsidRDefault="005706D7" w:rsidP="00605A59">
      <w:pPr>
        <w:jc w:val="both"/>
        <w:rPr>
          <w:lang w:val="en-CA"/>
        </w:rPr>
      </w:pPr>
    </w:p>
    <w:p w14:paraId="1C8469B0" w14:textId="586878AC" w:rsidR="005706D7" w:rsidRPr="00136711" w:rsidRDefault="00136711" w:rsidP="00136711">
      <w:pPr>
        <w:pStyle w:val="ListParagraph"/>
        <w:numPr>
          <w:ilvl w:val="0"/>
          <w:numId w:val="9"/>
        </w:numPr>
        <w:spacing w:after="120"/>
        <w:ind w:left="357" w:hanging="357"/>
        <w:jc w:val="both"/>
        <w:rPr>
          <w:lang w:val="en-CA"/>
        </w:rPr>
      </w:pPr>
      <w:r w:rsidRPr="00136711">
        <w:rPr>
          <w:i/>
          <w:iCs/>
          <w:lang w:val="en-CA"/>
        </w:rPr>
        <w:t>“</w:t>
      </w:r>
      <w:r w:rsidR="005706D7" w:rsidRPr="00136711">
        <w:rPr>
          <w:i/>
          <w:iCs/>
          <w:lang w:val="en-CA"/>
        </w:rPr>
        <w:t>In section 3, subsection 3.1, the authors have mentioned use of trypsin or EDTA. It is usually Trypsin-EDTA that is generally used. Also, why do they incubate at room temperature and not 37˚ C</w:t>
      </w:r>
      <w:r w:rsidRPr="00136711">
        <w:rPr>
          <w:i/>
          <w:iCs/>
          <w:lang w:val="en-CA"/>
        </w:rPr>
        <w:t>”</w:t>
      </w:r>
      <w:r w:rsidR="005706D7" w:rsidRPr="00136711">
        <w:rPr>
          <w:lang w:val="en-CA"/>
        </w:rPr>
        <w:t>.</w:t>
      </w:r>
    </w:p>
    <w:p w14:paraId="33A23944" w14:textId="269DCA09" w:rsidR="002B6D1F" w:rsidRDefault="005706D7" w:rsidP="005706D7">
      <w:pPr>
        <w:jc w:val="both"/>
        <w:rPr>
          <w:lang w:val="en-CA"/>
        </w:rPr>
      </w:pPr>
      <w:r w:rsidRPr="002B6D1F">
        <w:rPr>
          <w:u w:val="single"/>
          <w:lang w:val="en-CA"/>
        </w:rPr>
        <w:t>Response:</w:t>
      </w:r>
      <w:r>
        <w:rPr>
          <w:lang w:val="en-CA"/>
        </w:rPr>
        <w:t xml:space="preserve"> We thank the reviewer for </w:t>
      </w:r>
      <w:r w:rsidR="00136711">
        <w:rPr>
          <w:lang w:val="en-CA"/>
        </w:rPr>
        <w:t xml:space="preserve">this suggestion and we have now changed the recommended dissociation reagent to </w:t>
      </w:r>
      <w:r w:rsidR="000D3CEE">
        <w:rPr>
          <w:lang w:val="en-CA"/>
        </w:rPr>
        <w:t>Trypsin-EDTA</w:t>
      </w:r>
      <w:r w:rsidR="00136711">
        <w:rPr>
          <w:lang w:val="en-CA"/>
        </w:rPr>
        <w:t xml:space="preserve"> in protocol step 3.1 in the revised manuscript</w:t>
      </w:r>
      <w:r w:rsidR="000D3CEE">
        <w:rPr>
          <w:lang w:val="en-CA"/>
        </w:rPr>
        <w:t>.</w:t>
      </w:r>
      <w:r w:rsidR="00136711">
        <w:rPr>
          <w:lang w:val="en-CA"/>
        </w:rPr>
        <w:t xml:space="preserve"> We prefer performing cell dissociation at room temperature in order to avoid excess damage to the cell membrane that could occur if cells are left for too long at </w:t>
      </w:r>
      <w:r w:rsidR="00136711" w:rsidRPr="00136711">
        <w:rPr>
          <w:lang w:val="en-CA"/>
        </w:rPr>
        <w:t xml:space="preserve">37˚C </w:t>
      </w:r>
      <w:r w:rsidR="00136711">
        <w:rPr>
          <w:lang w:val="en-CA"/>
        </w:rPr>
        <w:t xml:space="preserve">in the presence of trypsin. </w:t>
      </w:r>
    </w:p>
    <w:p w14:paraId="6201906E" w14:textId="77777777" w:rsidR="005706D7" w:rsidRPr="005706D7" w:rsidRDefault="005706D7" w:rsidP="005706D7">
      <w:pPr>
        <w:jc w:val="both"/>
        <w:rPr>
          <w:lang w:val="en-CA"/>
        </w:rPr>
      </w:pPr>
    </w:p>
    <w:p w14:paraId="37534DE2" w14:textId="7C7B4021" w:rsidR="002B6D1F" w:rsidRPr="00136711" w:rsidRDefault="00136711" w:rsidP="00136711">
      <w:pPr>
        <w:pStyle w:val="ListParagraph"/>
        <w:numPr>
          <w:ilvl w:val="0"/>
          <w:numId w:val="9"/>
        </w:numPr>
        <w:spacing w:after="120"/>
        <w:ind w:left="357" w:hanging="357"/>
        <w:jc w:val="both"/>
        <w:rPr>
          <w:i/>
          <w:iCs/>
          <w:lang w:val="en-CA"/>
        </w:rPr>
      </w:pPr>
      <w:r w:rsidRPr="00136711">
        <w:rPr>
          <w:i/>
          <w:iCs/>
          <w:lang w:val="en-CA"/>
        </w:rPr>
        <w:t>“</w:t>
      </w:r>
      <w:r w:rsidR="005706D7" w:rsidRPr="00136711">
        <w:rPr>
          <w:i/>
          <w:iCs/>
          <w:lang w:val="en-CA"/>
        </w:rPr>
        <w:t>Change PE-cy7 to PE-Cy7</w:t>
      </w:r>
      <w:r w:rsidRPr="00136711">
        <w:rPr>
          <w:i/>
          <w:iCs/>
          <w:lang w:val="en-CA"/>
        </w:rPr>
        <w:t>”</w:t>
      </w:r>
      <w:r w:rsidR="005706D7" w:rsidRPr="00136711">
        <w:rPr>
          <w:i/>
          <w:iCs/>
          <w:lang w:val="en-CA"/>
        </w:rPr>
        <w:t>.</w:t>
      </w:r>
    </w:p>
    <w:p w14:paraId="4BB6B4B1" w14:textId="1D1CFB0C" w:rsidR="002B6D1F" w:rsidRDefault="002B6D1F" w:rsidP="005706D7">
      <w:pPr>
        <w:jc w:val="both"/>
        <w:rPr>
          <w:lang w:val="en-CA"/>
        </w:rPr>
      </w:pPr>
      <w:r w:rsidRPr="002B6D1F">
        <w:rPr>
          <w:u w:val="single"/>
          <w:lang w:val="en-CA"/>
        </w:rPr>
        <w:t>Response:</w:t>
      </w:r>
      <w:r>
        <w:rPr>
          <w:lang w:val="en-CA"/>
        </w:rPr>
        <w:t xml:space="preserve"> </w:t>
      </w:r>
      <w:r w:rsidR="00A61FAD">
        <w:rPr>
          <w:lang w:val="en-CA"/>
        </w:rPr>
        <w:t>We have now made this change.</w:t>
      </w:r>
    </w:p>
    <w:p w14:paraId="281797E6" w14:textId="77777777" w:rsidR="002B6D1F" w:rsidRPr="005706D7" w:rsidRDefault="002B6D1F" w:rsidP="005706D7">
      <w:pPr>
        <w:jc w:val="both"/>
        <w:rPr>
          <w:lang w:val="en-CA"/>
        </w:rPr>
      </w:pPr>
    </w:p>
    <w:p w14:paraId="722974F3" w14:textId="790AD0DA" w:rsidR="002B6D1F" w:rsidRPr="00A61FAD" w:rsidRDefault="00A61FAD" w:rsidP="00A61FAD">
      <w:pPr>
        <w:pStyle w:val="ListParagraph"/>
        <w:numPr>
          <w:ilvl w:val="0"/>
          <w:numId w:val="9"/>
        </w:numPr>
        <w:spacing w:after="120"/>
        <w:ind w:left="357" w:hanging="357"/>
        <w:jc w:val="both"/>
        <w:rPr>
          <w:lang w:val="en-CA"/>
        </w:rPr>
      </w:pPr>
      <w:r w:rsidRPr="00A61FAD">
        <w:rPr>
          <w:i/>
          <w:iCs/>
          <w:lang w:val="en-CA"/>
        </w:rPr>
        <w:t>“</w:t>
      </w:r>
      <w:r w:rsidR="005706D7" w:rsidRPr="00A61FAD">
        <w:rPr>
          <w:i/>
          <w:iCs/>
          <w:lang w:val="en-CA"/>
        </w:rPr>
        <w:t>It would be better if the authors could use a flowchart or some kind of a schematic for the procedure of BCSC isolation</w:t>
      </w:r>
      <w:r w:rsidRPr="00A61FAD">
        <w:rPr>
          <w:i/>
          <w:iCs/>
          <w:lang w:val="en-CA"/>
        </w:rPr>
        <w:t>”</w:t>
      </w:r>
      <w:r w:rsidR="005706D7" w:rsidRPr="00A61FAD">
        <w:rPr>
          <w:lang w:val="en-CA"/>
        </w:rPr>
        <w:t>.</w:t>
      </w:r>
    </w:p>
    <w:p w14:paraId="45CDB59C" w14:textId="01D06AA1" w:rsidR="002B6D1F" w:rsidRDefault="002B6D1F" w:rsidP="005706D7">
      <w:pPr>
        <w:jc w:val="both"/>
        <w:rPr>
          <w:lang w:val="en-CA"/>
        </w:rPr>
      </w:pPr>
      <w:r w:rsidRPr="00A61FAD">
        <w:rPr>
          <w:u w:val="single"/>
          <w:lang w:val="en-CA"/>
        </w:rPr>
        <w:t>Response</w:t>
      </w:r>
      <w:r>
        <w:rPr>
          <w:lang w:val="en-CA"/>
        </w:rPr>
        <w:t xml:space="preserve">: </w:t>
      </w:r>
      <w:r w:rsidR="006F4588">
        <w:rPr>
          <w:lang w:val="en-CA"/>
        </w:rPr>
        <w:t xml:space="preserve">We thank the reviewer for the suggestion. A flowchart depicting </w:t>
      </w:r>
      <w:r w:rsidR="00A61FAD">
        <w:rPr>
          <w:lang w:val="en-CA"/>
        </w:rPr>
        <w:t xml:space="preserve">the </w:t>
      </w:r>
      <w:r w:rsidR="006F4588">
        <w:rPr>
          <w:lang w:val="en-CA"/>
        </w:rPr>
        <w:t>BCSC isolation</w:t>
      </w:r>
      <w:r w:rsidR="00A61FAD">
        <w:rPr>
          <w:lang w:val="en-CA"/>
        </w:rPr>
        <w:t xml:space="preserve"> procedure</w:t>
      </w:r>
      <w:r w:rsidR="006F4588">
        <w:rPr>
          <w:lang w:val="en-CA"/>
        </w:rPr>
        <w:t xml:space="preserve"> </w:t>
      </w:r>
      <w:r w:rsidR="00A61FAD">
        <w:rPr>
          <w:lang w:val="en-CA"/>
        </w:rPr>
        <w:t xml:space="preserve">has now been added as </w:t>
      </w:r>
      <w:r w:rsidR="006F4588">
        <w:rPr>
          <w:lang w:val="en-CA"/>
        </w:rPr>
        <w:t>Figure 1</w:t>
      </w:r>
      <w:r w:rsidR="00A61FAD">
        <w:rPr>
          <w:lang w:val="en-CA"/>
        </w:rPr>
        <w:t>A</w:t>
      </w:r>
      <w:r w:rsidR="006F4588">
        <w:rPr>
          <w:lang w:val="en-CA"/>
        </w:rPr>
        <w:t>.</w:t>
      </w:r>
    </w:p>
    <w:p w14:paraId="2FD4C21F" w14:textId="77777777" w:rsidR="002B6D1F" w:rsidRPr="005706D7" w:rsidRDefault="002B6D1F" w:rsidP="005706D7">
      <w:pPr>
        <w:jc w:val="both"/>
        <w:rPr>
          <w:lang w:val="en-CA"/>
        </w:rPr>
      </w:pPr>
    </w:p>
    <w:p w14:paraId="6963C26A" w14:textId="550909AA" w:rsidR="002B6D1F" w:rsidRPr="00021970" w:rsidRDefault="00021970" w:rsidP="00021970">
      <w:pPr>
        <w:pStyle w:val="ListParagraph"/>
        <w:numPr>
          <w:ilvl w:val="0"/>
          <w:numId w:val="9"/>
        </w:numPr>
        <w:spacing w:after="120"/>
        <w:ind w:left="357" w:hanging="357"/>
        <w:jc w:val="both"/>
        <w:rPr>
          <w:i/>
          <w:iCs/>
          <w:lang w:val="en-CA"/>
        </w:rPr>
      </w:pPr>
      <w:r w:rsidRPr="00021970">
        <w:rPr>
          <w:i/>
          <w:iCs/>
          <w:lang w:val="en-CA"/>
        </w:rPr>
        <w:t>“</w:t>
      </w:r>
      <w:r w:rsidR="005706D7" w:rsidRPr="00021970">
        <w:rPr>
          <w:i/>
          <w:iCs/>
          <w:lang w:val="en-CA"/>
        </w:rPr>
        <w:t>There are no isotype controls used for the CD44-PE and CD24-PE-Cy7. How is it gated in the flow cytometer without these controls</w:t>
      </w:r>
      <w:r w:rsidRPr="00021970">
        <w:rPr>
          <w:i/>
          <w:iCs/>
          <w:lang w:val="en-CA"/>
        </w:rPr>
        <w:t>”</w:t>
      </w:r>
      <w:r w:rsidR="005706D7" w:rsidRPr="00021970">
        <w:rPr>
          <w:i/>
          <w:iCs/>
          <w:lang w:val="en-CA"/>
        </w:rPr>
        <w:t>?</w:t>
      </w:r>
    </w:p>
    <w:p w14:paraId="745C9DB5" w14:textId="19C26283" w:rsidR="002B6D1F" w:rsidRDefault="002B6D1F" w:rsidP="005706D7">
      <w:pPr>
        <w:jc w:val="both"/>
        <w:rPr>
          <w:lang w:val="en-CA"/>
        </w:rPr>
      </w:pPr>
      <w:r w:rsidRPr="002B6D1F">
        <w:rPr>
          <w:u w:val="single"/>
          <w:lang w:val="en-CA"/>
        </w:rPr>
        <w:t>Response:</w:t>
      </w:r>
      <w:r>
        <w:rPr>
          <w:lang w:val="en-CA"/>
        </w:rPr>
        <w:t xml:space="preserve"> The positive signals generated by stained cells are gated based on unstained control</w:t>
      </w:r>
      <w:r w:rsidR="00021970">
        <w:rPr>
          <w:lang w:val="en-CA"/>
        </w:rPr>
        <w:t>s</w:t>
      </w:r>
      <w:r w:rsidR="00174584">
        <w:rPr>
          <w:lang w:val="en-CA"/>
        </w:rPr>
        <w:t xml:space="preserve">, single stained controls and </w:t>
      </w:r>
      <w:r w:rsidR="00021970">
        <w:rPr>
          <w:lang w:val="en-CA"/>
        </w:rPr>
        <w:t>fluorescence minus one (</w:t>
      </w:r>
      <w:r w:rsidR="00174584">
        <w:rPr>
          <w:lang w:val="en-CA"/>
        </w:rPr>
        <w:t>FMO</w:t>
      </w:r>
      <w:r w:rsidR="00021970">
        <w:rPr>
          <w:lang w:val="en-CA"/>
        </w:rPr>
        <w:t>) controls rather than isotype controls as we find this approach is more robust and reproducible</w:t>
      </w:r>
      <w:r>
        <w:rPr>
          <w:lang w:val="en-CA"/>
        </w:rPr>
        <w:t xml:space="preserve">. The </w:t>
      </w:r>
      <w:r w:rsidR="00021970">
        <w:rPr>
          <w:lang w:val="en-CA"/>
        </w:rPr>
        <w:t xml:space="preserve">recommended </w:t>
      </w:r>
      <w:r>
        <w:rPr>
          <w:lang w:val="en-CA"/>
        </w:rPr>
        <w:t>antibod</w:t>
      </w:r>
      <w:r w:rsidR="00021970">
        <w:rPr>
          <w:lang w:val="en-CA"/>
        </w:rPr>
        <w:t>ies</w:t>
      </w:r>
      <w:r>
        <w:rPr>
          <w:lang w:val="en-CA"/>
        </w:rPr>
        <w:t xml:space="preserve"> used for staining </w:t>
      </w:r>
      <w:r w:rsidR="00021970">
        <w:rPr>
          <w:lang w:val="en-CA"/>
        </w:rPr>
        <w:t xml:space="preserve">are clinical-grade antibodies and their specificity </w:t>
      </w:r>
      <w:r>
        <w:rPr>
          <w:lang w:val="en-CA"/>
        </w:rPr>
        <w:t>has been tested and confirmed</w:t>
      </w:r>
      <w:r w:rsidR="00021970">
        <w:rPr>
          <w:lang w:val="en-CA"/>
        </w:rPr>
        <w:t>.</w:t>
      </w:r>
      <w:r>
        <w:rPr>
          <w:lang w:val="en-CA"/>
        </w:rPr>
        <w:t xml:space="preserve"> </w:t>
      </w:r>
    </w:p>
    <w:p w14:paraId="1ECFC3CD" w14:textId="645979DA" w:rsidR="002B6D1F" w:rsidRDefault="002B6D1F" w:rsidP="005706D7">
      <w:pPr>
        <w:jc w:val="both"/>
        <w:rPr>
          <w:lang w:val="en-CA"/>
        </w:rPr>
      </w:pPr>
    </w:p>
    <w:p w14:paraId="57A4862C" w14:textId="5DBC27FD" w:rsidR="00AE1E32" w:rsidRDefault="00AE1E32" w:rsidP="005706D7">
      <w:pPr>
        <w:jc w:val="both"/>
        <w:rPr>
          <w:lang w:val="en-CA"/>
        </w:rPr>
      </w:pPr>
    </w:p>
    <w:p w14:paraId="1657053B" w14:textId="77777777" w:rsidR="00AE1E32" w:rsidRPr="002B6D1F" w:rsidRDefault="00AE1E32" w:rsidP="005706D7">
      <w:pPr>
        <w:jc w:val="both"/>
        <w:rPr>
          <w:lang w:val="en-CA"/>
        </w:rPr>
      </w:pPr>
    </w:p>
    <w:p w14:paraId="3478A646" w14:textId="425D8755" w:rsidR="002B6D1F" w:rsidRPr="00AE1E32" w:rsidRDefault="00CA12CC" w:rsidP="00AE1E32">
      <w:pPr>
        <w:pStyle w:val="ListParagraph"/>
        <w:numPr>
          <w:ilvl w:val="0"/>
          <w:numId w:val="9"/>
        </w:numPr>
        <w:spacing w:after="120"/>
        <w:ind w:left="357" w:hanging="357"/>
        <w:jc w:val="both"/>
        <w:rPr>
          <w:i/>
          <w:iCs/>
          <w:lang w:val="en-CA"/>
        </w:rPr>
      </w:pPr>
      <w:r w:rsidRPr="00CA12CC">
        <w:rPr>
          <w:i/>
          <w:iCs/>
          <w:lang w:val="en-CA"/>
        </w:rPr>
        <w:lastRenderedPageBreak/>
        <w:t>“</w:t>
      </w:r>
      <w:r w:rsidR="005706D7" w:rsidRPr="00CA12CC">
        <w:rPr>
          <w:i/>
          <w:iCs/>
          <w:lang w:val="en-CA"/>
        </w:rPr>
        <w:t xml:space="preserve">In </w:t>
      </w:r>
      <w:r w:rsidRPr="00CA12CC">
        <w:rPr>
          <w:i/>
          <w:iCs/>
          <w:lang w:val="en-CA"/>
        </w:rPr>
        <w:t>S</w:t>
      </w:r>
      <w:r w:rsidR="005706D7" w:rsidRPr="00CA12CC">
        <w:rPr>
          <w:i/>
          <w:iCs/>
          <w:lang w:val="en-CA"/>
        </w:rPr>
        <w:t>ection 7 Subsection 7.3, the authors have used 40 µm as a cut off diameter for the assessment of mammospheres. Did the authors optimize this diameter based on the cell line or was it a generalized cut-off diameter? We typically employ 100 µm as the cut off</w:t>
      </w:r>
      <w:r w:rsidRPr="00CA12CC">
        <w:rPr>
          <w:i/>
          <w:iCs/>
          <w:lang w:val="en-CA"/>
        </w:rPr>
        <w:t>.”</w:t>
      </w:r>
    </w:p>
    <w:p w14:paraId="4F2AEC35" w14:textId="673E8EE8" w:rsidR="002B6D1F" w:rsidRDefault="002B6D1F" w:rsidP="005706D7">
      <w:pPr>
        <w:jc w:val="both"/>
        <w:rPr>
          <w:lang w:val="en-CA"/>
        </w:rPr>
      </w:pPr>
      <w:r w:rsidRPr="000E2CE7">
        <w:rPr>
          <w:u w:val="single"/>
          <w:lang w:val="en-CA"/>
        </w:rPr>
        <w:t>Response:</w:t>
      </w:r>
      <w:r>
        <w:rPr>
          <w:lang w:val="en-CA"/>
        </w:rPr>
        <w:t xml:space="preserve"> </w:t>
      </w:r>
      <w:r w:rsidR="00CA12CC">
        <w:rPr>
          <w:lang w:val="en-CA"/>
        </w:rPr>
        <w:t xml:space="preserve">We apologize for this error. We have corrected the </w:t>
      </w:r>
      <w:r w:rsidR="00B041E5">
        <w:rPr>
          <w:lang w:val="en-CA"/>
        </w:rPr>
        <w:t xml:space="preserve">cut off diameter </w:t>
      </w:r>
      <w:r w:rsidR="00CA12CC">
        <w:rPr>
          <w:lang w:val="en-CA"/>
        </w:rPr>
        <w:t xml:space="preserve">to </w:t>
      </w:r>
      <w:r w:rsidR="00CA12CC" w:rsidRPr="00CA12CC">
        <w:rPr>
          <w:lang w:val="en-CA"/>
        </w:rPr>
        <w:t xml:space="preserve">100 µm </w:t>
      </w:r>
      <w:r w:rsidR="00AE1E32">
        <w:rPr>
          <w:lang w:val="en-CA"/>
        </w:rPr>
        <w:t xml:space="preserve">in Steps 7.3 and 7.9 of the protocol in the revised manuscript. </w:t>
      </w:r>
    </w:p>
    <w:p w14:paraId="2AB23FBA" w14:textId="77777777" w:rsidR="002B6D1F" w:rsidRPr="005706D7" w:rsidRDefault="002B6D1F" w:rsidP="005706D7">
      <w:pPr>
        <w:jc w:val="both"/>
        <w:rPr>
          <w:lang w:val="en-CA"/>
        </w:rPr>
      </w:pPr>
    </w:p>
    <w:p w14:paraId="7BBC5FA1" w14:textId="267E6FEE" w:rsidR="000E2CE7" w:rsidRPr="00AE1E32" w:rsidRDefault="00AE1E32" w:rsidP="00AE1E32">
      <w:pPr>
        <w:pStyle w:val="ListParagraph"/>
        <w:numPr>
          <w:ilvl w:val="0"/>
          <w:numId w:val="9"/>
        </w:numPr>
        <w:spacing w:after="120"/>
        <w:ind w:left="357" w:hanging="357"/>
        <w:jc w:val="both"/>
        <w:rPr>
          <w:i/>
          <w:iCs/>
          <w:lang w:val="en-CA"/>
        </w:rPr>
      </w:pPr>
      <w:r w:rsidRPr="00AE1E32">
        <w:rPr>
          <w:i/>
          <w:iCs/>
          <w:lang w:val="en-CA"/>
        </w:rPr>
        <w:t>“</w:t>
      </w:r>
      <w:r w:rsidR="005706D7" w:rsidRPr="00AE1E32">
        <w:rPr>
          <w:i/>
          <w:iCs/>
          <w:lang w:val="en-CA"/>
        </w:rPr>
        <w:t xml:space="preserve">Do the authors have any other validations on BCSCs, such as Western blots or </w:t>
      </w:r>
      <w:r w:rsidRPr="00AE1E32">
        <w:rPr>
          <w:i/>
          <w:iCs/>
          <w:lang w:val="en-CA"/>
        </w:rPr>
        <w:t>i</w:t>
      </w:r>
      <w:r w:rsidR="005706D7" w:rsidRPr="00AE1E32">
        <w:rPr>
          <w:i/>
          <w:iCs/>
          <w:lang w:val="en-CA"/>
        </w:rPr>
        <w:t>mmunofluorescence data for the pluripotency markers SOX2, OCT4, NANOG</w:t>
      </w:r>
      <w:r w:rsidRPr="00AE1E32">
        <w:rPr>
          <w:i/>
          <w:iCs/>
          <w:lang w:val="en-CA"/>
        </w:rPr>
        <w:t>”.</w:t>
      </w:r>
    </w:p>
    <w:p w14:paraId="150E87CF" w14:textId="0ACBF235" w:rsidR="000E2CE7" w:rsidRDefault="000E2CE7" w:rsidP="005706D7">
      <w:pPr>
        <w:jc w:val="both"/>
        <w:rPr>
          <w:lang w:val="en-CA"/>
        </w:rPr>
      </w:pPr>
      <w:r w:rsidRPr="00AE1E32">
        <w:rPr>
          <w:u w:val="single"/>
          <w:lang w:val="en-CA"/>
        </w:rPr>
        <w:t>Response</w:t>
      </w:r>
      <w:r>
        <w:rPr>
          <w:lang w:val="en-CA"/>
        </w:rPr>
        <w:t xml:space="preserve">: </w:t>
      </w:r>
      <w:r w:rsidR="00E9690F">
        <w:rPr>
          <w:lang w:val="en-CA"/>
        </w:rPr>
        <w:t xml:space="preserve">We </w:t>
      </w:r>
      <w:r w:rsidR="00AE1E32">
        <w:rPr>
          <w:lang w:val="en-CA"/>
        </w:rPr>
        <w:t>thank the reviewer for this suggestion and have now added it at a note to the protocol (Note 5; Lines 206-208) in the revised manuscript</w:t>
      </w:r>
      <w:r w:rsidR="00CE1EAB">
        <w:rPr>
          <w:lang w:val="en-CA"/>
        </w:rPr>
        <w:t>.</w:t>
      </w:r>
    </w:p>
    <w:p w14:paraId="4C5A40B3" w14:textId="77777777" w:rsidR="000E2CE7" w:rsidRPr="005706D7" w:rsidRDefault="000E2CE7" w:rsidP="005706D7">
      <w:pPr>
        <w:jc w:val="both"/>
        <w:rPr>
          <w:lang w:val="en-CA"/>
        </w:rPr>
      </w:pPr>
    </w:p>
    <w:p w14:paraId="006BFB71" w14:textId="0D4E27AA" w:rsidR="000E2CE7" w:rsidRPr="00D131CE" w:rsidRDefault="00D816C8" w:rsidP="00D816C8">
      <w:pPr>
        <w:pStyle w:val="ListParagraph"/>
        <w:numPr>
          <w:ilvl w:val="0"/>
          <w:numId w:val="9"/>
        </w:numPr>
        <w:spacing w:after="120"/>
        <w:ind w:left="357" w:hanging="357"/>
        <w:jc w:val="both"/>
        <w:rPr>
          <w:i/>
          <w:iCs/>
          <w:lang w:val="en-CA"/>
        </w:rPr>
      </w:pPr>
      <w:r w:rsidRPr="00D131CE">
        <w:rPr>
          <w:i/>
          <w:iCs/>
          <w:lang w:val="en-CA"/>
        </w:rPr>
        <w:t>“</w:t>
      </w:r>
      <w:r w:rsidR="005706D7" w:rsidRPr="00D131CE">
        <w:rPr>
          <w:i/>
          <w:iCs/>
          <w:lang w:val="en-CA"/>
        </w:rPr>
        <w:t>In 7.6 Change FACs to FACS</w:t>
      </w:r>
      <w:r w:rsidRPr="00D131CE">
        <w:rPr>
          <w:i/>
          <w:iCs/>
          <w:lang w:val="en-CA"/>
        </w:rPr>
        <w:t>”.</w:t>
      </w:r>
    </w:p>
    <w:p w14:paraId="2CE57B45" w14:textId="09812D71" w:rsidR="000E2CE7" w:rsidRDefault="000E2CE7" w:rsidP="005706D7">
      <w:pPr>
        <w:jc w:val="both"/>
        <w:rPr>
          <w:lang w:val="en-CA"/>
        </w:rPr>
      </w:pPr>
      <w:r w:rsidRPr="000E2CE7">
        <w:rPr>
          <w:u w:val="single"/>
          <w:lang w:val="en-CA"/>
        </w:rPr>
        <w:t>Response</w:t>
      </w:r>
      <w:r w:rsidRPr="00D816C8">
        <w:rPr>
          <w:lang w:val="en-CA"/>
        </w:rPr>
        <w:t xml:space="preserve">: </w:t>
      </w:r>
      <w:r w:rsidR="00D816C8">
        <w:rPr>
          <w:lang w:val="en-CA"/>
        </w:rPr>
        <w:t xml:space="preserve">This has now been changed. </w:t>
      </w:r>
    </w:p>
    <w:p w14:paraId="26269DAD" w14:textId="77777777" w:rsidR="000E2CE7" w:rsidRPr="005706D7" w:rsidRDefault="000E2CE7" w:rsidP="005706D7">
      <w:pPr>
        <w:jc w:val="both"/>
        <w:rPr>
          <w:lang w:val="en-CA"/>
        </w:rPr>
      </w:pPr>
    </w:p>
    <w:p w14:paraId="43B688F1" w14:textId="3981125D" w:rsidR="00CE1EAB" w:rsidRPr="00321FA9" w:rsidRDefault="00D131CE" w:rsidP="00321FA9">
      <w:pPr>
        <w:pStyle w:val="ListParagraph"/>
        <w:numPr>
          <w:ilvl w:val="0"/>
          <w:numId w:val="9"/>
        </w:numPr>
        <w:spacing w:after="120"/>
        <w:ind w:left="357" w:hanging="357"/>
        <w:jc w:val="both"/>
        <w:rPr>
          <w:i/>
          <w:iCs/>
          <w:lang w:val="en-CA"/>
        </w:rPr>
      </w:pPr>
      <w:r w:rsidRPr="00D131CE">
        <w:rPr>
          <w:i/>
          <w:iCs/>
          <w:lang w:val="en-CA"/>
        </w:rPr>
        <w:t>“</w:t>
      </w:r>
      <w:r w:rsidR="005706D7" w:rsidRPr="00D131CE">
        <w:rPr>
          <w:i/>
          <w:iCs/>
          <w:lang w:val="en-CA"/>
        </w:rPr>
        <w:t xml:space="preserve">9.11- The authors say a serial dilution of 1-20 cells/ml. How long do they wait for tumor initiation? What kind of controls would you use for this experiment, since non-BCSCs are unable to initiate tumor at such low </w:t>
      </w:r>
      <w:r w:rsidR="00FE5185" w:rsidRPr="00D131CE">
        <w:rPr>
          <w:i/>
          <w:iCs/>
          <w:lang w:val="en-CA"/>
        </w:rPr>
        <w:t>concentrations”?</w:t>
      </w:r>
      <w:r w:rsidR="005706D7" w:rsidRPr="00D131CE">
        <w:rPr>
          <w:i/>
          <w:iCs/>
          <w:lang w:val="en-CA"/>
        </w:rPr>
        <w:t xml:space="preserve"> </w:t>
      </w:r>
    </w:p>
    <w:p w14:paraId="2522F2AF" w14:textId="6B76474C" w:rsidR="00CE1EAB" w:rsidRDefault="00CE1EAB" w:rsidP="005706D7">
      <w:pPr>
        <w:jc w:val="both"/>
        <w:rPr>
          <w:lang w:val="en-CA"/>
        </w:rPr>
      </w:pPr>
      <w:r w:rsidRPr="003D5D24">
        <w:rPr>
          <w:u w:val="single"/>
          <w:lang w:val="en-CA"/>
        </w:rPr>
        <w:t>Response</w:t>
      </w:r>
      <w:r w:rsidRPr="003D5D24">
        <w:rPr>
          <w:lang w:val="en-CA"/>
        </w:rPr>
        <w:t xml:space="preserve">: </w:t>
      </w:r>
      <w:r w:rsidR="003D5D24">
        <w:rPr>
          <w:lang w:val="en-CA"/>
        </w:rPr>
        <w:t>U</w:t>
      </w:r>
      <w:r w:rsidRPr="003D5D24">
        <w:rPr>
          <w:lang w:val="en-CA"/>
        </w:rPr>
        <w:t xml:space="preserve">nsorted </w:t>
      </w:r>
      <w:r w:rsidR="003D5D24">
        <w:rPr>
          <w:lang w:val="en-CA"/>
        </w:rPr>
        <w:t xml:space="preserve">breast cancer </w:t>
      </w:r>
      <w:r w:rsidRPr="003D5D24">
        <w:rPr>
          <w:lang w:val="en-CA"/>
        </w:rPr>
        <w:t xml:space="preserve">cells </w:t>
      </w:r>
      <w:r w:rsidR="003D5D24">
        <w:rPr>
          <w:lang w:val="en-CA"/>
        </w:rPr>
        <w:t xml:space="preserve">can be used </w:t>
      </w:r>
      <w:r w:rsidRPr="003D5D24">
        <w:rPr>
          <w:lang w:val="en-CA"/>
        </w:rPr>
        <w:t>as a control to compare the tumor initiation ability of BCSCs in xenograft models</w:t>
      </w:r>
      <w:r w:rsidR="003D5D24">
        <w:rPr>
          <w:lang w:val="en-CA"/>
        </w:rPr>
        <w:t>, now detailed in Note 1</w:t>
      </w:r>
      <w:r w:rsidR="00260A6C">
        <w:rPr>
          <w:lang w:val="en-CA"/>
        </w:rPr>
        <w:t>1</w:t>
      </w:r>
      <w:r w:rsidR="003D5D24">
        <w:rPr>
          <w:lang w:val="en-CA"/>
        </w:rPr>
        <w:t xml:space="preserve"> of the protocol (Lines 3</w:t>
      </w:r>
      <w:r w:rsidR="00260A6C">
        <w:rPr>
          <w:lang w:val="en-CA"/>
        </w:rPr>
        <w:t>26</w:t>
      </w:r>
      <w:r w:rsidR="003D5D24">
        <w:rPr>
          <w:lang w:val="en-CA"/>
        </w:rPr>
        <w:t>-3</w:t>
      </w:r>
      <w:r w:rsidR="00260A6C">
        <w:rPr>
          <w:lang w:val="en-CA"/>
        </w:rPr>
        <w:t>29</w:t>
      </w:r>
      <w:r w:rsidR="003D5D24">
        <w:rPr>
          <w:lang w:val="en-CA"/>
        </w:rPr>
        <w:t xml:space="preserve">). </w:t>
      </w:r>
      <w:r w:rsidR="003D5D24" w:rsidRPr="003D5D24">
        <w:rPr>
          <w:lang w:val="en-CA"/>
        </w:rPr>
        <w:t>The experimental end point is determined based on the regulations laid out the institutional animal ethics protocol; typically, endpoint by euthanasia is usually required once tumor volumes reach 1500 mm</w:t>
      </w:r>
      <w:r w:rsidR="003D5D24" w:rsidRPr="003D5D24">
        <w:rPr>
          <w:vertAlign w:val="superscript"/>
          <w:lang w:val="en-CA"/>
        </w:rPr>
        <w:t>3</w:t>
      </w:r>
      <w:r w:rsidR="003D5D24" w:rsidRPr="003D5D24">
        <w:rPr>
          <w:lang w:val="en-CA"/>
        </w:rPr>
        <w:t>. For BCSC populations and/or higher cell doses (e.g. &gt;1 x 10</w:t>
      </w:r>
      <w:r w:rsidR="003D5D24" w:rsidRPr="003D5D24">
        <w:rPr>
          <w:vertAlign w:val="superscript"/>
          <w:lang w:val="en-CA"/>
        </w:rPr>
        <w:t>4</w:t>
      </w:r>
      <w:r w:rsidR="003D5D24" w:rsidRPr="003D5D24">
        <w:rPr>
          <w:lang w:val="en-CA"/>
        </w:rPr>
        <w:t xml:space="preserve"> cells), this endpoint will likely be reached within 4-8 weeks of MFP injection. For non-BCSC cell populations</w:t>
      </w:r>
      <w:r w:rsidR="00321FA9">
        <w:rPr>
          <w:lang w:val="en-CA"/>
        </w:rPr>
        <w:t xml:space="preserve"> and/or </w:t>
      </w:r>
      <w:r w:rsidR="00321FA9" w:rsidRPr="00321FA9">
        <w:rPr>
          <w:lang w:val="en-CA"/>
        </w:rPr>
        <w:t>very low cell doses (e.g. 0.01-0.2 x 10</w:t>
      </w:r>
      <w:r w:rsidR="00321FA9" w:rsidRPr="00321FA9">
        <w:rPr>
          <w:vertAlign w:val="superscript"/>
          <w:lang w:val="en-CA"/>
        </w:rPr>
        <w:t>2</w:t>
      </w:r>
      <w:r w:rsidR="00321FA9" w:rsidRPr="00321FA9">
        <w:rPr>
          <w:lang w:val="en-CA"/>
        </w:rPr>
        <w:t xml:space="preserve"> cells/mouse)</w:t>
      </w:r>
      <w:r w:rsidR="00321FA9">
        <w:rPr>
          <w:lang w:val="en-CA"/>
        </w:rPr>
        <w:t xml:space="preserve">, </w:t>
      </w:r>
      <w:r w:rsidR="003D5D24" w:rsidRPr="003D5D24">
        <w:rPr>
          <w:lang w:val="en-CA"/>
        </w:rPr>
        <w:t xml:space="preserve">tumor </w:t>
      </w:r>
      <w:r w:rsidR="003D5D24">
        <w:rPr>
          <w:lang w:val="en-CA"/>
        </w:rPr>
        <w:t>initiation/</w:t>
      </w:r>
      <w:r w:rsidR="003D5D24" w:rsidRPr="003D5D24">
        <w:rPr>
          <w:lang w:val="en-CA"/>
        </w:rPr>
        <w:t xml:space="preserve">growth should be </w:t>
      </w:r>
      <w:r w:rsidR="003D5D24">
        <w:rPr>
          <w:lang w:val="en-CA"/>
        </w:rPr>
        <w:t xml:space="preserve">assessed for </w:t>
      </w:r>
      <w:r w:rsidR="003D5D24" w:rsidRPr="003D5D24">
        <w:rPr>
          <w:lang w:val="en-CA"/>
        </w:rPr>
        <w:t>up to 8 months post-injection.</w:t>
      </w:r>
      <w:r w:rsidR="00321FA9">
        <w:rPr>
          <w:lang w:val="en-CA"/>
        </w:rPr>
        <w:t xml:space="preserve"> This is now detailed in Note 1</w:t>
      </w:r>
      <w:r w:rsidR="00260A6C">
        <w:rPr>
          <w:lang w:val="en-CA"/>
        </w:rPr>
        <w:t>4</w:t>
      </w:r>
      <w:r w:rsidR="00321FA9">
        <w:rPr>
          <w:lang w:val="en-CA"/>
        </w:rPr>
        <w:t xml:space="preserve"> (Lines 3</w:t>
      </w:r>
      <w:r w:rsidR="00260A6C">
        <w:rPr>
          <w:lang w:val="en-CA"/>
        </w:rPr>
        <w:t>42</w:t>
      </w:r>
      <w:r w:rsidR="00321FA9">
        <w:rPr>
          <w:lang w:val="en-CA"/>
        </w:rPr>
        <w:t>-3</w:t>
      </w:r>
      <w:r w:rsidR="00260A6C">
        <w:rPr>
          <w:lang w:val="en-CA"/>
        </w:rPr>
        <w:t>47</w:t>
      </w:r>
      <w:r w:rsidR="00321FA9">
        <w:rPr>
          <w:lang w:val="en-CA"/>
        </w:rPr>
        <w:t xml:space="preserve">) of the revised manuscript. </w:t>
      </w:r>
    </w:p>
    <w:p w14:paraId="44B125EB" w14:textId="77777777" w:rsidR="00CE1EAB" w:rsidRDefault="00CE1EAB" w:rsidP="005706D7">
      <w:pPr>
        <w:jc w:val="both"/>
        <w:rPr>
          <w:lang w:val="en-CA"/>
        </w:rPr>
      </w:pPr>
    </w:p>
    <w:p w14:paraId="62EE5FA3" w14:textId="05EDA709" w:rsidR="00321FA9" w:rsidRPr="00923EE3" w:rsidRDefault="00321FA9" w:rsidP="00923EE3">
      <w:pPr>
        <w:pStyle w:val="ListParagraph"/>
        <w:numPr>
          <w:ilvl w:val="0"/>
          <w:numId w:val="9"/>
        </w:numPr>
        <w:spacing w:after="120"/>
        <w:ind w:left="357" w:hanging="357"/>
        <w:jc w:val="both"/>
        <w:rPr>
          <w:i/>
          <w:iCs/>
          <w:lang w:val="en-CA"/>
        </w:rPr>
      </w:pPr>
      <w:r>
        <w:rPr>
          <w:i/>
          <w:iCs/>
          <w:lang w:val="en-CA"/>
        </w:rPr>
        <w:t>“</w:t>
      </w:r>
      <w:r w:rsidR="005706D7" w:rsidRPr="00321FA9">
        <w:rPr>
          <w:i/>
          <w:iCs/>
          <w:lang w:val="en-CA"/>
        </w:rPr>
        <w:t xml:space="preserve">Also, in </w:t>
      </w:r>
      <w:r>
        <w:rPr>
          <w:i/>
          <w:iCs/>
          <w:lang w:val="en-CA"/>
        </w:rPr>
        <w:t>F</w:t>
      </w:r>
      <w:r w:rsidR="005706D7" w:rsidRPr="00321FA9">
        <w:rPr>
          <w:i/>
          <w:iCs/>
          <w:lang w:val="en-CA"/>
        </w:rPr>
        <w:t>igure 4, the authors have shown a figure that has been adapted from a previous publication Croker et al. for in vivo studies. This study has used 5x 105 cells/ml which is very different from what the authors have suggested</w:t>
      </w:r>
      <w:r>
        <w:rPr>
          <w:i/>
          <w:iCs/>
          <w:lang w:val="en-CA"/>
        </w:rPr>
        <w:t>”</w:t>
      </w:r>
      <w:r w:rsidR="005706D7" w:rsidRPr="00321FA9">
        <w:rPr>
          <w:i/>
          <w:iCs/>
          <w:lang w:val="en-CA"/>
        </w:rPr>
        <w:t xml:space="preserve">. </w:t>
      </w:r>
    </w:p>
    <w:p w14:paraId="5E93AC7E" w14:textId="0F3FDA1C" w:rsidR="00CE1EAB" w:rsidRDefault="00CE1EAB" w:rsidP="005706D7">
      <w:pPr>
        <w:jc w:val="both"/>
        <w:rPr>
          <w:lang w:val="en-CA"/>
        </w:rPr>
      </w:pPr>
      <w:r w:rsidRPr="000E2CE7">
        <w:rPr>
          <w:u w:val="single"/>
          <w:lang w:val="en-CA"/>
        </w:rPr>
        <w:t>Response:</w:t>
      </w:r>
      <w:r>
        <w:rPr>
          <w:lang w:val="en-CA"/>
        </w:rPr>
        <w:t xml:space="preserve"> </w:t>
      </w:r>
      <w:r w:rsidR="00321FA9" w:rsidRPr="00321FA9">
        <w:rPr>
          <w:lang w:val="en-CA"/>
        </w:rPr>
        <w:t xml:space="preserve">We have </w:t>
      </w:r>
      <w:r w:rsidR="00321FA9">
        <w:rPr>
          <w:lang w:val="en-CA"/>
        </w:rPr>
        <w:t xml:space="preserve">now </w:t>
      </w:r>
      <w:r w:rsidR="00321FA9" w:rsidRPr="00321FA9">
        <w:rPr>
          <w:lang w:val="en-CA"/>
        </w:rPr>
        <w:t>revised Section 9 of the protocol to provide more details about the cell range that can be used for limiting dilution analysis</w:t>
      </w:r>
      <w:r w:rsidR="00321FA9">
        <w:rPr>
          <w:lang w:val="en-CA"/>
        </w:rPr>
        <w:t xml:space="preserve"> (</w:t>
      </w:r>
      <w:r w:rsidR="00321FA9" w:rsidRPr="003643D9">
        <w:rPr>
          <w:rFonts w:cstheme="minorHAnsi"/>
          <w:bCs/>
        </w:rPr>
        <w:t xml:space="preserve">as </w:t>
      </w:r>
      <w:r w:rsidR="00321FA9">
        <w:rPr>
          <w:rFonts w:cstheme="minorHAnsi"/>
          <w:bCs/>
        </w:rPr>
        <w:t>low as 0.0</w:t>
      </w:r>
      <w:r w:rsidR="00321FA9" w:rsidRPr="003643D9">
        <w:rPr>
          <w:rFonts w:cstheme="minorHAnsi"/>
          <w:bCs/>
        </w:rPr>
        <w:t>1-</w:t>
      </w:r>
      <w:r w:rsidR="00321FA9">
        <w:rPr>
          <w:rFonts w:cstheme="minorHAnsi"/>
          <w:bCs/>
        </w:rPr>
        <w:t>0.</w:t>
      </w:r>
      <w:r w:rsidR="00321FA9" w:rsidRPr="003643D9">
        <w:rPr>
          <w:rFonts w:cstheme="minorHAnsi"/>
          <w:bCs/>
        </w:rPr>
        <w:t>2</w:t>
      </w:r>
      <w:r w:rsidR="00321FA9">
        <w:rPr>
          <w:rFonts w:cstheme="minorHAnsi"/>
          <w:bCs/>
        </w:rPr>
        <w:t xml:space="preserve"> x 10</w:t>
      </w:r>
      <w:r w:rsidR="00321FA9">
        <w:rPr>
          <w:rFonts w:cstheme="minorHAnsi"/>
          <w:bCs/>
          <w:vertAlign w:val="superscript"/>
        </w:rPr>
        <w:t>2</w:t>
      </w:r>
      <w:r w:rsidR="00321FA9" w:rsidRPr="003643D9">
        <w:rPr>
          <w:rFonts w:cstheme="minorHAnsi"/>
          <w:bCs/>
        </w:rPr>
        <w:t xml:space="preserve"> cells/mouse</w:t>
      </w:r>
      <w:r w:rsidR="00321FA9">
        <w:rPr>
          <w:rFonts w:cstheme="minorHAnsi"/>
          <w:bCs/>
        </w:rPr>
        <w:t>, up to 1 x 10</w:t>
      </w:r>
      <w:r w:rsidR="00321FA9" w:rsidRPr="003643D9">
        <w:rPr>
          <w:rFonts w:cstheme="minorHAnsi"/>
          <w:bCs/>
          <w:vertAlign w:val="superscript"/>
        </w:rPr>
        <w:t>6</w:t>
      </w:r>
      <w:r w:rsidR="00321FA9">
        <w:rPr>
          <w:rFonts w:cstheme="minorHAnsi"/>
          <w:bCs/>
        </w:rPr>
        <w:t xml:space="preserve"> cells/mouse);</w:t>
      </w:r>
      <w:r w:rsidR="00321FA9" w:rsidRPr="00321FA9">
        <w:rPr>
          <w:lang w:val="en-CA"/>
        </w:rPr>
        <w:t xml:space="preserve"> now detailed in Step 9.</w:t>
      </w:r>
      <w:r w:rsidR="00260A6C">
        <w:rPr>
          <w:lang w:val="en-CA"/>
        </w:rPr>
        <w:t>2</w:t>
      </w:r>
      <w:r w:rsidR="00321FA9" w:rsidRPr="00321FA9">
        <w:rPr>
          <w:lang w:val="en-CA"/>
        </w:rPr>
        <w:t xml:space="preserve"> of the protocol. </w:t>
      </w:r>
      <w:r w:rsidR="00321FA9">
        <w:rPr>
          <w:lang w:val="en-CA"/>
        </w:rPr>
        <w:t>T</w:t>
      </w:r>
      <w:r>
        <w:rPr>
          <w:lang w:val="en-CA"/>
        </w:rPr>
        <w:t xml:space="preserve">he publication by </w:t>
      </w:r>
      <w:r w:rsidRPr="000D49C6">
        <w:rPr>
          <w:i/>
          <w:iCs/>
          <w:lang w:val="en-CA"/>
        </w:rPr>
        <w:t>Croker et. al</w:t>
      </w:r>
      <w:r w:rsidR="00321FA9">
        <w:rPr>
          <w:lang w:val="en-CA"/>
        </w:rPr>
        <w:t xml:space="preserve"> </w:t>
      </w:r>
      <w:r w:rsidR="00260A6C">
        <w:rPr>
          <w:lang w:val="en-CA"/>
        </w:rPr>
        <w:t xml:space="preserve">was aimed at </w:t>
      </w:r>
      <w:r w:rsidR="00321FA9">
        <w:rPr>
          <w:lang w:val="en-CA"/>
        </w:rPr>
        <w:t xml:space="preserve">assessed simple differences in tumorgenicity and metastasis between </w:t>
      </w:r>
      <w:r w:rsidR="00260A6C">
        <w:rPr>
          <w:lang w:val="en-CA"/>
        </w:rPr>
        <w:t xml:space="preserve">BCSC and non-BCSC </w:t>
      </w:r>
      <w:r w:rsidR="00321FA9">
        <w:rPr>
          <w:lang w:val="en-CA"/>
        </w:rPr>
        <w:t xml:space="preserve">cell populations </w:t>
      </w:r>
      <w:r w:rsidR="00923EE3">
        <w:rPr>
          <w:lang w:val="en-CA"/>
        </w:rPr>
        <w:t>(</w:t>
      </w:r>
      <w:r w:rsidR="00321FA9">
        <w:rPr>
          <w:lang w:val="en-CA"/>
        </w:rPr>
        <w:t xml:space="preserve">rather than tumor initiating capacity) and therefore used a single cell dose of </w:t>
      </w:r>
      <w:r>
        <w:rPr>
          <w:lang w:val="en-CA"/>
        </w:rPr>
        <w:t>5 x 10</w:t>
      </w:r>
      <w:r w:rsidRPr="00181A89">
        <w:rPr>
          <w:vertAlign w:val="superscript"/>
          <w:lang w:val="en-CA"/>
        </w:rPr>
        <w:t>5</w:t>
      </w:r>
      <w:r>
        <w:rPr>
          <w:lang w:val="en-CA"/>
        </w:rPr>
        <w:t xml:space="preserve"> cells/</w:t>
      </w:r>
      <w:r w:rsidR="00321FA9">
        <w:rPr>
          <w:lang w:val="en-CA"/>
        </w:rPr>
        <w:t>mouse of each sorted population</w:t>
      </w:r>
      <w:r w:rsidR="00260A6C">
        <w:rPr>
          <w:lang w:val="en-CA"/>
        </w:rPr>
        <w:t xml:space="preserve">. This </w:t>
      </w:r>
      <w:r w:rsidR="00321FA9">
        <w:rPr>
          <w:lang w:val="en-CA"/>
        </w:rPr>
        <w:t xml:space="preserve">is within the cell dose range described in the protocol. </w:t>
      </w:r>
    </w:p>
    <w:p w14:paraId="1880B0B0" w14:textId="1F9F28F5" w:rsidR="00CE1EAB" w:rsidRDefault="00CE1EAB" w:rsidP="005706D7">
      <w:pPr>
        <w:jc w:val="both"/>
        <w:rPr>
          <w:lang w:val="en-CA"/>
        </w:rPr>
      </w:pPr>
    </w:p>
    <w:p w14:paraId="37F30F1A" w14:textId="029738F5" w:rsidR="00260A6C" w:rsidRDefault="00260A6C" w:rsidP="005706D7">
      <w:pPr>
        <w:jc w:val="both"/>
        <w:rPr>
          <w:lang w:val="en-CA"/>
        </w:rPr>
      </w:pPr>
    </w:p>
    <w:p w14:paraId="7E70C0AE" w14:textId="469CBD76" w:rsidR="00260A6C" w:rsidRDefault="00260A6C" w:rsidP="005706D7">
      <w:pPr>
        <w:jc w:val="both"/>
        <w:rPr>
          <w:lang w:val="en-CA"/>
        </w:rPr>
      </w:pPr>
    </w:p>
    <w:p w14:paraId="061D3827" w14:textId="77777777" w:rsidR="00260A6C" w:rsidRDefault="00260A6C" w:rsidP="005706D7">
      <w:pPr>
        <w:jc w:val="both"/>
        <w:rPr>
          <w:lang w:val="en-CA"/>
        </w:rPr>
      </w:pPr>
    </w:p>
    <w:p w14:paraId="24844280" w14:textId="5BD82F46" w:rsidR="000E2CE7" w:rsidRPr="00923EE3" w:rsidRDefault="00923EE3" w:rsidP="00923EE3">
      <w:pPr>
        <w:pStyle w:val="ListParagraph"/>
        <w:numPr>
          <w:ilvl w:val="0"/>
          <w:numId w:val="9"/>
        </w:numPr>
        <w:spacing w:after="120"/>
        <w:ind w:left="357" w:hanging="357"/>
        <w:jc w:val="both"/>
        <w:rPr>
          <w:i/>
          <w:iCs/>
          <w:lang w:val="en-CA"/>
        </w:rPr>
      </w:pPr>
      <w:r w:rsidRPr="00923EE3">
        <w:rPr>
          <w:i/>
          <w:iCs/>
          <w:lang w:val="en-CA"/>
        </w:rPr>
        <w:lastRenderedPageBreak/>
        <w:t>“</w:t>
      </w:r>
      <w:r w:rsidR="005706D7" w:rsidRPr="00923EE3">
        <w:rPr>
          <w:i/>
          <w:iCs/>
          <w:lang w:val="en-CA"/>
        </w:rPr>
        <w:t>Also, the authors need to make sure that they have proper permissions for publishing these results as it could be copyright infringement, even if it is from the same group</w:t>
      </w:r>
      <w:r w:rsidRPr="00923EE3">
        <w:rPr>
          <w:i/>
          <w:iCs/>
          <w:lang w:val="en-CA"/>
        </w:rPr>
        <w:t>”</w:t>
      </w:r>
      <w:r w:rsidR="005706D7" w:rsidRPr="00923EE3">
        <w:rPr>
          <w:i/>
          <w:iCs/>
          <w:lang w:val="en-CA"/>
        </w:rPr>
        <w:t>.</w:t>
      </w:r>
    </w:p>
    <w:p w14:paraId="275A2594" w14:textId="6B7033A3" w:rsidR="000D49C6" w:rsidRDefault="00CE1EAB" w:rsidP="005706D7">
      <w:pPr>
        <w:jc w:val="both"/>
        <w:rPr>
          <w:lang w:val="en-CA"/>
        </w:rPr>
      </w:pPr>
      <w:r w:rsidRPr="00CE1EAB">
        <w:rPr>
          <w:u w:val="single"/>
          <w:lang w:val="en-CA"/>
        </w:rPr>
        <w:t>Response:</w:t>
      </w:r>
      <w:r>
        <w:rPr>
          <w:lang w:val="en-CA"/>
        </w:rPr>
        <w:t xml:space="preserve"> </w:t>
      </w:r>
      <w:r w:rsidR="000D49C6">
        <w:rPr>
          <w:lang w:val="en-CA"/>
        </w:rPr>
        <w:t>We have received copyright permission for publishing the</w:t>
      </w:r>
      <w:r w:rsidR="00260A6C">
        <w:rPr>
          <w:lang w:val="en-CA"/>
        </w:rPr>
        <w:t>se</w:t>
      </w:r>
      <w:r w:rsidR="000D49C6">
        <w:rPr>
          <w:lang w:val="en-CA"/>
        </w:rPr>
        <w:t xml:space="preserve"> results in this </w:t>
      </w:r>
      <w:r w:rsidR="00260A6C">
        <w:rPr>
          <w:lang w:val="en-CA"/>
        </w:rPr>
        <w:t xml:space="preserve">JoVE </w:t>
      </w:r>
      <w:r w:rsidR="000D49C6">
        <w:rPr>
          <w:lang w:val="en-CA"/>
        </w:rPr>
        <w:t>manuscript</w:t>
      </w:r>
      <w:r w:rsidR="00923EE3">
        <w:rPr>
          <w:lang w:val="en-CA"/>
        </w:rPr>
        <w:t xml:space="preserve">, and these permissions are now included </w:t>
      </w:r>
      <w:r w:rsidR="009D1E2B">
        <w:rPr>
          <w:lang w:val="en-CA"/>
        </w:rPr>
        <w:t xml:space="preserve">as part of </w:t>
      </w:r>
      <w:r w:rsidR="00923EE3">
        <w:rPr>
          <w:lang w:val="en-CA"/>
        </w:rPr>
        <w:t xml:space="preserve">the </w:t>
      </w:r>
      <w:r w:rsidR="000D49C6">
        <w:rPr>
          <w:lang w:val="en-CA"/>
        </w:rPr>
        <w:t>supplemental information.</w:t>
      </w:r>
    </w:p>
    <w:p w14:paraId="6C888B1C" w14:textId="77777777" w:rsidR="000E2CE7" w:rsidRPr="005706D7" w:rsidRDefault="000E2CE7" w:rsidP="005706D7">
      <w:pPr>
        <w:jc w:val="both"/>
        <w:rPr>
          <w:lang w:val="en-CA"/>
        </w:rPr>
      </w:pPr>
    </w:p>
    <w:p w14:paraId="0BB02D4B" w14:textId="092F89CC" w:rsidR="00803E0F" w:rsidRPr="00496A58" w:rsidRDefault="00496A58" w:rsidP="00496A58">
      <w:pPr>
        <w:pStyle w:val="ListParagraph"/>
        <w:numPr>
          <w:ilvl w:val="0"/>
          <w:numId w:val="9"/>
        </w:numPr>
        <w:spacing w:after="120"/>
        <w:ind w:left="357" w:hanging="357"/>
        <w:jc w:val="both"/>
        <w:rPr>
          <w:i/>
          <w:iCs/>
          <w:lang w:val="en-CA"/>
        </w:rPr>
      </w:pPr>
      <w:r w:rsidRPr="00496A58">
        <w:rPr>
          <w:i/>
          <w:iCs/>
          <w:lang w:val="en-CA"/>
        </w:rPr>
        <w:t>“</w:t>
      </w:r>
      <w:r w:rsidR="005706D7" w:rsidRPr="00496A58">
        <w:rPr>
          <w:i/>
          <w:iCs/>
          <w:lang w:val="en-CA"/>
        </w:rPr>
        <w:t>Do the authors have better images for the mammospheres with a higher magnification?</w:t>
      </w:r>
      <w:r w:rsidRPr="00496A58">
        <w:rPr>
          <w:i/>
          <w:iCs/>
          <w:lang w:val="en-CA"/>
        </w:rPr>
        <w:t>”</w:t>
      </w:r>
    </w:p>
    <w:p w14:paraId="534EC123" w14:textId="13E3CC9D" w:rsidR="00803E0F" w:rsidRDefault="00803E0F" w:rsidP="005706D7">
      <w:pPr>
        <w:jc w:val="both"/>
        <w:rPr>
          <w:lang w:val="en-CA"/>
        </w:rPr>
      </w:pPr>
      <w:r w:rsidRPr="0098359A">
        <w:rPr>
          <w:u w:val="single"/>
          <w:lang w:val="en-CA"/>
        </w:rPr>
        <w:t>Response:</w:t>
      </w:r>
      <w:r>
        <w:rPr>
          <w:lang w:val="en-CA"/>
        </w:rPr>
        <w:t xml:space="preserve"> </w:t>
      </w:r>
      <w:r w:rsidR="00496A58">
        <w:rPr>
          <w:lang w:val="en-CA"/>
        </w:rPr>
        <w:t>H</w:t>
      </w:r>
      <w:r w:rsidR="00D64677">
        <w:rPr>
          <w:lang w:val="en-CA"/>
        </w:rPr>
        <w:t xml:space="preserve">igher magnification images have been added wherever possible. </w:t>
      </w:r>
      <w:r w:rsidR="00496A58">
        <w:rPr>
          <w:lang w:val="en-CA"/>
        </w:rPr>
        <w:t>Unfortunately, g</w:t>
      </w:r>
      <w:r w:rsidR="00D64677">
        <w:rPr>
          <w:lang w:val="en-CA"/>
        </w:rPr>
        <w:t>enerating new figures ha</w:t>
      </w:r>
      <w:r w:rsidR="00496A58">
        <w:rPr>
          <w:lang w:val="en-CA"/>
        </w:rPr>
        <w:t>s</w:t>
      </w:r>
      <w:r w:rsidR="00D64677">
        <w:rPr>
          <w:lang w:val="en-CA"/>
        </w:rPr>
        <w:t xml:space="preserve"> become difficult due to the current </w:t>
      </w:r>
      <w:r w:rsidR="00496A58">
        <w:rPr>
          <w:lang w:val="en-CA"/>
        </w:rPr>
        <w:t xml:space="preserve">COVID19 </w:t>
      </w:r>
      <w:r w:rsidR="00D64677">
        <w:rPr>
          <w:lang w:val="en-CA"/>
        </w:rPr>
        <w:t>pandemic situation.</w:t>
      </w:r>
    </w:p>
    <w:p w14:paraId="1BBD11F8" w14:textId="77777777" w:rsidR="00803E0F" w:rsidRPr="00803E0F" w:rsidRDefault="00803E0F" w:rsidP="005706D7">
      <w:pPr>
        <w:jc w:val="both"/>
        <w:rPr>
          <w:lang w:val="en-CA"/>
        </w:rPr>
      </w:pPr>
    </w:p>
    <w:p w14:paraId="77F111CE" w14:textId="6B99F372" w:rsidR="000D49C6" w:rsidRPr="00496A58" w:rsidRDefault="00496A58" w:rsidP="00496A58">
      <w:pPr>
        <w:pStyle w:val="ListParagraph"/>
        <w:numPr>
          <w:ilvl w:val="0"/>
          <w:numId w:val="9"/>
        </w:numPr>
        <w:spacing w:after="120"/>
        <w:ind w:left="357" w:hanging="357"/>
        <w:jc w:val="both"/>
        <w:rPr>
          <w:i/>
          <w:iCs/>
          <w:lang w:val="en-CA"/>
        </w:rPr>
      </w:pPr>
      <w:r w:rsidRPr="00496A58">
        <w:rPr>
          <w:i/>
          <w:iCs/>
          <w:lang w:val="en-CA"/>
        </w:rPr>
        <w:t>“</w:t>
      </w:r>
      <w:r w:rsidR="005706D7" w:rsidRPr="00496A58">
        <w:rPr>
          <w:i/>
          <w:iCs/>
          <w:lang w:val="en-CA"/>
        </w:rPr>
        <w:t>Section 5.5, change 7ADD-7AAD</w:t>
      </w:r>
      <w:r w:rsidRPr="00496A58">
        <w:rPr>
          <w:i/>
          <w:iCs/>
          <w:lang w:val="en-CA"/>
        </w:rPr>
        <w:t>”.</w:t>
      </w:r>
    </w:p>
    <w:p w14:paraId="53899AC1" w14:textId="28AF0DE5" w:rsidR="000D49C6" w:rsidRPr="000D49C6" w:rsidRDefault="000D49C6" w:rsidP="005706D7">
      <w:pPr>
        <w:jc w:val="both"/>
        <w:rPr>
          <w:lang w:val="en-CA"/>
        </w:rPr>
      </w:pPr>
      <w:r w:rsidRPr="00803E0F">
        <w:rPr>
          <w:u w:val="single"/>
          <w:lang w:val="en-CA"/>
        </w:rPr>
        <w:t>Response:</w:t>
      </w:r>
      <w:r w:rsidRPr="000D49C6">
        <w:rPr>
          <w:lang w:val="en-CA"/>
        </w:rPr>
        <w:t xml:space="preserve"> </w:t>
      </w:r>
      <w:r w:rsidR="00496A58">
        <w:rPr>
          <w:lang w:val="en-CA"/>
        </w:rPr>
        <w:t xml:space="preserve">This has now been corrected. </w:t>
      </w:r>
    </w:p>
    <w:p w14:paraId="4E30C767" w14:textId="77777777" w:rsidR="000D49C6" w:rsidRPr="000D49C6" w:rsidRDefault="000D49C6" w:rsidP="005706D7">
      <w:pPr>
        <w:jc w:val="both"/>
        <w:rPr>
          <w:b/>
          <w:bCs/>
          <w:lang w:val="en-CA"/>
        </w:rPr>
      </w:pPr>
    </w:p>
    <w:p w14:paraId="5130AF4D" w14:textId="30BE2744" w:rsidR="00803E0F" w:rsidRPr="00496A58" w:rsidRDefault="00496A58" w:rsidP="00496A58">
      <w:pPr>
        <w:pStyle w:val="ListParagraph"/>
        <w:numPr>
          <w:ilvl w:val="0"/>
          <w:numId w:val="9"/>
        </w:numPr>
        <w:spacing w:after="120"/>
        <w:ind w:left="357" w:hanging="357"/>
        <w:jc w:val="both"/>
        <w:rPr>
          <w:i/>
          <w:iCs/>
          <w:lang w:val="en-CA"/>
        </w:rPr>
      </w:pPr>
      <w:r w:rsidRPr="00496A58">
        <w:rPr>
          <w:i/>
          <w:iCs/>
          <w:lang w:val="en-CA"/>
        </w:rPr>
        <w:t>“</w:t>
      </w:r>
      <w:r w:rsidR="005706D7" w:rsidRPr="00496A58">
        <w:rPr>
          <w:i/>
          <w:iCs/>
          <w:lang w:val="en-CA"/>
        </w:rPr>
        <w:t>Do the authors have data on the primary and secondary mammosphere formation abilities of the cells that have been sorted?</w:t>
      </w:r>
      <w:r w:rsidRPr="00496A58">
        <w:rPr>
          <w:i/>
          <w:iCs/>
          <w:lang w:val="en-CA"/>
        </w:rPr>
        <w:t>”</w:t>
      </w:r>
    </w:p>
    <w:p w14:paraId="5698D388" w14:textId="11648ED5" w:rsidR="00803E0F" w:rsidRPr="00B477BF" w:rsidRDefault="00803E0F" w:rsidP="005706D7">
      <w:pPr>
        <w:jc w:val="both"/>
        <w:rPr>
          <w:lang w:val="en-CA"/>
        </w:rPr>
      </w:pPr>
      <w:r w:rsidRPr="00B477BF">
        <w:rPr>
          <w:u w:val="single"/>
          <w:lang w:val="en-CA"/>
        </w:rPr>
        <w:t>Response:</w:t>
      </w:r>
      <w:r w:rsidR="00B477BF">
        <w:rPr>
          <w:lang w:val="en-CA"/>
        </w:rPr>
        <w:t xml:space="preserve"> Unfortunately, the unpublished data on the primary and secondary mammosphere formation generated in our lab cannot be used in this manuscript</w:t>
      </w:r>
      <w:r w:rsidR="00496A58">
        <w:rPr>
          <w:lang w:val="en-CA"/>
        </w:rPr>
        <w:t xml:space="preserve"> as it is earmarked for another publication in preparation</w:t>
      </w:r>
      <w:r w:rsidR="00B477BF">
        <w:rPr>
          <w:lang w:val="en-CA"/>
        </w:rPr>
        <w:t xml:space="preserve">. </w:t>
      </w:r>
      <w:r w:rsidR="00496A58">
        <w:rPr>
          <w:lang w:val="en-CA"/>
        </w:rPr>
        <w:t>G</w:t>
      </w:r>
      <w:r w:rsidR="00B477BF">
        <w:rPr>
          <w:lang w:val="en-CA"/>
        </w:rPr>
        <w:t xml:space="preserve">enerating </w:t>
      </w:r>
      <w:r w:rsidR="00496A58">
        <w:rPr>
          <w:lang w:val="en-CA"/>
        </w:rPr>
        <w:t xml:space="preserve">a </w:t>
      </w:r>
      <w:r w:rsidR="00B477BF">
        <w:rPr>
          <w:lang w:val="en-CA"/>
        </w:rPr>
        <w:t>new data</w:t>
      </w:r>
      <w:r w:rsidR="00496A58">
        <w:rPr>
          <w:lang w:val="en-CA"/>
        </w:rPr>
        <w:t>set for this purpose</w:t>
      </w:r>
      <w:r w:rsidR="00B477BF">
        <w:rPr>
          <w:lang w:val="en-CA"/>
        </w:rPr>
        <w:t xml:space="preserve"> </w:t>
      </w:r>
      <w:r w:rsidR="00496A58">
        <w:rPr>
          <w:lang w:val="en-CA"/>
        </w:rPr>
        <w:t xml:space="preserve">has become difficult due to the current COVID19 pandemic situation. </w:t>
      </w:r>
    </w:p>
    <w:p w14:paraId="63636A3E" w14:textId="77777777" w:rsidR="00803E0F" w:rsidRPr="005706D7" w:rsidRDefault="00803E0F" w:rsidP="005706D7">
      <w:pPr>
        <w:jc w:val="both"/>
        <w:rPr>
          <w:lang w:val="en-CA"/>
        </w:rPr>
      </w:pPr>
    </w:p>
    <w:p w14:paraId="44575B36" w14:textId="017DC103" w:rsidR="00803E0F" w:rsidRPr="00496A58" w:rsidRDefault="00496A58" w:rsidP="00496A58">
      <w:pPr>
        <w:pStyle w:val="ListParagraph"/>
        <w:numPr>
          <w:ilvl w:val="0"/>
          <w:numId w:val="9"/>
        </w:numPr>
        <w:spacing w:after="120"/>
        <w:ind w:left="357" w:hanging="357"/>
        <w:jc w:val="both"/>
        <w:rPr>
          <w:i/>
          <w:iCs/>
          <w:lang w:val="en-CA"/>
        </w:rPr>
      </w:pPr>
      <w:r w:rsidRPr="00496A58">
        <w:rPr>
          <w:i/>
          <w:iCs/>
          <w:lang w:val="en-CA"/>
        </w:rPr>
        <w:t>“</w:t>
      </w:r>
      <w:r w:rsidR="005706D7" w:rsidRPr="00496A58">
        <w:rPr>
          <w:i/>
          <w:iCs/>
          <w:lang w:val="en-CA"/>
        </w:rPr>
        <w:t>Section 6-Would it be possible for the authors to explain the rationale and references for colony formation assay with fibroblasts. What is the purpose of using fibroblasts in this assay?</w:t>
      </w:r>
      <w:r w:rsidRPr="00496A58">
        <w:rPr>
          <w:i/>
          <w:iCs/>
          <w:lang w:val="en-CA"/>
        </w:rPr>
        <w:t>”</w:t>
      </w:r>
    </w:p>
    <w:p w14:paraId="16EF7514" w14:textId="2CADF86C" w:rsidR="00803E0F" w:rsidRDefault="00803E0F" w:rsidP="005706D7">
      <w:pPr>
        <w:jc w:val="both"/>
        <w:rPr>
          <w:lang w:val="en-CA"/>
        </w:rPr>
      </w:pPr>
      <w:r w:rsidRPr="009E5C2B">
        <w:rPr>
          <w:u w:val="single"/>
          <w:lang w:val="en-CA"/>
        </w:rPr>
        <w:t>Response:</w:t>
      </w:r>
      <w:r>
        <w:rPr>
          <w:lang w:val="en-CA"/>
        </w:rPr>
        <w:t xml:space="preserve"> </w:t>
      </w:r>
      <w:r w:rsidR="00DA7E6D">
        <w:rPr>
          <w:lang w:val="en-CA"/>
        </w:rPr>
        <w:t>Fibroblast culture</w:t>
      </w:r>
      <w:r w:rsidR="00496A58">
        <w:rPr>
          <w:lang w:val="en-CA"/>
        </w:rPr>
        <w:t xml:space="preserve">s can </w:t>
      </w:r>
      <w:r w:rsidR="00496A58" w:rsidRPr="00496A58">
        <w:rPr>
          <w:lang w:val="en-CA"/>
        </w:rPr>
        <w:t xml:space="preserve">act as </w:t>
      </w:r>
      <w:r w:rsidR="00496A58">
        <w:rPr>
          <w:lang w:val="en-CA"/>
        </w:rPr>
        <w:t xml:space="preserve">a </w:t>
      </w:r>
      <w:r w:rsidR="00496A58" w:rsidRPr="00496A58">
        <w:rPr>
          <w:lang w:val="en-CA"/>
        </w:rPr>
        <w:t xml:space="preserve">feeder layer </w:t>
      </w:r>
      <w:r w:rsidR="00496A58">
        <w:rPr>
          <w:lang w:val="en-CA"/>
        </w:rPr>
        <w:t xml:space="preserve">to provide additional </w:t>
      </w:r>
      <w:r w:rsidR="00496A58" w:rsidRPr="00496A58">
        <w:rPr>
          <w:lang w:val="en-CA"/>
        </w:rPr>
        <w:t>microenvironmental support for BCSCs through production of necessary growth and survival factors.</w:t>
      </w:r>
      <w:r w:rsidR="00DA7E6D">
        <w:rPr>
          <w:lang w:val="en-CA"/>
        </w:rPr>
        <w:t xml:space="preserve"> Fibroblast feeder layer</w:t>
      </w:r>
      <w:r w:rsidR="00496A58">
        <w:rPr>
          <w:lang w:val="en-CA"/>
        </w:rPr>
        <w:t>s</w:t>
      </w:r>
      <w:r w:rsidR="00DA7E6D">
        <w:rPr>
          <w:lang w:val="en-CA"/>
        </w:rPr>
        <w:t xml:space="preserve"> ha</w:t>
      </w:r>
      <w:r w:rsidR="00496A58">
        <w:rPr>
          <w:lang w:val="en-CA"/>
        </w:rPr>
        <w:t>ve</w:t>
      </w:r>
      <w:r w:rsidR="00DA7E6D">
        <w:rPr>
          <w:lang w:val="en-CA"/>
        </w:rPr>
        <w:t xml:space="preserve"> been used to study colony forming ability of adult stem/progenitor cells as well as cancer stem cells</w:t>
      </w:r>
      <w:r w:rsidR="00496A58">
        <w:rPr>
          <w:lang w:val="en-CA"/>
        </w:rPr>
        <w:t xml:space="preserve">; e.g. </w:t>
      </w:r>
      <w:r w:rsidR="00496A58" w:rsidRPr="00BA34B0">
        <w:rPr>
          <w:lang w:val="en-CA"/>
        </w:rPr>
        <w:t xml:space="preserve">as described in References </w:t>
      </w:r>
      <w:r w:rsidR="00BA34B0">
        <w:rPr>
          <w:lang w:val="en-CA"/>
        </w:rPr>
        <w:t>68-70.</w:t>
      </w:r>
    </w:p>
    <w:p w14:paraId="055EBC4C" w14:textId="77777777" w:rsidR="00803E0F" w:rsidRPr="005706D7" w:rsidRDefault="00803E0F" w:rsidP="005706D7">
      <w:pPr>
        <w:jc w:val="both"/>
        <w:rPr>
          <w:lang w:val="en-CA"/>
        </w:rPr>
      </w:pPr>
    </w:p>
    <w:p w14:paraId="740BC1C8" w14:textId="5388D285" w:rsidR="00803E0F" w:rsidRPr="00464E1A" w:rsidRDefault="00B331D3" w:rsidP="00464E1A">
      <w:pPr>
        <w:pStyle w:val="ListParagraph"/>
        <w:numPr>
          <w:ilvl w:val="0"/>
          <w:numId w:val="9"/>
        </w:numPr>
        <w:spacing w:after="120"/>
        <w:ind w:left="357" w:hanging="357"/>
        <w:jc w:val="both"/>
        <w:rPr>
          <w:i/>
          <w:iCs/>
          <w:lang w:val="en-CA"/>
        </w:rPr>
      </w:pPr>
      <w:r w:rsidRPr="00B331D3">
        <w:rPr>
          <w:i/>
          <w:iCs/>
          <w:lang w:val="en-CA"/>
        </w:rPr>
        <w:t>“</w:t>
      </w:r>
      <w:r w:rsidR="005706D7" w:rsidRPr="00B331D3">
        <w:rPr>
          <w:i/>
          <w:iCs/>
          <w:lang w:val="en-CA"/>
        </w:rPr>
        <w:t>The author's section on in vivo xenograft model (section 9) focuses more on tumor cells than breast cancer stem cells. This section is redundant as there are previous JOVE publications that demonstrate mammary fat pad injection. The authors should elaborate on the procedures pertaining specifically to BCSCs</w:t>
      </w:r>
      <w:r w:rsidRPr="00B331D3">
        <w:rPr>
          <w:i/>
          <w:iCs/>
          <w:lang w:val="en-CA"/>
        </w:rPr>
        <w:t>”.</w:t>
      </w:r>
    </w:p>
    <w:p w14:paraId="205218B6" w14:textId="16793E10" w:rsidR="00803E0F" w:rsidRDefault="00803E0F" w:rsidP="005706D7">
      <w:pPr>
        <w:jc w:val="both"/>
        <w:rPr>
          <w:lang w:val="en-CA"/>
        </w:rPr>
      </w:pPr>
      <w:r w:rsidRPr="009E5C2B">
        <w:rPr>
          <w:u w:val="single"/>
          <w:lang w:val="en-CA"/>
        </w:rPr>
        <w:t>Response:</w:t>
      </w:r>
      <w:r>
        <w:rPr>
          <w:lang w:val="en-CA"/>
        </w:rPr>
        <w:t xml:space="preserve"> </w:t>
      </w:r>
      <w:r w:rsidR="00783346">
        <w:rPr>
          <w:lang w:val="en-CA"/>
        </w:rPr>
        <w:t xml:space="preserve">We </w:t>
      </w:r>
      <w:r w:rsidR="00464E1A">
        <w:rPr>
          <w:lang w:val="en-CA"/>
        </w:rPr>
        <w:t xml:space="preserve">thank the reviewer for this suggestion. </w:t>
      </w:r>
      <w:r w:rsidR="00260A6C">
        <w:rPr>
          <w:lang w:val="en-CA"/>
        </w:rPr>
        <w:t xml:space="preserve">Section 9 of the </w:t>
      </w:r>
      <w:r w:rsidR="00783346">
        <w:rPr>
          <w:lang w:val="en-CA"/>
        </w:rPr>
        <w:t>protocol has now been changed to make it more specific to generation of xenograft models using BCSC.</w:t>
      </w:r>
    </w:p>
    <w:p w14:paraId="62C4330A" w14:textId="77777777" w:rsidR="00803E0F" w:rsidRPr="005706D7" w:rsidRDefault="00803E0F" w:rsidP="005706D7">
      <w:pPr>
        <w:jc w:val="both"/>
        <w:rPr>
          <w:lang w:val="en-CA"/>
        </w:rPr>
      </w:pPr>
    </w:p>
    <w:p w14:paraId="2CBD0C29" w14:textId="535825F5" w:rsidR="00DA7E6D" w:rsidRPr="00F95100" w:rsidRDefault="00260A6C" w:rsidP="00F95100">
      <w:pPr>
        <w:pStyle w:val="ListParagraph"/>
        <w:numPr>
          <w:ilvl w:val="0"/>
          <w:numId w:val="9"/>
        </w:numPr>
        <w:spacing w:after="120"/>
        <w:ind w:left="357" w:hanging="357"/>
        <w:jc w:val="both"/>
        <w:rPr>
          <w:i/>
          <w:iCs/>
          <w:lang w:val="en-CA"/>
        </w:rPr>
      </w:pPr>
      <w:r w:rsidRPr="00260A6C">
        <w:rPr>
          <w:i/>
          <w:iCs/>
          <w:lang w:val="en-CA"/>
        </w:rPr>
        <w:t>“</w:t>
      </w:r>
      <w:r w:rsidR="005706D7" w:rsidRPr="00260A6C">
        <w:rPr>
          <w:i/>
          <w:iCs/>
          <w:lang w:val="en-CA"/>
        </w:rPr>
        <w:t>In the figure legend for figure 3C, include MDA-MB-231</w:t>
      </w:r>
      <w:r w:rsidRPr="00260A6C">
        <w:rPr>
          <w:i/>
          <w:iCs/>
          <w:lang w:val="en-CA"/>
        </w:rPr>
        <w:t>”</w:t>
      </w:r>
    </w:p>
    <w:p w14:paraId="686137BA" w14:textId="5950870C" w:rsidR="00DA7E6D" w:rsidRPr="00DA7E6D" w:rsidRDefault="00DA7E6D" w:rsidP="005706D7">
      <w:pPr>
        <w:jc w:val="both"/>
        <w:rPr>
          <w:lang w:val="en-CA"/>
        </w:rPr>
      </w:pPr>
      <w:r w:rsidRPr="00260A6C">
        <w:rPr>
          <w:u w:val="single"/>
          <w:lang w:val="en-CA"/>
        </w:rPr>
        <w:t>Response:</w:t>
      </w:r>
      <w:r w:rsidRPr="00DA7E6D">
        <w:rPr>
          <w:lang w:val="en-CA"/>
        </w:rPr>
        <w:t xml:space="preserve"> </w:t>
      </w:r>
      <w:r w:rsidR="00783346">
        <w:rPr>
          <w:lang w:val="en-CA"/>
        </w:rPr>
        <w:t xml:space="preserve">The figure legend for </w:t>
      </w:r>
      <w:r w:rsidR="00260A6C">
        <w:rPr>
          <w:lang w:val="en-CA"/>
        </w:rPr>
        <w:t>F</w:t>
      </w:r>
      <w:r w:rsidR="00783346">
        <w:rPr>
          <w:lang w:val="en-CA"/>
        </w:rPr>
        <w:t>igure 3 ha</w:t>
      </w:r>
      <w:r w:rsidR="00260A6C">
        <w:rPr>
          <w:lang w:val="en-CA"/>
        </w:rPr>
        <w:t>s</w:t>
      </w:r>
      <w:r w:rsidR="00783346">
        <w:rPr>
          <w:lang w:val="en-CA"/>
        </w:rPr>
        <w:t xml:space="preserve"> been updated</w:t>
      </w:r>
      <w:r w:rsidR="00260A6C">
        <w:rPr>
          <w:lang w:val="en-CA"/>
        </w:rPr>
        <w:t xml:space="preserve"> to include this information</w:t>
      </w:r>
      <w:r w:rsidR="00783346">
        <w:rPr>
          <w:lang w:val="en-CA"/>
        </w:rPr>
        <w:t>.</w:t>
      </w:r>
    </w:p>
    <w:sectPr w:rsidR="00DA7E6D" w:rsidRPr="00DA7E6D" w:rsidSect="00064F3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C3F3" w14:textId="77777777" w:rsidR="006B5436" w:rsidRDefault="006B5436" w:rsidP="00D53CE3">
      <w:r>
        <w:separator/>
      </w:r>
    </w:p>
  </w:endnote>
  <w:endnote w:type="continuationSeparator" w:id="0">
    <w:p w14:paraId="76A61547" w14:textId="77777777" w:rsidR="006B5436" w:rsidRDefault="006B5436" w:rsidP="00D5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003780"/>
      <w:docPartObj>
        <w:docPartGallery w:val="Page Numbers (Bottom of Page)"/>
        <w:docPartUnique/>
      </w:docPartObj>
    </w:sdtPr>
    <w:sdtEndPr>
      <w:rPr>
        <w:noProof/>
      </w:rPr>
    </w:sdtEndPr>
    <w:sdtContent>
      <w:p w14:paraId="79D97A55" w14:textId="07F6B709" w:rsidR="00D53CE3" w:rsidRDefault="00D53C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3066A2" w14:textId="77777777" w:rsidR="00D53CE3" w:rsidRDefault="00D5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20271" w14:textId="77777777" w:rsidR="006B5436" w:rsidRDefault="006B5436" w:rsidP="00D53CE3">
      <w:r>
        <w:separator/>
      </w:r>
    </w:p>
  </w:footnote>
  <w:footnote w:type="continuationSeparator" w:id="0">
    <w:p w14:paraId="1F74E499" w14:textId="77777777" w:rsidR="006B5436" w:rsidRDefault="006B5436" w:rsidP="00D5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B1464"/>
    <w:multiLevelType w:val="hybridMultilevel"/>
    <w:tmpl w:val="FE9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A01EE"/>
    <w:multiLevelType w:val="hybridMultilevel"/>
    <w:tmpl w:val="1B3ADBDC"/>
    <w:lvl w:ilvl="0" w:tplc="9D847AB4">
      <w:start w:val="1"/>
      <w:numFmt w:val="decimal"/>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1073B28"/>
    <w:multiLevelType w:val="hybridMultilevel"/>
    <w:tmpl w:val="16A400E6"/>
    <w:lvl w:ilvl="0" w:tplc="C0A4D616">
      <w:start w:val="1"/>
      <w:numFmt w:val="decimal"/>
      <w:lvlText w:val="%1)"/>
      <w:lvlJc w:val="left"/>
      <w:pPr>
        <w:ind w:left="360" w:hanging="360"/>
      </w:pPr>
      <w:rPr>
        <w:rFonts w:asciiTheme="minorHAnsi" w:eastAsiaTheme="minorHAnsi" w:hAnsiTheme="minorHAnsi" w:cstheme="minorBidi"/>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934C5"/>
    <w:multiLevelType w:val="hybridMultilevel"/>
    <w:tmpl w:val="5024EDB2"/>
    <w:lvl w:ilvl="0" w:tplc="661C9EC4">
      <w:start w:val="1"/>
      <w:numFmt w:val="decimal"/>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71338B6"/>
    <w:multiLevelType w:val="hybridMultilevel"/>
    <w:tmpl w:val="1E5AC4F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5D4B52E6"/>
    <w:multiLevelType w:val="hybridMultilevel"/>
    <w:tmpl w:val="0FBCEF0E"/>
    <w:lvl w:ilvl="0" w:tplc="26C0DA0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E424DE9"/>
    <w:multiLevelType w:val="hybridMultilevel"/>
    <w:tmpl w:val="D174F242"/>
    <w:lvl w:ilvl="0" w:tplc="2CD41214">
      <w:start w:val="1"/>
      <w:numFmt w:val="decimal"/>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DA1780F"/>
    <w:multiLevelType w:val="hybridMultilevel"/>
    <w:tmpl w:val="8A0EA368"/>
    <w:lvl w:ilvl="0" w:tplc="6268CBE4">
      <w:start w:val="1"/>
      <w:numFmt w:val="decimal"/>
      <w:lvlText w:val="%1."/>
      <w:lvlJc w:val="left"/>
      <w:pPr>
        <w:ind w:left="360" w:hanging="360"/>
      </w:pPr>
      <w:rPr>
        <w:rFonts w:hint="default"/>
        <w:b/>
        <w:color w:val="FF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3776D4E"/>
    <w:multiLevelType w:val="hybridMultilevel"/>
    <w:tmpl w:val="A55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4"/>
  </w:num>
  <w:num w:numId="5">
    <w:abstractNumId w:val="7"/>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07"/>
    <w:rsid w:val="0000221D"/>
    <w:rsid w:val="000102D3"/>
    <w:rsid w:val="00017302"/>
    <w:rsid w:val="00021970"/>
    <w:rsid w:val="0002270E"/>
    <w:rsid w:val="0002426E"/>
    <w:rsid w:val="00024886"/>
    <w:rsid w:val="00024E98"/>
    <w:rsid w:val="00030751"/>
    <w:rsid w:val="00031F2E"/>
    <w:rsid w:val="0003238F"/>
    <w:rsid w:val="00034BB2"/>
    <w:rsid w:val="00035491"/>
    <w:rsid w:val="0004383D"/>
    <w:rsid w:val="00046571"/>
    <w:rsid w:val="00046C6B"/>
    <w:rsid w:val="0004736C"/>
    <w:rsid w:val="00047DD8"/>
    <w:rsid w:val="00051F58"/>
    <w:rsid w:val="00052416"/>
    <w:rsid w:val="0005255D"/>
    <w:rsid w:val="000552A6"/>
    <w:rsid w:val="00055FF9"/>
    <w:rsid w:val="00056C96"/>
    <w:rsid w:val="00056DA3"/>
    <w:rsid w:val="00056DC7"/>
    <w:rsid w:val="0006191C"/>
    <w:rsid w:val="00064F3C"/>
    <w:rsid w:val="00067221"/>
    <w:rsid w:val="000733EF"/>
    <w:rsid w:val="00074AF8"/>
    <w:rsid w:val="00090BCC"/>
    <w:rsid w:val="000920D1"/>
    <w:rsid w:val="00092314"/>
    <w:rsid w:val="000A2163"/>
    <w:rsid w:val="000A68AC"/>
    <w:rsid w:val="000A7105"/>
    <w:rsid w:val="000B158A"/>
    <w:rsid w:val="000B3CBE"/>
    <w:rsid w:val="000B3D6B"/>
    <w:rsid w:val="000B678E"/>
    <w:rsid w:val="000C0A82"/>
    <w:rsid w:val="000C2320"/>
    <w:rsid w:val="000C3A9B"/>
    <w:rsid w:val="000C7E30"/>
    <w:rsid w:val="000D3CEE"/>
    <w:rsid w:val="000D3DFB"/>
    <w:rsid w:val="000D4535"/>
    <w:rsid w:val="000D49C6"/>
    <w:rsid w:val="000E17BA"/>
    <w:rsid w:val="000E2CE7"/>
    <w:rsid w:val="000E360D"/>
    <w:rsid w:val="000E5319"/>
    <w:rsid w:val="000E6972"/>
    <w:rsid w:val="000F0A63"/>
    <w:rsid w:val="000F72E7"/>
    <w:rsid w:val="00100D40"/>
    <w:rsid w:val="001016C6"/>
    <w:rsid w:val="00104A61"/>
    <w:rsid w:val="001075BA"/>
    <w:rsid w:val="001112F2"/>
    <w:rsid w:val="00113C7F"/>
    <w:rsid w:val="001141D2"/>
    <w:rsid w:val="0011539E"/>
    <w:rsid w:val="00121EB9"/>
    <w:rsid w:val="00127BB7"/>
    <w:rsid w:val="0013153D"/>
    <w:rsid w:val="00132D2F"/>
    <w:rsid w:val="00136711"/>
    <w:rsid w:val="00140304"/>
    <w:rsid w:val="00141BE4"/>
    <w:rsid w:val="00142B3D"/>
    <w:rsid w:val="00143619"/>
    <w:rsid w:val="00147C4D"/>
    <w:rsid w:val="001509E3"/>
    <w:rsid w:val="00152099"/>
    <w:rsid w:val="001559EA"/>
    <w:rsid w:val="00155D4C"/>
    <w:rsid w:val="00160280"/>
    <w:rsid w:val="001615B2"/>
    <w:rsid w:val="0016525E"/>
    <w:rsid w:val="0017296C"/>
    <w:rsid w:val="00174584"/>
    <w:rsid w:val="00174807"/>
    <w:rsid w:val="00175BDA"/>
    <w:rsid w:val="001812C0"/>
    <w:rsid w:val="00181A89"/>
    <w:rsid w:val="0018344B"/>
    <w:rsid w:val="00187178"/>
    <w:rsid w:val="0018762B"/>
    <w:rsid w:val="00191DC9"/>
    <w:rsid w:val="00194888"/>
    <w:rsid w:val="0019618E"/>
    <w:rsid w:val="0019672F"/>
    <w:rsid w:val="001A337E"/>
    <w:rsid w:val="001A5ECB"/>
    <w:rsid w:val="001A750D"/>
    <w:rsid w:val="001B2C9D"/>
    <w:rsid w:val="001B30AE"/>
    <w:rsid w:val="001B4D35"/>
    <w:rsid w:val="001C1392"/>
    <w:rsid w:val="001C3D23"/>
    <w:rsid w:val="001D0CF3"/>
    <w:rsid w:val="001D12D8"/>
    <w:rsid w:val="001D4505"/>
    <w:rsid w:val="001D7EBE"/>
    <w:rsid w:val="001F0410"/>
    <w:rsid w:val="001F1206"/>
    <w:rsid w:val="001F58FA"/>
    <w:rsid w:val="0020496B"/>
    <w:rsid w:val="00205CE1"/>
    <w:rsid w:val="00206E23"/>
    <w:rsid w:val="0021252C"/>
    <w:rsid w:val="00214B23"/>
    <w:rsid w:val="00220B66"/>
    <w:rsid w:val="002233D1"/>
    <w:rsid w:val="00223942"/>
    <w:rsid w:val="002268EF"/>
    <w:rsid w:val="00226AEC"/>
    <w:rsid w:val="0022776A"/>
    <w:rsid w:val="00231CE8"/>
    <w:rsid w:val="00231F4E"/>
    <w:rsid w:val="00234276"/>
    <w:rsid w:val="00234B76"/>
    <w:rsid w:val="002361DA"/>
    <w:rsid w:val="00242DB3"/>
    <w:rsid w:val="002440C5"/>
    <w:rsid w:val="0024413D"/>
    <w:rsid w:val="002475F0"/>
    <w:rsid w:val="0024760C"/>
    <w:rsid w:val="00247EFE"/>
    <w:rsid w:val="00251073"/>
    <w:rsid w:val="0025463F"/>
    <w:rsid w:val="00260A6C"/>
    <w:rsid w:val="00264A6B"/>
    <w:rsid w:val="0026652E"/>
    <w:rsid w:val="0027014D"/>
    <w:rsid w:val="00270AF5"/>
    <w:rsid w:val="002749D5"/>
    <w:rsid w:val="00282B12"/>
    <w:rsid w:val="00282B18"/>
    <w:rsid w:val="002834EC"/>
    <w:rsid w:val="00285BB4"/>
    <w:rsid w:val="00286EC6"/>
    <w:rsid w:val="002934E9"/>
    <w:rsid w:val="002A0415"/>
    <w:rsid w:val="002A06EA"/>
    <w:rsid w:val="002A4682"/>
    <w:rsid w:val="002A5CF9"/>
    <w:rsid w:val="002A78FF"/>
    <w:rsid w:val="002B6D1F"/>
    <w:rsid w:val="002C2716"/>
    <w:rsid w:val="002C29E9"/>
    <w:rsid w:val="002C31C7"/>
    <w:rsid w:val="002C3497"/>
    <w:rsid w:val="002D0651"/>
    <w:rsid w:val="002D156D"/>
    <w:rsid w:val="002D2200"/>
    <w:rsid w:val="002D7364"/>
    <w:rsid w:val="002E4A26"/>
    <w:rsid w:val="002F3752"/>
    <w:rsid w:val="00301F06"/>
    <w:rsid w:val="00303972"/>
    <w:rsid w:val="003053EA"/>
    <w:rsid w:val="00305834"/>
    <w:rsid w:val="00307465"/>
    <w:rsid w:val="00314AB9"/>
    <w:rsid w:val="003154F7"/>
    <w:rsid w:val="0031724B"/>
    <w:rsid w:val="003174CA"/>
    <w:rsid w:val="003201B7"/>
    <w:rsid w:val="003217D6"/>
    <w:rsid w:val="00321FA9"/>
    <w:rsid w:val="003311AB"/>
    <w:rsid w:val="00332E84"/>
    <w:rsid w:val="00334B43"/>
    <w:rsid w:val="00335407"/>
    <w:rsid w:val="003400C5"/>
    <w:rsid w:val="003409A5"/>
    <w:rsid w:val="00343AC9"/>
    <w:rsid w:val="00347138"/>
    <w:rsid w:val="00352AEE"/>
    <w:rsid w:val="00357815"/>
    <w:rsid w:val="003579D7"/>
    <w:rsid w:val="00363563"/>
    <w:rsid w:val="00364FCE"/>
    <w:rsid w:val="003659EB"/>
    <w:rsid w:val="00365EDF"/>
    <w:rsid w:val="003706E3"/>
    <w:rsid w:val="00372B47"/>
    <w:rsid w:val="003756D5"/>
    <w:rsid w:val="00376958"/>
    <w:rsid w:val="00384B87"/>
    <w:rsid w:val="003855DD"/>
    <w:rsid w:val="00390B42"/>
    <w:rsid w:val="003918E3"/>
    <w:rsid w:val="00396E8C"/>
    <w:rsid w:val="003973E2"/>
    <w:rsid w:val="003A018F"/>
    <w:rsid w:val="003A1B3A"/>
    <w:rsid w:val="003A1FE1"/>
    <w:rsid w:val="003A3DF9"/>
    <w:rsid w:val="003A404F"/>
    <w:rsid w:val="003A4D96"/>
    <w:rsid w:val="003A5C35"/>
    <w:rsid w:val="003B0636"/>
    <w:rsid w:val="003B3730"/>
    <w:rsid w:val="003B5346"/>
    <w:rsid w:val="003B53A2"/>
    <w:rsid w:val="003C07DB"/>
    <w:rsid w:val="003C10CA"/>
    <w:rsid w:val="003C1C55"/>
    <w:rsid w:val="003C36CC"/>
    <w:rsid w:val="003C4279"/>
    <w:rsid w:val="003D1728"/>
    <w:rsid w:val="003D3545"/>
    <w:rsid w:val="003D5D24"/>
    <w:rsid w:val="003D6FEB"/>
    <w:rsid w:val="003D7598"/>
    <w:rsid w:val="003D771D"/>
    <w:rsid w:val="003E1BFC"/>
    <w:rsid w:val="003E43F9"/>
    <w:rsid w:val="003E74CC"/>
    <w:rsid w:val="003F029E"/>
    <w:rsid w:val="003F15DA"/>
    <w:rsid w:val="003F1820"/>
    <w:rsid w:val="003F2891"/>
    <w:rsid w:val="003F3EBF"/>
    <w:rsid w:val="003F475E"/>
    <w:rsid w:val="00400888"/>
    <w:rsid w:val="00401A55"/>
    <w:rsid w:val="00402344"/>
    <w:rsid w:val="004024B8"/>
    <w:rsid w:val="00407E42"/>
    <w:rsid w:val="00413F7F"/>
    <w:rsid w:val="00415318"/>
    <w:rsid w:val="00416124"/>
    <w:rsid w:val="004162D0"/>
    <w:rsid w:val="004245BE"/>
    <w:rsid w:val="00427673"/>
    <w:rsid w:val="004304F0"/>
    <w:rsid w:val="00431BF2"/>
    <w:rsid w:val="00443939"/>
    <w:rsid w:val="004511C6"/>
    <w:rsid w:val="00451426"/>
    <w:rsid w:val="00454EC8"/>
    <w:rsid w:val="00455EBB"/>
    <w:rsid w:val="00460681"/>
    <w:rsid w:val="00461BFC"/>
    <w:rsid w:val="00462D88"/>
    <w:rsid w:val="0046397A"/>
    <w:rsid w:val="00464E1A"/>
    <w:rsid w:val="00471AE9"/>
    <w:rsid w:val="00472B5A"/>
    <w:rsid w:val="00474AB6"/>
    <w:rsid w:val="00483408"/>
    <w:rsid w:val="00483943"/>
    <w:rsid w:val="00485179"/>
    <w:rsid w:val="00486ED9"/>
    <w:rsid w:val="0049203D"/>
    <w:rsid w:val="0049598E"/>
    <w:rsid w:val="00496A58"/>
    <w:rsid w:val="0049752A"/>
    <w:rsid w:val="004A1FD7"/>
    <w:rsid w:val="004A3BE5"/>
    <w:rsid w:val="004A5FF8"/>
    <w:rsid w:val="004A6595"/>
    <w:rsid w:val="004C408D"/>
    <w:rsid w:val="004D0D69"/>
    <w:rsid w:val="004D491D"/>
    <w:rsid w:val="004D5050"/>
    <w:rsid w:val="004E3C60"/>
    <w:rsid w:val="004F463E"/>
    <w:rsid w:val="004F681C"/>
    <w:rsid w:val="00500A15"/>
    <w:rsid w:val="005012EA"/>
    <w:rsid w:val="005021AD"/>
    <w:rsid w:val="00503434"/>
    <w:rsid w:val="005064F2"/>
    <w:rsid w:val="005106E4"/>
    <w:rsid w:val="005121FB"/>
    <w:rsid w:val="00512F58"/>
    <w:rsid w:val="00513150"/>
    <w:rsid w:val="00514767"/>
    <w:rsid w:val="00516356"/>
    <w:rsid w:val="00521A34"/>
    <w:rsid w:val="00524747"/>
    <w:rsid w:val="005272E3"/>
    <w:rsid w:val="00532D4D"/>
    <w:rsid w:val="005348DB"/>
    <w:rsid w:val="00536693"/>
    <w:rsid w:val="00536CA9"/>
    <w:rsid w:val="00542123"/>
    <w:rsid w:val="005442F4"/>
    <w:rsid w:val="0054737B"/>
    <w:rsid w:val="00552CDE"/>
    <w:rsid w:val="00554C1D"/>
    <w:rsid w:val="00555338"/>
    <w:rsid w:val="00556AC2"/>
    <w:rsid w:val="00557507"/>
    <w:rsid w:val="00560963"/>
    <w:rsid w:val="00566E52"/>
    <w:rsid w:val="00566EBD"/>
    <w:rsid w:val="005706D7"/>
    <w:rsid w:val="005726C6"/>
    <w:rsid w:val="00573D21"/>
    <w:rsid w:val="00575735"/>
    <w:rsid w:val="005777E2"/>
    <w:rsid w:val="00584EB8"/>
    <w:rsid w:val="005863E0"/>
    <w:rsid w:val="0058681B"/>
    <w:rsid w:val="00592630"/>
    <w:rsid w:val="005A20A7"/>
    <w:rsid w:val="005C53E9"/>
    <w:rsid w:val="005D0994"/>
    <w:rsid w:val="005D1FD7"/>
    <w:rsid w:val="005D46E5"/>
    <w:rsid w:val="005D71AE"/>
    <w:rsid w:val="005D788F"/>
    <w:rsid w:val="005E2DE4"/>
    <w:rsid w:val="005E4F41"/>
    <w:rsid w:val="005E6325"/>
    <w:rsid w:val="005F0386"/>
    <w:rsid w:val="00605A59"/>
    <w:rsid w:val="006110B5"/>
    <w:rsid w:val="00611365"/>
    <w:rsid w:val="00617FDB"/>
    <w:rsid w:val="00621CFA"/>
    <w:rsid w:val="00626763"/>
    <w:rsid w:val="00627B63"/>
    <w:rsid w:val="00632865"/>
    <w:rsid w:val="00637310"/>
    <w:rsid w:val="006454B3"/>
    <w:rsid w:val="00645EE0"/>
    <w:rsid w:val="00646865"/>
    <w:rsid w:val="00650BF0"/>
    <w:rsid w:val="00651C7F"/>
    <w:rsid w:val="00653A9C"/>
    <w:rsid w:val="00656BAD"/>
    <w:rsid w:val="006573C9"/>
    <w:rsid w:val="006621EA"/>
    <w:rsid w:val="006634A7"/>
    <w:rsid w:val="00667726"/>
    <w:rsid w:val="00675E59"/>
    <w:rsid w:val="00680CC7"/>
    <w:rsid w:val="0068550E"/>
    <w:rsid w:val="0069081A"/>
    <w:rsid w:val="00691C7E"/>
    <w:rsid w:val="00692111"/>
    <w:rsid w:val="006946FE"/>
    <w:rsid w:val="00696307"/>
    <w:rsid w:val="006A10BD"/>
    <w:rsid w:val="006A1362"/>
    <w:rsid w:val="006A1471"/>
    <w:rsid w:val="006A650C"/>
    <w:rsid w:val="006B1B12"/>
    <w:rsid w:val="006B4085"/>
    <w:rsid w:val="006B5436"/>
    <w:rsid w:val="006B5739"/>
    <w:rsid w:val="006B5DEC"/>
    <w:rsid w:val="006B669B"/>
    <w:rsid w:val="006C7E85"/>
    <w:rsid w:val="006D2E51"/>
    <w:rsid w:val="006D7275"/>
    <w:rsid w:val="006E6991"/>
    <w:rsid w:val="006F1A8C"/>
    <w:rsid w:val="006F4358"/>
    <w:rsid w:val="006F4588"/>
    <w:rsid w:val="00705FF1"/>
    <w:rsid w:val="00707354"/>
    <w:rsid w:val="00715095"/>
    <w:rsid w:val="00715268"/>
    <w:rsid w:val="00715C20"/>
    <w:rsid w:val="007225AF"/>
    <w:rsid w:val="00723AC1"/>
    <w:rsid w:val="00724BE3"/>
    <w:rsid w:val="0073214E"/>
    <w:rsid w:val="00732EDA"/>
    <w:rsid w:val="0073780B"/>
    <w:rsid w:val="007402B7"/>
    <w:rsid w:val="0074144B"/>
    <w:rsid w:val="00742A49"/>
    <w:rsid w:val="007443A7"/>
    <w:rsid w:val="00746713"/>
    <w:rsid w:val="00746D9F"/>
    <w:rsid w:val="00747BFB"/>
    <w:rsid w:val="007550BE"/>
    <w:rsid w:val="00755274"/>
    <w:rsid w:val="00762081"/>
    <w:rsid w:val="00762787"/>
    <w:rsid w:val="00763CDF"/>
    <w:rsid w:val="007650D2"/>
    <w:rsid w:val="007661F6"/>
    <w:rsid w:val="00770AA5"/>
    <w:rsid w:val="00771A3A"/>
    <w:rsid w:val="007775A8"/>
    <w:rsid w:val="00780945"/>
    <w:rsid w:val="00783346"/>
    <w:rsid w:val="00785603"/>
    <w:rsid w:val="00785C3C"/>
    <w:rsid w:val="0079276D"/>
    <w:rsid w:val="00793551"/>
    <w:rsid w:val="007A11B3"/>
    <w:rsid w:val="007A154C"/>
    <w:rsid w:val="007A16AA"/>
    <w:rsid w:val="007B0D95"/>
    <w:rsid w:val="007B4BAB"/>
    <w:rsid w:val="007C3923"/>
    <w:rsid w:val="007C4D07"/>
    <w:rsid w:val="007C7FAE"/>
    <w:rsid w:val="007D19C9"/>
    <w:rsid w:val="007D3B4C"/>
    <w:rsid w:val="007D759F"/>
    <w:rsid w:val="007F479C"/>
    <w:rsid w:val="007F56FB"/>
    <w:rsid w:val="007F6285"/>
    <w:rsid w:val="0080164C"/>
    <w:rsid w:val="00803E0F"/>
    <w:rsid w:val="00810969"/>
    <w:rsid w:val="00812660"/>
    <w:rsid w:val="008136E4"/>
    <w:rsid w:val="00814E5C"/>
    <w:rsid w:val="00815FDA"/>
    <w:rsid w:val="00821682"/>
    <w:rsid w:val="008216F0"/>
    <w:rsid w:val="00822B62"/>
    <w:rsid w:val="00822E49"/>
    <w:rsid w:val="00823171"/>
    <w:rsid w:val="00824E23"/>
    <w:rsid w:val="00835303"/>
    <w:rsid w:val="00837560"/>
    <w:rsid w:val="008405A6"/>
    <w:rsid w:val="00854353"/>
    <w:rsid w:val="00856BB6"/>
    <w:rsid w:val="00862384"/>
    <w:rsid w:val="00863EED"/>
    <w:rsid w:val="00866271"/>
    <w:rsid w:val="00867218"/>
    <w:rsid w:val="00872272"/>
    <w:rsid w:val="008755BD"/>
    <w:rsid w:val="008768B6"/>
    <w:rsid w:val="008774B4"/>
    <w:rsid w:val="00877A58"/>
    <w:rsid w:val="00884324"/>
    <w:rsid w:val="008849D6"/>
    <w:rsid w:val="00887649"/>
    <w:rsid w:val="00887889"/>
    <w:rsid w:val="008A223F"/>
    <w:rsid w:val="008A557A"/>
    <w:rsid w:val="008A6687"/>
    <w:rsid w:val="008B103F"/>
    <w:rsid w:val="008B3AC9"/>
    <w:rsid w:val="008B4B20"/>
    <w:rsid w:val="008B512D"/>
    <w:rsid w:val="008B5784"/>
    <w:rsid w:val="008B5AE1"/>
    <w:rsid w:val="008C0109"/>
    <w:rsid w:val="008C0925"/>
    <w:rsid w:val="008C15D6"/>
    <w:rsid w:val="008D3988"/>
    <w:rsid w:val="008E4504"/>
    <w:rsid w:val="008F2C8F"/>
    <w:rsid w:val="008F3541"/>
    <w:rsid w:val="008F4C43"/>
    <w:rsid w:val="008F6BCB"/>
    <w:rsid w:val="00901935"/>
    <w:rsid w:val="00901E52"/>
    <w:rsid w:val="00903B55"/>
    <w:rsid w:val="009046FC"/>
    <w:rsid w:val="00911C17"/>
    <w:rsid w:val="00916551"/>
    <w:rsid w:val="00917BC8"/>
    <w:rsid w:val="0092124E"/>
    <w:rsid w:val="00923438"/>
    <w:rsid w:val="00923EE3"/>
    <w:rsid w:val="00924D24"/>
    <w:rsid w:val="00931675"/>
    <w:rsid w:val="00932D06"/>
    <w:rsid w:val="00933A9A"/>
    <w:rsid w:val="009357C7"/>
    <w:rsid w:val="00941F51"/>
    <w:rsid w:val="009440FF"/>
    <w:rsid w:val="009534FC"/>
    <w:rsid w:val="00956CDC"/>
    <w:rsid w:val="00963609"/>
    <w:rsid w:val="00964FF7"/>
    <w:rsid w:val="009651EE"/>
    <w:rsid w:val="00965E3D"/>
    <w:rsid w:val="00971B84"/>
    <w:rsid w:val="00972FD4"/>
    <w:rsid w:val="00973103"/>
    <w:rsid w:val="00973F8A"/>
    <w:rsid w:val="00975274"/>
    <w:rsid w:val="0098109F"/>
    <w:rsid w:val="00982E7B"/>
    <w:rsid w:val="0098359A"/>
    <w:rsid w:val="00984D11"/>
    <w:rsid w:val="00985297"/>
    <w:rsid w:val="009902C4"/>
    <w:rsid w:val="00990CE3"/>
    <w:rsid w:val="00991C0A"/>
    <w:rsid w:val="00994735"/>
    <w:rsid w:val="00996DF7"/>
    <w:rsid w:val="009A13CE"/>
    <w:rsid w:val="009A3BEE"/>
    <w:rsid w:val="009A6924"/>
    <w:rsid w:val="009B0874"/>
    <w:rsid w:val="009B41DC"/>
    <w:rsid w:val="009C1AB3"/>
    <w:rsid w:val="009C301E"/>
    <w:rsid w:val="009D02CF"/>
    <w:rsid w:val="009D1E2B"/>
    <w:rsid w:val="009D45CD"/>
    <w:rsid w:val="009D6557"/>
    <w:rsid w:val="009E1D57"/>
    <w:rsid w:val="009E51BE"/>
    <w:rsid w:val="009E5C2B"/>
    <w:rsid w:val="009E6F85"/>
    <w:rsid w:val="009F5F4C"/>
    <w:rsid w:val="009F6A57"/>
    <w:rsid w:val="00A0318F"/>
    <w:rsid w:val="00A0482B"/>
    <w:rsid w:val="00A063AE"/>
    <w:rsid w:val="00A11D9B"/>
    <w:rsid w:val="00A16393"/>
    <w:rsid w:val="00A24AA2"/>
    <w:rsid w:val="00A253D0"/>
    <w:rsid w:val="00A26A9B"/>
    <w:rsid w:val="00A2725D"/>
    <w:rsid w:val="00A27C4B"/>
    <w:rsid w:val="00A33D21"/>
    <w:rsid w:val="00A34CBC"/>
    <w:rsid w:val="00A5352D"/>
    <w:rsid w:val="00A54B90"/>
    <w:rsid w:val="00A54E6B"/>
    <w:rsid w:val="00A56BE4"/>
    <w:rsid w:val="00A60AF6"/>
    <w:rsid w:val="00A61FAD"/>
    <w:rsid w:val="00A62CAA"/>
    <w:rsid w:val="00A6450A"/>
    <w:rsid w:val="00A73A55"/>
    <w:rsid w:val="00A8181B"/>
    <w:rsid w:val="00A823F7"/>
    <w:rsid w:val="00A82DFC"/>
    <w:rsid w:val="00A874DD"/>
    <w:rsid w:val="00AA0C0B"/>
    <w:rsid w:val="00AB196A"/>
    <w:rsid w:val="00AB6217"/>
    <w:rsid w:val="00AB7117"/>
    <w:rsid w:val="00AB799C"/>
    <w:rsid w:val="00AC1DF0"/>
    <w:rsid w:val="00AC282B"/>
    <w:rsid w:val="00AC3E02"/>
    <w:rsid w:val="00AC52D7"/>
    <w:rsid w:val="00AD18AF"/>
    <w:rsid w:val="00AD2B24"/>
    <w:rsid w:val="00AD2FF8"/>
    <w:rsid w:val="00AD3054"/>
    <w:rsid w:val="00AD6468"/>
    <w:rsid w:val="00AD66F7"/>
    <w:rsid w:val="00AE1B10"/>
    <w:rsid w:val="00AE1E32"/>
    <w:rsid w:val="00AF331B"/>
    <w:rsid w:val="00AF4B2B"/>
    <w:rsid w:val="00AF60B6"/>
    <w:rsid w:val="00AF6372"/>
    <w:rsid w:val="00B041E5"/>
    <w:rsid w:val="00B0576C"/>
    <w:rsid w:val="00B07F63"/>
    <w:rsid w:val="00B101D3"/>
    <w:rsid w:val="00B10A46"/>
    <w:rsid w:val="00B10D9E"/>
    <w:rsid w:val="00B10E3B"/>
    <w:rsid w:val="00B13C7A"/>
    <w:rsid w:val="00B23300"/>
    <w:rsid w:val="00B236C5"/>
    <w:rsid w:val="00B2397D"/>
    <w:rsid w:val="00B24E77"/>
    <w:rsid w:val="00B300CA"/>
    <w:rsid w:val="00B304A3"/>
    <w:rsid w:val="00B31781"/>
    <w:rsid w:val="00B331D3"/>
    <w:rsid w:val="00B35A60"/>
    <w:rsid w:val="00B37B36"/>
    <w:rsid w:val="00B40254"/>
    <w:rsid w:val="00B404C8"/>
    <w:rsid w:val="00B41338"/>
    <w:rsid w:val="00B41504"/>
    <w:rsid w:val="00B477BF"/>
    <w:rsid w:val="00B47989"/>
    <w:rsid w:val="00B52952"/>
    <w:rsid w:val="00B55D39"/>
    <w:rsid w:val="00B5666E"/>
    <w:rsid w:val="00B6201C"/>
    <w:rsid w:val="00B63090"/>
    <w:rsid w:val="00B66AF7"/>
    <w:rsid w:val="00B74024"/>
    <w:rsid w:val="00B74ACA"/>
    <w:rsid w:val="00B75F12"/>
    <w:rsid w:val="00B7665A"/>
    <w:rsid w:val="00B778F2"/>
    <w:rsid w:val="00B84CD6"/>
    <w:rsid w:val="00B948E8"/>
    <w:rsid w:val="00BA34B0"/>
    <w:rsid w:val="00BA3E39"/>
    <w:rsid w:val="00BB11B0"/>
    <w:rsid w:val="00BB3437"/>
    <w:rsid w:val="00BB5807"/>
    <w:rsid w:val="00BB5AC2"/>
    <w:rsid w:val="00BC3A58"/>
    <w:rsid w:val="00BC58F3"/>
    <w:rsid w:val="00BD139F"/>
    <w:rsid w:val="00BE2AA1"/>
    <w:rsid w:val="00BE37EF"/>
    <w:rsid w:val="00BE3B97"/>
    <w:rsid w:val="00BE3DB0"/>
    <w:rsid w:val="00BF2AF5"/>
    <w:rsid w:val="00BF2B62"/>
    <w:rsid w:val="00BF766B"/>
    <w:rsid w:val="00C0070F"/>
    <w:rsid w:val="00C010E6"/>
    <w:rsid w:val="00C017F7"/>
    <w:rsid w:val="00C036AD"/>
    <w:rsid w:val="00C05DE4"/>
    <w:rsid w:val="00C063FD"/>
    <w:rsid w:val="00C06F10"/>
    <w:rsid w:val="00C13670"/>
    <w:rsid w:val="00C162B4"/>
    <w:rsid w:val="00C16846"/>
    <w:rsid w:val="00C176D7"/>
    <w:rsid w:val="00C25354"/>
    <w:rsid w:val="00C2583E"/>
    <w:rsid w:val="00C25AD8"/>
    <w:rsid w:val="00C27DA3"/>
    <w:rsid w:val="00C33A31"/>
    <w:rsid w:val="00C33C65"/>
    <w:rsid w:val="00C3424B"/>
    <w:rsid w:val="00C40CBF"/>
    <w:rsid w:val="00C40D6D"/>
    <w:rsid w:val="00C45446"/>
    <w:rsid w:val="00C45696"/>
    <w:rsid w:val="00C46B4C"/>
    <w:rsid w:val="00C47A6B"/>
    <w:rsid w:val="00C52277"/>
    <w:rsid w:val="00C55D07"/>
    <w:rsid w:val="00C6180B"/>
    <w:rsid w:val="00C63EC5"/>
    <w:rsid w:val="00C65B84"/>
    <w:rsid w:val="00C67177"/>
    <w:rsid w:val="00C77B42"/>
    <w:rsid w:val="00C8114D"/>
    <w:rsid w:val="00C83F87"/>
    <w:rsid w:val="00C92FC5"/>
    <w:rsid w:val="00C94DCD"/>
    <w:rsid w:val="00C94E86"/>
    <w:rsid w:val="00C95F7C"/>
    <w:rsid w:val="00CA0B53"/>
    <w:rsid w:val="00CA12CC"/>
    <w:rsid w:val="00CA346D"/>
    <w:rsid w:val="00CA377C"/>
    <w:rsid w:val="00CA6385"/>
    <w:rsid w:val="00CB10CF"/>
    <w:rsid w:val="00CB4D2D"/>
    <w:rsid w:val="00CB624E"/>
    <w:rsid w:val="00CB6FD0"/>
    <w:rsid w:val="00CB7BDC"/>
    <w:rsid w:val="00CD1357"/>
    <w:rsid w:val="00CD6818"/>
    <w:rsid w:val="00CE1055"/>
    <w:rsid w:val="00CE1CA8"/>
    <w:rsid w:val="00CE1EAB"/>
    <w:rsid w:val="00CE59DF"/>
    <w:rsid w:val="00CE689C"/>
    <w:rsid w:val="00CF022E"/>
    <w:rsid w:val="00CF19CF"/>
    <w:rsid w:val="00CF5E8B"/>
    <w:rsid w:val="00CF6A8A"/>
    <w:rsid w:val="00CF6E6A"/>
    <w:rsid w:val="00D059A3"/>
    <w:rsid w:val="00D10FB1"/>
    <w:rsid w:val="00D1141D"/>
    <w:rsid w:val="00D123EA"/>
    <w:rsid w:val="00D131CE"/>
    <w:rsid w:val="00D173BD"/>
    <w:rsid w:val="00D20519"/>
    <w:rsid w:val="00D222F9"/>
    <w:rsid w:val="00D26AFE"/>
    <w:rsid w:val="00D27336"/>
    <w:rsid w:val="00D3098A"/>
    <w:rsid w:val="00D366FC"/>
    <w:rsid w:val="00D36B45"/>
    <w:rsid w:val="00D37A0B"/>
    <w:rsid w:val="00D41C1E"/>
    <w:rsid w:val="00D43232"/>
    <w:rsid w:val="00D4359F"/>
    <w:rsid w:val="00D4375C"/>
    <w:rsid w:val="00D4569B"/>
    <w:rsid w:val="00D464AE"/>
    <w:rsid w:val="00D5191D"/>
    <w:rsid w:val="00D524A2"/>
    <w:rsid w:val="00D52CC3"/>
    <w:rsid w:val="00D53CE3"/>
    <w:rsid w:val="00D54488"/>
    <w:rsid w:val="00D55F79"/>
    <w:rsid w:val="00D568AE"/>
    <w:rsid w:val="00D575EA"/>
    <w:rsid w:val="00D64677"/>
    <w:rsid w:val="00D75110"/>
    <w:rsid w:val="00D816C8"/>
    <w:rsid w:val="00D82E22"/>
    <w:rsid w:val="00D861FF"/>
    <w:rsid w:val="00D903AB"/>
    <w:rsid w:val="00D90D58"/>
    <w:rsid w:val="00DA1E5F"/>
    <w:rsid w:val="00DA4054"/>
    <w:rsid w:val="00DA51E0"/>
    <w:rsid w:val="00DA65EC"/>
    <w:rsid w:val="00DA7E6D"/>
    <w:rsid w:val="00DB2DE8"/>
    <w:rsid w:val="00DB42A7"/>
    <w:rsid w:val="00DB5A00"/>
    <w:rsid w:val="00DC4685"/>
    <w:rsid w:val="00DC4AF5"/>
    <w:rsid w:val="00DC52C6"/>
    <w:rsid w:val="00DC5DFC"/>
    <w:rsid w:val="00DC5FBA"/>
    <w:rsid w:val="00DC7263"/>
    <w:rsid w:val="00DD0821"/>
    <w:rsid w:val="00DD544C"/>
    <w:rsid w:val="00DE01FB"/>
    <w:rsid w:val="00DE1CA0"/>
    <w:rsid w:val="00DE2E84"/>
    <w:rsid w:val="00DE63B7"/>
    <w:rsid w:val="00DE690F"/>
    <w:rsid w:val="00DF3985"/>
    <w:rsid w:val="00DF41E0"/>
    <w:rsid w:val="00DF5091"/>
    <w:rsid w:val="00DF5854"/>
    <w:rsid w:val="00E0092F"/>
    <w:rsid w:val="00E050B9"/>
    <w:rsid w:val="00E05EFB"/>
    <w:rsid w:val="00E101F6"/>
    <w:rsid w:val="00E16855"/>
    <w:rsid w:val="00E27710"/>
    <w:rsid w:val="00E277EE"/>
    <w:rsid w:val="00E32DA1"/>
    <w:rsid w:val="00E3516F"/>
    <w:rsid w:val="00E41C6C"/>
    <w:rsid w:val="00E43519"/>
    <w:rsid w:val="00E447DE"/>
    <w:rsid w:val="00E5409E"/>
    <w:rsid w:val="00E55BBB"/>
    <w:rsid w:val="00E56145"/>
    <w:rsid w:val="00E573CA"/>
    <w:rsid w:val="00E616D2"/>
    <w:rsid w:val="00E63B65"/>
    <w:rsid w:val="00E67355"/>
    <w:rsid w:val="00E677F0"/>
    <w:rsid w:val="00E727FB"/>
    <w:rsid w:val="00E748B5"/>
    <w:rsid w:val="00E74925"/>
    <w:rsid w:val="00E74DF1"/>
    <w:rsid w:val="00E765F0"/>
    <w:rsid w:val="00E800B9"/>
    <w:rsid w:val="00E8082F"/>
    <w:rsid w:val="00E81292"/>
    <w:rsid w:val="00E81A1A"/>
    <w:rsid w:val="00E82F13"/>
    <w:rsid w:val="00E831A7"/>
    <w:rsid w:val="00E837EA"/>
    <w:rsid w:val="00E8687D"/>
    <w:rsid w:val="00E87FD7"/>
    <w:rsid w:val="00E9690F"/>
    <w:rsid w:val="00EA1176"/>
    <w:rsid w:val="00EA362E"/>
    <w:rsid w:val="00EA6EEC"/>
    <w:rsid w:val="00EB20BF"/>
    <w:rsid w:val="00EB4E18"/>
    <w:rsid w:val="00EC079B"/>
    <w:rsid w:val="00EC1F2B"/>
    <w:rsid w:val="00EC6C61"/>
    <w:rsid w:val="00ED3E5B"/>
    <w:rsid w:val="00EE5332"/>
    <w:rsid w:val="00F0378B"/>
    <w:rsid w:val="00F06167"/>
    <w:rsid w:val="00F177E7"/>
    <w:rsid w:val="00F215EA"/>
    <w:rsid w:val="00F23322"/>
    <w:rsid w:val="00F24A86"/>
    <w:rsid w:val="00F27304"/>
    <w:rsid w:val="00F278CB"/>
    <w:rsid w:val="00F30D93"/>
    <w:rsid w:val="00F313D3"/>
    <w:rsid w:val="00F317EC"/>
    <w:rsid w:val="00F34AD0"/>
    <w:rsid w:val="00F41ED3"/>
    <w:rsid w:val="00F425E2"/>
    <w:rsid w:val="00F43A47"/>
    <w:rsid w:val="00F44EB3"/>
    <w:rsid w:val="00F45799"/>
    <w:rsid w:val="00F45A25"/>
    <w:rsid w:val="00F50881"/>
    <w:rsid w:val="00F512DF"/>
    <w:rsid w:val="00F5341F"/>
    <w:rsid w:val="00F54B53"/>
    <w:rsid w:val="00F5517F"/>
    <w:rsid w:val="00F56AEF"/>
    <w:rsid w:val="00F61066"/>
    <w:rsid w:val="00F62083"/>
    <w:rsid w:val="00F6312C"/>
    <w:rsid w:val="00F65860"/>
    <w:rsid w:val="00F72F8B"/>
    <w:rsid w:val="00F73616"/>
    <w:rsid w:val="00F74E28"/>
    <w:rsid w:val="00F75C2F"/>
    <w:rsid w:val="00F95100"/>
    <w:rsid w:val="00F95D15"/>
    <w:rsid w:val="00FA0018"/>
    <w:rsid w:val="00FA11B7"/>
    <w:rsid w:val="00FA137F"/>
    <w:rsid w:val="00FA171F"/>
    <w:rsid w:val="00FA4B92"/>
    <w:rsid w:val="00FA5CAB"/>
    <w:rsid w:val="00FA5E91"/>
    <w:rsid w:val="00FB0526"/>
    <w:rsid w:val="00FB1CD8"/>
    <w:rsid w:val="00FB2C3F"/>
    <w:rsid w:val="00FB41C8"/>
    <w:rsid w:val="00FB5C0D"/>
    <w:rsid w:val="00FB69FA"/>
    <w:rsid w:val="00FB6C7A"/>
    <w:rsid w:val="00FC1CEF"/>
    <w:rsid w:val="00FC28C2"/>
    <w:rsid w:val="00FC4612"/>
    <w:rsid w:val="00FC7034"/>
    <w:rsid w:val="00FE29C3"/>
    <w:rsid w:val="00FE5185"/>
    <w:rsid w:val="00FF0CB8"/>
    <w:rsid w:val="00FF1610"/>
    <w:rsid w:val="00FF1BE8"/>
    <w:rsid w:val="00FF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76AC"/>
  <w14:defaultImageDpi w14:val="32767"/>
  <w15:chartTrackingRefBased/>
  <w15:docId w15:val="{334DA6C2-9BAF-A147-8124-CFBCCB83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8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5807"/>
    <w:rPr>
      <w:rFonts w:ascii="Times New Roman" w:hAnsi="Times New Roman" w:cs="Times New Roman"/>
      <w:sz w:val="18"/>
      <w:szCs w:val="18"/>
    </w:rPr>
  </w:style>
  <w:style w:type="paragraph" w:styleId="ListParagraph">
    <w:name w:val="List Paragraph"/>
    <w:basedOn w:val="Normal"/>
    <w:uiPriority w:val="34"/>
    <w:qFormat/>
    <w:rsid w:val="00C13670"/>
    <w:pPr>
      <w:ind w:left="720"/>
      <w:contextualSpacing/>
    </w:pPr>
  </w:style>
  <w:style w:type="paragraph" w:styleId="Header">
    <w:name w:val="header"/>
    <w:basedOn w:val="Normal"/>
    <w:link w:val="HeaderChar"/>
    <w:uiPriority w:val="99"/>
    <w:unhideWhenUsed/>
    <w:rsid w:val="00D53CE3"/>
    <w:pPr>
      <w:tabs>
        <w:tab w:val="center" w:pos="4680"/>
        <w:tab w:val="right" w:pos="9360"/>
      </w:tabs>
    </w:pPr>
  </w:style>
  <w:style w:type="character" w:customStyle="1" w:styleId="HeaderChar">
    <w:name w:val="Header Char"/>
    <w:basedOn w:val="DefaultParagraphFont"/>
    <w:link w:val="Header"/>
    <w:uiPriority w:val="99"/>
    <w:rsid w:val="00D53CE3"/>
  </w:style>
  <w:style w:type="paragraph" w:styleId="Footer">
    <w:name w:val="footer"/>
    <w:basedOn w:val="Normal"/>
    <w:link w:val="FooterChar"/>
    <w:uiPriority w:val="99"/>
    <w:unhideWhenUsed/>
    <w:rsid w:val="00D53CE3"/>
    <w:pPr>
      <w:tabs>
        <w:tab w:val="center" w:pos="4680"/>
        <w:tab w:val="right" w:pos="9360"/>
      </w:tabs>
    </w:pPr>
  </w:style>
  <w:style w:type="character" w:customStyle="1" w:styleId="FooterChar">
    <w:name w:val="Footer Char"/>
    <w:basedOn w:val="DefaultParagraphFont"/>
    <w:link w:val="Footer"/>
    <w:uiPriority w:val="99"/>
    <w:rsid w:val="00D5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04875">
      <w:bodyDiv w:val="1"/>
      <w:marLeft w:val="0"/>
      <w:marRight w:val="0"/>
      <w:marTop w:val="0"/>
      <w:marBottom w:val="0"/>
      <w:divBdr>
        <w:top w:val="none" w:sz="0" w:space="0" w:color="auto"/>
        <w:left w:val="none" w:sz="0" w:space="0" w:color="auto"/>
        <w:bottom w:val="none" w:sz="0" w:space="0" w:color="auto"/>
        <w:right w:val="none" w:sz="0" w:space="0" w:color="auto"/>
      </w:divBdr>
    </w:div>
    <w:div w:id="1449818286">
      <w:bodyDiv w:val="1"/>
      <w:marLeft w:val="0"/>
      <w:marRight w:val="0"/>
      <w:marTop w:val="0"/>
      <w:marBottom w:val="0"/>
      <w:divBdr>
        <w:top w:val="none" w:sz="0" w:space="0" w:color="auto"/>
        <w:left w:val="none" w:sz="0" w:space="0" w:color="auto"/>
        <w:bottom w:val="none" w:sz="0" w:space="0" w:color="auto"/>
        <w:right w:val="none" w:sz="0" w:space="0" w:color="auto"/>
      </w:divBdr>
    </w:div>
    <w:div w:id="20872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Vasudeva Bhat</dc:creator>
  <cp:keywords/>
  <dc:description/>
  <cp:lastModifiedBy>Vasudeva Bhat</cp:lastModifiedBy>
  <cp:revision>93</cp:revision>
  <dcterms:created xsi:type="dcterms:W3CDTF">2020-08-11T15:16:00Z</dcterms:created>
  <dcterms:modified xsi:type="dcterms:W3CDTF">2020-08-23T21:18:00Z</dcterms:modified>
</cp:coreProperties>
</file>