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2.xml" ContentType="application/vnd.ms-office.classificationlabels+xml"/>
  <Override PartName="/docMetadata/LabelInfo7.xml" ContentType="application/vnd.ms-office.classificationlabels+xml"/>
  <Override PartName="/docMetadata/LabelInfo12.xml" ContentType="application/vnd.ms-office.classificationlabels+xml"/>
  <Override PartName="/docMetadata/LabelInfo20.xml" ContentType="application/vnd.ms-office.classificationlabels+xml"/>
  <Override PartName="/docMetadata/LabelInfo15.xml" ContentType="application/vnd.ms-office.classificationlabels+xml"/>
  <Override PartName="/docMetadata/LabelInfo1.xml" ContentType="application/vnd.ms-office.classificationlabels+xml"/>
  <Override PartName="/docMetadata/LabelInfo6.xml" ContentType="application/vnd.ms-office.classificationlabels+xml"/>
  <Override PartName="/docMetadata/LabelInfo11.xml" ContentType="application/vnd.ms-office.classificationlabels+xml"/>
  <Override PartName="/docMetadata/LabelInfo19.xml" ContentType="application/vnd.ms-office.classificationlabels+xml"/>
  <Override PartName="/docMetadata/LabelInfo10.xml" ContentType="application/vnd.ms-office.classificationlabels+xml"/>
  <Override PartName="/docMetadata/LabelInfo14.xml" ContentType="application/vnd.ms-office.classificationlabels+xml"/>
  <Override PartName="/docMetadata/LabelInfo0.xml" ContentType="application/vnd.ms-office.classificationlabels+xml"/>
  <Override PartName="/docMetadata/LabelInfo5.xml" ContentType="application/vnd.ms-office.classificationlabels+xml"/>
  <Override PartName="/docMetadata/LabelInfo18.xml" ContentType="application/vnd.ms-office.classificationlabels+xml"/>
  <Override PartName="/docMetadata/LabelInfo3.xml" ContentType="application/vnd.ms-office.classificationlabels+xml"/>
  <Override PartName="/docMetadata/LabelInfo9.xml" ContentType="application/vnd.ms-office.classificationlabels+xml"/>
  <Override PartName="/docMetadata/LabelInfo16.xml" ContentType="application/vnd.ms-office.classificationlabels+xml"/>
  <Override PartName="/docMetadata/LabelInfo21.xml" ContentType="application/vnd.ms-office.classificationlabels+xml"/>
  <Override PartName="/docMetadata/LabelInfo4.xml" ContentType="application/vnd.ms-office.classificationlabels+xml"/>
  <Override PartName="/docMetadata/LabelInfo.xml" ContentType="application/vnd.ms-office.classificationlabels+xml"/>
  <Override PartName="/docMetadata/LabelInfo17.xml" ContentType="application/vnd.ms-office.classificationlabels+xml"/>
  <Override PartName="/docMetadata/LabelInfo13.xml" ContentType="application/vnd.ms-office.classificationlabels+xml"/>
  <Override PartName="/docMetadata/LabelInfo8.xml" ContentType="application/vnd.ms-office.classificationlabels+xml"/>
</Types>
</file>

<file path=_rels/.rels><?xml version="1.0" encoding="UTF-8" standalone="yes"?>
<Relationships xmlns="http://schemas.openxmlformats.org/package/2006/relationships"><Relationship Id="rId8" Type="http://schemas.microsoft.com/office/2020/02/relationships/classificationlabels" Target="docMetadata/LabelInfo2.xml"/><Relationship Id="rId13" Type="http://schemas.microsoft.com/office/2020/02/relationships/classificationlabels" Target="docMetadata/LabelInfo7.xml"/><Relationship Id="rId18" Type="http://schemas.microsoft.com/office/2020/02/relationships/classificationlabels" Target="docMetadata/LabelInfo12.xml"/><Relationship Id="rId26" Type="http://schemas.microsoft.com/office/2020/02/relationships/classificationlabels" Target="docMetadata/LabelInfo20.xml"/><Relationship Id="rId3" Type="http://schemas.openxmlformats.org/officeDocument/2006/relationships/extended-properties" Target="docProps/app.xml"/><Relationship Id="rId21" Type="http://schemas.microsoft.com/office/2020/02/relationships/classificationlabels" Target="docMetadata/LabelInfo15.xml"/><Relationship Id="rId7" Type="http://schemas.microsoft.com/office/2020/02/relationships/classificationlabels" Target="docMetadata/LabelInfo1.xml"/><Relationship Id="rId12" Type="http://schemas.microsoft.com/office/2020/02/relationships/classificationlabels" Target="docMetadata/LabelInfo6.xml"/><Relationship Id="rId17" Type="http://schemas.microsoft.com/office/2020/02/relationships/classificationlabels" Target="docMetadata/LabelInfo11.xml"/><Relationship Id="rId25" Type="http://schemas.microsoft.com/office/2020/02/relationships/classificationlabels" Target="docMetadata/LabelInfo19.xml"/><Relationship Id="rId2" Type="http://schemas.openxmlformats.org/package/2006/relationships/metadata/core-properties" Target="docProps/core.xml"/><Relationship Id="rId16" Type="http://schemas.microsoft.com/office/2020/02/relationships/classificationlabels" Target="docMetadata/LabelInfo10.xml"/><Relationship Id="rId20" Type="http://schemas.microsoft.com/office/2020/02/relationships/classificationlabels" Target="docMetadata/LabelInfo14.xml"/><Relationship Id="rId1" Type="http://schemas.openxmlformats.org/officeDocument/2006/relationships/officeDocument" Target="word/document.xml"/><Relationship Id="rId6" Type="http://schemas.microsoft.com/office/2020/02/relationships/classificationlabels" Target="docMetadata/LabelInfo0.xml"/><Relationship Id="rId11" Type="http://schemas.microsoft.com/office/2020/02/relationships/classificationlabels" Target="docMetadata/LabelInfo5.xml"/><Relationship Id="rId24" Type="http://schemas.microsoft.com/office/2020/02/relationships/classificationlabels" Target="docMetadata/LabelInfo18.xml"/><Relationship Id="rId5" Type="http://schemas.microsoft.com/office/2020/02/relationships/classificationlabels" Target="docMetadata/LabelInfo3.xml"/><Relationship Id="rId15" Type="http://schemas.microsoft.com/office/2020/02/relationships/classificationlabels" Target="docMetadata/LabelInfo9.xml"/><Relationship Id="rId23" Type="http://schemas.microsoft.com/office/2020/02/relationships/classificationlabels" Target="docMetadata/LabelInfo16.xml"/><Relationship Id="rId19" Type="http://schemas.microsoft.com/office/2020/02/relationships/classificationlabels" Target="docMetadata/LabelInfo21.xml"/><Relationship Id="rId10" Type="http://schemas.microsoft.com/office/2020/02/relationships/classificationlabels" Target="docMetadata/LabelInfo4.xml"/><Relationship Id="rId4" Type="http://schemas.openxmlformats.org/officeDocument/2006/relationships/custom-properties" Target="docProps/custom.xml"/><Relationship Id="rId27" Type="http://schemas.microsoft.com/office/2020/02/relationships/classificationlabels" Target="docMetadata/LabelInfo.xml"/><Relationship Id="rId22" Type="http://schemas.microsoft.com/office/2020/02/relationships/classificationlabels" Target="docMetadata/LabelInfo17.xml"/><Relationship Id="rId14" Type="http://schemas.microsoft.com/office/2020/02/relationships/classificationlabels" Target="docMetadata/LabelInfo13.xml"/><Relationship Id="rId9" Type="http://schemas.microsoft.com/office/2020/02/relationships/classificationlabels" Target="docMetadata/LabelInfo8.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DC0E4" w14:textId="77777777" w:rsidR="00394B72" w:rsidRPr="00796AAD" w:rsidRDefault="00394B72" w:rsidP="00E10F2B">
      <w:pPr>
        <w:contextualSpacing/>
        <w:rPr>
          <w:rFonts w:ascii="Times New Roman" w:hAnsi="Times New Roman" w:cs="Times New Roman"/>
        </w:rPr>
      </w:pPr>
      <w:r w:rsidRPr="00796AAD">
        <w:rPr>
          <w:b/>
          <w:bCs/>
        </w:rPr>
        <w:t>Title: </w:t>
      </w:r>
    </w:p>
    <w:p w14:paraId="7BBDDBBE" w14:textId="47EF3B23" w:rsidR="00394B72" w:rsidRPr="00796AAD" w:rsidRDefault="009C1884" w:rsidP="00E10F2B">
      <w:pPr>
        <w:contextualSpacing/>
        <w:rPr>
          <w:rFonts w:ascii="Times New Roman" w:hAnsi="Times New Roman" w:cs="Times New Roman"/>
        </w:rPr>
      </w:pPr>
      <w:r>
        <w:rPr>
          <w:b/>
          <w:bCs/>
        </w:rPr>
        <w:t xml:space="preserve">Production of IgG fusion proteins transiently expressed in </w:t>
      </w:r>
      <w:r w:rsidRPr="009C1884">
        <w:rPr>
          <w:b/>
          <w:bCs/>
          <w:i/>
          <w:iCs/>
        </w:rPr>
        <w:t>Nicotiana benthamiana</w:t>
      </w:r>
    </w:p>
    <w:p w14:paraId="398731A9" w14:textId="6C81151D" w:rsidR="004749D7" w:rsidRPr="00796AAD" w:rsidRDefault="004749D7" w:rsidP="00E10F2B">
      <w:pPr>
        <w:contextualSpacing/>
        <w:rPr>
          <w:rFonts w:ascii="Times New Roman" w:hAnsi="Times New Roman" w:cs="Times New Roman"/>
        </w:rPr>
      </w:pPr>
    </w:p>
    <w:p w14:paraId="57529C9C" w14:textId="77777777" w:rsidR="00394B72" w:rsidRPr="00DE32DE" w:rsidRDefault="00394B72" w:rsidP="00E10F2B">
      <w:pPr>
        <w:contextualSpacing/>
        <w:rPr>
          <w:rFonts w:ascii="Times New Roman" w:hAnsi="Times New Roman" w:cs="Times New Roman"/>
        </w:rPr>
      </w:pPr>
      <w:r w:rsidRPr="00796AAD">
        <w:rPr>
          <w:b/>
          <w:bCs/>
        </w:rPr>
        <w:t>Authors:</w:t>
      </w:r>
    </w:p>
    <w:p w14:paraId="174EE923" w14:textId="1A8CC952" w:rsidR="00394B72" w:rsidRPr="00EF6CEC" w:rsidRDefault="00394B72" w:rsidP="00E10F2B">
      <w:pPr>
        <w:contextualSpacing/>
        <w:rPr>
          <w:rFonts w:asciiTheme="minorHAnsi" w:hAnsiTheme="minorHAnsi" w:cstheme="minorBidi"/>
        </w:rPr>
      </w:pPr>
      <w:proofErr w:type="spellStart"/>
      <w:r w:rsidRPr="6A6CE963">
        <w:rPr>
          <w:rFonts w:asciiTheme="minorHAnsi" w:hAnsiTheme="minorHAnsi" w:cstheme="minorBidi"/>
        </w:rPr>
        <w:t>Aigerim</w:t>
      </w:r>
      <w:proofErr w:type="spellEnd"/>
      <w:r w:rsidRPr="6A6CE963">
        <w:rPr>
          <w:rFonts w:asciiTheme="minorHAnsi" w:hAnsiTheme="minorHAnsi" w:cstheme="minorBidi"/>
        </w:rPr>
        <w:t xml:space="preserve"> S. Kamzina</w:t>
      </w:r>
      <w:r w:rsidRPr="6A6CE963">
        <w:rPr>
          <w:rFonts w:asciiTheme="minorHAnsi" w:hAnsiTheme="minorHAnsi" w:cstheme="minorBidi"/>
          <w:color w:val="020202"/>
          <w:shd w:val="clear" w:color="auto" w:fill="FFFFFF"/>
          <w:vertAlign w:val="superscript"/>
        </w:rPr>
        <w:t>1,2,</w:t>
      </w:r>
      <w:r w:rsidR="00AB7C3E" w:rsidRPr="6A6CE963">
        <w:rPr>
          <w:rFonts w:asciiTheme="minorHAnsi" w:hAnsiTheme="minorHAnsi" w:cstheme="minorBidi"/>
          <w:color w:val="020202"/>
          <w:shd w:val="clear" w:color="auto" w:fill="FFFFFF"/>
          <w:vertAlign w:val="superscript"/>
        </w:rPr>
        <w:t>3</w:t>
      </w:r>
      <w:r w:rsidR="00FF119A" w:rsidRPr="6A6CE963">
        <w:rPr>
          <w:rFonts w:asciiTheme="minorHAnsi" w:hAnsiTheme="minorHAnsi" w:cstheme="minorBidi"/>
          <w:color w:val="020202"/>
          <w:shd w:val="clear" w:color="auto" w:fill="FFFFFF"/>
          <w:vertAlign w:val="superscript"/>
        </w:rPr>
        <w:t>,</w:t>
      </w:r>
      <w:r w:rsidRPr="6A6CE963">
        <w:rPr>
          <w:rFonts w:asciiTheme="minorHAnsi" w:hAnsiTheme="minorHAnsi" w:cstheme="minorBidi"/>
          <w:color w:val="020202"/>
          <w:shd w:val="clear" w:color="auto" w:fill="FFFFFF"/>
        </w:rPr>
        <w:t>*,</w:t>
      </w:r>
      <w:r w:rsidRPr="6A6CE963">
        <w:rPr>
          <w:rFonts w:asciiTheme="minorHAnsi" w:hAnsiTheme="minorHAnsi" w:cstheme="minorBidi"/>
        </w:rPr>
        <w:t xml:space="preserve"> Michelle P. DiPalma</w:t>
      </w:r>
      <w:r w:rsidRPr="6A6CE963">
        <w:rPr>
          <w:rFonts w:asciiTheme="minorHAnsi" w:hAnsiTheme="minorHAnsi" w:cstheme="minorBidi"/>
          <w:color w:val="020202"/>
          <w:shd w:val="clear" w:color="auto" w:fill="FFFFFF"/>
          <w:vertAlign w:val="superscript"/>
        </w:rPr>
        <w:t>1,2</w:t>
      </w:r>
      <w:r w:rsidRPr="6A6CE963">
        <w:rPr>
          <w:rFonts w:cstheme="minorBidi"/>
          <w:color w:val="020202"/>
          <w:shd w:val="clear" w:color="auto" w:fill="FFFFFF"/>
          <w:vertAlign w:val="superscript"/>
        </w:rPr>
        <w:t>,</w:t>
      </w:r>
      <w:r w:rsidR="00FF119A" w:rsidRPr="6A6CE963">
        <w:rPr>
          <w:rFonts w:cstheme="minorBidi"/>
          <w:color w:val="020202"/>
          <w:shd w:val="clear" w:color="auto" w:fill="FFFFFF"/>
          <w:vertAlign w:val="superscript"/>
        </w:rPr>
        <w:t>3,</w:t>
      </w:r>
      <w:r w:rsidRPr="6A6CE963">
        <w:rPr>
          <w:rFonts w:asciiTheme="minorHAnsi" w:hAnsiTheme="minorHAnsi" w:cstheme="minorBidi"/>
          <w:color w:val="020202"/>
          <w:shd w:val="clear" w:color="auto" w:fill="FFFFFF"/>
        </w:rPr>
        <w:t>*</w:t>
      </w:r>
      <w:r w:rsidRPr="6A6CE963">
        <w:rPr>
          <w:rFonts w:asciiTheme="minorHAnsi" w:hAnsiTheme="minorHAnsi" w:cstheme="minorBidi"/>
        </w:rPr>
        <w:t>, Joseph G. L. Hunter</w:t>
      </w:r>
      <w:r w:rsidRPr="6A6CE963">
        <w:rPr>
          <w:rFonts w:asciiTheme="minorHAnsi" w:hAnsiTheme="minorHAnsi" w:cstheme="minorBidi"/>
          <w:color w:val="020202"/>
          <w:shd w:val="clear" w:color="auto" w:fill="FFFFFF"/>
          <w:vertAlign w:val="superscript"/>
        </w:rPr>
        <w:t>1,2</w:t>
      </w:r>
      <w:r w:rsidR="00FF119A" w:rsidRPr="6A6CE963">
        <w:rPr>
          <w:rFonts w:asciiTheme="minorHAnsi" w:hAnsiTheme="minorHAnsi" w:cstheme="minorBidi"/>
          <w:color w:val="020202"/>
          <w:shd w:val="clear" w:color="auto" w:fill="FFFFFF"/>
          <w:vertAlign w:val="superscript"/>
        </w:rPr>
        <w:t>,3</w:t>
      </w:r>
      <w:r w:rsidRPr="6A6CE963">
        <w:rPr>
          <w:rFonts w:asciiTheme="minorHAnsi" w:hAnsiTheme="minorHAnsi" w:cstheme="minorBidi"/>
        </w:rPr>
        <w:t>, Andrew Diamos</w:t>
      </w:r>
      <w:r w:rsidRPr="6A6CE963">
        <w:rPr>
          <w:rFonts w:asciiTheme="minorHAnsi" w:hAnsiTheme="minorHAnsi" w:cstheme="minorBidi"/>
          <w:color w:val="020202"/>
          <w:shd w:val="clear" w:color="auto" w:fill="FFFFFF"/>
          <w:vertAlign w:val="superscript"/>
        </w:rPr>
        <w:t>1,2</w:t>
      </w:r>
      <w:r w:rsidR="008D0068" w:rsidRPr="6A6CE963">
        <w:rPr>
          <w:rFonts w:asciiTheme="minorHAnsi" w:hAnsiTheme="minorHAnsi" w:cstheme="minorBidi"/>
          <w:color w:val="020202"/>
          <w:shd w:val="clear" w:color="auto" w:fill="FFFFFF"/>
          <w:vertAlign w:val="superscript"/>
        </w:rPr>
        <w:t>,</w:t>
      </w:r>
      <w:r w:rsidR="00FF119A" w:rsidRPr="6A6CE963">
        <w:rPr>
          <w:rFonts w:asciiTheme="minorHAnsi" w:hAnsiTheme="minorHAnsi" w:cstheme="minorBidi"/>
          <w:color w:val="020202"/>
          <w:shd w:val="clear" w:color="auto" w:fill="FFFFFF"/>
          <w:vertAlign w:val="superscript"/>
        </w:rPr>
        <w:t>4</w:t>
      </w:r>
      <w:r w:rsidRPr="6A6CE963">
        <w:rPr>
          <w:rFonts w:asciiTheme="minorHAnsi" w:hAnsiTheme="minorHAnsi" w:cstheme="minorBidi"/>
        </w:rPr>
        <w:t>, Boyd Armer</w:t>
      </w:r>
      <w:r w:rsidRPr="6A6CE963">
        <w:rPr>
          <w:rFonts w:asciiTheme="minorHAnsi" w:hAnsiTheme="minorHAnsi" w:cstheme="minorBidi"/>
          <w:color w:val="020202"/>
          <w:shd w:val="clear" w:color="auto" w:fill="FFFFFF"/>
          <w:vertAlign w:val="superscript"/>
        </w:rPr>
        <w:t>2</w:t>
      </w:r>
      <w:r w:rsidR="00FF119A" w:rsidRPr="6A6CE963">
        <w:rPr>
          <w:rFonts w:asciiTheme="minorHAnsi" w:hAnsiTheme="minorHAnsi" w:cstheme="minorBidi"/>
          <w:color w:val="020202"/>
          <w:shd w:val="clear" w:color="auto" w:fill="FFFFFF"/>
          <w:vertAlign w:val="superscript"/>
        </w:rPr>
        <w:t>,3</w:t>
      </w:r>
      <w:r w:rsidRPr="6A6CE963">
        <w:rPr>
          <w:rFonts w:asciiTheme="minorHAnsi" w:hAnsiTheme="minorHAnsi" w:cstheme="minorBidi"/>
        </w:rPr>
        <w:t xml:space="preserve">, </w:t>
      </w:r>
      <w:proofErr w:type="spellStart"/>
      <w:r w:rsidRPr="6A6CE963">
        <w:rPr>
          <w:rFonts w:asciiTheme="minorHAnsi" w:hAnsiTheme="minorHAnsi" w:cstheme="minorBidi"/>
        </w:rPr>
        <w:t>Tsafrir</w:t>
      </w:r>
      <w:proofErr w:type="spellEnd"/>
      <w:r w:rsidRPr="6A6CE963">
        <w:rPr>
          <w:rFonts w:asciiTheme="minorHAnsi" w:hAnsiTheme="minorHAnsi" w:cstheme="minorBidi"/>
        </w:rPr>
        <w:t xml:space="preserve"> S. Mor</w:t>
      </w:r>
      <w:r w:rsidRPr="6A6CE963">
        <w:rPr>
          <w:rFonts w:asciiTheme="minorHAnsi" w:hAnsiTheme="minorHAnsi" w:cstheme="minorBidi"/>
          <w:color w:val="020202"/>
          <w:shd w:val="clear" w:color="auto" w:fill="FFFFFF"/>
          <w:vertAlign w:val="superscript"/>
        </w:rPr>
        <w:t>1,2</w:t>
      </w:r>
      <w:r w:rsidR="00FF119A" w:rsidRPr="6A6CE963">
        <w:rPr>
          <w:rFonts w:asciiTheme="minorHAnsi" w:hAnsiTheme="minorHAnsi" w:cstheme="minorBidi"/>
          <w:color w:val="020202"/>
          <w:shd w:val="clear" w:color="auto" w:fill="FFFFFF"/>
          <w:vertAlign w:val="superscript"/>
        </w:rPr>
        <w:t>,3</w:t>
      </w:r>
      <w:r w:rsidRPr="6A6CE963">
        <w:rPr>
          <w:rFonts w:asciiTheme="minorHAnsi" w:hAnsiTheme="minorHAnsi" w:cstheme="minorBidi"/>
        </w:rPr>
        <w:t>, H</w:t>
      </w:r>
      <w:r w:rsidR="00974A5B">
        <w:rPr>
          <w:rFonts w:asciiTheme="minorHAnsi" w:hAnsiTheme="minorHAnsi" w:cstheme="minorBidi"/>
        </w:rPr>
        <w:t>u</w:t>
      </w:r>
      <w:r w:rsidR="00EE2DC8">
        <w:rPr>
          <w:rFonts w:asciiTheme="minorHAnsi" w:hAnsiTheme="minorHAnsi" w:cstheme="minorBidi"/>
        </w:rPr>
        <w:t>g</w:t>
      </w:r>
      <w:r w:rsidRPr="6A6CE963">
        <w:rPr>
          <w:rFonts w:asciiTheme="minorHAnsi" w:hAnsiTheme="minorHAnsi" w:cstheme="minorBidi"/>
        </w:rPr>
        <w:t>h S. Mason</w:t>
      </w:r>
      <w:r w:rsidRPr="6A6CE963">
        <w:rPr>
          <w:rFonts w:asciiTheme="minorHAnsi" w:hAnsiTheme="minorHAnsi" w:cstheme="minorBidi"/>
          <w:color w:val="020202"/>
          <w:shd w:val="clear" w:color="auto" w:fill="FFFFFF"/>
          <w:vertAlign w:val="superscript"/>
        </w:rPr>
        <w:t>1,2</w:t>
      </w:r>
      <w:r w:rsidR="00FF119A" w:rsidRPr="6A6CE963">
        <w:rPr>
          <w:rFonts w:asciiTheme="minorHAnsi" w:hAnsiTheme="minorHAnsi" w:cstheme="minorBidi"/>
          <w:color w:val="020202"/>
          <w:shd w:val="clear" w:color="auto" w:fill="FFFFFF"/>
          <w:vertAlign w:val="superscript"/>
        </w:rPr>
        <w:t>,3</w:t>
      </w:r>
    </w:p>
    <w:p w14:paraId="49529CBC" w14:textId="77777777" w:rsidR="00394B72" w:rsidRPr="008B7C58" w:rsidRDefault="00394B72" w:rsidP="00E10F2B">
      <w:pPr>
        <w:contextualSpacing/>
        <w:rPr>
          <w:rFonts w:cstheme="minorHAnsi"/>
        </w:rPr>
      </w:pPr>
    </w:p>
    <w:p w14:paraId="0153BAE8" w14:textId="77777777" w:rsidR="00394B72" w:rsidRPr="008B7C58" w:rsidRDefault="00394B72" w:rsidP="00E10F2B">
      <w:pPr>
        <w:contextualSpacing/>
        <w:rPr>
          <w:rFonts w:cstheme="minorHAnsi"/>
        </w:rPr>
      </w:pPr>
      <w:r w:rsidRPr="00CD3010">
        <w:rPr>
          <w:rFonts w:cstheme="minorHAnsi"/>
          <w:vertAlign w:val="superscript"/>
        </w:rPr>
        <w:t>1</w:t>
      </w:r>
      <w:r w:rsidRPr="008B7C58">
        <w:rPr>
          <w:rFonts w:cstheme="minorHAnsi"/>
        </w:rPr>
        <w:t xml:space="preserve">Center for Immunotherapy, Vaccines and Virotherapy, The </w:t>
      </w:r>
      <w:proofErr w:type="spellStart"/>
      <w:r w:rsidRPr="008B7C58">
        <w:rPr>
          <w:rFonts w:cstheme="minorHAnsi"/>
        </w:rPr>
        <w:t>Biodesign</w:t>
      </w:r>
      <w:proofErr w:type="spellEnd"/>
      <w:r w:rsidRPr="008B7C58">
        <w:rPr>
          <w:rFonts w:cstheme="minorHAnsi"/>
        </w:rPr>
        <w:t xml:space="preserve"> Institute, Arizona State University, Tempe, AZ, USA</w:t>
      </w:r>
    </w:p>
    <w:p w14:paraId="04360B42" w14:textId="0BAE89FB" w:rsidR="00394B72" w:rsidRDefault="00394B72" w:rsidP="00E10F2B">
      <w:pPr>
        <w:contextualSpacing/>
        <w:rPr>
          <w:rFonts w:cstheme="minorHAnsi"/>
        </w:rPr>
      </w:pPr>
      <w:r w:rsidRPr="00CD3010">
        <w:rPr>
          <w:rFonts w:cstheme="minorHAnsi"/>
          <w:vertAlign w:val="superscript"/>
        </w:rPr>
        <w:t>2</w:t>
      </w:r>
      <w:r w:rsidRPr="008B7C58">
        <w:rPr>
          <w:rFonts w:cstheme="minorHAnsi"/>
        </w:rPr>
        <w:t>School of Life Sciences, Arizona State University, Tempe, AZ, USA</w:t>
      </w:r>
    </w:p>
    <w:p w14:paraId="41F00BB2" w14:textId="131967F8" w:rsidR="00E4162E" w:rsidRPr="00575565" w:rsidRDefault="00FE4652" w:rsidP="00E10F2B">
      <w:pPr>
        <w:contextualSpacing/>
        <w:rPr>
          <w:rFonts w:cstheme="minorBidi"/>
        </w:rPr>
      </w:pPr>
      <w:r w:rsidRPr="6BADC21B">
        <w:rPr>
          <w:rFonts w:cstheme="minorBidi"/>
          <w:vertAlign w:val="superscript"/>
        </w:rPr>
        <w:t>3</w:t>
      </w:r>
      <w:r w:rsidR="00AB7C3E" w:rsidRPr="6BADC21B">
        <w:rPr>
          <w:rFonts w:cstheme="minorBidi"/>
        </w:rPr>
        <w:t>Molecular Biosciences/Biotechnology Undergraduate Program, Arizona State University, Tempe, AZ, USA</w:t>
      </w:r>
    </w:p>
    <w:p w14:paraId="5ABDCD89" w14:textId="3F5ACF6D" w:rsidR="009B30FD" w:rsidRDefault="00AB7C3E" w:rsidP="00E10F2B">
      <w:pPr>
        <w:contextualSpacing/>
        <w:rPr>
          <w:rFonts w:cstheme="minorHAnsi"/>
        </w:rPr>
      </w:pPr>
      <w:r>
        <w:rPr>
          <w:rFonts w:cstheme="minorHAnsi"/>
          <w:vertAlign w:val="superscript"/>
        </w:rPr>
        <w:t>4</w:t>
      </w:r>
      <w:r w:rsidR="008D0068" w:rsidRPr="008D0068">
        <w:rPr>
          <w:rFonts w:cstheme="minorHAnsi"/>
        </w:rPr>
        <w:t xml:space="preserve">Department of Microbiology and Immunology, University of Michigan Medical School, Ann Arbor, Michigan, </w:t>
      </w:r>
      <w:r w:rsidR="00875462">
        <w:rPr>
          <w:rFonts w:cstheme="minorHAnsi"/>
        </w:rPr>
        <w:t>USA</w:t>
      </w:r>
    </w:p>
    <w:p w14:paraId="5C437D88" w14:textId="77777777" w:rsidR="009B30FD" w:rsidRPr="009B30FD" w:rsidRDefault="009B30FD" w:rsidP="00E10F2B">
      <w:pPr>
        <w:contextualSpacing/>
        <w:rPr>
          <w:rFonts w:cstheme="minorHAnsi"/>
        </w:rPr>
      </w:pPr>
    </w:p>
    <w:p w14:paraId="1056B9D9" w14:textId="67D9B020" w:rsidR="009B30FD" w:rsidRDefault="00394B72" w:rsidP="00E10F2B">
      <w:pPr>
        <w:contextualSpacing/>
        <w:rPr>
          <w:rFonts w:cstheme="minorHAnsi"/>
          <w:color w:val="020202"/>
          <w:shd w:val="clear" w:color="auto" w:fill="FFFFFF"/>
        </w:rPr>
      </w:pPr>
      <w:r w:rsidRPr="001B5321">
        <w:rPr>
          <w:rFonts w:asciiTheme="minorHAnsi" w:hAnsiTheme="minorHAnsi" w:cstheme="minorHAnsi"/>
          <w:color w:val="020202"/>
          <w:shd w:val="clear" w:color="auto" w:fill="FFFFFF"/>
        </w:rPr>
        <w:t>*These authors contributed equally to this work</w:t>
      </w:r>
      <w:r>
        <w:rPr>
          <w:rFonts w:cstheme="minorHAnsi"/>
          <w:color w:val="020202"/>
          <w:shd w:val="clear" w:color="auto" w:fill="FFFFFF"/>
        </w:rPr>
        <w:t>.</w:t>
      </w:r>
    </w:p>
    <w:p w14:paraId="12B366C6" w14:textId="77777777" w:rsidR="009B30FD" w:rsidRPr="009B30FD" w:rsidRDefault="009B30FD" w:rsidP="00E10F2B">
      <w:pPr>
        <w:contextualSpacing/>
        <w:rPr>
          <w:rFonts w:cstheme="minorHAnsi"/>
          <w:color w:val="020202"/>
          <w:shd w:val="clear" w:color="auto" w:fill="FFFFFF"/>
        </w:rPr>
      </w:pPr>
    </w:p>
    <w:p w14:paraId="3483B50C" w14:textId="77777777" w:rsidR="00394B72" w:rsidRPr="00796AAD" w:rsidRDefault="00394B72" w:rsidP="00E10F2B">
      <w:pPr>
        <w:contextualSpacing/>
        <w:rPr>
          <w:rFonts w:ascii="Times New Roman" w:hAnsi="Times New Roman" w:cs="Times New Roman"/>
        </w:rPr>
      </w:pPr>
      <w:proofErr w:type="spellStart"/>
      <w:r w:rsidRPr="00796AAD">
        <w:t>Aigerim</w:t>
      </w:r>
      <w:proofErr w:type="spellEnd"/>
      <w:r w:rsidRPr="00796AAD">
        <w:t xml:space="preserve"> S. </w:t>
      </w:r>
      <w:proofErr w:type="spellStart"/>
      <w:r w:rsidRPr="00796AAD">
        <w:t>Kamzina</w:t>
      </w:r>
      <w:proofErr w:type="spellEnd"/>
    </w:p>
    <w:p w14:paraId="783C7177" w14:textId="3BFA6F5D" w:rsidR="00394B72" w:rsidRPr="00796AAD" w:rsidRDefault="00394B72" w:rsidP="00E10F2B">
      <w:pPr>
        <w:contextualSpacing/>
        <w:rPr>
          <w:rFonts w:ascii="Times New Roman" w:hAnsi="Times New Roman" w:cs="Times New Roman"/>
        </w:rPr>
      </w:pPr>
      <w:r w:rsidRPr="00796AAD">
        <w:t>akamzina@asu.edu</w:t>
      </w:r>
    </w:p>
    <w:p w14:paraId="41D9D060" w14:textId="77777777" w:rsidR="00394B72" w:rsidRPr="00796AAD" w:rsidRDefault="00394B72" w:rsidP="00E10F2B">
      <w:pPr>
        <w:contextualSpacing/>
        <w:rPr>
          <w:rFonts w:ascii="Times New Roman" w:hAnsi="Times New Roman" w:cs="Times New Roman"/>
        </w:rPr>
      </w:pPr>
    </w:p>
    <w:p w14:paraId="5C1BCD50" w14:textId="77777777" w:rsidR="00394B72" w:rsidRPr="00796AAD" w:rsidRDefault="00394B72" w:rsidP="00E10F2B">
      <w:pPr>
        <w:contextualSpacing/>
        <w:rPr>
          <w:rFonts w:ascii="Times New Roman" w:hAnsi="Times New Roman" w:cs="Times New Roman"/>
        </w:rPr>
      </w:pPr>
      <w:r w:rsidRPr="00796AAD">
        <w:t>Michelle P</w:t>
      </w:r>
      <w:r>
        <w:t>.</w:t>
      </w:r>
      <w:r w:rsidRPr="00796AAD">
        <w:t xml:space="preserve"> </w:t>
      </w:r>
      <w:proofErr w:type="spellStart"/>
      <w:r w:rsidRPr="00796AAD">
        <w:t>DiPalma</w:t>
      </w:r>
      <w:proofErr w:type="spellEnd"/>
    </w:p>
    <w:p w14:paraId="6C02F5AC" w14:textId="74898558" w:rsidR="00394B72" w:rsidRPr="00796AAD" w:rsidRDefault="1BC35452" w:rsidP="00E10F2B">
      <w:pPr>
        <w:contextualSpacing/>
        <w:rPr>
          <w:rFonts w:ascii="Times New Roman" w:hAnsi="Times New Roman" w:cs="Times New Roman"/>
        </w:rPr>
      </w:pPr>
      <w:r>
        <w:t>michelle</w:t>
      </w:r>
      <w:r w:rsidR="00394B72" w:rsidRPr="00796AAD">
        <w:t>.dipalma@asu.edu</w:t>
      </w:r>
    </w:p>
    <w:p w14:paraId="4897B75A" w14:textId="77777777" w:rsidR="00394B72" w:rsidRPr="00796AAD" w:rsidRDefault="00394B72" w:rsidP="00E10F2B">
      <w:pPr>
        <w:contextualSpacing/>
        <w:rPr>
          <w:rFonts w:ascii="Times New Roman" w:hAnsi="Times New Roman" w:cs="Times New Roman"/>
        </w:rPr>
      </w:pPr>
    </w:p>
    <w:p w14:paraId="7F61D8E0" w14:textId="2CF70E57" w:rsidR="00394B72" w:rsidRPr="00796AAD" w:rsidRDefault="00394B72" w:rsidP="00E10F2B">
      <w:pPr>
        <w:contextualSpacing/>
        <w:rPr>
          <w:rFonts w:ascii="Times New Roman" w:hAnsi="Times New Roman" w:cs="Times New Roman"/>
        </w:rPr>
      </w:pPr>
      <w:r w:rsidRPr="00796AAD">
        <w:t>Andrew G</w:t>
      </w:r>
      <w:r w:rsidR="00BC74E8">
        <w:t>.</w:t>
      </w:r>
      <w:r w:rsidRPr="00796AAD">
        <w:t xml:space="preserve"> </w:t>
      </w:r>
      <w:proofErr w:type="spellStart"/>
      <w:r w:rsidRPr="00796AAD">
        <w:t>Diamos</w:t>
      </w:r>
      <w:proofErr w:type="spellEnd"/>
    </w:p>
    <w:p w14:paraId="0C0F29AC" w14:textId="009200A2" w:rsidR="00394B72" w:rsidRPr="00796AAD" w:rsidRDefault="1BC35452" w:rsidP="00E10F2B">
      <w:pPr>
        <w:contextualSpacing/>
        <w:rPr>
          <w:rFonts w:ascii="Times New Roman" w:hAnsi="Times New Roman" w:cs="Times New Roman"/>
        </w:rPr>
      </w:pPr>
      <w:r>
        <w:t>a</w:t>
      </w:r>
      <w:hyperlink r:id="rId8">
        <w:r>
          <w:t>diamos@asu.edu</w:t>
        </w:r>
      </w:hyperlink>
    </w:p>
    <w:p w14:paraId="4B81EA2F" w14:textId="77777777" w:rsidR="00394B72" w:rsidRPr="00796AAD" w:rsidRDefault="00394B72" w:rsidP="00E10F2B">
      <w:pPr>
        <w:contextualSpacing/>
        <w:rPr>
          <w:rFonts w:ascii="Times New Roman" w:hAnsi="Times New Roman" w:cs="Times New Roman"/>
        </w:rPr>
      </w:pPr>
    </w:p>
    <w:p w14:paraId="5201F35A" w14:textId="77777777" w:rsidR="00394B72" w:rsidRPr="00796AAD" w:rsidRDefault="00394B72" w:rsidP="00E10F2B">
      <w:pPr>
        <w:contextualSpacing/>
        <w:rPr>
          <w:rFonts w:ascii="Times New Roman" w:hAnsi="Times New Roman" w:cs="Times New Roman"/>
        </w:rPr>
      </w:pPr>
      <w:r w:rsidRPr="00796AAD">
        <w:t>Joseph GL Hunter</w:t>
      </w:r>
    </w:p>
    <w:p w14:paraId="79AF57C2" w14:textId="12BC89A8" w:rsidR="4D31C501" w:rsidRDefault="00E10F2B" w:rsidP="00E10F2B">
      <w:pPr>
        <w:contextualSpacing/>
        <w:rPr>
          <w:rFonts w:ascii="Times New Roman" w:hAnsi="Times New Roman" w:cs="Times New Roman"/>
        </w:rPr>
      </w:pPr>
      <w:hyperlink r:id="rId9" w:history="1">
        <w:r w:rsidRPr="0008253F">
          <w:rPr>
            <w:rStyle w:val="Hyperlink"/>
          </w:rPr>
          <w:t>jghunte1@asu.edu</w:t>
        </w:r>
      </w:hyperlink>
    </w:p>
    <w:p w14:paraId="02F7F071" w14:textId="77777777" w:rsidR="00E10F2B" w:rsidRPr="00E10F2B" w:rsidRDefault="00E10F2B" w:rsidP="00E10F2B">
      <w:pPr>
        <w:contextualSpacing/>
        <w:rPr>
          <w:rFonts w:ascii="Times New Roman" w:hAnsi="Times New Roman" w:cs="Times New Roman"/>
        </w:rPr>
      </w:pPr>
    </w:p>
    <w:p w14:paraId="4C1D1651" w14:textId="77777777" w:rsidR="00394B72" w:rsidRPr="00796AAD" w:rsidRDefault="00394B72" w:rsidP="00E10F2B">
      <w:pPr>
        <w:contextualSpacing/>
        <w:rPr>
          <w:rFonts w:ascii="Times New Roman" w:hAnsi="Times New Roman" w:cs="Times New Roman"/>
        </w:rPr>
      </w:pPr>
      <w:r w:rsidRPr="00796AAD">
        <w:t>Boyd Armer</w:t>
      </w:r>
    </w:p>
    <w:p w14:paraId="7E965D0D" w14:textId="77777777" w:rsidR="00394B72" w:rsidRPr="00796AAD" w:rsidRDefault="00394B72" w:rsidP="00E10F2B">
      <w:pPr>
        <w:contextualSpacing/>
        <w:rPr>
          <w:rFonts w:ascii="Times New Roman" w:hAnsi="Times New Roman" w:cs="Times New Roman"/>
        </w:rPr>
      </w:pPr>
      <w:r w:rsidRPr="00796AAD">
        <w:rPr>
          <w:shd w:val="clear" w:color="auto" w:fill="FFFFFF"/>
        </w:rPr>
        <w:t>Boyd.Armer@asu.edu</w:t>
      </w:r>
    </w:p>
    <w:p w14:paraId="697CA8D1" w14:textId="77777777" w:rsidR="00394B72" w:rsidRPr="00796AAD" w:rsidRDefault="00394B72" w:rsidP="00E10F2B">
      <w:pPr>
        <w:contextualSpacing/>
        <w:rPr>
          <w:rFonts w:ascii="Times New Roman" w:hAnsi="Times New Roman" w:cs="Times New Roman"/>
        </w:rPr>
      </w:pPr>
    </w:p>
    <w:p w14:paraId="6E6545BF" w14:textId="77777777" w:rsidR="00394B72" w:rsidRPr="00796AAD" w:rsidRDefault="00394B72" w:rsidP="00E10F2B">
      <w:pPr>
        <w:contextualSpacing/>
        <w:rPr>
          <w:rFonts w:ascii="Times New Roman" w:hAnsi="Times New Roman" w:cs="Times New Roman"/>
        </w:rPr>
      </w:pPr>
      <w:proofErr w:type="spellStart"/>
      <w:r w:rsidRPr="00796AAD">
        <w:t>Tsafrir</w:t>
      </w:r>
      <w:proofErr w:type="spellEnd"/>
      <w:r w:rsidRPr="00796AAD">
        <w:t xml:space="preserve"> S. </w:t>
      </w:r>
      <w:proofErr w:type="spellStart"/>
      <w:r w:rsidRPr="00796AAD">
        <w:t>Mor</w:t>
      </w:r>
      <w:proofErr w:type="spellEnd"/>
    </w:p>
    <w:p w14:paraId="3CC02B69" w14:textId="3A5D8A03" w:rsidR="00394B72" w:rsidRPr="00796AAD" w:rsidRDefault="1BC35452" w:rsidP="00E10F2B">
      <w:pPr>
        <w:contextualSpacing/>
        <w:rPr>
          <w:rFonts w:ascii="Times New Roman" w:hAnsi="Times New Roman" w:cs="Times New Roman"/>
        </w:rPr>
      </w:pPr>
      <w:r>
        <w:t>tsafrir</w:t>
      </w:r>
      <w:r w:rsidR="00394B72" w:rsidRPr="00796AAD">
        <w:t>.mor@asu.edu</w:t>
      </w:r>
    </w:p>
    <w:p w14:paraId="334E35A9" w14:textId="77777777" w:rsidR="00394B72" w:rsidRPr="00796AAD" w:rsidRDefault="00394B72" w:rsidP="00E10F2B">
      <w:pPr>
        <w:contextualSpacing/>
        <w:rPr>
          <w:rFonts w:ascii="Times New Roman" w:hAnsi="Times New Roman" w:cs="Times New Roman"/>
        </w:rPr>
      </w:pPr>
    </w:p>
    <w:p w14:paraId="5A6D580E" w14:textId="577F0416" w:rsidR="00394B72" w:rsidRPr="00796AAD" w:rsidRDefault="00394B72" w:rsidP="00E10F2B">
      <w:pPr>
        <w:contextualSpacing/>
        <w:rPr>
          <w:rFonts w:ascii="Times New Roman" w:hAnsi="Times New Roman" w:cs="Times New Roman"/>
        </w:rPr>
      </w:pPr>
      <w:r w:rsidRPr="00796AAD">
        <w:t>H</w:t>
      </w:r>
      <w:r w:rsidR="00CC071A">
        <w:t>u</w:t>
      </w:r>
      <w:r w:rsidR="00EE2DC8">
        <w:t>g</w:t>
      </w:r>
      <w:r w:rsidRPr="00796AAD">
        <w:t xml:space="preserve">h </w:t>
      </w:r>
      <w:r>
        <w:t xml:space="preserve">S. </w:t>
      </w:r>
      <w:r w:rsidRPr="00796AAD">
        <w:t>Mason</w:t>
      </w:r>
    </w:p>
    <w:p w14:paraId="6429B651" w14:textId="5A925ECB" w:rsidR="00394B72" w:rsidRPr="00796AAD" w:rsidRDefault="1BC35452" w:rsidP="00E10F2B">
      <w:pPr>
        <w:contextualSpacing/>
        <w:rPr>
          <w:rFonts w:ascii="Times New Roman" w:hAnsi="Times New Roman" w:cs="Times New Roman"/>
        </w:rPr>
      </w:pPr>
      <w:r>
        <w:t>hugh</w:t>
      </w:r>
      <w:r w:rsidR="00394B72" w:rsidRPr="00796AAD">
        <w:t>.mason@asu.edu</w:t>
      </w:r>
    </w:p>
    <w:p w14:paraId="2F443E42" w14:textId="77777777" w:rsidR="00394B72" w:rsidRPr="00796AAD" w:rsidRDefault="00394B72" w:rsidP="00E10F2B">
      <w:pPr>
        <w:contextualSpacing/>
        <w:rPr>
          <w:rFonts w:ascii="Times New Roman" w:hAnsi="Times New Roman" w:cs="Times New Roman"/>
        </w:rPr>
      </w:pPr>
    </w:p>
    <w:p w14:paraId="788623C1" w14:textId="77777777" w:rsidR="00E10F2B" w:rsidRDefault="00394B72" w:rsidP="00E10F2B">
      <w:pPr>
        <w:contextualSpacing/>
      </w:pPr>
      <w:r w:rsidRPr="00796AAD">
        <w:rPr>
          <w:b/>
          <w:bCs/>
        </w:rPr>
        <w:t>Correspondence authors:</w:t>
      </w:r>
      <w:r w:rsidRPr="00796AAD">
        <w:t xml:space="preserve"> </w:t>
      </w:r>
    </w:p>
    <w:p w14:paraId="1A839724" w14:textId="38E51645" w:rsidR="00E10F2B" w:rsidRDefault="00394B72" w:rsidP="00E10F2B">
      <w:pPr>
        <w:contextualSpacing/>
      </w:pPr>
      <w:r w:rsidRPr="00796AAD">
        <w:t>H</w:t>
      </w:r>
      <w:r w:rsidR="00CC071A">
        <w:t>u</w:t>
      </w:r>
      <w:r w:rsidR="00EE2DC8">
        <w:t>g</w:t>
      </w:r>
      <w:r w:rsidRPr="00796AAD">
        <w:t xml:space="preserve">h </w:t>
      </w:r>
      <w:r w:rsidR="00FA10B0">
        <w:t>S.</w:t>
      </w:r>
      <w:r w:rsidRPr="00796AAD">
        <w:t xml:space="preserve"> Mason </w:t>
      </w:r>
    </w:p>
    <w:p w14:paraId="681534FA" w14:textId="0123F998" w:rsidR="00394B72" w:rsidRPr="00796AAD" w:rsidRDefault="007827EF" w:rsidP="00E10F2B">
      <w:pPr>
        <w:contextualSpacing/>
        <w:rPr>
          <w:rFonts w:ascii="Times New Roman" w:hAnsi="Times New Roman" w:cs="Times New Roman"/>
        </w:rPr>
      </w:pPr>
      <w:proofErr w:type="spellStart"/>
      <w:r>
        <w:t>Tsafrir</w:t>
      </w:r>
      <w:proofErr w:type="spellEnd"/>
      <w:r>
        <w:t xml:space="preserve"> S. </w:t>
      </w:r>
      <w:proofErr w:type="spellStart"/>
      <w:r>
        <w:t>Mor</w:t>
      </w:r>
      <w:proofErr w:type="spellEnd"/>
    </w:p>
    <w:p w14:paraId="109E5435" w14:textId="77777777" w:rsidR="00394B72" w:rsidRPr="00796AAD" w:rsidRDefault="00394B72" w:rsidP="00E10F2B">
      <w:pPr>
        <w:contextualSpacing/>
        <w:rPr>
          <w:rFonts w:ascii="Times New Roman" w:hAnsi="Times New Roman" w:cs="Times New Roman"/>
        </w:rPr>
      </w:pPr>
    </w:p>
    <w:p w14:paraId="0C51D700" w14:textId="39AD954B" w:rsidR="00E10F2B" w:rsidRDefault="00394B72" w:rsidP="00E10F2B">
      <w:pPr>
        <w:contextualSpacing/>
      </w:pPr>
      <w:r w:rsidRPr="00796AAD">
        <w:rPr>
          <w:b/>
          <w:bCs/>
        </w:rPr>
        <w:t>Key</w:t>
      </w:r>
      <w:r w:rsidR="00E10F2B">
        <w:rPr>
          <w:b/>
          <w:bCs/>
        </w:rPr>
        <w:t>w</w:t>
      </w:r>
      <w:r w:rsidRPr="00796AAD">
        <w:rPr>
          <w:b/>
          <w:bCs/>
        </w:rPr>
        <w:t>ords:</w:t>
      </w:r>
      <w:r w:rsidRPr="00796AAD">
        <w:t xml:space="preserve"> </w:t>
      </w:r>
    </w:p>
    <w:p w14:paraId="2511329F" w14:textId="5C74EA6A" w:rsidR="00394B72" w:rsidRPr="00796AAD" w:rsidRDefault="00394B72" w:rsidP="00E10F2B">
      <w:pPr>
        <w:contextualSpacing/>
        <w:rPr>
          <w:rFonts w:ascii="Times New Roman" w:hAnsi="Times New Roman" w:cs="Times New Roman"/>
        </w:rPr>
      </w:pPr>
      <w:r w:rsidRPr="00796AAD">
        <w:t xml:space="preserve">antibody, monoclonal antibody, molecular pharming, agroinfiltration, transient expression, </w:t>
      </w:r>
      <w:r w:rsidRPr="00796AAD">
        <w:rPr>
          <w:i/>
          <w:iCs/>
        </w:rPr>
        <w:lastRenderedPageBreak/>
        <w:t>Nicotiana benthamiana</w:t>
      </w:r>
      <w:r w:rsidRPr="00796AAD">
        <w:t>, green fluorescent protein, acid</w:t>
      </w:r>
      <w:r>
        <w:t>-</w:t>
      </w:r>
      <w:r w:rsidRPr="00796AAD">
        <w:t>stable green fluorescent protein, antibody fusion, IgG-fusion, protein G purification</w:t>
      </w:r>
    </w:p>
    <w:p w14:paraId="1FCFCE89" w14:textId="77777777" w:rsidR="00394B72" w:rsidRPr="00796AAD" w:rsidRDefault="00394B72" w:rsidP="00E10F2B">
      <w:pPr>
        <w:contextualSpacing/>
        <w:rPr>
          <w:rFonts w:ascii="Times New Roman" w:hAnsi="Times New Roman" w:cs="Times New Roman"/>
        </w:rPr>
      </w:pPr>
    </w:p>
    <w:p w14:paraId="02333045" w14:textId="77777777" w:rsidR="00394B72" w:rsidRPr="00796AAD" w:rsidRDefault="00394B72" w:rsidP="00E10F2B">
      <w:pPr>
        <w:contextualSpacing/>
        <w:rPr>
          <w:rFonts w:ascii="Times New Roman" w:hAnsi="Times New Roman" w:cs="Times New Roman"/>
        </w:rPr>
      </w:pPr>
      <w:r w:rsidRPr="00796AAD">
        <w:rPr>
          <w:b/>
          <w:bCs/>
        </w:rPr>
        <w:t>Summary:</w:t>
      </w:r>
    </w:p>
    <w:p w14:paraId="00CF7A06" w14:textId="35BA5117" w:rsidR="00394B72" w:rsidRPr="00796AAD" w:rsidRDefault="00394B72" w:rsidP="00E10F2B">
      <w:pPr>
        <w:contextualSpacing/>
        <w:rPr>
          <w:rFonts w:ascii="Times New Roman" w:hAnsi="Times New Roman" w:cs="Times New Roman"/>
        </w:rPr>
      </w:pPr>
      <w:r w:rsidRPr="00796AAD">
        <w:t xml:space="preserve">We describe here a simple method for expression, extraction, and purification of recombinant human IgG fused to GFP in </w:t>
      </w:r>
      <w:r w:rsidRPr="00796AAD">
        <w:rPr>
          <w:i/>
          <w:iCs/>
        </w:rPr>
        <w:t>Nicotiana benthamiana</w:t>
      </w:r>
      <w:r w:rsidRPr="00796AAD">
        <w:t xml:space="preserve">. This protocol can be </w:t>
      </w:r>
      <w:r>
        <w:t xml:space="preserve">extended to </w:t>
      </w:r>
      <w:r w:rsidRPr="00796AAD">
        <w:t xml:space="preserve">purification </w:t>
      </w:r>
      <w:r>
        <w:t>and visualization of numerous proteins that utilize</w:t>
      </w:r>
      <w:r w:rsidRPr="00796AAD">
        <w:t xml:space="preserve"> column chromatography.</w:t>
      </w:r>
      <w:r w:rsidRPr="006008C6">
        <w:t xml:space="preserve"> Moreover, the protocol is ad</w:t>
      </w:r>
      <w:r>
        <w:t>a</w:t>
      </w:r>
      <w:r w:rsidRPr="006008C6">
        <w:t xml:space="preserve">ptable to the </w:t>
      </w:r>
      <w:r w:rsidR="00AA3B20">
        <w:t xml:space="preserve">in-person and virtual </w:t>
      </w:r>
      <w:r w:rsidRPr="006008C6">
        <w:t>college teaching laboratory, providing project-based exploration.</w:t>
      </w:r>
    </w:p>
    <w:p w14:paraId="3288D914" w14:textId="77777777" w:rsidR="00394B72" w:rsidRPr="00796AAD" w:rsidRDefault="00394B72" w:rsidP="00E10F2B">
      <w:pPr>
        <w:contextualSpacing/>
        <w:rPr>
          <w:rFonts w:ascii="Times New Roman" w:hAnsi="Times New Roman" w:cs="Times New Roman"/>
        </w:rPr>
      </w:pPr>
    </w:p>
    <w:p w14:paraId="46FC94C6" w14:textId="474B713E" w:rsidR="00394B72" w:rsidRPr="00796AAD" w:rsidRDefault="00394B72" w:rsidP="00E10F2B">
      <w:pPr>
        <w:contextualSpacing/>
        <w:rPr>
          <w:rFonts w:ascii="Times New Roman" w:hAnsi="Times New Roman" w:cs="Times New Roman"/>
        </w:rPr>
      </w:pPr>
      <w:r w:rsidRPr="00796AAD">
        <w:rPr>
          <w:b/>
          <w:bCs/>
        </w:rPr>
        <w:t>Abstract</w:t>
      </w:r>
    </w:p>
    <w:p w14:paraId="62E445AF" w14:textId="3CD56FC3" w:rsidR="00394B72" w:rsidRPr="00796AAD" w:rsidRDefault="5EC5E62F" w:rsidP="00E10F2B">
      <w:pPr>
        <w:contextualSpacing/>
        <w:rPr>
          <w:rFonts w:ascii="Times New Roman" w:hAnsi="Times New Roman" w:cs="Times New Roman"/>
        </w:rPr>
      </w:pPr>
      <w:r>
        <w:t xml:space="preserve">High demand for antibodies as therapeutic interventions for various infectious, metabolic, autoimmune, neoplastic, and other diseases creates a growing need in developing efficient methods for recombinant antibody production. As of 2019, there were more than 70 FDA-approved monoclonal antibodies, and there is exponential growth potential. Despite their promise, limiting factors for widespread use are manufacturing costs and complexity. Potentially, plants offer low-cost, safe, and easily scalable protein manufacturing strategies. Plants like </w:t>
      </w:r>
      <w:r w:rsidRPr="5EC5E62F">
        <w:rPr>
          <w:i/>
          <w:iCs/>
        </w:rPr>
        <w:t>Nicotiana benthamiana</w:t>
      </w:r>
      <w:r>
        <w:t xml:space="preserve"> not only can correctly fold and assemble complex mammalian proteins but also can add critical post-translational modifications </w:t>
      </w:r>
      <w:proofErr w:type="gramStart"/>
      <w:r>
        <w:t>similar to</w:t>
      </w:r>
      <w:proofErr w:type="gramEnd"/>
      <w:r>
        <w:t xml:space="preserve"> those offered by mammalian cell cultures. In this work, by using native GFP and an acid-stable variant of green fluorescent protein (GFP) fused to human monoclonal antibodies, we were able to visualize the entire transient antibody expression and purification process from </w:t>
      </w:r>
      <w:r w:rsidRPr="5EC5E62F">
        <w:rPr>
          <w:i/>
          <w:iCs/>
        </w:rPr>
        <w:t>N. benthamiana</w:t>
      </w:r>
      <w:r>
        <w:t xml:space="preserve"> plants. Depending on the </w:t>
      </w:r>
      <w:r w:rsidR="00656B66">
        <w:t>experiment's purpose</w:t>
      </w:r>
      <w:r>
        <w:t xml:space="preserve">, native GFP fusion can ensure easier visualization during the expression phase in the plants, while </w:t>
      </w:r>
      <w:proofErr w:type="gramStart"/>
      <w:r>
        <w:t>acid</w:t>
      </w:r>
      <w:r w:rsidR="00E404CF">
        <w:t>-</w:t>
      </w:r>
      <w:r>
        <w:t>stable</w:t>
      </w:r>
      <w:proofErr w:type="gramEnd"/>
      <w:r>
        <w:t xml:space="preserve"> GFP fusion allows </w:t>
      </w:r>
      <w:r w:rsidR="00811BC6">
        <w:t xml:space="preserve">for </w:t>
      </w:r>
      <w:r w:rsidR="00516391">
        <w:t>visualization</w:t>
      </w:r>
      <w:r>
        <w:t xml:space="preserve"> during downstream processing. This scalable and straightforward procedure can be performed by a single researcher to produce milligram quantities of highly pure antibody or antibody fusion proteins in a matter of days using only a few small plants. Such a technique can be extended to the visualization of any type of antibody purification process and potentially many other proteins, both in plant and other expression systems. Moreover, these techniques can benefit virtual instructions and be executed in a teaching laboratory by undergraduate students possessing minimal prior experience with molecular biology techniques</w:t>
      </w:r>
      <w:r w:rsidR="002A66A2">
        <w:t>,</w:t>
      </w:r>
      <w:r>
        <w:t xml:space="preserve"> providing a </w:t>
      </w:r>
      <w:r w:rsidR="00036DE0">
        <w:t>foundation</w:t>
      </w:r>
      <w:r>
        <w:t xml:space="preserve"> for project-based exploration with real-world applications. </w:t>
      </w:r>
    </w:p>
    <w:p w14:paraId="1542A370" w14:textId="77777777" w:rsidR="00394B72" w:rsidRDefault="00394B72" w:rsidP="00E10F2B">
      <w:pPr>
        <w:contextualSpacing/>
        <w:rPr>
          <w:rFonts w:asciiTheme="minorHAnsi" w:hAnsiTheme="minorHAnsi" w:cstheme="minorHAnsi"/>
          <w:b/>
        </w:rPr>
      </w:pPr>
    </w:p>
    <w:p w14:paraId="154083EE" w14:textId="0E4758C2" w:rsidR="009E5869" w:rsidRPr="00015DCB" w:rsidRDefault="00394B72" w:rsidP="00E10F2B">
      <w:pPr>
        <w:contextualSpacing/>
        <w:rPr>
          <w:rFonts w:ascii="Times New Roman" w:hAnsi="Times New Roman" w:cs="Times New Roman"/>
        </w:rPr>
      </w:pPr>
      <w:r w:rsidRPr="00796AAD">
        <w:rPr>
          <w:b/>
          <w:bCs/>
        </w:rPr>
        <w:t>Introduction:</w:t>
      </w:r>
    </w:p>
    <w:p w14:paraId="22AEC1D1" w14:textId="085A98BC" w:rsidR="001B7BB2" w:rsidRDefault="00394B72" w:rsidP="00E10F2B">
      <w:pPr>
        <w:contextualSpacing/>
      </w:pPr>
      <w:r w:rsidRPr="00796AAD">
        <w:t>Industry reports indicate that thirteen out of the twenty most-highly grossing dr</w:t>
      </w:r>
      <w:r w:rsidR="00CC071A">
        <w:t>u</w:t>
      </w:r>
      <w:r w:rsidR="00EE2DC8">
        <w:t>g</w:t>
      </w:r>
      <w:r w:rsidRPr="00796AAD">
        <w:t>s in the United States were biologics (protein-based pharmaceuticals)</w:t>
      </w:r>
      <w:r>
        <w:t>,</w:t>
      </w:r>
      <w:r w:rsidRPr="00796AAD">
        <w:t xml:space="preserve"> of which nine were antibodies. As of 2019, there were over 570 antibody </w:t>
      </w:r>
      <w:r w:rsidR="006D1BFF">
        <w:t xml:space="preserve">(Ab) </w:t>
      </w:r>
      <w:r w:rsidRPr="00796AAD">
        <w:t>therapeutics at various clinical</w:t>
      </w:r>
      <w:r>
        <w:t xml:space="preserve"> development</w:t>
      </w:r>
      <w:r w:rsidRPr="00796AAD">
        <w:t xml:space="preserve"> phases</w:t>
      </w:r>
      <w:r>
        <w:fldChar w:fldCharType="begin" w:fldLock="1"/>
      </w:r>
      <w:r w:rsidR="009E7237">
        <w:instrText>ADDIN CSL_CITATION {"citationItems":[{"id":"ITEM-1","itemData":{"DOI":"10.1186/s12929-019-0592-z","ISSN":"14230127","abstract":"It has been more than three decades since the first monoclonal antibody was approved by the United States Food and Drug Administration (US FDA) in 1986, and during this time, antibody engineering has dramatically evolved. Current antibody drugs have increasingly fewer adverse effects due to their high specificity. As a result, therapeutic antibodies have become the predominant class of new drugs developed in recent years. Over the past five years, antibodies have become the best-selling drugs in the pharmaceutical market, and in 2018, eight of the top ten bestselling drugs worldwide were biologics. The global therapeutic monoclonal antibody market was valued at approximately US$115.2 billion in 2018 and is expected to generate revenue of $150 billion by the end of 2019 and $300 billion by 2025. Thus, the market for therapeutic antibody drugs has experienced explosive growth as new drugs have been approved for treating various human diseases, including many cancers, autoimmune, metabolic and infectious diseases. As of December 2019, 79 therapeutic mAbs have been approved by the US FDA, but there is still significant growth potential. This review summarizes the latest market trends and outlines the preeminent antibody engineering technologies used in the development of therapeutic antibody drugs, such as humanization of monoclonal antibodies, phage display, the human antibody mouse, single B cell antibody technology, and affinity maturation. Finally, future applications and perspectives are also discussed.","author":[{"dropping-particle":"","family":"Lu","given":"Ruei Min","non-dropping-particle":"","parse-names":false,"suffix":""},{"dropping-particle":"","family":"Hwang","given":"Yu Chyi","non-dropping-particle":"","parse-names":false,"suffix":""},{"dropping-particle":"","family":"Liu","given":"I. Ju","non-dropping-particle":"","parse-names":false,"suffix":""},{"dropping-particle":"","family":"Lee","given":"Chi Chiu","non-dropping-particle":"","parse-names":false,"suffix":""},{"dropping-particle":"","family":"Tsai","given":"Han Zen","non-dropping-particle":"","parse-names":false,"suffix":""},{"dropping-particle":"","family":"Li","given":"Hsin Jung","non-dropping-particle":"","parse-names":false,"suffix":""},{"dropping-particle":"","family":"Wu","given":"Han Chung","non-dropping-particle":"","parse-names":false,"suffix":""}],"container-title":"Journal of Biomedical Science","id":"ITEM-1","issue":"1","issued":{"date-parts":[["2020","1","2"]]},"publisher":"BioMed Central Ltd.","title":"Development of therapeutic antibodies for the treatment of diseases","type":"article","volume":"27"},"uris":["http://www.mendeley.com/documents/?uuid=86984bf7-fbd6-3df2-ac1b-9f4935783517"]},{"id":"ITEM-2","itemData":{"DOI":"10.1080/19420862.2018.1556465","ISSN":"1942-0862","abstract":"For the past 10 years, the annual ‘Antibodies to watch’ articles have provided updates on key events in the late-stage development of antibody therapeutics, such as first regulatory review or approval, that occurred in the year before publication or were anticipated to occur during the year of publication. To commemorate the 10th anniversary of the article series and to celebrate the 2018 Nobel Prizes in Chemistry and in Physiology or Medicine, which were given for work that is highly relevant to antibody therapeutics research and development, we expanded the scope of the data presented to include an overview of all commercial clinical development of antibody therapeutics and approval success rates for this class of molecules. Our data indicate that: 1) antibody therapeutics are entering clinical study, and being approved, in record numbers; 2) the commercial pipeline is robust, with over 570 antibody therapeutics at various clinical phases, including 62 in late-stage clinical studies; and 3) Phase 1 to approval success rates are favorable, ranging from 17–25%, depending on the therapeutic area (cancer vs. non-cancer). In 2018, a record number (12) of antibodies (erenumab (Aimovig), fremanezumab (Ajovy), galcanezumab (Emgality), burosumab (Crysvita), lanadelumab (Takhzyro), caplacizumab (Cablivi), mogamulizumab (Poteligeo), moxetumomab pasudodox (Lumoxiti), cemiplimab (Libtayo), ibalizumab (Trogarzo), tildrakizumab (Ilumetri, Ilumya), emapalumab (Gamifant)) that treat a wide variety of diseases were granted a first approval in either the European Union (EU) or United States (US). As of November 2018, 4 antibody therapeutics (sacituzumab govitecan, ravulizumab, risankizumab, romosozumab) were being considered for their first marketing approval in the EU or US, and an additional 3 antibody therapeutics developed by Chinese companies (tislelizumab, sintilimab, camrelizumab) were in regulatory review in China. In addition, our data show that 3 product candidates (leronlimab, brolucizumab, polatuzumab vedotin) may enter regulatory review by the end of 2018, and at least 12 (eptinezumab, teprotumumab, crizanlizumab, satralizumab, tanezumab, isatuximab, spartalizumab, MOR208, oportuzumab monatox, TSR-042, enfortumab vedotin, ublituximab) may enter regulatory review in 2019. Finally, we found that approximately half (18 of 33) of the late-stage pipeline of antibody therapeutics for cancer are immune checkpoint modulators or antibody-drug conjugates. Of these, 7…","author":[{"dropping-particle":"","family":"Kaplon","given":"Hélène","non-dropping-particle":"","parse-names":false,"suffix":""},{"dropping-particle":"","family":"Reichert","given":"Janice M.","non-dropping-particle":"","parse-names":false,"suffix":""}],"container-title":"mAbs","id":"ITEM-2","issue":"2","issued":{"date-parts":[["2019","2","17"]]},"page":"219-238","publisher":"Taylor and Francis Inc.","title":"Antibodies to watch in 2019","type":"article-journal","volume":"11"},"uris":["http://www.mendeley.com/documents/?uuid=85b9c5a7-75e8-300f-a3a9-1754d63a9ce9"]},{"id":"ITEM-3","itemData":{"URL":"https://www.fiercepharma.com/special-report/top-20-drugs-by-2018-u-s-sales","accessed":{"date-parts":[["2020","6","15"]]},"id":"ITEM-3","issued":{"date-parts":[["0"]]},"title":"The top 20 drugs by 2018 U.S. sales | FiercePharma","type":"webpage"},"uris":["http://www.mendeley.com/documents/?uuid=0d689ddb-8349-336c-a2d1-e764d1df0091"]}],"mendeley":{"formattedCitation":"&lt;sup&gt;1–3&lt;/sup&gt;","plainTextFormattedCitation":"1–3","previouslyFormattedCitation":"&lt;sup&gt;1–3&lt;/sup&gt;"},"properties":{"noteIndex":0},"schema":"https://github.com/citation-style-language/schema/raw/master/csl-citation.json"}</w:instrText>
      </w:r>
      <w:r>
        <w:fldChar w:fldCharType="separate"/>
      </w:r>
      <w:r w:rsidR="0009107D" w:rsidRPr="0009107D">
        <w:rPr>
          <w:noProof/>
          <w:vertAlign w:val="superscript"/>
        </w:rPr>
        <w:t>1–3</w:t>
      </w:r>
      <w:r>
        <w:fldChar w:fldCharType="end"/>
      </w:r>
      <w:r w:rsidRPr="00796AAD">
        <w:t xml:space="preserve">. Current global </w:t>
      </w:r>
      <w:r w:rsidR="006D1BFF">
        <w:t>Ab</w:t>
      </w:r>
      <w:r w:rsidRPr="00796AAD">
        <w:t xml:space="preserve"> sales exceed </w:t>
      </w:r>
      <w:r>
        <w:t>100 billion</w:t>
      </w:r>
      <w:r w:rsidRPr="00796AAD">
        <w:t xml:space="preserve"> </w:t>
      </w:r>
      <w:r>
        <w:t xml:space="preserve">USD, </w:t>
      </w:r>
      <w:r w:rsidRPr="00796AAD">
        <w:t xml:space="preserve">and the </w:t>
      </w:r>
      <w:r>
        <w:t>m</w:t>
      </w:r>
      <w:r w:rsidR="006D1BFF">
        <w:t xml:space="preserve">onoclonal </w:t>
      </w:r>
      <w:r>
        <w:t>Ab</w:t>
      </w:r>
      <w:r w:rsidR="006D1BFF">
        <w:t xml:space="preserve"> (</w:t>
      </w:r>
      <w:proofErr w:type="spellStart"/>
      <w:r w:rsidR="006D1BFF">
        <w:t>mAb</w:t>
      </w:r>
      <w:proofErr w:type="spellEnd"/>
      <w:r w:rsidR="006D1BFF">
        <w:t>)</w:t>
      </w:r>
      <w:r>
        <w:t xml:space="preserve"> therapeutic</w:t>
      </w:r>
      <w:r w:rsidRPr="00796AAD">
        <w:t xml:space="preserve"> market is expected to generate up to </w:t>
      </w:r>
      <w:r>
        <w:t>300 billion</w:t>
      </w:r>
      <w:r w:rsidRPr="00796AAD">
        <w:t xml:space="preserve"> </w:t>
      </w:r>
      <w:r>
        <w:t>USD</w:t>
      </w:r>
      <w:r w:rsidRPr="00796AAD">
        <w:t xml:space="preserve"> by 2025</w:t>
      </w:r>
      <w:r>
        <w:fldChar w:fldCharType="begin" w:fldLock="1"/>
      </w:r>
      <w:r w:rsidR="009E7237">
        <w:instrText>ADDIN CSL_CITATION {"citationItems":[{"id":"ITEM-1","itemData":{"DOI":"10.1186/s12929-019-0592-z","ISSN":"14230127","abstract":"It has been more than three decades since the first monoclonal antibody was approved by the United States Food and Drug Administration (US FDA) in 1986, and during this time, antibody engineering has dramatically evolved. Current antibody drugs have increasingly fewer adverse effects due to their high specificity. As a result, therapeutic antibodies have become the predominant class of new drugs developed in recent years. Over the past five years, antibodies have become the best-selling drugs in the pharmaceutical market, and in 2018, eight of the top ten bestselling drugs worldwide were biologics. The global therapeutic monoclonal antibody market was valued at approximately US$115.2 billion in 2018 and is expected to generate revenue of $150 billion by the end of 2019 and $300 billion by 2025. Thus, the market for therapeutic antibody drugs has experienced explosive growth as new drugs have been approved for treating various human diseases, including many cancers, autoimmune, metabolic and infectious diseases. As of December 2019, 79 therapeutic mAbs have been approved by the US FDA, but there is still significant growth potential. This review summarizes the latest market trends and outlines the preeminent antibody engineering technologies used in the development of therapeutic antibody drugs, such as humanization of monoclonal antibodies, phage display, the human antibody mouse, single B cell antibody technology, and affinity maturation. Finally, future applications and perspectives are also discussed.","author":[{"dropping-particle":"","family":"Lu","given":"Ruei Min","non-dropping-particle":"","parse-names":false,"suffix":""},{"dropping-particle":"","family":"Hwang","given":"Yu Chyi","non-dropping-particle":"","parse-names":false,"suffix":""},{"dropping-particle":"","family":"Liu","given":"I. Ju","non-dropping-particle":"","parse-names":false,"suffix":""},{"dropping-particle":"","family":"Lee","given":"Chi Chiu","non-dropping-particle":"","parse-names":false,"suffix":""},{"dropping-particle":"","family":"Tsai","given":"Han Zen","non-dropping-particle":"","parse-names":false,"suffix":""},{"dropping-particle":"","family":"Li","given":"Hsin Jung","non-dropping-particle":"","parse-names":false,"suffix":""},{"dropping-particle":"","family":"Wu","given":"Han Chung","non-dropping-particle":"","parse-names":false,"suffix":""}],"container-title":"Journal of Biomedical Science","id":"ITEM-1","issue":"1","issued":{"date-parts":[["2020","1","2"]]},"publisher":"BioMed Central Ltd.","title":"Development of therapeutic antibodies for the treatment of diseases","type":"article","volume":"27"},"uris":["http://www.mendeley.com/documents/?uuid=86984bf7-fbd6-3df2-ac1b-9f4935783517"]},{"id":"ITEM-2","itemData":{"DOI":"10.1016/j.tibtech.2018.05.014","ISSN":"18793096","PMID":"29945725","abstract":"The monoclonal antibody (mAb) market has changed rapidly in the past 5 years: it has doubled in size, becoming dominated by fully human molecules, launched bispecific molecules, and faced competition from biosimilars. We summarize the market in terms of therapeutic applications, type and structure of mAbs, dominant companies, manufacturing locations, and emerging markets.","author":[{"dropping-particle":"","family":"Grilo","given":"António L.","non-dropping-particle":"","parse-names":false,"suffix":""},{"dropping-particle":"","family":"Mantalaris","given":"A.","non-dropping-particle":"","parse-names":false,"suffix":""}],"container-title":"Trends in Biotechnology","id":"ITEM-2","issue":"1","issued":{"date-parts":[["2019","1","1"]]},"page":"9-16","publisher":"Elsevier Ltd","title":"The Increasingly Human and Profitable Monoclonal Antibody Market","type":"article","volume":"37"},"uris":["http://www.mendeley.com/documents/?uuid=0b6a2aaf-552e-3b6a-8aab-a8d5e502aac1"]}],"mendeley":{"formattedCitation":"&lt;sup&gt;1, 4&lt;/sup&gt;","plainTextFormattedCitation":"1, 4","previouslyFormattedCitation":"&lt;sup&gt;1, 4&lt;/sup&gt;"},"properties":{"noteIndex":0},"schema":"https://github.com/citation-style-language/schema/raw/master/csl-citation.json"}</w:instrText>
      </w:r>
      <w:r>
        <w:fldChar w:fldCharType="separate"/>
      </w:r>
      <w:r w:rsidR="0009107D" w:rsidRPr="0009107D">
        <w:rPr>
          <w:noProof/>
          <w:vertAlign w:val="superscript"/>
        </w:rPr>
        <w:t>1,4</w:t>
      </w:r>
      <w:r>
        <w:fldChar w:fldCharType="end"/>
      </w:r>
      <w:r w:rsidRPr="00796AAD">
        <w:t xml:space="preserve">. With such high demand and projected increases in revenue, researchers have been working to develop ways to produce </w:t>
      </w:r>
      <w:r w:rsidR="006D1BFF">
        <w:t>Ab</w:t>
      </w:r>
      <w:r w:rsidRPr="00796AAD">
        <w:t xml:space="preserve"> therapeutics on an ever-larger scale, </w:t>
      </w:r>
      <w:r>
        <w:t xml:space="preserve">with </w:t>
      </w:r>
      <w:r w:rsidRPr="00796AAD">
        <w:t>higher quality and lower-costs. Plant</w:t>
      </w:r>
      <w:r>
        <w:t>-</w:t>
      </w:r>
      <w:r w:rsidRPr="00796AAD">
        <w:t xml:space="preserve">based expression systems have several advantages over traditional mammalian cell lines </w:t>
      </w:r>
      <w:r>
        <w:t>for the</w:t>
      </w:r>
      <w:r w:rsidRPr="00796AAD">
        <w:t xml:space="preserve"> affordable and large-scale manufacture of </w:t>
      </w:r>
      <w:r w:rsidR="006D1BFF">
        <w:t>Ab</w:t>
      </w:r>
      <w:r w:rsidRPr="00796AAD">
        <w:t xml:space="preserve"> therapeutics</w:t>
      </w:r>
      <w:r>
        <w:fldChar w:fldCharType="begin" w:fldLock="1"/>
      </w:r>
      <w:r w:rsidR="009E7237">
        <w:instrText>ADDIN CSL_CITATION {"citationItems":[{"id":"ITEM-1","itemData":{"DOI":"10.1016/J.VACCINE.2015.02.036","ISSN":"0264-410X","abstract":"Dengue infection is on the rise in many endemic areas of the tropics. Vaccination remains the most realistic strategy for prevention of this potentially fatal viral disease but there is currently no effective vaccine that could protect against all four known serotypes of the dengue virus. This study describes the generation and testing of a novel vaccination approach against dengue based on recombinant immune complexes (RIC). We modelled the dengue RIC on the existing Ebola RIC (Phoolcharoen, et al. Proc Natl Acad Sci USA 2011;108(Dec (51)):20695) but with a key modification that allowed formation of a universal RIC platform that can be easily adapted for use for other pathogens. This was achieved by retaining only the binding epitope of the 6D8 ant-Ebola mAb, which was then fused to the consensus dengue E3 domain (cEDIII), resulting in a hybrid dengue-Ebola RIC (DERIC). We expressed human and mouse versions of these molecules in tobacco plants using a geminivirus-based expression system. Following purification from the plant extracts by protein G affinity chromatography, DERIC bound to C1q component of complement, thus confirming functionality. Importantly, following immunization of mice, DERIC induced a potent, virus-neutralizing anti-cEDIII humoral immune response without exogenous adjuvants. We conclude that these self-adjuvanting immunogens have the potential to be developed as a novel vaccine candidate for dengue infection, and provide the basis for a universal RIC platform for use with other antigens.","author":[{"dropping-particle":"","family":"Kim","given":"Mi-Young","non-dropping-particle":"","parse-names":false,"suffix":""},{"dropping-particle":"","family":"Reljic","given":"Rajko","non-dropping-particle":"","parse-names":false,"suffix":""},{"dropping-particle":"","family":"Kilbourne","given":"Jacquelyn","non-dropping-particle":"","parse-names":false,"suffix":""},{"dropping-particle":"","family":"Ceballos-Olvera","given":"Ivonne","non-dropping-particle":"","parse-names":false,"suffix":""},{"dropping-particle":"","family":"Yang","given":"Moon-Sik","non-dropping-particle":"","parse-names":false,"suffix":""},{"dropping-particle":"","family":"Reyes-del Valle","given":"Jorge","non-dropping-particle":"","parse-names":false,"suffix":""},{"dropping-particle":"","family":"Mason","given":"Hugh S.","non-dropping-particle":"","parse-names":false,"suffix":""}],"container-title":"Vaccine","id":"ITEM-1","issue":"15","issued":{"date-parts":[["2015","4","8"]]},"page":"1830-1838","publisher":"Elsevier","title":"Novel vaccination approach for dengue infection based on recombinant immune complex universal platform","type":"article-journal","volume":"33"},"uris":["http://www.mendeley.com/documents/?uuid=b93e1fb8-0da9-375a-8590-93c23c4c6b65"]},{"id":"ITEM-2","itemData":{"DOI":"10.1517/14728214.10.1.185","ISSN":"14728214","PMID":"15757412","abstract":"Many of our 'small-molecule-drugs' are natural products from plants, or are synthetic compounds based on molecules found naturally in plants. However, the vast majority of the protein therapeutics (or biopharmaceuticals) we use are from animal or human sources, and are produced commercially in microbial or mammalian bioreactor systems. Over the last few years, it has become clear that plants have great potential for the production of human proteins and other protein-based therapeutic entities. Plants offer the prospect of inexpensive biopharmaceutical production without sacrificing product quality or safety, and following the success of several plant-derived technical proteins, the first therapeutic products are now approaching the market. In this review, the different plant-based production systems are discussed and the merits of transgenic plants are evaluated compared with other platforms. A detailed discussion is provided of the development issues that remain to be addressed before plants become an acceptable mainstream production technology. The many different proteins that have already been produced using plants are described, and a sketch of the current market and the activities of the key players is provided. Despite the currently unclear regulatory framework and general industry inertia, the benefits of plant-derived pharmaceuticals are now bringing the prospect of inexpensive veterinary and human medicines closer than ever before.","author":[{"dropping-particle":"","family":"Twyman","given":"Richard M.","non-dropping-particle":"","parse-names":false,"suffix":""},{"dropping-particle":"","family":"Schillberg","given":"Stefan","non-dropping-particle":"","parse-names":false,"suffix":""},{"dropping-particle":"","family":"Fischer","given":"Rainer","non-dropping-particle":"","parse-names":false,"suffix":""}],"container-title":"Expert Opinion on Emerging Drugs","id":"ITEM-2","issue":"1","issued":{"date-parts":[["2005","2"]]},"page":"185-218","publisher":"Taylor &amp; Francis","title":"Transgenic plants in the biopharmaceutical market","type":"article","volume":"10"},"uris":["http://www.mendeley.com/documents/?uuid=4bd3dc87-95bf-301f-80ba-f11f7ac46e6f"]}],"mendeley":{"formattedCitation":"&lt;sup&gt;5, 6&lt;/sup&gt;","plainTextFormattedCitation":"5, 6","previouslyFormattedCitation":"&lt;sup&gt;5, 6&lt;/sup&gt;"},"properties":{"noteIndex":0},"schema":"https://github.com/citation-style-language/schema/raw/master/csl-citation.json"}</w:instrText>
      </w:r>
      <w:r>
        <w:fldChar w:fldCharType="separate"/>
      </w:r>
      <w:r w:rsidR="0009107D" w:rsidRPr="0009107D">
        <w:rPr>
          <w:noProof/>
          <w:vertAlign w:val="superscript"/>
        </w:rPr>
        <w:t>5,6</w:t>
      </w:r>
      <w:r>
        <w:fldChar w:fldCharType="end"/>
      </w:r>
      <w:r w:rsidRPr="00796AAD">
        <w:t>. Production of protein therapeutics in plants (</w:t>
      </w:r>
      <w:r w:rsidR="00F6433E">
        <w:t>"</w:t>
      </w:r>
      <w:r w:rsidRPr="00796AAD">
        <w:t>molecular pharming</w:t>
      </w:r>
      <w:r w:rsidR="00F6433E">
        <w:t>"</w:t>
      </w:r>
      <w:r w:rsidRPr="00796AAD">
        <w:t xml:space="preserve">) does not </w:t>
      </w:r>
      <w:r>
        <w:t>require</w:t>
      </w:r>
      <w:r w:rsidRPr="00796AAD">
        <w:t xml:space="preserve"> expensive bioreactors or cell culture facilities as do traditional </w:t>
      </w:r>
      <w:r w:rsidRPr="00796AAD">
        <w:lastRenderedPageBreak/>
        <w:t>mammalian cell culture techniques</w:t>
      </w:r>
      <w:r w:rsidRPr="00375DFD">
        <w:fldChar w:fldCharType="begin" w:fldLock="1"/>
      </w:r>
      <w:r w:rsidR="009E7237">
        <w:instrText xml:space="preserve">ADDIN CSL_CITATION {"citationItems":[{"id":"ITEM-1","itemData":{"DOI":"10.1146/annurev-arplant-050213-035850","ISSN":"1543-5008","abstract":"Plant molecular pharming has emerged as a niche technology for the manufacture of pharmaceutical products indicated for chronic and infectious diseases, particularly for products that do not fit into the current industry-favored model of fermenter-based production campaigns. In this review, we explore the areas where molecular pharming can make the greatest impact, including the production of pharmaceuticals that have novel glycan structures or that cannot be produced efficiently in microbes or mammalian cells because they are insoluble or toxic. We also explore the market dynamics that encourage the use of molecular pharming, particularly for pharmaceuticals that are required in small amounts (such as personalized medicines) or large amounts (on a multi-ton scale, such as blood products and microbicides) and those that are needed in response to emergency situations (pandemics and bioterrorism). The impact of molecular pharming will increase as the platforms become standardized and optimized through adoption of good manufacturing practice (GMP) standards for clinical development, offering a new opportunity to produce inexpensive medicines in regional markets that are typically excluded under current business models.","author":[{"dropping-particle":"","family":"Stoger","given":"Eva","non-dropping-particle":"","parse-names":false,"suffix":""},{"dropping-particle":"","family":"Fischer","given":"Rainer","non-dropping-particle":"","parse-names":false,"suffix":""},{"dropping-particle":"","family":"Moloney","given":"Maurice","non-dropping-particle":"","parse-names":false,"suffix":""},{"dropping-particle":"","family":"Ma","given":"Julian K.-C.","non-dropping-particle":"","parse-names":false,"suffix":""}],"container-title":"Annual Review of Plant Biology","id":"ITEM-1","issue":"1","issued":{"date-parts":[["2014","4","29"]]},"page":"743-768","publisher":"Annual Reviews","title":"Plant Molecular Pharming for the Treatment of Chronic and Infectious Diseases","type":"article-journal","volume":"65"},"uris":["http://www.mendeley.com/documents/?uuid=c80cfdb6-b2de-34ed-9076-14eebe952a31"]},{"id":"ITEM-2","itemData":{"DOI":"10.1002/bit.24523","ISSN":"00063592","abstract":"The transient expression of recombinant biopharmaceutical proteins in plants can suffer inter-batch variation, which is considered a major drawback under the strict regulatory demands imposed by current good manufacturing practice (cGMP). However, we have achieved transient expression of the monoclonal antibody 2G12 and the fluorescent marker protein DsRed in tobacco leaves with </w:instrText>
      </w:r>
      <w:r w:rsidR="009E7237">
        <w:rPr>
          <w:rFonts w:ascii="Cambria Math" w:hAnsi="Cambria Math" w:cs="Cambria Math"/>
        </w:rPr>
        <w:instrText>∼</w:instrText>
      </w:r>
      <w:r w:rsidR="009E7237">
        <w:instrText>15% intra-batch coefficients of variation, which is within the range reported for transgenic plants. We developed models for the transient expression of both proteins that predicted quantitative expression levels based on five parameters: The OD600nm of Agrobacterium tumefaciens (from 0.13 to 2.00), post-inoculation incubation temperature (15-30°C), plant age (harvest at 40 or 47 days after seeding), leaf age, and position within the leaf. The expression models were combined with a model of plant biomass distribution and extraction, generating a yield model for each target protein that could predict the amount of protein in specific leaf parts, individual leaves, groups of leaves, and whole plants. When the yield model was combined with a cost function for the production process, we were able to perform calculations to optimize process time, yield, or downstream costs. We illustrate this procedure by transferring the cost function from a production process using transgenic plants to a hypothetical process for the transient expression of 2G12. Our models allow the economic evaluation of new plant-based production processes and provide greater insight into the parameters that affect transient protein expression in plants. © 2012 Wiley Periodicals, Inc.","author":[{"dropping-particle":"","family":"Buyel","given":"J.F.","non-dropping-particle":"","parse-names":false,"suffix":""},{"dropping-particle":"","family":"Fischer","given":"R.","non-dropping-particle":"","parse-names":false,"suffix":""}],"container-title":"Biotechnology and Bioengineering","id":"ITEM-2","issue":"10","issued":{"date-parts":[["2012","10","1"]]},"page":"2575-2588","publisher":"John Wiley &amp; Sons, Ltd","title":"Predictive models for transient protein expression in tobacco (Nicotiana tabacum L.) can optimize process time, yield, and downstream costs","type":"article-journal","volume":"109"},"uris":["http://www.mendeley.com/documents/?uuid=a2c015a4-b02d-3695-b9e5-54ff692269e1"]}],"mendeley":{"formattedCitation":"&lt;sup&gt;7, 8&lt;/sup&gt;","plainTextFormattedCitation":"7, 8","previouslyFormattedCitation":"&lt;sup&gt;7, 8&lt;/sup&gt;"},"properties":{"noteIndex":0},"schema":"https://github.com/citation-style-language/schema/raw/master/csl-citation.json"}</w:instrText>
      </w:r>
      <w:r w:rsidRPr="00375DFD">
        <w:fldChar w:fldCharType="separate"/>
      </w:r>
      <w:r w:rsidR="0009107D" w:rsidRPr="0009107D">
        <w:rPr>
          <w:noProof/>
          <w:vertAlign w:val="superscript"/>
        </w:rPr>
        <w:t>7,8</w:t>
      </w:r>
      <w:r w:rsidRPr="00375DFD">
        <w:fldChar w:fldCharType="end"/>
      </w:r>
      <w:r w:rsidRPr="00796AAD">
        <w:t xml:space="preserve">. Plants </w:t>
      </w:r>
      <w:r w:rsidR="00121EDF">
        <w:t>cannot</w:t>
      </w:r>
      <w:r w:rsidRPr="00796AAD">
        <w:t xml:space="preserve"> contract human pathogens, </w:t>
      </w:r>
      <w:r>
        <w:t>minimizing</w:t>
      </w:r>
      <w:r w:rsidRPr="00796AAD">
        <w:t xml:space="preserve"> potential contamination</w:t>
      </w:r>
      <w:r w:rsidRPr="00375DFD">
        <w:fldChar w:fldCharType="begin" w:fldLock="1"/>
      </w:r>
      <w:r w:rsidR="009E7237">
        <w:instrText>ADDIN CSL_CITATION {"citationItems":[{"id":"ITEM-1","itemData":{"DOI":"10.3390/ijms161226122","ISSN":"14220067","abstract":"Plant molecular farming (PMF), defined as the practice of using plants to produce human therapeutic proteins, has received worldwide interest. PMF has grown and advanced considerably over the past two decades. A number of therapeutic proteins have been produced in plants, some of which have been through pre-clinical or clinical trials and are close to commercialization. Plants have the potential to mass-produce pharmaceutical products with less cost than traditional methods. Tobacco-derived antibodies have been tested and used to combat the Ebola outbreak in Africa. Genetically engineered immunoadhesin (DPP4-Fc) produced in green plants has been shown to be able to bind to MERS-CoV (Middle East Respiratory Syndrome), preventing the virus from infecting lung cells. Biosafety concerns (such as pollen contamination and immunogenicity of plant-specific glycans) and costly downstream extraction and purification requirements, however, have hampered PMF production from moving from the laboratory to industrial application. In this review, the challenges and opportunities of PMF are discussed. Topics addressed include; transformation and expression systems, plant bioreactors, safety concerns, and various opportunities to produce topical applications and health supplements.","author":[{"dropping-particle":"","family":"Yao","given":"Jian","non-dropping-particle":"","parse-names":false,"suffix":""},{"dropping-particle":"","family":"Weng","given":"Yunqi","non-dropping-particle":"","parse-names":false,"suffix":""},{"dropping-particle":"","family":"Dickey","given":"Alexia","non-dropping-particle":"","parse-names":false,"suffix":""},{"dropping-particle":"","family":"Wang","given":"Kevin Yueju","non-dropping-particle":"","parse-names":false,"suffix":""}],"container-title":"International Journal of Molecular Sciences","id":"ITEM-1","issue":"12","issued":{"date-parts":[["2015","12","2"]]},"page":"28549-28565","publisher":"MDPI AG","title":"Plants as factories for human pharmaceuticals: Applications and challenges","type":"article","volume":"16"},"uris":["http://www.mendeley.com/documents/?uuid=974610ac-7395-3fcb-8993-3656944992bb"]}],"mendeley":{"formattedCitation":"&lt;sup&gt;9&lt;/sup&gt;","plainTextFormattedCitation":"9","previouslyFormattedCitation":"&lt;sup&gt;9&lt;/sup&gt;"},"properties":{"noteIndex":0},"schema":"https://github.com/citation-style-language/schema/raw/master/csl-citation.json"}</w:instrText>
      </w:r>
      <w:r w:rsidRPr="00375DFD">
        <w:fldChar w:fldCharType="separate"/>
      </w:r>
      <w:r w:rsidR="0009107D" w:rsidRPr="0009107D">
        <w:rPr>
          <w:noProof/>
          <w:vertAlign w:val="superscript"/>
        </w:rPr>
        <w:t>9</w:t>
      </w:r>
      <w:r w:rsidRPr="00375DFD">
        <w:fldChar w:fldCharType="end"/>
      </w:r>
      <w:r w:rsidRPr="00796AAD">
        <w:t xml:space="preserve">. </w:t>
      </w:r>
      <w:r w:rsidR="00196DCC">
        <w:t xml:space="preserve">Both transient and transgenic </w:t>
      </w:r>
      <w:r w:rsidR="0043180E">
        <w:t xml:space="preserve">plant-based protein </w:t>
      </w:r>
      <w:r w:rsidR="003D1139">
        <w:t xml:space="preserve">expression </w:t>
      </w:r>
      <w:r w:rsidR="00BA7B6B">
        <w:t xml:space="preserve">can be </w:t>
      </w:r>
      <w:r w:rsidR="001B7BB2" w:rsidRPr="001B7BB2">
        <w:t>utilized as lower-cost alternatives to mammalian or bacterial production systems</w:t>
      </w:r>
      <w:r w:rsidR="00C4309B">
        <w:fldChar w:fldCharType="begin" w:fldLock="1"/>
      </w:r>
      <w:r w:rsidR="009E7237">
        <w:instrText>ADDIN CSL_CITATION {"citationItems":[{"id":"ITEM-1","itemData":{"DOI":"10.1002/bit.10483","ISSN":"0006-3592","author":[{"dropping-particle":"","family":"Mor","given":"Tsafrir S.","non-dropping-particle":"","parse-names":false,"suffix":""},{"dropping-particle":"","family":"Moon","given":"Yong-Sun","non-dropping-particle":"","parse-names":false,"suffix":""},{"dropping-particle":"","family":"Palmer","given":"Kenneth E.","non-dropping-particle":"","parse-names":false,"suffix":""},{"dropping-particle":"","family":"Mason","given":"Hugh S.","non-dropping-particle":"","parse-names":false,"suffix":""}],"container-title":"Biotechnology and Bioengineering","id":"ITEM-1","issue":"4","issued":{"date-parts":[["2003","2","20"]]},"page":"430-437","publisher":"Wiley-Blackwell","title":"Geminivirus vectors for high-level expression of foreign proteins in plant cells","type":"article-journal","volume":"81"},"uris":["http://www.mendeley.com/documents/?uuid=7fb82d86-2ffd-31fc-b05c-612c39255d74"]}],"mendeley":{"formattedCitation":"&lt;sup&gt;10&lt;/sup&gt;","plainTextFormattedCitation":"10","previouslyFormattedCitation":"&lt;sup&gt;10&lt;/sup&gt;"},"properties":{"noteIndex":0},"schema":"https://github.com/citation-style-language/schema/raw/master/csl-citation.json"}</w:instrText>
      </w:r>
      <w:r w:rsidR="00C4309B">
        <w:fldChar w:fldCharType="separate"/>
      </w:r>
      <w:r w:rsidR="0009107D" w:rsidRPr="0009107D">
        <w:rPr>
          <w:noProof/>
          <w:vertAlign w:val="superscript"/>
        </w:rPr>
        <w:t>10</w:t>
      </w:r>
      <w:r w:rsidR="00C4309B">
        <w:fldChar w:fldCharType="end"/>
      </w:r>
      <w:r w:rsidR="002B5850">
        <w:t>.</w:t>
      </w:r>
      <w:r w:rsidR="001B7BB2" w:rsidRPr="1E18FA45">
        <w:rPr>
          <w:color w:val="A6A6A6" w:themeColor="background1" w:themeShade="A6"/>
        </w:rPr>
        <w:t xml:space="preserve"> </w:t>
      </w:r>
      <w:r w:rsidR="001B7BB2" w:rsidRPr="001B7BB2">
        <w:t>Tho</w:t>
      </w:r>
      <w:r w:rsidR="00CC071A">
        <w:t>u</w:t>
      </w:r>
      <w:r w:rsidR="00EE2DC8">
        <w:t>g</w:t>
      </w:r>
      <w:r w:rsidR="001B7BB2" w:rsidRPr="001B7BB2">
        <w:t xml:space="preserve">h transgenic plants are preferred for crop production, recombinant protein production </w:t>
      </w:r>
      <w:r w:rsidR="76E991D2">
        <w:t>using</w:t>
      </w:r>
      <w:r w:rsidR="001B7BB2" w:rsidRPr="001B7BB2">
        <w:t xml:space="preserve"> this method can require weeks to months. Advances in transient expression using viral vectors thro</w:t>
      </w:r>
      <w:r w:rsidR="00CC071A">
        <w:t>u</w:t>
      </w:r>
      <w:r w:rsidR="00EE2DC8">
        <w:t>g</w:t>
      </w:r>
      <w:r w:rsidR="001B7BB2" w:rsidRPr="001B7BB2">
        <w:t>h either syringe or vacuum agroinfiltration allow for small- and large-scale production, respectively, of the desired protein in days</w:t>
      </w:r>
      <w:r w:rsidRPr="00375DFD">
        <w:fldChar w:fldCharType="begin" w:fldLock="1"/>
      </w:r>
      <w:r w:rsidR="009E7237">
        <w:instrText>ADDIN CSL_CITATION {"citationItems":[{"id":"ITEM-1","itemData":{"DOI":"10.1016/j.virol.2012.06.012","ISSN":"00426822","abstract":"Transgenic plants present enormous potential as a cost-effective and safe platform for large-scale production of vaccines and other therapeutic proteins. A number of different technologies are under development for the production of pharmaceutical proteins from plant tissues. One method used to express high levels of protein in plants involves the employment of plant virus expression vectors. Plant virus vectors have been designed to carry vaccine epitopes as well as full therapeutic proteins such as monoclonal antibodies in plant tissue both safely and effectively. Biopharmaceuticals such as these offer enormous potential on many levels, from providing relief to those who have little access to modern medicine, to playing an active role in the battle against cancer. This review describes the current design and status of plant virus expression vectors used as production platforms for biopharmaceutical proteins. © 2012 Elsevier Inc.","author":[{"dropping-particle":"","family":"Hefferon","given":"Kathleen Laura","non-dropping-particle":"","parse-names":false,"suffix":""}],"container-title":"Virology","id":"ITEM-1","issue":"1","issued":{"date-parts":[["2012","11","10"]]},"page":"1-6","publisher":"Academic Press","title":"Plant virus expression vectors set the stage as production platforms for biopharmaceutical proteins","type":"article","volume":"433"},"uris":["http://www.mendeley.com/documents/?uuid=942ebd3b-bdaf-361c-b195-b65fe7cddde2"]},{"id":"ITEM-2","itemData":{"DOI":"10.1038/s41598-018-23024-y","ISSN":"2045-2322","abstract":"An efficient and high yielding expression system is required to produce recombinant proteins. Furthermore, the transient expression system can be used to identify the localization of proteins in plant cells. In this study, we demonstrated that combination of a geminiviral replication and a double terminator dramatically enhanced the transient protein expression level in plants. The GFP protein was expressed transiently in lettuce, Nicotiana benthamiana, tomatoes, eggplants, hot peppers, melons, and orchids with agroinfiltration. Compared to a single terminator, a double terminator enhanced the expression level. A heat shock protein terminator combined with an extensin terminator resulted in the highest protein expression. Transiently expressed GFP was confirmed by immunoblot analysis with anti-GFP antibodies. Quantitative analysis revealed that the geminiviral vector with a double terminator resulted in the expression of at least 3.7 mg/g fresh weight of GFP in Nicotiana benthamiana, approximately 2-fold that of the geminiviral vector with a single terminator. These results indicated that combination of the geminiviral replication and a double terminator is a useful tool for transient expression of the gene of interest in plant cells.","author":[{"dropping-particle":"","family":"Yamamoto","given":"Tsuyoshi","non-dropping-particle":"","parse-names":false,"suffix":""},{"dropping-particle":"","family":"Hoshikawa","given":"Ken","non-dropping-particle":"","parse-names":false,"suffix":""},{"dropping-particle":"","family":"Ezura","given":"Kentaro","non-dropping-particle":"","parse-names":false,"suffix":""},{"dropping-particle":"","family":"Okazawa","given":"Risa","non-dropping-particle":"","parse-names":false,"suffix":""},{"dropping-particle":"","family":"Fujita","given":"Satoshi","non-dropping-particle":"","parse-names":false,"suffix":""},{"dropping-particle":"","family":"Takaoka","given":"Miyo","non-dropping-particle":"","parse-names":false,"suffix":""},{"dropping-particle":"","family":"Mason","given":"Hugh S.","non-dropping-particle":"","parse-names":false,"suffix":""},{"dropping-particle":"","family":"Ezura","given":"Hiroshi","non-dropping-particle":"","parse-names":false,"suffix":""},{"dropping-particle":"","family":"Miura","given":"Kenji","non-dropping-particle":"","parse-names":false,"suffix":""}],"container-title":"Scientific Reports","id":"ITEM-2","issue":"1","issued":{"date-parts":[["2018","12","19"]]},"page":"4755","publisher":"Nature Publishing Group","title":"Improvement of the transient expression system for production of recombinant proteins in plants","type":"article-journal","volume":"8"},"uris":["http://www.mendeley.com/documents/?uuid=cdec59b3-9756-3358-bb68-fe1298b4b655"]},{"id":"ITEM-3","itemData":{"DOI":"10.1023/A:1009677809492","ISSN":"13803743","abstract":"The development of genetic transformation technology for plants has stimulated an interest in using transgenic plants as a novel manufacturing system for producing different classes of proteins of industrial and pharmaceutical value. In this regard, we report the generation and characterization of transgenic maize lines producing recombinant aprotinin. The transgenic aprotinin lines recovered were transformed with the aprotinin gene using the bar gene as a selectable marker. The bar and aprotinin genes were introduced into immature maize embryos via particle bombardment. Aprotinin gene expression was driven by the maize ubiquitin promoter and protein accumulation was targeted to the extracellular matrix. One line that showed a high level of aprotinin expression was characterized in detail. The protein accumulates primarily in the embryo of the seed. Southern blot analysis showed that the line had at least 20 copies of the bar and aprotinin genes. Further genetic analysis revealed that numerous plants derived from this transgenic line had a large range of levels of expression of the aprotinin gene (0-0.069%) of water-soluble protein in T2 seeds. One plant lineage that showed stable expression after 4 selfing generations was recovered from the parental transgenic line. This line showed an accumulation of the protein in seeds that was comparable to the best T2 lines, and the recombinant aprotinin could be effectively recovered and purified from seeds. Biochemical analysis of the purified aprotinin from seeds revealed that the recombinant aprotinin had the same molecular weight, N-terminal amino acid sequence, isoelectric point, and trypsin inhibition activity as native aprotinin. The demonstration that the recombinant aprotinin protein purified from transgenic maize seeds has biochemical and functional properties identical to its native counterpart provides a proof-of-concept example for producing new generation products for the pharmaceutical industry.","author":[{"dropping-particle":"","family":"Zhong","given":"Gan Yuan","non-dropping-particle":"","parse-names":false,"suffix":""},{"dropping-particle":"","family":"Peterson","given":"David","non-dropping-particle":"","parse-names":false,"suffix":""},{"dropping-particle":"","family":"Delaney","given":"Donna E.","non-dropping-particle":"","parse-names":false,"suffix":""},{"dropping-particle":"","family":"Bailey","given":"Michele","non-dropping-particle":"","parse-names":false,"suffix":""},{"dropping-particle":"","family":"Witcher","given":"Derrick R.","non-dropping-particle":"","parse-names":false,"suffix":""},{"dropping-particle":"","family":"Register","given":"James C.","non-dropping-particle":"","parse-names":false,"suffix":""},{"dropping-particle":"","family":"Bond","given":"Diane","non-dropping-particle":"","parse-names":false,"suffix":""},{"dropping-particle":"","family":"Li","given":"Chun Ping","non-dropping-particle":"","parse-names":false,"suffix":""},{"dropping-particle":"","family":"Marshall","given":"Lisa","non-dropping-particle":"","parse-names":false,"suffix":""},{"dropping-particle":"","family":"Kulisek","given":"Ellen","non-dropping-particle":"","parse-names":false,"suffix":""},{"dropping-particle":"","family":"Ritland","given":"David","non-dropping-particle":"","parse-names":false,"suffix":""},{"dropping-particle":"","family":"Meyer","given":"Terry","non-dropping-particle":"","parse-names":false,"suffix":""},{"dropping-particle":"","family":"Hood","given":"Elizabeth E.","non-dropping-particle":"","parse-names":false,"suffix":""},{"dropping-particle":"","family":"Howard","given":"John A.","non-dropping-particle":"","parse-names":false,"suffix":""}],"container-title":"Molecular Breeding","id":"ITEM-3","issue":"4","issued":{"date-parts":[["1999"]]},"page":"345-356","publisher":"Springer","title":"Commercial production of aprotinin in transgenic maize seeds","type":"article-journal","volume":"5"},"uris":["http://www.mendeley.com/documents/?uuid=d01ff883-7322-3055-bc7b-7adee7b700dc"]},{"id":"ITEM-4","itemData":{"DOI":"10.1038/81132","ISSN":"10870156","PMID":"11062432","abstract":"Plants have considerable potential for the production of biopharmaceutical proteins and peptides because they are easily transformed and provide a cheap source of protein. Several biotechnology companies are now actively developing, field testing, and patenting plant expression systems, while clinical trials are proceeding on the first biopharmaceuticals derived from them. One transgenic plant-derived biopharmaceutical, hirudin, is now being commercially produced in Canada for the first time. Product purification is potentially an expensive process, and various methods are currently being developed to overcome this problem, including oleosin-fusion technology, which allows extraction with oil bodies. In some cases, delivery of a biopharmaceutical product by direct ingestion of the modified plant potentially removes the need for purification. Such biopharmaceuticals and edible vaccines can be stored and distributed as seeds, tubers, or fruits, making immunization programs in developing countries cheaper and potentially easier to administer. Some of the most expensive biopharmaceuticals of restricted availability, such as glucocerebrosidase, could become much cheaper and more plentiful through production in transgenic plants.","author":[{"dropping-particle":"","family":"Giddings","given":"Glynis","non-dropping-particle":"","parse-names":false,"suffix":""},{"dropping-particle":"","family":"Allison","given":"Gordon","non-dropping-particle":"","parse-names":false,"suffix":""},{"dropping-particle":"","family":"Brooks","given":"Douglas","non-dropping-particle":"","parse-names":false,"suffix":""},{"dropping-particle":"","family":"Carter","given":"Adrian","non-dropping-particle":"","parse-names":false,"suffix":""}],"container-title":"Nature Biotechnology","id":"ITEM-4","issue":"11","issued":{"date-parts":[["2000"]]},"page":"1151-1155","publisher":"Nature Publishing Group","title":"Transgenic plants as factories for biopharmaceuticals","type":"article-journal","volume":"18"},"uris":["http://www.mendeley.com/documents/?uuid=86267575-2dd4-33f0-8d9a-f65ff7424ef4"]}],"mendeley":{"formattedCitation":"&lt;sup&gt;11–14&lt;/sup&gt;","plainTextFormattedCitation":"11–14","previouslyFormattedCitation":"&lt;sup&gt;11–14&lt;/sup&gt;"},"properties":{"noteIndex":0},"schema":"https://github.com/citation-style-language/schema/raw/master/csl-citation.json"}</w:instrText>
      </w:r>
      <w:r w:rsidRPr="00375DFD">
        <w:fldChar w:fldCharType="separate"/>
      </w:r>
      <w:r w:rsidR="0009107D" w:rsidRPr="0009107D">
        <w:rPr>
          <w:noProof/>
          <w:vertAlign w:val="superscript"/>
        </w:rPr>
        <w:t>11–14</w:t>
      </w:r>
      <w:r w:rsidRPr="00375DFD">
        <w:fldChar w:fldCharType="end"/>
      </w:r>
      <w:r>
        <w:t>.</w:t>
      </w:r>
      <w:r w:rsidR="3376840A">
        <w:t xml:space="preserve"> </w:t>
      </w:r>
      <w:r w:rsidR="0018389B">
        <w:t>Production of</w:t>
      </w:r>
      <w:r w:rsidR="00692C3E">
        <w:t xml:space="preserve"> </w:t>
      </w:r>
      <w:proofErr w:type="spellStart"/>
      <w:r w:rsidR="00692C3E">
        <w:t>mAbs</w:t>
      </w:r>
      <w:proofErr w:type="spellEnd"/>
      <w:r w:rsidR="00462D66">
        <w:t xml:space="preserve"> </w:t>
      </w:r>
      <w:r w:rsidR="00692C3E">
        <w:t xml:space="preserve">against Ebola, </w:t>
      </w:r>
      <w:r w:rsidR="004A6743">
        <w:t>Dengue</w:t>
      </w:r>
      <w:r w:rsidR="0000532E" w:rsidRPr="0000532E">
        <w:t xml:space="preserve"> </w:t>
      </w:r>
      <w:r w:rsidR="00D57137">
        <w:t>and</w:t>
      </w:r>
      <w:r w:rsidR="0048488D">
        <w:t xml:space="preserve">, </w:t>
      </w:r>
      <w:r w:rsidR="00D527A3">
        <w:t>Zika</w:t>
      </w:r>
      <w:r w:rsidR="00D54FAE">
        <w:t xml:space="preserve">, </w:t>
      </w:r>
      <w:r w:rsidR="0048488D">
        <w:t>a</w:t>
      </w:r>
      <w:r w:rsidR="00D54FAE">
        <w:t>nd</w:t>
      </w:r>
      <w:r w:rsidR="0048488D">
        <w:t xml:space="preserve"> numerous other</w:t>
      </w:r>
      <w:r w:rsidR="0000532E">
        <w:t xml:space="preserve"> recombinant proteins</w:t>
      </w:r>
      <w:r w:rsidR="00D54FAE">
        <w:t>,</w:t>
      </w:r>
      <w:r w:rsidR="0000532E">
        <w:t xml:space="preserve"> have </w:t>
      </w:r>
      <w:r w:rsidR="0048488D">
        <w:t>been</w:t>
      </w:r>
      <w:r w:rsidR="00822C3F">
        <w:t xml:space="preserve"> produce</w:t>
      </w:r>
      <w:r w:rsidR="0048488D">
        <w:t>d</w:t>
      </w:r>
      <w:r w:rsidR="00822C3F">
        <w:t xml:space="preserve"> </w:t>
      </w:r>
      <w:r w:rsidR="0048488D">
        <w:t xml:space="preserve">and purified </w:t>
      </w:r>
      <w:r w:rsidR="00822C3F">
        <w:t xml:space="preserve">quickly and efficiently </w:t>
      </w:r>
      <w:r w:rsidR="00D54FAE">
        <w:t>using transient expression in</w:t>
      </w:r>
      <w:r w:rsidR="00822C3F">
        <w:t xml:space="preserve"> </w:t>
      </w:r>
      <w:r w:rsidR="00822C3F" w:rsidRPr="00822C3F">
        <w:rPr>
          <w:i/>
          <w:iCs/>
        </w:rPr>
        <w:t>N. benthamiana</w:t>
      </w:r>
      <w:r w:rsidR="00822C3F">
        <w:t xml:space="preserve"> plants</w:t>
      </w:r>
      <w:r w:rsidR="00FB2BDF">
        <w:fldChar w:fldCharType="begin" w:fldLock="1"/>
      </w:r>
      <w:r w:rsidR="009E7237">
        <w:instrText>ADDIN CSL_CITATION {"citationItems":[{"id":"ITEM-1","itemData":{"DOI":"10.1016/j.chroma.2015.02.013","ISSN":"18733778","PMID":"25746758","abstract":"Monoclonal antibodies (mAbs) are one of the fastest growing drug molecules targeting the treatment of diseases ranging from arthritis, immune disorders, and infectious diseases to cancer. Due to its unique application principle, antibodies are commonly produced in large quantities. Plants, such as Nicotiana benthamiana, offer a unique production platform for bio-therapeutics due to their ability to produce large amounts of biomolecules in a relatively quick manner. However, purification of a target protein from plant is an arduous task due to the presence of toxic compounds in ground plant tissue and the large quantities of plant tissues to be processed. Here, a process was developed prior to the chromatographic purification of a mAb against Ebola GP1 protein expressed in N. benthamiana. The process includes a diafiltration step and a charged polyelectrolyte precipitation. The diafiltration step significantly improved the precipitation efficiency, reducing the usage of polyelectrolyte by more than 2000 fold while improving the native plant protein removed from 60% to 80%. The mAb can then be purified to near homogeneity judging from SDS-PAGE by either Protein A affinity chromatography or a tandem of hydrophobic interaction chromatography and a hydrophobic charge induction chromatography. The purified mAbs were shown to retain their binding specificity to irradiated Ebola virus.","author":[{"dropping-particle":"","family":"Fulton","given":"Andrew","non-dropping-particle":"","parse-names":false,"suffix":""},{"dropping-particle":"","family":"Lai","given":"Huafang","non-dropping-particle":"","parse-names":false,"suffix":""},{"dropping-particle":"","family":"Chen","given":"Qiang","non-dropping-particle":"","parse-names":false,"suffix":""},{"dropping-particle":"","family":"Zhang","given":"Chenming","non-dropping-particle":"","parse-names":false,"suffix":""}],"container-title":"Journal of Chromatography A","id":"ITEM-1","issued":{"date-parts":[["2015","4","10"]]},"page":"128-132","publisher":"Elsevier B.V.","title":"Purification of monoclonal antibody against Ebola GP1 protein expressed in Nicotiana benthamiana","type":"article-journal","volume":"1389"},"uris":["http://www.mendeley.com/documents/?uuid=ab05c2b8-6ed8-3cf0-8ca9-dc6507c55f5e"]},{"id":"ITEM-2","itemData":{"DOI":"10.1101/2020.07.13.199703","abstract":"While therapeutics based on fusing a protein of interest to the IgG Fc domain have been enormously successful, fewer studies have investigated the vaccine potential of IgG fusions. In this study, we systematically compared the key properties of a panel of plant-made IgG fusion vaccine candidates targeting Zika virus envelope domain III (ZE3). Complement protein C1q binding of the IgG fusions was enhanced by: 1) ZE3 fusion to the IgG N-terminus; 2) removal of the IgG light chain or Fab regions; 3) addition of hexamer-inducing mutations in the IgG Fc; 4) adding a self-binding epitope tag to create recombinant immune complexes (RIC); or 5) producing IgG fusions in plants that lack plant-specific β1,2-linked xylose and α1,3-linked fucose N-linked glycans. We also characterized the expression, solubility, and stability of the IgG fusions. By optimizing the size of polymeric constructs, a potently immunogenic vaccine candidate with improved solubility and high stability was produced at 1.5 milligrams IgG fusion per gram leaf fresh weight (mg/g LFW). In mice, the various IgG fusions elicited high titers of Zika-specific antibodies using only two doses without adjuvant, up to 150-fold higher antibody titers than ZE3 alone. We anticipate these findings will be broadly applicable to the creation of vaccines and antibody-based therapeutics.\n\n### Competing Interest Statement\n\nThe authors have declared no competing interest.","author":[{"dropping-particle":"","family":"Diamos","given":"Andrew","non-dropping-particle":"","parse-names":false,"suffix":""},{"dropping-particle":"","family":"Pardhe","given":"Mary","non-dropping-particle":"","parse-names":false,"suffix":""},{"dropping-particle":"","family":"Sun","given":"Haiyan","non-dropping-particle":"","parse-names":false,"suffix":""},{"dropping-particle":"","family":"Hunter","given":"Joseph","non-dropping-particle":"","parse-names":false,"suffix":""},{"dropping-particle":"","family":"Kilbourne","given":"Jacquelyn","non-dropping-particle":"","parse-names":false,"suffix":""},{"dropping-particle":"","family":"Chen","given":"Qiang","non-dropping-particle":"","parse-names":false,"suffix":""},{"dropping-particle":"","family":"Mason","given":"Hugh","non-dropping-particle":"","parse-names":false,"suffix":""}],"container-title":"bioRxiv","id":"ITEM-2","issued":{"date-parts":[["2020","7","14"]]},"page":"2020.07.13.199703","publisher":"Cold Spring Harbor Laboratory","title":"A highly expressing, soluble, and stable plant-made IgG fusion carrying Zika virus envelope domain III elicits potent immunogenic responses in mice without adjuvant","type":"article-journal"},"uris":["http://www.mendeley.com/documents/?uuid=f6deb47a-43f5-3585-9c0b-43a388b25977"]},{"id":"ITEM-3","itemData":{"DOI":"10.7717/peerj.6600","ISSN":"21678359","abstract":"Background: Necrotic enteritis (NE) is caused by type A strains of the bacterium Clostridium perfringens. Total global economic losses to the poultry industry due to NE is estimated to be over two billion dollars annually. Traditionally, NE has been effectively controlled by inclusion of antibiotics in the diet of poultry. However, recent concerns regarding the impact of this practice on increasing antibiotic resistance in human pathogens have led us to consider alternative approaches, such as vaccination, for controlling this disease. NE strains of C. perfringens produce two major toxins, a-toxin and NetB. Immune responses against either toxin can provide partial protection against NE. Methods: We have developed a fusion protein combining a non-toxic carboxylterminal domain of a-toxin (PlcC) and an attenuated, mutant form of NetB (NetB-W262A) for use as a vaccine antigen to immunize poultry against NE. We utilized a DNA sequence that was codon-optimized for Nicotiana benthamiana to enable high levels of expression. The 6-His tagged PlcC-NetB fusion protein was synthesized in N. benthamiana using a geminiviral replicon transient expression system, purified by metal affinity chromatography, and used to immunize broiler birds. Results: Immunized birds produced a strong serum IgY response against both the plant produced PlcC-NetB protein and against bacterially produced His-PlcC and His-NetB. Immunized birds were significantly protected against a subsequent in-feed challenge with virulent C. perfringens when treated with the fusion protein. These results indicate that a plant-produced PlcC-NetB toxoid is a promising vaccine candidate for controlling NE in poultry.","author":[{"dropping-particle":"","family":"Hunter","given":"Joseph G.L.","non-dropping-particle":"","parse-names":false,"suffix":""},{"dropping-particle":"","family":"Wilde","given":"Shyra","non-dropping-particle":"","parse-names":false,"suffix":""},{"dropping-particle":"","family":"Tafoya","given":"Amanda M.","non-dropping-particle":"","parse-names":false,"suffix":""},{"dropping-particle":"","family":"Horsman","given":"Jamie","non-dropping-particle":"","parse-names":false,"suffix":""},{"dropping-particle":"","family":"Yousif","given":"Miranda","non-dropping-particle":"","parse-names":false,"suffix":""},{"dropping-particle":"","family":"Diamos","given":"Andrew G.","non-dropping-particle":"","parse-names":false,"suffix":""},{"dropping-particle":"","family":"Roland","given":"Kenneth L.","non-dropping-particle":"","parse-names":false,"suffix":""},{"dropping-particle":"","family":"Mason","given":"Hugh S.","non-dropping-particle":"","parse-names":false,"suffix":""}],"container-title":"PeerJ","id":"ITEM-3","issue":"3","issued":{"date-parts":[["2019","3","28"]]},"page":"e6600","publisher":"PeerJ Inc.","title":"Evaluation of a toxoid fusion protein vaccine produced in plants to protect poultry against necrotic enteritis","type":"article-journal","volume":"2019"},"uris":["http://www.mendeley.com/documents/?uuid=36613a55-23d3-335d-b9fb-8809289151dd"]},{"id":"ITEM-4","itemData":{"DOI":"10.1099/jgv.0.000635","ISSN":"14652099","PMID":"27902333","abstract":"The mAb E60 has the potential to be a desirable therapeutic molecule since it efficiently neutralizes all four serotypes of dengue virus (DENV). However, mammalian-cell-produced E60 exhibits antibody-dependent enhancement of infection (ADE) activity, rendering it inefficacious in vivo, and treated animals more susceptible to developing more severe diseases during secondary infection. In this study, we evaluated a plant-based expression system for the production of therapeutically suitable E60. The mAb was transiently expressed in Nicotiana benthamianaWT and a ∆XFT line, a glycosylation mutant lacking plant-specific N-glycan residues. The mAb was efficiently expressed and assembled in leaves and exhibited highly homogenous N-glycosylation profiles, i.e. GnGnXF3 or GnGn structures, depending on the expression host. Both E60 glycovariants demonstrated equivalent antigen-binding specificity and in vitro neutralization potency against DENV serotypes 2 and 4 compared with their mammalian-cell-produced counterpart. By contrast, plant-produced E60 exhibited reduced ADE activity in Fc gamma receptor expressing human cells. Our results suggest the ability of plant-produced antibodies to minimize ADE, which may lead to the development of safe and highly efficacious antibody-based therapeutics against DENV and other ADE-prone viral diseases. Our study provides so far unknown insight into the relationship between mAb N-glycosylation and ADE, which contributes to our understanding of how sugar moieties of antibodies modulate Fc-mediated functions and viral pathogenesis.","author":[{"dropping-particle":"","family":"Dent","given":"Matthew","non-dropping-particle":"","parse-names":false,"suffix":""},{"dropping-particle":"","family":"Hurtado","given":"Jonathan","non-dropping-particle":"","parse-names":false,"suffix":""},{"dropping-particle":"","family":"Paul","given":"Amber M.","non-dropping-particle":"","parse-names":false,"suffix":""},{"dropping-particle":"","family":"Sun","given":"Haiyan","non-dropping-particle":"","parse-names":false,"suffix":""},{"dropping-particle":"","family":"Lai","given":"Huafang","non-dropping-particle":"","parse-names":false,"suffix":""},{"dropping-particle":"","family":"Yang","given":"Ming","non-dropping-particle":"","parse-names":false,"suffix":""},{"dropping-particle":"","family":"Esqueda","given":"Adrian","non-dropping-particle":"","parse-names":false,"suffix":""},{"dropping-particle":"","family":"Bai","given":"Fengwei","non-dropping-particle":"","parse-names":false,"suffix":""},{"dropping-particle":"","family":"Steinkellner","given":"Herta","non-dropping-particle":"","parse-names":false,"suffix":""},{"dropping-particle":"","family":"Chen","given":"Qiang","non-dropping-particle":"","parse-names":false,"suffix":""}],"container-title":"Journal of General Virology","id":"ITEM-4","issue":"12","issued":{"date-parts":[["2016","12","1"]]},"page":"3280-3290","publisher":"Microbiology Society","title":"Plant-produced anti-dengue virus monoclonal antibodies exhibit reduced antibody-dependent enhancement of infection activity","type":"article-journal","volume":"97"},"uris":["http://www.mendeley.com/documents/?uuid=e2867ab9-8d71-3726-8643-f5a21039ea8b"]},{"id":"ITEM-5","itemData":{"DOI":"10.3389/fbioe.2019.00472","ISSN":"2296-4185","abstract":"Biopharmaceuticals are a large and fast-growing sector of the total pharmaceutical market with antibody-based therapeutics accounting for over 100 billion USD in sales yearly. Mammalian cells are traditionally used for monoclonal antibody production, however plant-based expression systems have significant advantages. In this work, we showcase recent advances made in plant transient expression systems using optimized geminiviral vectors that can efficiently produce heteromultimeric proteins. Two, three, or four fluorescent proteins were coexpressed simultaneously, reaching high yields of 3–5 g/kg leaf fresh weight or ~50% total soluble protein. As a proof-of-concept for this system, various antibodies were produced using the optimized vectors with special focus given to the creation and production of a chimeric broadly neutralizing anti-flavivirus antibody. The variable regions of this murine antibody, 2A10G6, were codon optimized and fused to a human IgG1. Analysis of the chimeric antibody showed that it was efficiently expressed in plants at 1.5 g of antibody/kilogram of leaf tissue, can be purified to near homogeneity by a simple one-step purification process, retains its ability to recognize the Zika virus envelope protein, and potently neutralizes Zika virus. Two other monoclonal antibodies were produced at similar levels (1.2–1.4 g/kg). This technology will be a versatile tool for the production of a wide spectrum of pharmaceutical multi-protein complexes in a fast, powerful, and cost-effective way.","author":[{"dropping-particle":"","family":"Diamos","given":"Andrew G.","non-dropping-particle":"","parse-names":false,"suffix":""},{"dropping-particle":"","family":"Hunter","given":"Joseph G. L.","non-dropping-particle":"","parse-names":false,"suffix":""},{"dropping-particle":"","family":"Pardhe","given":"Mary D.","non-dropping-particle":"","parse-names":false,"suffix":""},{"dropping-particle":"","family":"Rosenthal","given":"Sun H.","non-dropping-particle":"","parse-names":false,"suffix":""},{"dropping-particle":"","family":"Sun","given":"Haiyan","non-dropping-particle":"","parse-names":false,"suffix":""},{"dropping-particle":"","family":"Foster","given":"Bonnie C.","non-dropping-particle":"","parse-names":false,"suffix":""},{"dropping-particle":"","family":"DiPalma","given":"Michelle P.","non-dropping-particle":"","parse-names":false,"suffix":""},{"dropping-particle":"","family":"Chen","given":"Qiang","non-dropping-particle":"","parse-names":false,"suffix":""},{"dropping-particle":"","family":"Mason","given":"Hugh S.","non-dropping-particle":"","parse-names":false,"suffix":""}],"container-title":"Frontiers in Bioengineering and Biotechnology","id":"ITEM-5","issued":{"date-parts":[["2020","1","17"]]},"page":"472","publisher":"Frontiers Media S.A.","title":"High Level Production of Monoclonal Antibodies Using an Optimized Plant Expression System","type":"article-journal","volume":"7"},"uris":["http://www.mendeley.com/documents/?uuid=51e7b67a-f759-3315-8a86-bc1dbd96780f"]}],"mendeley":{"formattedCitation":"&lt;sup&gt;15–19&lt;/sup&gt;","plainTextFormattedCitation":"15–19","previouslyFormattedCitation":"&lt;sup&gt;15–19&lt;/sup&gt;"},"properties":{"noteIndex":0},"schema":"https://github.com/citation-style-language/schema/raw/master/csl-citation.json"}</w:instrText>
      </w:r>
      <w:r w:rsidR="00FB2BDF">
        <w:fldChar w:fldCharType="separate"/>
      </w:r>
      <w:r w:rsidR="0009107D" w:rsidRPr="0009107D">
        <w:rPr>
          <w:noProof/>
          <w:vertAlign w:val="superscript"/>
        </w:rPr>
        <w:t>15–19</w:t>
      </w:r>
      <w:r w:rsidR="00FB2BDF">
        <w:fldChar w:fldCharType="end"/>
      </w:r>
      <w:r w:rsidR="00822C3F">
        <w:t xml:space="preserve">. </w:t>
      </w:r>
      <w:r w:rsidR="00EB50E7" w:rsidRPr="00EB50E7">
        <w:t xml:space="preserve">These circumstances make transient plant-based expression an attractive option for developing multiple </w:t>
      </w:r>
      <w:r w:rsidR="006D1BFF">
        <w:t>Ab</w:t>
      </w:r>
      <w:r w:rsidR="00EB50E7" w:rsidRPr="00EB50E7">
        <w:t xml:space="preserve"> therapeutics and the method</w:t>
      </w:r>
      <w:r w:rsidR="000A52A1">
        <w:t>s</w:t>
      </w:r>
      <w:r w:rsidR="00EB50E7" w:rsidRPr="00EB50E7">
        <w:t xml:space="preserve"> demonstrated in this protocol</w:t>
      </w:r>
      <w:r w:rsidR="00525B60">
        <w:fldChar w:fldCharType="begin" w:fldLock="1"/>
      </w:r>
      <w:r w:rsidR="009E7237">
        <w:instrText>ADDIN CSL_CITATION {"citationItems":[{"id":"ITEM-1","itemData":{"DOI":"10.1073/pnas.1213709109","ISSN":"00278424","PMID":"23071322","abstract":"Filovirus infections can cause a severe and often fatal disease in humans and nonhuman primates, including great apes. Here, three anti-Ebola virus mouse/human chimeric mAbs (c13C6, h-13F6, and c6D8) were produced in Chinese hamster ovary and in whole plant (Nicotiana benthamiana) cells. In pilot experiments testing a mixture of the three mAbs (MB-003), we found that MB-003 produced in both manufacturing systems protected rhesus macaques fromlethal challenge when administered 1 h postinfection. In a pivotal followup experiment, we found significant protection (P &lt; 0.05) whenMB- 003 treatment began 24 or 48 h postinfection (four of six survived vs. zero of two controls). In all experiments, surviving animals that received MB-003 experienced little to no viremia and had few, if any, of the clinical symptoms observed in the controls. The results represent successful postexposure in vivo efficacy by a mAb mixture and suggest that this immunoprotectant should be further pursued as a postexposure and potential therapeutic for Ebola virus exposure.","author":[{"dropping-particle":"","family":"Olinger","given":"Gene Garrard","non-dropping-particle":"","parse-names":false,"suffix":""},{"dropping-particle":"","family":"Pettitt","given":"James","non-dropping-particle":"","parse-names":false,"suffix":""},{"dropping-particle":"","family":"Kim","given":"Do","non-dropping-particle":"","parse-names":false,"suffix":""},{"dropping-particle":"","family":"Working","given":"Cara","non-dropping-particle":"","parse-names":false,"suffix":""},{"dropping-particle":"","family":"Bohorov","given":"Ognian","non-dropping-particle":"","parse-names":false,"suffix":""},{"dropping-particle":"","family":"Bratcher","given":"Barry","non-dropping-particle":"","parse-names":false,"suffix":""},{"dropping-particle":"","family":"Hiatt","given":"Ernie","non-dropping-particle":"","parse-names":false,"suffix":""},{"dropping-particle":"","family":"Hume","given":"Steven D.","non-dropping-particle":"","parse-names":false,"suffix":""},{"dropping-particle":"","family":"Johnson","given":"Ashley K.","non-dropping-particle":"","parse-names":false,"suffix":""},{"dropping-particle":"","family":"Morton","given":"Josh","non-dropping-particle":"","parse-names":false,"suffix":""},{"dropping-particle":"","family":"Pauly","given":"Michael","non-dropping-particle":"","parse-names":false,"suffix":""},{"dropping-particle":"","family":"Whaley","given":"Kevin J.","non-dropping-particle":"","parse-names":false,"suffix":""},{"dropping-particle":"","family":"Lear","given":"Calli M.","non-dropping-particle":"","parse-names":false,"suffix":""},{"dropping-particle":"","family":"Biggins","given":"Julia E.","non-dropping-particle":"","parse-names":false,"suffix":""},{"dropping-particle":"","family":"Scully","given":"Corinne","non-dropping-particle":"","parse-names":false,"suffix":""},{"dropping-particle":"","family":"Hensley","given":"Lisa","non-dropping-particle":"","parse-names":false,"suffix":""},{"dropping-particle":"","family":"Zeitlin","given":"Larry","non-dropping-particle":"","parse-names":false,"suffix":""}],"container-title":"Proceedings of the National Academy of Sciences of the United States of America","id":"ITEM-1","issue":"44","issued":{"date-parts":[["2012","10","30"]]},"page":"18030-18035","publisher":"National Academy of Sciences","title":"Delayed treatment of Ebola virus infection with plant-derived monoclonal antibodies provides protection in rhesus macaques","type":"article-journal","volume":"109"},"uris":["http://www.mendeley.com/documents/?uuid=c850676a-9c65-3c7b-93da-ef58c013995e"]}],"mendeley":{"formattedCitation":"&lt;sup&gt;20&lt;/sup&gt;","plainTextFormattedCitation":"20","previouslyFormattedCitation":"&lt;sup&gt;20&lt;/sup&gt;"},"properties":{"noteIndex":0},"schema":"https://github.com/citation-style-language/schema/raw/master/csl-citation.json"}</w:instrText>
      </w:r>
      <w:r w:rsidR="00525B60">
        <w:fldChar w:fldCharType="separate"/>
      </w:r>
      <w:r w:rsidR="0009107D" w:rsidRPr="0009107D">
        <w:rPr>
          <w:noProof/>
          <w:vertAlign w:val="superscript"/>
        </w:rPr>
        <w:t>20</w:t>
      </w:r>
      <w:r w:rsidR="00525B60">
        <w:fldChar w:fldCharType="end"/>
      </w:r>
      <w:r w:rsidR="00E47F42">
        <w:t>.</w:t>
      </w:r>
    </w:p>
    <w:p w14:paraId="76FBC1FB" w14:textId="77777777" w:rsidR="001B7BB2" w:rsidRDefault="001B7BB2" w:rsidP="00E10F2B">
      <w:pPr>
        <w:contextualSpacing/>
      </w:pPr>
    </w:p>
    <w:p w14:paraId="23D9DBA0" w14:textId="6BB9D58E" w:rsidR="00394B72" w:rsidRPr="00796AAD" w:rsidRDefault="00394B72" w:rsidP="00E10F2B">
      <w:pPr>
        <w:contextualSpacing/>
        <w:rPr>
          <w:rFonts w:ascii="Times New Roman" w:hAnsi="Times New Roman" w:cs="Times New Roman"/>
        </w:rPr>
      </w:pPr>
      <w:r w:rsidRPr="005B2ECF">
        <w:t>First</w:t>
      </w:r>
      <w:r>
        <w:t>-</w:t>
      </w:r>
      <w:r w:rsidRPr="005B2ECF">
        <w:t xml:space="preserve">generation </w:t>
      </w:r>
      <w:proofErr w:type="spellStart"/>
      <w:r w:rsidRPr="005B2ECF">
        <w:t>mAbs</w:t>
      </w:r>
      <w:proofErr w:type="spellEnd"/>
      <w:r w:rsidRPr="005B2ECF">
        <w:t xml:space="preserve"> were of murine</w:t>
      </w:r>
      <w:r>
        <w:t xml:space="preserve"> derivation,</w:t>
      </w:r>
      <w:r w:rsidRPr="005B2ECF">
        <w:t xml:space="preserve"> which resulted in</w:t>
      </w:r>
      <w:r w:rsidR="4D31C501">
        <w:t xml:space="preserve"> non-specific</w:t>
      </w:r>
      <w:r w:rsidRPr="005B2ECF">
        <w:t xml:space="preserve"> immunogenicity when used in human trials</w:t>
      </w:r>
      <w:r>
        <w:fldChar w:fldCharType="begin" w:fldLock="1"/>
      </w:r>
      <w:r w:rsidR="009E7237">
        <w:instrText>ADDIN CSL_CITATION {"citationItems":[{"id":"ITEM-1","itemData":{"DOI":"10.1093/glycob/cwy092","ISSN":"1460-2423","PMID":"30289453","abstract":"Monoclonal antibodies (mAbs) are currently the largest and fastest growing class of biopharmaceuticals, and they address unmet medical needs, e.g., in oncology and in auto-immune diseases. Their clinical efficacy and safety is significantly affected by the structure and composition of their glycosylation profile which is commonly heterogeneous, heavily dependent on the manufacturing process, and thus susceptible to variations in the cell culture conditions. Glycosylation is therefore considered a critical quality attribute for mAbs. Commonly, in currently marketed therapeutic mAbs, the glycosylation profile is suboptimal in terms of biological properties such as antibody-dependent cell-mediated cytotoxicity or may give rise to safety concerns due to the presence of non-human glycans. This article will review recent innovative developments in chemo-enzymatic glycoengineering, which allow generating mAbs carrying single, well-defined, uniform Fc glycoforms, which confers the desired biological properties for the target application. This approach offers significant benefits such as enhanced Fc effector functions, improved safety profiles, higher batch-to-batch consistency, decreased risks related to immunogenicity and manufacturing process changes, and the possibility to manufacture mAbs, in an economical manner, in non-mammalian expression systems. Overall, this approach could facilitate and reduce mAb manufacturing costs which in turn would translate into tangible benefits for both patients and manufacturers. The first glycoengineered mAbs are about to enter clinical trials and it is expected that, once glycoengineering reagents are available at affordable costs, and in-line with regulatory requirements, that targeted remodeling of antibody Fc glycosylation will become an integral part in manufacturing the next-generation of immunotherapeutics.","author":[{"dropping-particle":"","family":"Mastrangeli","given":"Renato","non-dropping-particle":"","parse-names":false,"suffix":""},{"dropping-particle":"","family":"Palinsky","given":"Wolf","non-dropping-particle":"","parse-names":false,"suffix":""},{"dropping-particle":"","family":"Bierau","given":"Horst","non-dropping-particle":"","parse-names":false,"suffix":""}],"container-title":"Glycobiology","id":"ITEM-1","issue":"3","issued":{"date-parts":[["2019"]]},"page":"199-210","title":"Glycoengineered antibodies: towards the next-generation of immunotherapeutics.","type":"article-journal","volume":"29"},"uris":["http://www.mendeley.com/documents/?uuid=8d560c9f-e5f3-3b87-a3bc-ee93b57ddd44"]}],"mendeley":{"formattedCitation":"&lt;sup&gt;21&lt;/sup&gt;","plainTextFormattedCitation":"21","previouslyFormattedCitation":"&lt;sup&gt;21&lt;/sup&gt;"},"properties":{"noteIndex":0},"schema":"https://github.com/citation-style-language/schema/raw/master/csl-citation.json"}</w:instrText>
      </w:r>
      <w:r>
        <w:fldChar w:fldCharType="separate"/>
      </w:r>
      <w:r w:rsidR="0009107D" w:rsidRPr="0009107D">
        <w:rPr>
          <w:noProof/>
          <w:vertAlign w:val="superscript"/>
        </w:rPr>
        <w:t>21</w:t>
      </w:r>
      <w:r>
        <w:fldChar w:fldCharType="end"/>
      </w:r>
      <w:r w:rsidRPr="005B2ECF">
        <w:t>. Over time, chimeric, humanized</w:t>
      </w:r>
      <w:r>
        <w:t>,</w:t>
      </w:r>
      <w:r w:rsidRPr="005B2ECF">
        <w:t xml:space="preserve"> and eventually</w:t>
      </w:r>
      <w:r>
        <w:t>,</w:t>
      </w:r>
      <w:r w:rsidRPr="005B2ECF">
        <w:t xml:space="preserve"> fully human </w:t>
      </w:r>
      <w:r w:rsidR="006D1BFF">
        <w:t>Abs</w:t>
      </w:r>
      <w:r w:rsidRPr="005B2ECF">
        <w:t xml:space="preserve"> were produced to lessen immunogenicity induced by </w:t>
      </w:r>
      <w:r w:rsidR="006D1BFF">
        <w:t>Ab</w:t>
      </w:r>
      <w:r w:rsidRPr="005B2ECF">
        <w:t xml:space="preserve"> therapeutics. Unfortunately, some of these </w:t>
      </w:r>
      <w:r w:rsidR="006D1BFF">
        <w:t>Abs</w:t>
      </w:r>
      <w:r w:rsidRPr="005B2ECF">
        <w:t xml:space="preserve"> still </w:t>
      </w:r>
      <w:r>
        <w:t>cause</w:t>
      </w:r>
      <w:r w:rsidRPr="005B2ECF">
        <w:t xml:space="preserve"> host immunogenicity due to differences in glycosylation</w:t>
      </w:r>
      <w:r>
        <w:fldChar w:fldCharType="begin" w:fldLock="1"/>
      </w:r>
      <w:r w:rsidR="009E7237">
        <w:instrText>ADDIN CSL_CITATION {"citationItems":[{"id":"ITEM-1","itemData":{"DOI":"10.1093/glycob/cwy092","ISSN":"1460-2423","PMID":"30289453","abstract":"Monoclonal antibodies (mAbs) are currently the largest and fastest growing class of biopharmaceuticals, and they address unmet medical needs, e.g., in oncology and in auto-immune diseases. Their clinical efficacy and safety is significantly affected by the structure and composition of their glycosylation profile which is commonly heterogeneous, heavily dependent on the manufacturing process, and thus susceptible to variations in the cell culture conditions. Glycosylation is therefore considered a critical quality attribute for mAbs. Commonly, in currently marketed therapeutic mAbs, the glycosylation profile is suboptimal in terms of biological properties such as antibody-dependent cell-mediated cytotoxicity or may give rise to safety concerns due to the presence of non-human glycans. This article will review recent innovative developments in chemo-enzymatic glycoengineering, which allow generating mAbs carrying single, well-defined, uniform Fc glycoforms, which confers the desired biological properties for the target application. This approach offers significant benefits such as enhanced Fc effector functions, improved safety profiles, higher batch-to-batch consistency, decreased risks related to immunogenicity and manufacturing process changes, and the possibility to manufacture mAbs, in an economical manner, in non-mammalian expression systems. Overall, this approach could facilitate and reduce mAb manufacturing costs which in turn would translate into tangible benefits for both patients and manufacturers. The first glycoengineered mAbs are about to enter clinical trials and it is expected that, once glycoengineering reagents are available at affordable costs, and in-line with regulatory requirements, that targeted remodeling of antibody Fc glycosylation will become an integral part in manufacturing the next-generation of immunotherapeutics.","author":[{"dropping-particle":"","family":"Mastrangeli","given":"Renato","non-dropping-particle":"","parse-names":false,"suffix":""},{"dropping-particle":"","family":"Palinsky","given":"Wolf","non-dropping-particle":"","parse-names":false,"suffix":""},{"dropping-particle":"","family":"Bierau","given":"Horst","non-dropping-particle":"","parse-names":false,"suffix":""}],"container-title":"Glycobiology","id":"ITEM-1","issue":"3","issued":{"date-parts":[["2019"]]},"page":"199-210","title":"Glycoengineered antibodies: towards the next-generation of immunotherapeutics.","type":"article-journal","volume":"29"},"uris":["http://www.mendeley.com/documents/?uuid=8d560c9f-e5f3-3b87-a3bc-ee93b57ddd44"]}],"mendeley":{"formattedCitation":"&lt;sup&gt;21&lt;/sup&gt;","plainTextFormattedCitation":"21","previouslyFormattedCitation":"&lt;sup&gt;21&lt;/sup&gt;"},"properties":{"noteIndex":0},"schema":"https://github.com/citation-style-language/schema/raw/master/csl-citation.json"}</w:instrText>
      </w:r>
      <w:r>
        <w:fldChar w:fldCharType="separate"/>
      </w:r>
      <w:r w:rsidR="0009107D" w:rsidRPr="0009107D">
        <w:rPr>
          <w:noProof/>
          <w:vertAlign w:val="superscript"/>
        </w:rPr>
        <w:t>21</w:t>
      </w:r>
      <w:r>
        <w:fldChar w:fldCharType="end"/>
      </w:r>
      <w:r w:rsidRPr="005B2ECF">
        <w:t>.</w:t>
      </w:r>
      <w:r w:rsidRPr="00796AAD">
        <w:t xml:space="preserve"> Developments in plant engineering have allowed for </w:t>
      </w:r>
      <w:r w:rsidR="00903675">
        <w:t>the</w:t>
      </w:r>
      <w:r w:rsidRPr="00796AAD">
        <w:t xml:space="preserve"> modification of </w:t>
      </w:r>
      <w:r w:rsidR="006D1BFF">
        <w:t>Ab</w:t>
      </w:r>
      <w:r w:rsidRPr="00796AAD">
        <w:t xml:space="preserve"> glycans, which is </w:t>
      </w:r>
      <w:r w:rsidR="00C66012">
        <w:t>essential</w:t>
      </w:r>
      <w:r w:rsidRPr="00796AAD">
        <w:t xml:space="preserve"> since </w:t>
      </w:r>
      <w:r w:rsidR="00F6433E">
        <w:t xml:space="preserve">an </w:t>
      </w:r>
      <w:r w:rsidR="006D1BFF">
        <w:t>Ab</w:t>
      </w:r>
      <w:r w:rsidR="00F6433E">
        <w:t>'s stability and function</w:t>
      </w:r>
      <w:r w:rsidRPr="00796AAD">
        <w:t xml:space="preserve"> can </w:t>
      </w:r>
      <w:r>
        <w:t>significantly</w:t>
      </w:r>
      <w:r w:rsidR="00F6433E">
        <w:t xml:space="preserve"> be</w:t>
      </w:r>
      <w:r>
        <w:t xml:space="preserve"> affect</w:t>
      </w:r>
      <w:r w:rsidR="00F6433E">
        <w:t>ed</w:t>
      </w:r>
      <w:r w:rsidR="00C66012">
        <w:t xml:space="preserve"> by</w:t>
      </w:r>
      <w:r w:rsidRPr="00796AAD">
        <w:t xml:space="preserve"> its glycosylation state</w:t>
      </w:r>
      <w:r>
        <w:fldChar w:fldCharType="begin" w:fldLock="1"/>
      </w:r>
      <w:r w:rsidR="009E7237">
        <w:instrText>ADDIN CSL_CITATION {"citationItems":[{"id":"ITEM-1","itemData":{"DOI":"10.3389/fbioe.2018.00081","ISSN":"2296-4185","abstract":"With respect to biomanufacturing, glycosylation is one of the most addressed post-translational modifications, since it is well-known that the attachment of sugar residues efficiently affects protein homogeneity and functionality. Much effort has been taken into engineering various expression systems to control glycosylation and to generate molecules with targeted sugar profiles. Nevertheless, engineering of N- and O-linked glycans on well-established expression systems remains challenging. On the one side the glycosylation machinery in mammalian cells is hard to control due to its complexity. Most bacteria, on the other side, completely lack such glycan formations, and in general exhibit fundamental differences in their glycosylation abilities. Beyond that, plants generate complex N-glycans typical of higher eukaryotes, but simpler than those produced by mammals. Paradoxically, it seems that the limited glycosylation capacity of plant cells is an advantage for specific glycan manipulations. This review focuses on recent achievements in plant glycan engineering and provides a short outlook on how new developments (in synthetic biology) might have a positive impact.","author":[{"dropping-particle":"","family":"Montero-Morales","given":"Laura","non-dropping-particle":"","parse-names":false,"suffix":""},{"dropping-particle":"","family":"Steinkellner","given":"Herta","non-dropping-particle":"","parse-names":false,"suffix":""}],"container-title":"Frontiers in Bioengineering and Biotechnology","id":"ITEM-1","issue":"JUN","issued":{"date-parts":[["2018","6","14"]]},"page":"81","publisher":"Frontiers Media S.A.","title":"Advanced Plant-Based Glycan Engineering","type":"article-journal","volume":"6"},"uris":["http://www.mendeley.com/documents/?uuid=6147badd-e8e1-3d7a-a956-a22dc08d44fb"]}],"mendeley":{"formattedCitation":"&lt;sup&gt;22&lt;/sup&gt;","plainTextFormattedCitation":"22","previouslyFormattedCitation":"&lt;sup&gt;22&lt;/sup&gt;"},"properties":{"noteIndex":0},"schema":"https://github.com/citation-style-language/schema/raw/master/csl-citation.json"}</w:instrText>
      </w:r>
      <w:r>
        <w:fldChar w:fldCharType="separate"/>
      </w:r>
      <w:r w:rsidR="0009107D" w:rsidRPr="0009107D">
        <w:rPr>
          <w:noProof/>
          <w:vertAlign w:val="superscript"/>
        </w:rPr>
        <w:t>22</w:t>
      </w:r>
      <w:r>
        <w:fldChar w:fldCharType="end"/>
      </w:r>
      <w:r w:rsidRPr="00796AAD">
        <w:t>. Advances have allowed production in plant systems of high</w:t>
      </w:r>
      <w:r>
        <w:t>-</w:t>
      </w:r>
      <w:r w:rsidRPr="00796AAD">
        <w:t xml:space="preserve">level expression of humanized </w:t>
      </w:r>
      <w:proofErr w:type="spellStart"/>
      <w:r w:rsidRPr="00796AAD">
        <w:t>mAbs</w:t>
      </w:r>
      <w:proofErr w:type="spellEnd"/>
      <w:r w:rsidRPr="00796AAD">
        <w:t xml:space="preserve">, </w:t>
      </w:r>
      <w:r w:rsidR="00C66012">
        <w:t>containing</w:t>
      </w:r>
      <w:r w:rsidRPr="00796AAD">
        <w:t xml:space="preserve"> human glycans and resultantly the desired biological traits of a mass</w:t>
      </w:r>
      <w:r>
        <w:t>-</w:t>
      </w:r>
      <w:r w:rsidRPr="00796AAD">
        <w:t>produced human pharmaceutical</w:t>
      </w:r>
      <w:r>
        <w:fldChar w:fldCharType="begin" w:fldLock="1"/>
      </w:r>
      <w:r w:rsidR="009E7237">
        <w:instrText>ADDIN CSL_CITATION {"citationItems":[{"id":"ITEM-1","itemData":{"DOI":"10.3389/fbioe.2019.00472","ISSN":"2296-4185","abstract":"Biopharmaceuticals are a large and fast-growing sector of the total pharmaceutical market with antibody-based therapeutics accounting for over 100 billion USD in sales yearly. Mammalian cells are traditionally used for monoclonal antibody production, however plant-based expression systems have significant advantages. In this work, we showcase recent advances made in plant transient expression systems using optimized geminiviral vectors that can efficiently produce heteromultimeric proteins. Two, three, or four fluorescent proteins were coexpressed simultaneously, reaching high yields of 3–5 g/kg leaf fresh weight or ~50% total soluble protein. As a proof-of-concept for this system, various antibodies were produced using the optimized vectors with special focus given to the creation and production of a chimeric broadly neutralizing anti-flavivirus antibody. The variable regions of this murine antibody, 2A10G6, were codon optimized and fused to a human IgG1. Analysis of the chimeric antibody showed that it was efficiently expressed in plants at 1.5 g of antibody/kilogram of leaf tissue, can be purified to near homogeneity by a simple one-step purification process, retains its ability to recognize the Zika virus envelope protein, and potently neutralizes Zika virus. Two other monoclonal antibodies were produced at similar levels (1.2–1.4 g/kg). This technology will be a versatile tool for the production of a wide spectrum of pharmaceutical multi-protein complexes in a fast, powerful, and cost-effective way.","author":[{"dropping-particle":"","family":"Diamos","given":"Andrew G.","non-dropping-particle":"","parse-names":false,"suffix":""},{"dropping-particle":"","family":"Hunter","given":"Joseph G. L.","non-dropping-particle":"","parse-names":false,"suffix":""},{"dropping-particle":"","family":"Pardhe","given":"Mary D.","non-dropping-particle":"","parse-names":false,"suffix":""},{"dropping-particle":"","family":"Rosenthal","given":"Sun H.","non-dropping-particle":"","parse-names":false,"suffix":""},{"dropping-particle":"","family":"Sun","given":"Haiyan","non-dropping-particle":"","parse-names":false,"suffix":""},{"dropping-particle":"","family":"Foster","given":"Bonnie C.","non-dropping-particle":"","parse-names":false,"suffix":""},{"dropping-particle":"","family":"DiPalma","given":"Michelle P.","non-dropping-particle":"","parse-names":false,"suffix":""},{"dropping-particle":"","family":"Chen","given":"Qiang","non-dropping-particle":"","parse-names":false,"suffix":""},{"dropping-particle":"","family":"Mason","given":"Hugh S.","non-dropping-particle":"","parse-names":false,"suffix":""}],"container-title":"Frontiers in Bioengineering and Biotechnology","id":"ITEM-1","issued":{"date-parts":[["2020","1","17"]]},"page":"472","publisher":"Frontiers Media S.A.","title":"High Level Production of Monoclonal Antibodies Using an Optimized Plant Expression System","type":"article-journal","volume":"7"},"uris":["http://www.mendeley.com/documents/?uuid=51e7b67a-f759-3315-8a86-bc1dbd96780f"]},{"id":"ITEM-2","itemData":{"DOI":"10.1093/glycob/cwy092","ISSN":"1460-2423","PMID":"30289453","abstract":"Monoclonal antibodies (mAbs) are currently the largest and fastest growing class of biopharmaceuticals, and they address unmet medical needs, e.g., in oncology and in auto-immune diseases. Their clinical efficacy and safety is significantly affected by the structure and composition of their glycosylation profile which is commonly heterogeneous, heavily dependent on the manufacturing process, and thus susceptible to variations in the cell culture conditions. Glycosylation is therefore considered a critical quality attribute for mAbs. Commonly, in currently marketed therapeutic mAbs, the glycosylation profile is suboptimal in terms of biological properties such as antibody-dependent cell-mediated cytotoxicity or may give rise to safety concerns due to the presence of non-human glycans. This article will review recent innovative developments in chemo-enzymatic glycoengineering, which allow generating mAbs carrying single, well-defined, uniform Fc glycoforms, which confers the desired biological properties for the target application. This approach offers significant benefits such as enhanced Fc effector functions, improved safety profiles, higher batch-to-batch consistency, decreased risks related to immunogenicity and manufacturing process changes, and the possibility to manufacture mAbs, in an economical manner, in non-mammalian expression systems. Overall, this approach could facilitate and reduce mAb manufacturing costs which in turn would translate into tangible benefits for both patients and manufacturers. The first glycoengineered mAbs are about to enter clinical trials and it is expected that, once glycoengineering reagents are available at affordable costs, and in-line with regulatory requirements, that targeted remodeling of antibody Fc glycosylation will become an integral part in manufacturing the next-generation of immunotherapeutics.","author":[{"dropping-particle":"","family":"Mastrangeli","given":"Renato","non-dropping-particle":"","parse-names":false,"suffix":""},{"dropping-particle":"","family":"Palinsky","given":"Wolf","non-dropping-particle":"","parse-names":false,"suffix":""},{"dropping-particle":"","family":"Bierau","given":"Horst","non-dropping-particle":"","parse-names":false,"suffix":""}],"container-title":"Glycobiology","id":"ITEM-2","issue":"3","issued":{"date-parts":[["2019"]]},"page":"199-210","title":"Glycoengineered antibodies: towards the next-generation of immunotherapeutics.","type":"article-journal","volume":"29"},"uris":["http://www.mendeley.com/documents/?uuid=8d560c9f-e5f3-3b87-a3bc-ee93b57ddd44"]}],"mendeley":{"formattedCitation":"&lt;sup&gt;19, 21&lt;/sup&gt;","plainTextFormattedCitation":"19, 21","previouslyFormattedCitation":"&lt;sup&gt;19, 21&lt;/sup&gt;"},"properties":{"noteIndex":0},"schema":"https://github.com/citation-style-language/schema/raw/master/csl-citation.json"}</w:instrText>
      </w:r>
      <w:r>
        <w:fldChar w:fldCharType="separate"/>
      </w:r>
      <w:r w:rsidR="0009107D" w:rsidRPr="0009107D">
        <w:rPr>
          <w:noProof/>
          <w:vertAlign w:val="superscript"/>
        </w:rPr>
        <w:t>19, 21</w:t>
      </w:r>
      <w:r>
        <w:fldChar w:fldCharType="end"/>
      </w:r>
      <w:r w:rsidRPr="00796AAD">
        <w:t>.</w:t>
      </w:r>
    </w:p>
    <w:p w14:paraId="77CB454A" w14:textId="77777777" w:rsidR="00394B72" w:rsidRPr="00796AAD" w:rsidRDefault="00394B72" w:rsidP="00E10F2B">
      <w:pPr>
        <w:contextualSpacing/>
        <w:rPr>
          <w:rFonts w:ascii="Times New Roman" w:hAnsi="Times New Roman" w:cs="Times New Roman"/>
        </w:rPr>
      </w:pPr>
    </w:p>
    <w:p w14:paraId="6E041115" w14:textId="03FA2CF8" w:rsidR="008F3A57" w:rsidRDefault="00394B72" w:rsidP="00E10F2B">
      <w:pPr>
        <w:contextualSpacing/>
        <w:rPr>
          <w:rFonts w:ascii="Times New Roman" w:hAnsi="Times New Roman" w:cs="Times New Roman"/>
        </w:rPr>
      </w:pPr>
      <w:r w:rsidRPr="00796AAD">
        <w:t xml:space="preserve">In addition to recombinant </w:t>
      </w:r>
      <w:r w:rsidR="006D1BFF">
        <w:t>Abs</w:t>
      </w:r>
      <w:r w:rsidRPr="00796AAD">
        <w:t xml:space="preserve">, </w:t>
      </w:r>
      <w:r w:rsidR="006D1BFF">
        <w:t>Ab</w:t>
      </w:r>
      <w:r w:rsidRPr="00796AAD">
        <w:t xml:space="preserve"> fusion molecules </w:t>
      </w:r>
      <w:r>
        <w:t>(</w:t>
      </w:r>
      <w:r w:rsidRPr="00796AAD">
        <w:t>Ab fusions</w:t>
      </w:r>
      <w:r>
        <w:t xml:space="preserve">) </w:t>
      </w:r>
      <w:r w:rsidR="009502BD">
        <w:t xml:space="preserve">have been </w:t>
      </w:r>
      <w:r w:rsidRPr="00796AAD">
        <w:t xml:space="preserve">explored for various purposes in recent decades. Ab fusions often consist of an </w:t>
      </w:r>
      <w:r w:rsidR="006D1BFF">
        <w:t>Ab</w:t>
      </w:r>
      <w:r w:rsidRPr="00796AAD">
        <w:t xml:space="preserve"> or </w:t>
      </w:r>
      <w:r w:rsidR="006D1BFF">
        <w:t>Ab</w:t>
      </w:r>
      <w:r w:rsidRPr="00796AAD">
        <w:t xml:space="preserve"> fragment fused to a molecule or protein </w:t>
      </w:r>
      <w:r w:rsidR="003633A6">
        <w:t>and</w:t>
      </w:r>
      <w:r w:rsidRPr="00796AAD">
        <w:t xml:space="preserve"> </w:t>
      </w:r>
      <w:r w:rsidRPr="00356996">
        <w:t>are designed to elicit responses from immune effector cells</w:t>
      </w:r>
      <w:r w:rsidRPr="00356996">
        <w:fldChar w:fldCharType="begin" w:fldLock="1"/>
      </w:r>
      <w:r w:rsidR="009E7237">
        <w:instrText>ADDIN CSL_CITATION {"citationItems":[{"id":"ITEM-1","itemData":{"DOI":"10.1186/1475-2859-2-1","ISSN":"14752859","PMID":"12605725","abstract":"In this review we will focus on the current status and views concerning the production of antibody fragments and antibody fusion proteins by yeasts and filamentous fungi. We will focus on single-chain antibody fragment production (scFv and VHH) by these lower eukaryotes and the possible applications of these proteins. Also the coupling of fragments to relevant enzymes or other components will be discussed. As an example of the fusion protein strategy, the 'magic bullet' approach for industrial applications, will be highlighted. © 2003 Joosten et al; licensee BioMed Central Ltd.","author":[{"dropping-particle":"","family":"Joosten","given":"Vivi","non-dropping-particle":"","parse-names":false,"suffix":""},{"dropping-particle":"","family":"Lokman","given":"Christien","non-dropping-particle":"","parse-names":false,"suffix":""},{"dropping-particle":"","family":"Hondel","given":"Cees A.M.J.J.","non-dropping-particle":"van den","parse-names":false,"suffix":""},{"dropping-particle":"","family":"Punt","given":"Peter J.","non-dropping-particle":"","parse-names":false,"suffix":""}],"container-title":"Microbial Cell Factories","id":"ITEM-1","issue":"1","issued":{"date-parts":[["2003","1","30"]]},"page":"1-15","publisher":"BioMed Central","title":"The production of antibody fragments and antibody fusion proteins by yeasts and filamentous fungi","type":"article","volume":"2"},"uris":["http://www.mendeley.com/documents/?uuid=27b866a3-19d2-303f-9480-b6e495a47dfb"]}],"mendeley":{"formattedCitation":"&lt;sup&gt;23&lt;/sup&gt;","plainTextFormattedCitation":"23","previouslyFormattedCitation":"&lt;sup&gt;23&lt;/sup&gt;"},"properties":{"noteIndex":0},"schema":"https://github.com/citation-style-language/schema/raw/master/csl-citation.json"}</w:instrText>
      </w:r>
      <w:r w:rsidRPr="00356996">
        <w:fldChar w:fldCharType="separate"/>
      </w:r>
      <w:r w:rsidR="0009107D" w:rsidRPr="0009107D">
        <w:rPr>
          <w:noProof/>
          <w:vertAlign w:val="superscript"/>
        </w:rPr>
        <w:t>23</w:t>
      </w:r>
      <w:r w:rsidRPr="00356996">
        <w:fldChar w:fldCharType="end"/>
      </w:r>
      <w:r w:rsidRPr="00356996">
        <w:t xml:space="preserve">. These molecules have been created as potential therapeutic interventions to treat </w:t>
      </w:r>
      <w:r w:rsidR="005E1E0F">
        <w:t>various</w:t>
      </w:r>
      <w:r w:rsidRPr="00356996">
        <w:t xml:space="preserve"> pathologies such as cancer and autoimmune diseases</w:t>
      </w:r>
      <w:r w:rsidRPr="00356996">
        <w:fldChar w:fldCharType="begin" w:fldLock="1"/>
      </w:r>
      <w:r w:rsidR="009E7237">
        <w:instrText>ADDIN CSL_CITATION {"citationItems":[{"id":"ITEM-1","itemData":{"DOI":"10.1016/j.pharmthera.2015.07.001","ISSN":"1879016X","abstract":"The potential of immunomodulatory proteins, in particular cytokines, for cancer therapy is well recognized, but hampered by the toxicity associated with their systemic application. In order to address this problem, targeted delivery by antibody fusion proteins has been early proposed and their development intensively pursued over the last decade. Here, factors influencing the selection and modification of cytokines and antibody formats for this approach are being discussed, indicating current developments and translational advances in the field.","author":[{"dropping-particle":"","family":"Müller","given":"Dafne","non-dropping-particle":"","parse-names":false,"suffix":""}],"container-title":"Pharmacology and Therapeutics","id":"ITEM-1","issued":{"date-parts":[["2015","10","15"]]},"page":"57-66","publisher":"Elsevier Inc.","title":"Antibody fusions with immunomodulatory proteins for cancer therapy","type":"article","volume":"154"},"uris":["http://www.mendeley.com/documents/?uuid=becd9fc0-17c8-3389-8e31-8d8fd54819ee"]},{"id":"ITEM-2","itemData":{"DOI":"10.1016/j.drudis.2015.10.012","ISSN":"18785832","abstract":"Antibody-cytokine fusion proteins, often referred to as immunocytokines, represent a novel class of biopharmaceutical agents that combine the disease-homing activity of certain antibodies with the immunomodulatory properties of cytokine payloads. Originally, immunocytokines were mainly developed for cancer therapy applications. More recently, however, the use of anti-inflammatory cytokines for the treatment of chronic inflammatory conditions and to treat autoimmune diseases has been considered. This review analyzes basic principles in the design of immunocytokines and describes the most advanced products in preclinical and clinical development.","author":[{"dropping-particle":"","family":"Bootz","given":"Franziska","non-dropping-particle":"","parse-names":false,"suffix":""},{"dropping-particle":"","family":"Neri","given":"Dario","non-dropping-particle":"","parse-names":false,"suffix":""}],"container-title":"Drug Discovery Today","id":"ITEM-2","issue":"1","issued":{"date-parts":[["2016","1","1"]]},"page":"180-189","publisher":"Elsevier Ltd","title":"Immunocytokines: A novel class of products for the treatment of chronic inflammation and autoimmune conditions","type":"article","volume":"21"},"uris":["http://www.mendeley.com/documents/?uuid=280ca428-ea16-36c0-b22a-0830b129ea35"]},{"id":"ITEM-3","itemData":{"DOI":"10.2174/0929867324666170113112759","ISSN":"09298673","abstract":"© 2017 Bentham Science Publishers. Fc-fusion proteins are composed of Fc region of IgG antibody (Hinge-CH2-CH3) and a desired linked protein. Fc region of Fc-fusion proteins can bind to neonatal Fc receptor (FcRn) thereby rescuing it from degradation. The first therapeutic Fc-fusion protein was introduced for the treatment of AIDS. The molecular designing is the first stage in production of Fc-fusion proteins. The amino acid residues in the Fc region and linked protein are very important in the bioactivity and affinity of the fusion proteins. Although, therapeutic monoclonal antibodies are the top selling biologics but the application of therapeutic Fc-fusion proteins in clinic is in progress and among these medications Etanercept is the most effective in therapy. At present, eleven Fc-fusion proteins have been approved by FDA. There are novel Fc-fusion proteins which are in pre-clinical and clinical development. In this article, we review the molecular and biological characteristics of Fc-fusion proteins and then further discuss the features of novel therapeutic Fc-fusion proteins.","author":[{"dropping-particle":"","family":"Jafari","given":"Reza","non-dropping-particle":"","parse-names":false,"suffix":""},{"dropping-particle":"","family":"Zolbanin","given":"Naime M.","non-dropping-particle":"","parse-names":false,"suffix":""},{"dropping-particle":"","family":"Rafatpanah","given":"Houshang","non-dropping-particle":"","parse-names":false,"suffix":""},{"dropping-particle":"","family":"Majidi","given":"Jafar","non-dropping-particle":"","parse-names":false,"suffix":""},{"dropping-particle":"","family":"Kazemi","given":"Tohid","non-dropping-particle":"","parse-names":false,"suffix":""}],"container-title":"Current Medicinal Chemistry","id":"ITEM-3","issue":"12","issued":{"date-parts":[["2017","6","22"]]},"publisher":"Bentham Science Publishers Ltd.","title":"Fc-fusion Proteins in Therapy: An Updated View","type":"article-journal","volume":"24"},"uris":["http://www.mendeley.com/documents/?uuid=738c8131-209a-31a8-95a2-5dbcc9420857"]},{"id":"ITEM-4","itemData":{"DOI":"10.1080/19420862.2016.1268307","ISSN":"19420870","PMID":"28071970","abstract":"During the past two decades we have seen a phenomenal evolution of bispecific antibodies for therapeutic applications. The ‘zoo’ of bispecific antibodies is populated by many different species, comprising around 100 different formats, including small molecules composed solely of the antigen-binding sites of two antibodies, molecules with an IgG structure, and large complex molecules composed of different antigen-binding moieties often combined with dimerization modules. The application of sophisticated molecular design and genetic engineering has solved many of the technical problems associated with the formation of bispecific antibodies such as stability, solubility and other parameters that confer drug properties. These parameters may be summarized under the term ‘developability’. In addition, different ‘target product profiles’, i.e., desired features of the bispecific antibody to be generated, mandates the need for access to a diverse panel of formats. These may vary in size, arrangement, valencies, flexibility and geometry of their binding modules, as well as in their distribution and pharmacokinetic properties. There is not ‘one best format’ for generating bispecific antibodies, and no single format is suitable for all, or even most of, the desired applications. Instead, the bispecific formats collectively serve as a valuable source of diversity that can be applied to the development of therapeutics for various indications. Here, a comprehensive overview of the different bispecific antibody formats is provided.","author":[{"dropping-particle":"","family":"Brinkmann","given":"Ulrich","non-dropping-particle":"","parse-names":false,"suffix":""},{"dropping-particle":"","family":"Kontermann","given":"Roland E.","non-dropping-particle":"","parse-names":false,"suffix":""}],"container-title":"mAbs","id":"ITEM-4","issue":"2","issued":{"date-parts":[["2017","2","17"]]},"page":"182-212","publisher":"Taylor and Francis Inc.","title":"The making of bispecific antibodies","type":"article","volume":"9"},"uris":["http://www.mendeley.com/documents/?uuid=88e1181d-635e-3435-bc93-e9610e2e6570"]}],"mendeley":{"formattedCitation":"&lt;sup&gt;24–27&lt;/sup&gt;","plainTextFormattedCitation":"24–27","previouslyFormattedCitation":"&lt;sup&gt;24–27&lt;/sup&gt;"},"properties":{"noteIndex":0},"schema":"https://github.com/citation-style-language/schema/raw/master/csl-citation.json"}</w:instrText>
      </w:r>
      <w:r w:rsidRPr="00356996">
        <w:fldChar w:fldCharType="separate"/>
      </w:r>
      <w:r w:rsidR="0009107D" w:rsidRPr="0009107D">
        <w:rPr>
          <w:noProof/>
          <w:vertAlign w:val="superscript"/>
        </w:rPr>
        <w:t>24–27</w:t>
      </w:r>
      <w:r w:rsidRPr="00356996">
        <w:fldChar w:fldCharType="end"/>
      </w:r>
      <w:r w:rsidRPr="00356996">
        <w:t>. Recombinant immune complexes (RICs)</w:t>
      </w:r>
      <w:r>
        <w:t xml:space="preserve"> </w:t>
      </w:r>
      <w:r w:rsidRPr="00356996">
        <w:t xml:space="preserve">are another class of </w:t>
      </w:r>
      <w:r w:rsidR="006D1BFF" w:rsidRPr="00356996">
        <w:t>Ab</w:t>
      </w:r>
      <w:r w:rsidRPr="00356996">
        <w:t xml:space="preserve"> fusions that have been employed as vaccine</w:t>
      </w:r>
      <w:r w:rsidRPr="00796AAD">
        <w:t xml:space="preserve"> candidates</w:t>
      </w:r>
      <w:r>
        <w:fldChar w:fldCharType="begin" w:fldLock="1"/>
      </w:r>
      <w:r w:rsidR="009E7237">
        <w:instrText>ADDIN CSL_CITATION {"citationItems":[{"id":"ITEM-1","itemData":{"DOI":"10.1080/21645515.2015.1116655","ISSN":"2164-5515","abstract":"ABSTRACTImmune complexes (IC) used as vaccines have the potential to enhance both antibody and cell-mediated immune responses over those obtained with antigen alone. However, difficulty of manufacture represents a significant hurdle to the widespread use of IC as vaccines. Recombinant IC (RIC) and their expression in plants enable manufacturing by the coordinate expression of immunoglobulin and antigen as a fusion protein. The use of a modular RIC system facilitates insertion of antigen genes and provides a broadly applicable platform that can be adapted for a wide variety of antigens.","author":[{"dropping-particle":"","family":"Mason","given":"Hugh S.","non-dropping-particle":"","parse-names":false,"suffix":""}],"container-title":"Human Vaccines &amp; Immunotherapeutics","id":"ITEM-1","issue":"4","issued":{"date-parts":[["2016","4","2"]]},"page":"988-989","publisher":"Taylor &amp; Francis","title":"Recombinant immune complexes as versatile and potent vaccines","type":"article-journal","volume":"12"},"uris":["http://www.mendeley.com/documents/?uuid=b5a4c864-2c44-3010-af7b-480502f0a3a8"]}],"mendeley":{"formattedCitation":"&lt;sup&gt;28&lt;/sup&gt;","plainTextFormattedCitation":"28","previouslyFormattedCitation":"&lt;sup&gt;28&lt;/sup&gt;"},"properties":{"noteIndex":0},"schema":"https://github.com/citation-style-language/schema/raw/master/csl-citation.json"}</w:instrText>
      </w:r>
      <w:r>
        <w:fldChar w:fldCharType="separate"/>
      </w:r>
      <w:r w:rsidR="0009107D" w:rsidRPr="0009107D">
        <w:rPr>
          <w:noProof/>
          <w:vertAlign w:val="superscript"/>
        </w:rPr>
        <w:t>28</w:t>
      </w:r>
      <w:r>
        <w:fldChar w:fldCharType="end"/>
      </w:r>
      <w:r w:rsidRPr="00796AAD">
        <w:t xml:space="preserve">. </w:t>
      </w:r>
      <w:r>
        <w:t>RICs</w:t>
      </w:r>
      <w:r w:rsidRPr="00796AAD">
        <w:t xml:space="preserve"> take advantage of the immune system</w:t>
      </w:r>
      <w:r w:rsidR="00F6433E">
        <w:t>'</w:t>
      </w:r>
      <w:r w:rsidRPr="00796AAD">
        <w:t xml:space="preserve">s ability to recognize Fc regions of </w:t>
      </w:r>
      <w:r>
        <w:t>Ab</w:t>
      </w:r>
      <w:r w:rsidRPr="00796AAD">
        <w:t xml:space="preserve"> fusion</w:t>
      </w:r>
      <w:r>
        <w:t>s</w:t>
      </w:r>
      <w:r w:rsidRPr="00796AAD">
        <w:t xml:space="preserve"> and have been found to improve immunogenicity when combined with other vaccine platforms</w:t>
      </w:r>
      <w:r>
        <w:fldChar w:fldCharType="begin" w:fldLock="1"/>
      </w:r>
      <w:r w:rsidR="009E7237">
        <w:instrText>ADDIN CSL_CITATION {"citationItems":[{"id":"ITEM-1","itemData":{"DOI":"10.1080/21645515.2015.1116655","ISSN":"2164554X","abstract":"Immune complexes (IC) used as vaccines have the potential to enhance both antibody and cell-mediated immune responses over those obtained with antigen alone. However, difficulty of manufacture represents a significant hurdle to the widespread use of IC as vaccines. Recombinant IC (RIC) and their expression in plants enable manufacturing by the coordinate expression of immunoglobulin and antigen as a fusion protein. The use of a modular RIC system facilitates insertion of antigen genes and provides a broadly applicable platform that can be adapted for a wide variety of antigens.","author":[{"dropping-particle":"","family":"Mason","given":"Hugh S.","non-dropping-particle":"","parse-names":false,"suffix":""}],"container-title":"Human Vaccines and Immunotherapeutics","id":"ITEM-1","issue":"4","issued":{"date-parts":[["2016","4","2"]]},"page":"988-989","publisher":"Taylor and Francis Inc.","title":"Recombinant immune complexes as versatile and potent vaccines","type":"article","volume":"12"},"uris":["http://www.mendeley.com/documents/?uuid=564ae8a4-23d7-3938-962b-58eb715ccbbd"]},{"id":"ITEM-2","itemData":{"DOI":"10.1016/j.vaccine.2018.11.021","ISSN":"18732518","abstract":"Diverse HPV subtypes are responsible for considerable disease burden worldwide, necessitating safe, cheap, and effective vaccines. The HPV minor capsid protein L2 is a promising candidate to create broadly protective HPV vaccines, though it is poorly immunogenic by itself. To create highly immunogenic and safe vaccine candidates targeting L2, we employed a plant-based recombinant protein expression system to produce two different vaccine candidates: L2 displayed on the surface of hepatitis B core (HBc) virus-like particles (VLPs) or L2 genetically fused to an immunoglobulin capable of forming recombinant immune complexes (RIC). Both vaccine candidates were potently immunogenic in mice, but were especially so when delivered together, generating very consistent and high antibody titers directed against HPV L2 (&gt;1,000,000) that correlated with virus neutralization. These data indicate a novel immune response synergy upon co-delivery of VLP and RIC platforms, a strategy that can be adapted generally for many different antigens.","author":[{"dropping-particle":"","family":"Diamos","given":"Andrew G.","non-dropping-particle":"","parse-names":false,"suffix":""},{"dropping-particle":"","family":"Larios","given":"Dalia","non-dropping-particle":"","parse-names":false,"suffix":""},{"dropping-particle":"","family":"Brown","given":"Lauren","non-dropping-particle":"","parse-names":false,"suffix":""},{"dropping-particle":"","family":"Kilbourne","given":"Jacquelyn","non-dropping-particle":"","parse-names":false,"suffix":""},{"dropping-particle":"","family":"Kim","given":"Hyun Soon","non-dropping-particle":"","parse-names":false,"suffix":""},{"dropping-particle":"","family":"Saxena","given":"Divyasha","non-dropping-particle":"","parse-names":false,"suffix":""},{"dropping-particle":"","family":"Palmer","given":"Kenneth E.","non-dropping-particle":"","parse-names":false,"suffix":""},{"dropping-particle":"","family":"Mason","given":"Hugh S.","non-dropping-particle":"","parse-names":false,"suffix":""}],"container-title":"Vaccine","id":"ITEM-2","issue":"1","issued":{"date-parts":[["2019","1","3"]]},"page":"137-144","publisher":"Elsevier Ltd","title":"Vaccine synergy with virus-like particle and immune complex platforms for delivery of human papillomavirus L2 antigen","type":"article-journal","volume":"37"},"uris":["http://www.mendeley.com/documents/?uuid=76238d73-bb7b-3828-9aae-fc98a1e37171"]},{"id":"ITEM-3","itemData":{"DOI":"10.1016/j.vaccine.2020.02.089","ISSN":"18732518","abstract":"Zika virus (ZIKV) reemergence poses a significant health threat especially due to its risks to fetal development, necessitating safe and effective vaccines that can protect pregnant women. Zika envelope domain III (ZE3) has been identified as a safe and effective vaccine candidate, however it is poorly immunogenic. We previously showed that plant-made recombinant immune complex (RIC) vaccines are a robust platform to improve the immunogenicity of weak antigens. In this study, we altered the antigen fusion site on the RIC platform to accommodate N-terminal fusion to the IgG heavy chain (N-RIC), and thus a wider range of antigens, with a resulting 40% improvement in RIC expression over the normal C-terminal fusion (C-RIC). Both types of RICs containing ZE3 were efficiently assembled in plants and purified to &gt;95% homogeneity with a simple one-step purification. Both ZE3 RICs strongly bound complement receptor C1q and elicited strong ZE3-specific antibody titers that correlated with ZIKV neutralization. When either N-RIC or C-RIC was codelivered with plant-produced hepatitis B core (HBc) virus-like particles (VLP) displaying ZE3, the combination elicited 5-fold greater antibody titers (&gt;1,000,000) and more strongly neutralized ZIKV than either RICs or VLPs alone, after only two doses without adjuvant. These findings demonstrate that antigens that require a free N-terminus for optimal antigen display can now be used with the RIC system, and that plant-made RICs and VLPs are highly effective vaccines targeting ZE3. Thus, the RIC platform can be more generally applied to a wider variety of antigens.","author":[{"dropping-particle":"","family":"Diamos","given":"Andrew G.","non-dropping-particle":"","parse-names":false,"suffix":""},{"dropping-particle":"","family":"Pardhe","given":"Mary D.","non-dropping-particle":"","parse-names":false,"suffix":""},{"dropping-particle":"","family":"Sun","given":"Haiyan","non-dropping-particle":"","parse-names":false,"suffix":""},{"dropping-particle":"","family":"Hunter","given":"Joseph G.L.","non-dropping-particle":"","parse-names":false,"suffix":""},{"dropping-particle":"","family":"Mor","given":"Tsafrir","non-dropping-particle":"","parse-names":false,"suffix":""},{"dropping-particle":"","family":"Meador","given":"Lydia","non-dropping-particle":"","parse-names":false,"suffix":""},{"dropping-particle":"","family":"Kilbourne","given":"Jacquelyn","non-dropping-particle":"","parse-names":false,"suffix":""},{"dropping-particle":"","family":"Chen","given":"Qiang","non-dropping-particle":"","parse-names":false,"suffix":""},{"dropping-particle":"","family":"Mason","given":"Hugh S.","non-dropping-particle":"","parse-names":false,"suffix":""}],"container-title":"Vaccine","id":"ITEM-3","issue":"18","issued":{"date-parts":[["2020","4","16"]]},"page":"3455-3463","publisher":"Elsevier Ltd","title":"Codelivery of improved immune complex and virus-like particle vaccines containing Zika virus envelope domain III synergistically enhances immunogenicity","type":"article-journal","volume":"38"},"uris":["http://www.mendeley.com/documents/?uuid=ceff5ba8-e967-3dd8-b918-e1733d81b78a"]}],"mendeley":{"formattedCitation":"&lt;sup&gt;29–31&lt;/sup&gt;","plainTextFormattedCitation":"29–31","previouslyFormattedCitation":"&lt;sup&gt;29–31&lt;/sup&gt;"},"properties":{"noteIndex":0},"schema":"https://github.com/citation-style-language/schema/raw/master/csl-citation.json"}</w:instrText>
      </w:r>
      <w:r>
        <w:fldChar w:fldCharType="separate"/>
      </w:r>
      <w:r w:rsidR="0009107D" w:rsidRPr="0009107D">
        <w:rPr>
          <w:noProof/>
          <w:vertAlign w:val="superscript"/>
        </w:rPr>
        <w:t>29–31</w:t>
      </w:r>
      <w:r>
        <w:fldChar w:fldCharType="end"/>
      </w:r>
      <w:r w:rsidRPr="00796AAD">
        <w:t>. </w:t>
      </w:r>
    </w:p>
    <w:p w14:paraId="340EEE2D" w14:textId="77777777" w:rsidR="008F3A57" w:rsidRDefault="008F3A57" w:rsidP="00E10F2B">
      <w:pPr>
        <w:contextualSpacing/>
        <w:rPr>
          <w:rFonts w:ascii="Times New Roman" w:hAnsi="Times New Roman" w:cs="Times New Roman"/>
        </w:rPr>
      </w:pPr>
    </w:p>
    <w:p w14:paraId="249F1921" w14:textId="1F543CB2" w:rsidR="00394B72" w:rsidRPr="00A07055" w:rsidRDefault="00394B72" w:rsidP="00E10F2B">
      <w:pPr>
        <w:contextualSpacing/>
        <w:rPr>
          <w:rFonts w:ascii="Times New Roman" w:hAnsi="Times New Roman" w:cs="Times New Roman"/>
        </w:rPr>
      </w:pPr>
      <w:r w:rsidRPr="00796AAD">
        <w:t xml:space="preserve">Green Fluorescent Protein (GFP) is a bioluminescent protein derived from the jellyfish </w:t>
      </w:r>
      <w:r w:rsidRPr="00796AAD">
        <w:rPr>
          <w:i/>
          <w:iCs/>
        </w:rPr>
        <w:t xml:space="preserve">Aequorea Victoria, </w:t>
      </w:r>
      <w:r w:rsidRPr="00796AAD">
        <w:t>which emits green light when excited by ultraviolet light</w:t>
      </w:r>
      <w:r>
        <w:fldChar w:fldCharType="begin" w:fldLock="1"/>
      </w:r>
      <w:r w:rsidR="009E7237">
        <w:instrText>ADDIN CSL_CITATION {"citationItems":[{"id":"ITEM-1","itemData":{"DOI":"10.1016/0378-1119(92)90691-H","ISSN":"03781119","PMID":"1347277","abstract":"Many cnidarians utilize green-fluorescent proteins (GFPs) as energy-transfer acceptors in bioluminescence. GFPs fluoresce in vivo upon receiving energy from either a luciferase-oxyluciferin excited-state complex or a Ca2+-activated photoprotein. These highly fluorescent proteins are unique due to the chemical nature of their chromophore, which is comprised of modified amino acid (aa) residues within the polypeptide. This report describes the cloning and sequencing of both cDNA and genomic clones of GFP from the cnidarian, Aequorea victoria. The gfp10 cDNA encodes a 238-aa-residue polypeptide with a calculated Mr of 26888. Comparsion of A. victoria GFP genomic clones shows three different restriction enzyme patterns which suggests that at least three different genes are present in the A. victoria population at Friday Harbor, Washington. The gfp gene encoded by the λGFP2 genomic clone is comprised of at least three exons spread over 2.6 kb. The nucleotide sequences of the cDNA and the gene will aid in the elucidation of structure-function relationships in this unique class of proteins. © 1992.","author":[{"dropping-particle":"","family":"Prasher","given":"Douglas C.","non-dropping-particle":"","parse-names":false,"suffix":""},{"dropping-particle":"","family":"Eckenrode","given":"Virginia K.","non-dropping-particle":"","parse-names":false,"suffix":""},{"dropping-particle":"","family":"Ward","given":"William W.","non-dropping-particle":"","parse-names":false,"suffix":""},{"dropping-particle":"","family":"Prendergast","given":"Frank G.","non-dropping-particle":"","parse-names":false,"suffix":""},{"dropping-particle":"","family":"Cormier","given":"Milton J.","non-dropping-particle":"","parse-names":false,"suffix":""}],"container-title":"Gene","id":"ITEM-1","issue":"2","issued":{"date-parts":[["1992","2","15"]]},"page":"229-233","publisher":"Elsevier","title":"Primary structure of the Aequorea victoria green-fluorescent protein","type":"article-journal","volume":"111"},"uris":["http://www.mendeley.com/documents/?uuid=eab2019a-bfb4-35c2-922d-c0eac0e039a6"]},{"id":"ITEM-2","itemData":{"DOI":"10.1126/science.8303295","ISSN":"00368075","PMID":"8303295","abstract":"A complementary DNA for the Aequorea victoria green fluorescent protein (GFP) produces a fluorescent product when expressed in prokaryotic (Escherichia coli) or eukaryotic (Caenorhabditis elegans) cells. Because exogenous substrates and cofactors are not required for this fluorescence, GFP expression can be used to monitor gene expression and protein localization in living organisms.","author":[{"dropping-particle":"","family":"Chalfie","given":"Martin","non-dropping-particle":"","parse-names":false,"suffix":""},{"dropping-particle":"","family":"Tu","given":"Yuan","non-dropping-particle":"","parse-names":false,"suffix":""},{"dropping-particle":"","family":"Euskirchen","given":"Ghia","non-dropping-particle":"","parse-names":false,"suffix":""},{"dropping-particle":"","family":"Ward","given":"William W.","non-dropping-particle":"","parse-names":false,"suffix":""},{"dropping-particle":"","family":"Prasher","given":"Douglas C.","non-dropping-particle":"","parse-names":false,"suffix":""}],"container-title":"Science","id":"ITEM-2","issue":"5148","issued":{"date-parts":[["1994"]]},"page":"802-805","title":"Green fluorescent protein as a marker for gene expression","type":"article-journal","volume":"263"},"uris":["http://www.mendeley.com/documents/?uuid=35282d45-ff9b-3aca-9337-dcf6ae8c13c2"]}],"mendeley":{"formattedCitation":"&lt;sup&gt;32, 33&lt;/sup&gt;","plainTextFormattedCitation":"32, 33","previouslyFormattedCitation":"&lt;sup&gt;32, 33&lt;/sup&gt;"},"properties":{"noteIndex":0},"schema":"https://github.com/citation-style-language/schema/raw/master/csl-citation.json"}</w:instrText>
      </w:r>
      <w:r>
        <w:fldChar w:fldCharType="separate"/>
      </w:r>
      <w:r w:rsidR="0009107D" w:rsidRPr="0009107D">
        <w:rPr>
          <w:noProof/>
          <w:vertAlign w:val="superscript"/>
        </w:rPr>
        <w:t>32, 33</w:t>
      </w:r>
      <w:r>
        <w:fldChar w:fldCharType="end"/>
      </w:r>
      <w:r w:rsidRPr="00796AAD">
        <w:t xml:space="preserve">. Over the years, </w:t>
      </w:r>
      <w:r w:rsidR="00E769A5">
        <w:t>GFP's use</w:t>
      </w:r>
      <w:r w:rsidRPr="00796AAD">
        <w:t xml:space="preserve"> as a visual marker of gene expression has expanded </w:t>
      </w:r>
      <w:r w:rsidR="004B1228">
        <w:t xml:space="preserve">from </w:t>
      </w:r>
      <w:r w:rsidR="001F7BD2">
        <w:t xml:space="preserve">expression in </w:t>
      </w:r>
      <w:r w:rsidR="006956B9">
        <w:rPr>
          <w:i/>
          <w:iCs/>
        </w:rPr>
        <w:t>Es</w:t>
      </w:r>
      <w:r w:rsidR="006956B9" w:rsidRPr="006956B9">
        <w:rPr>
          <w:i/>
          <w:iCs/>
        </w:rPr>
        <w:t>cherichia coli</w:t>
      </w:r>
      <w:r w:rsidR="006956B9">
        <w:rPr>
          <w:i/>
          <w:iCs/>
        </w:rPr>
        <w:t xml:space="preserve"> </w:t>
      </w:r>
      <w:r w:rsidR="00970BCF">
        <w:t>to</w:t>
      </w:r>
      <w:r w:rsidRPr="00796AAD">
        <w:t xml:space="preserve"> numerous protein expression systems, including </w:t>
      </w:r>
      <w:r w:rsidRPr="00796AAD">
        <w:rPr>
          <w:i/>
          <w:iCs/>
        </w:rPr>
        <w:t>N. benthamiana</w:t>
      </w:r>
      <w:r w:rsidRPr="00796AAD">
        <w:t xml:space="preserve"> plants</w:t>
      </w:r>
      <w:r>
        <w:fldChar w:fldCharType="begin" w:fldLock="1"/>
      </w:r>
      <w:r w:rsidR="009E7237">
        <w:instrText>ADDIN CSL_CITATION {"citationItems":[{"id":"ITEM-1","itemData":{"DOI":"10.1007/978-94-011-4585-5_40","author":[{"dropping-particle":"","family":"Palm","given":"M.","non-dropping-particle":"","parse-names":false,"suffix":""},{"dropping-particle":"","family":"Baumstark-Khan","given":"C.","non-dropping-particle":"","parse-names":false,"suffix":""},{"dropping-particle":"","family":"Horneck","given":"G.","non-dropping-particle":"","parse-names":false,"suffix":""}],"container-title":"Fundamentals for the Assessment of Risks from Environmental Radiation","id":"ITEM-1","issued":{"date-parts":[["1999"]]},"page":"311-316","publisher":"Springer Netherlands","title":"Green Fluorescent Protein (GFP) Expression in Mammalian Cells After UV-Irradiation","type":"chapter"},"uris":["http://www.mendeley.com/documents/?uuid=f9e300ed-b5df-3f81-9d70-b6993b423a8a"]},{"id":"ITEM-2","itemData":{"DOI":"10.1091/mbc.11.5.1815","ISSN":"10591524","abstract":"This study was undertaken to obtain direct evidence for the involvement of gap junctions in the propagation of intercellular Ca2+ waves. Gap junction-deficient HeLa cells were transfected with plasmids encoding for green fluorescent protein (GFP) fused to the cytoplasmic carboxyl termini of connexin 43 (Cx43), 32 (Cx32), or 26 (Cx26). The subsequently expressed GFP- labeled gap junctions rendered the cells dye- and electrically coupled and were detected at the plasma membranes at points of contact between adjacent cells. To correlate the distribution of gap junctions with the changes in [Ca2+](i) associated with Ca2+ waves and the distribution of the endoplasmic reticulum (ER), cells were loaded with fluorescent Ca2+- sensitive (fluo-3 and fura-2) and ER membrane (ER-Tracker) dyes. Digital high-speed microscopy was used to collect a series of image slices from which the three-dimensional distribution of the gap junctions and ER were reconstructed. Subsequently, intercellular Ca2+ waves were induced in these cells by mechanical stimulation with or without extracellular apyrase, an ATP-degrading enzyme. In untransfected HeLa cells and in the absence of apyrase, cell-to-cell propagating [Ca2+](i) changes were characterized by initiating Ca2+ puffs associated with the perinuclear ER. By contrast, in Cx-GFP-transfected cells and in the presence of apyrase, [Ca2+](i) changes were propagated without initiating perinuclear Ca2+ puffs and were communicated between cells at the sites of the Cx-GFP gap junctions. The efficiency of Cx expression determined the extent of Ca2+ wave propagation. These results demonstrate that intercellular Ca2+ waves may be propagated simultaneously via an extracellular pathway and an intracellular pathway through gap junctions and that one form of communication may mask the other.","author":[{"dropping-particle":"","family":"Paemeleire","given":"Koen","non-dropping-particle":"","parse-names":false,"suffix":""},{"dropping-particle":"","family":"Martin","given":"Patricia E.M.","non-dropping-particle":"","parse-names":false,"suffix":""},{"dropping-particle":"","family":"Coleman","given":"Sharon L.","non-dropping-particle":"","parse-names":false,"suffix":""},{"dropping-particle":"","family":"Fogarty","given":"Kevin E.","non-dropping-particle":"","parse-names":false,"suffix":""},{"dropping-particle":"","family":"Carrington","given":"Walter A.","non-dropping-particle":"","parse-names":false,"suffix":""},{"dropping-particle":"","family":"Leybaert","given":"Luc","non-dropping-particle":"","parse-names":false,"suffix":""},{"dropping-particle":"","family":"Tuft","given":"Richard A.","non-dropping-particle":"","parse-names":false,"suffix":""},{"dropping-particle":"","family":"Evans","given":"W. Howard","non-dropping-particle":"","parse-names":false,"suffix":""},{"dropping-particle":"","family":"Sanderson","given":"Michael J.","non-dropping-particle":"","parse-names":false,"suffix":""}],"container-title":"Molecular Biology of the Cell","id":"ITEM-2","issue":"5","issued":{"date-parts":[["2000","10","13"]]},"page":"1815-1827","publisher":"American Society for Cell Biology","title":"Intercellular calcium waves in HeLa cells expressing GFP-labeled connexin 43, 32, or 26","type":"article-journal","volume":"11"},"uris":["http://www.mendeley.com/documents/?uuid=d19007b4-3484-3748-9125-a6c80af5bfac"]},{"id":"ITEM-3","itemData":{"DOI":"10.1007/BF02824023","ISSN":"07359640","abstract":"Modified forms of genes encoding green fluorescent protein (GFP) can be macroscopically detected when expressed in whole plants. This technology has opened up new uses for GFP such as monitoring transgene presence and expression in the environment once it is linked or fused to a gene of interest. When whole-plant or whole-organ GFP visualization is required, GFP should be predictably expressed and reliably fluorescent. In this study the whole plant expression and fluorescence patterns of a mGFP5er gene driven by the cauliflower mosaic virus 35S promoter was studied in intact GFP-expressing transgenic tobacco (Nicotiana tabacum cv. Xanthi). It was shown that GFP synthesis levels in single plant organs were similar to GUS activity levels from published data when driven by the same promoter. Under the control of the 35S promoter, high expression of GFP can be used to visualize stems, young leaves, flowers, and organs where the 35S promoter is most active. Modified forms of GFP could replace GUS as the visual marker gene of choice.","author":[{"dropping-particle":"","family":"Harper","given":"Brian K.","non-dropping-particle":"","parse-names":false,"suffix":""},{"dropping-particle":"","family":"Stewart","given":"C. Neal","non-dropping-particle":"","parse-names":false,"suffix":""}],"container-title":"Plant Molecular Biology Reporter","id":"ITEM-3","issue":"2","issued":{"date-parts":[["2000","9","3"]]},"page":"141-141","publisher":"International Society for Plant Molecular Biology","title":"Patterns of Green Fluorescent Protein Expression in Transgenic Plants","type":"article-journal","volume":"18"},"uris":["http://www.mendeley.com/documents/?uuid=11161447-e2e9-3d6f-a311-52a7e851d032"]},{"id":"ITEM-4","itemData":{"DOI":"10.1038/srep35932","ISSN":"20452322","abstract":"Green fluorescent protein (GFP), which was originally isolated from jellyfish, is a widely used tool in biological research, and homologs from other organisms are available. However, researchers must determine which GFP is the most suitable for a specific host. Here, we expressed GFPs from several sources in codon-optimized and non-codon-optimized forms in the yeast Saccharomyces cerevisiae, which represents an ideal eukaryotic model. Surprisingly, codon-optimized mWasabi and mNeonGreen, which are typically the brightest GFPs, emitted less green fluorescence than did the other five codon-optimized GFPs tested in S. cerevisiae. Further, commercially available GFPs that have been optimized for mammalian codon usage (e.g., EGFP, AcGFP1 and TagGFP2) unexpectedly exhibited extremely low expression levels in S. cerevisiae. In contrast, codon-optimization of the GFPs for S. cerevisiae markedly increased their expression levels, and the fluorescence intensity of the cells increased by a maximum of 101-fold. Among the tested GFPs, the codon-optimized monomeric mUkG1 from soft coral showed the highest levels of both expression and fluorescence. Finally, the expression of this protein as a fusion-tagged protein successfully improved the reporting system's ability to sense signal transduction and protein-protein interactions in S. cerevisiae and increased the detection rates of target cells using flow cytometry.","author":[{"dropping-particle":"","family":"Kaishima","given":"Misato","non-dropping-particle":"","parse-names":false,"suffix":""},{"dropping-particle":"","family":"Ishii","given":"Jun","non-dropping-particle":"","parse-names":false,"suffix":""},{"dropping-particle":"","family":"Matsuno","given":"Toshihide","non-dropping-particle":"","parse-names":false,"suffix":""},{"dropping-particle":"","family":"Fukuda","given":"Nobuo","non-dropping-particle":"","parse-names":false,"suffix":""},{"dropping-particle":"","family":"Kondo","given":"Akihiko","non-dropping-particle":"","parse-names":false,"suffix":""}],"container-title":"Scientific Reports","id":"ITEM-4","issued":{"date-parts":[["2016","10","26"]]},"publisher":"Nature Publishing Group","title":"Expression of varied GFPs in Saccharomyces cerevisiae: Codon optimization yields stronger than expected expression and fluorescence intensity","type":"article-journal","volume":"6"},"uris":["http://www.mendeley.com/documents/?uuid=71185dbd-f467-3dca-a8f9-006baae3c1d4"]},{"id":"ITEM-5","itemData":{"URL":"https://pubmed.ncbi.nlm.nih.gov/21772029/","accessed":{"date-parts":[["2020","6","15"]]},"id":"ITEM-5","issued":{"date-parts":[["0"]]},"title":"Glow in the Dark: Fluorescent Proteins as Cell and Tissue-Specific Markers in Plants - PubMed","type":"webpage"},"uris":["http://www.mendeley.com/documents/?uuid=54623373-1152-3f6d-9711-252d963f4b91"]}],"mendeley":{"formattedCitation":"&lt;sup&gt;34–38&lt;/sup&gt;","plainTextFormattedCitation":"34–38","previouslyFormattedCitation":"&lt;sup&gt;34–38&lt;/sup&gt;"},"properties":{"noteIndex":0},"schema":"https://github.com/citation-style-language/schema/raw/master/csl-citation.json"}</w:instrText>
      </w:r>
      <w:r>
        <w:fldChar w:fldCharType="separate"/>
      </w:r>
      <w:r w:rsidR="0009107D" w:rsidRPr="0009107D">
        <w:rPr>
          <w:noProof/>
          <w:vertAlign w:val="superscript"/>
        </w:rPr>
        <w:t>34–38</w:t>
      </w:r>
      <w:r>
        <w:fldChar w:fldCharType="end"/>
      </w:r>
      <w:r w:rsidRPr="00796AAD">
        <w:t xml:space="preserve">. </w:t>
      </w:r>
      <w:r>
        <w:t>Visible markers, such as GFP, have abundant implications in the teaching and learning of scientific concepts. Numerous entry-level students describe difficulties grasping scientific concepts when the idea being ta</w:t>
      </w:r>
      <w:r w:rsidR="00AA52E6">
        <w:t>u</w:t>
      </w:r>
      <w:r w:rsidR="00EE2DC8">
        <w:t>g</w:t>
      </w:r>
      <w:r>
        <w:t xml:space="preserve">ht is not visible to the naked eye, such as the concepts </w:t>
      </w:r>
      <w:r w:rsidR="00A0693F">
        <w:t xml:space="preserve">of </w:t>
      </w:r>
      <w:r>
        <w:t>molecular biology and related fields</w:t>
      </w:r>
      <w:r>
        <w:fldChar w:fldCharType="begin" w:fldLock="1"/>
      </w:r>
      <w:r w:rsidR="009E7237">
        <w:instrText>ADDIN CSL_CITATION {"citationItems":[{"id":"ITEM-1","itemData":{"DOI":"10.1186/2193-1801-3-184","ISSN":"21931801","abstract":"The use of visual models such as pictures, diagrams and animations in science education is increasing. This is because of the complex nature associated with the concepts in the field. Students, especially entrant students, often report misconceptions and learning difficulties associated with various concepts especially those that exist at a microscopic level, such as DNA, the gene and meiosis as well as those that exist in relatively large time scales such as evolution. However the role of visual literacy in the construction of knowledge in science education has not been investigated much. This article explores the theoretical process of visualization answering the question \"how can visual literacy be understood based on the theoretical cognitive process of visualization in order to inform the understanding, teaching and studying of visual literacy in science education?\" Based on various theories on cognitive processes during learning for science and general education the author argues that the theoretical process of visualization consists of three stages, namely, Internalization of Visual Models, Conceptualization of Visual Models and Externalization of Visual Models. The application of this theoretical cognitive process of visualization and the stages of visualization in science education are discussed. © 2014 Mnguni; licensee Springer.","author":[{"dropping-particle":"","family":"Mnguni","given":"Lindelani E.","non-dropping-particle":"","parse-names":false,"suffix":""}],"container-title":"SpringerPlus","id":"ITEM-1","issue":"1","issued":{"date-parts":[["2014","4","10"]]},"page":"1-9","publisher":"SpringerOpen","title":"The theoretical cognitive process of visualization for science education","type":"article","volume":"3"},"uris":["http://www.mendeley.com/documents/?uuid=fb737269-0ee5-3dec-8d82-e51e6e52fa02"]}],"mendeley":{"formattedCitation":"&lt;sup&gt;39&lt;/sup&gt;","plainTextFormattedCitation":"39","previouslyFormattedCitation":"&lt;sup&gt;39&lt;/sup&gt;"},"properties":{"noteIndex":0},"schema":"https://github.com/citation-style-language/schema/raw/master/csl-citation.json"}</w:instrText>
      </w:r>
      <w:r>
        <w:fldChar w:fldCharType="separate"/>
      </w:r>
      <w:r w:rsidR="0009107D" w:rsidRPr="0009107D">
        <w:rPr>
          <w:noProof/>
          <w:vertAlign w:val="superscript"/>
        </w:rPr>
        <w:t>39</w:t>
      </w:r>
      <w:r>
        <w:fldChar w:fldCharType="end"/>
      </w:r>
      <w:r>
        <w:t xml:space="preserve">. Visual markers, like GFP, can thus contribute to the processing of information </w:t>
      </w:r>
      <w:r w:rsidR="003E20FC">
        <w:t>related to the scientific processes and could help lessen</w:t>
      </w:r>
      <w:r>
        <w:t xml:space="preserve"> the difficulties students report in learning numerous scientific concepts. </w:t>
      </w:r>
    </w:p>
    <w:p w14:paraId="0693D3F2" w14:textId="77777777" w:rsidR="00394B72" w:rsidRDefault="00394B72" w:rsidP="00E10F2B">
      <w:pPr>
        <w:contextualSpacing/>
      </w:pPr>
    </w:p>
    <w:p w14:paraId="70368CEE" w14:textId="25EA68E2" w:rsidR="00394B72" w:rsidRDefault="00394B72" w:rsidP="00E10F2B">
      <w:pPr>
        <w:contextualSpacing/>
      </w:pPr>
      <w:r>
        <w:t>Altho</w:t>
      </w:r>
      <w:r w:rsidR="00AA52E6">
        <w:t>u</w:t>
      </w:r>
      <w:r w:rsidR="00EE2DC8">
        <w:t>g</w:t>
      </w:r>
      <w:r>
        <w:t xml:space="preserve">h </w:t>
      </w:r>
      <w:r w:rsidRPr="00796AAD">
        <w:t xml:space="preserve">GFP is often used as a marker to indicate gene and expression </w:t>
      </w:r>
      <w:r w:rsidRPr="00796AAD">
        <w:rPr>
          <w:i/>
          <w:iCs/>
        </w:rPr>
        <w:t>in vivo</w:t>
      </w:r>
      <w:r w:rsidRPr="00796AAD">
        <w:t xml:space="preserve">, </w:t>
      </w:r>
      <w:r w:rsidR="00313E21">
        <w:t>it is difficult to visualize it in the downstream processes if using acidic conditions</w:t>
      </w:r>
      <w:r w:rsidRPr="00796AAD">
        <w:t xml:space="preserve">. This circumstance is </w:t>
      </w:r>
      <w:r>
        <w:t>primarily</w:t>
      </w:r>
      <w:r w:rsidRPr="00796AAD">
        <w:t xml:space="preserve"> </w:t>
      </w:r>
      <w:r>
        <w:lastRenderedPageBreak/>
        <w:t>because</w:t>
      </w:r>
      <w:r w:rsidRPr="00796AAD">
        <w:t xml:space="preserve"> GFP does not maintain its structure and resultant fluorescence at a low pH</w:t>
      </w:r>
      <w:r>
        <w:fldChar w:fldCharType="begin" w:fldLock="1"/>
      </w:r>
      <w:r w:rsidR="009E7237">
        <w:instrText>ADDIN CSL_CITATION {"citationItems":[{"id":"ITEM-1","itemData":{"DOI":"10.1242/jcs.005801","ISSN":"00219533","PMID":"18057027","abstract":"Current fluorescent protein (FP) development strategies are focused on fine-tuning the photophysical properties of blue to yellow variants derived from the Aequorea victoria jellyfish green fluorescent protein (GFP) and on the development of monomeric FPs from other organisms that emit in the yellow-orange to far-red regions of the visible light spectrum. Progress toward these goals has been substantial, and near-infrared emitting FPs may loom over the horizon. The latest efforts in jellyfish variants have resulted in new and improved monomeric BFP, CFP, GFP and YFP variants, and the relentless search for a bright, monomeric and fast-maturing red FP has yielded a host of excellent candidates, although none is yet optimal for all applications. Meanwhile, photoactivatable FPs are emerging as a powerfull class of probes for intracellular dynamics and, unexpectedly, a useful tools for the development of superresolution microscopy applications.","author":[{"dropping-particle":"","family":"Shaner","given":"Nathan C.","non-dropping-particle":"","parse-names":false,"suffix":""},{"dropping-particle":"","family":"Patterson","given":"George H.","non-dropping-particle":"","parse-names":false,"suffix":""},{"dropping-particle":"","family":"Davidson","given":"Michael W.","non-dropping-particle":"","parse-names":false,"suffix":""}],"container-title":"Journal of Cell Science","id":"ITEM-1","issue":"24","issued":{"date-parts":[["2007","12","15"]]},"page":"4247-4260","publisher":"The Company of Biologists Ltd","title":"Advances in fluorescent protein technology","type":"article","volume":"120"},"uris":["http://www.mendeley.com/documents/?uuid=2bac353d-59ec-341c-9526-f52e134c245b"]}],"mendeley":{"formattedCitation":"&lt;sup&gt;40&lt;/sup&gt;","plainTextFormattedCitation":"40","previouslyFormattedCitation":"&lt;sup&gt;40&lt;/sup&gt;"},"properties":{"noteIndex":0},"schema":"https://github.com/citation-style-language/schema/raw/master/csl-citation.json"}</w:instrText>
      </w:r>
      <w:r>
        <w:fldChar w:fldCharType="separate"/>
      </w:r>
      <w:r w:rsidR="0009107D" w:rsidRPr="0009107D">
        <w:rPr>
          <w:noProof/>
          <w:vertAlign w:val="superscript"/>
        </w:rPr>
        <w:t>40</w:t>
      </w:r>
      <w:r>
        <w:fldChar w:fldCharType="end"/>
      </w:r>
      <w:r w:rsidRPr="00796AAD">
        <w:t xml:space="preserve">. Temporary </w:t>
      </w:r>
      <w:r>
        <w:t>a</w:t>
      </w:r>
      <w:r w:rsidR="003E20FC">
        <w:t>cidic environments are</w:t>
      </w:r>
      <w:r w:rsidRPr="00796AAD">
        <w:t xml:space="preserve"> often required in various purification processes, such as protein G, protein A, and protein L chromatography</w:t>
      </w:r>
      <w:r>
        <w:t>,</w:t>
      </w:r>
      <w:r w:rsidRPr="00796AAD">
        <w:t xml:space="preserve"> often utilized for </w:t>
      </w:r>
      <w:r w:rsidR="006D1BFF">
        <w:t>Ab</w:t>
      </w:r>
      <w:r w:rsidRPr="00796AAD">
        <w:t xml:space="preserve"> purification</w:t>
      </w:r>
      <w:r>
        <w:fldChar w:fldCharType="begin" w:fldLock="1"/>
      </w:r>
      <w:r w:rsidR="009E7237">
        <w:instrText>ADDIN CSL_CITATION {"citationItems":[{"id":"ITEM-1","itemData":{"author":[{"dropping-particle":"","family":"Bjorck2","given":"Lars","non-dropping-particle":"","parse-names":false,"suffix":""},{"dropping-particle":"","family":"Kronvall","given":"Goran","non-dropping-particle":"","parse-names":false,"suffix":""}],"id":"ITEM-1","issue":"2","issued":{"date-parts":[["1984"]]},"title":"THE JOURNAL OF IMMUNOUXY PURIFICATION AND SOME PROPERTIES OF STREPTOCOCCAL PROTEIN G, A NOVEL IgG-BINDING REAGENT'","type":"report","volume":"133"},"uris":["http://www.mendeley.com/documents/?uuid=99ec18a1-6046-394f-bbdc-6397618b6f5f"]},{"id":"ITEM-2","itemData":{"DOI":"10.1002/0471142735.im0207s21","abstract":"IgG can be purified, as described here, by ammonium sulfate precipitation followed by size-exclusion (SE) chromatography. This is the least expensive option available for purification of antibodies. Protein A- and protein G-affinity chromatography are the fastest methods for purifying antibodies, but they are not effective for all subclasses of rat antibody. A protocol for affinity chromatography using anti-rat antibody is provided for purification of rat antibodies. Ion-exchange (IEX) chromatography is described for purifying intact monoclonal and polyclonal antibodies and antibody fragments.","author":[{"dropping-particle":"","family":"Andrew","given":"Sarah M.","non-dropping-particle":"","parse-names":false,"suffix":""},{"dropping-particle":"","family":"Titus","given":"Julie A.","non-dropping-particle":"","parse-names":false,"suffix":""}],"container-title":"Current Protocols in Immunology","id":"ITEM-2","issue":"1","issued":{"date-parts":[["2001","5","1"]]},"page":"2.7.1-2.7.12","publisher":"John Wiley &amp; Sons, Inc.","publisher-place":"Hoboken, NJ, USA","title":"Purification of Immunoglobulin G","type":"chapter","volume":"21"},"uris":["http://www.mendeley.com/documents/?uuid=a1729a6d-5270-3916-88f0-02dc0e1c236a"]},{"id":"ITEM-3","itemData":{"DOI":"10.1016/j.jchromb.2006.09.030","ISSN":"15700232","abstract":"Staphylococcal protein A (SPA) is one of the first discovered immunoglobulin binding molecules and has been extensively studied during the past decades. Due to its affinity to immunoglobulins, SPA has found widespread use as a tool in the detection and purification of antibodies and the molecule has been further developed to one of the most employed affinity purification systems. Interestingly, a minimized SPA derivative has been constructed and a domain originating from SPA has been improved to withstand the harsh environment employed in industrial purifications. This review will focus on the development of different affinity molecules and matrices for usage in antibody purification. © 2006 Elsevier B.V. All rights reserved.","author":[{"dropping-particle":"","family":"Hober","given":"Sophia","non-dropping-particle":"","parse-names":false,"suffix":""},{"dropping-particle":"","family":"Nord","given":"Karin","non-dropping-particle":"","parse-names":false,"suffix":""},{"dropping-particle":"","family":"Linhult","given":"Martin","non-dropping-particle":"","parse-names":false,"suffix":""}],"container-title":"Journal of Chromatography B: Analytical Technologies in the Biomedical and Life Sciences","id":"ITEM-3","issue":"1","issued":{"date-parts":[["2007","3","15"]]},"page":"40-47","publisher":"Elsevier","title":"Protein A chromatography for antibody purification","type":"article","volume":"848"},"uris":["http://www.mendeley.com/documents/?uuid=c5ad9a89-ea0c-32b9-b3b0-9ee597c144af"]},{"id":"ITEM-4","itemData":{"DOI":"10.1016/0378-4347(95)00091-V","ISSN":"03784347","abstract":"In order to improve antibody purification methods, recombinant proteins L and LG were tested in the purification of murine monoclonal immunoglobulin G (IgG) and its fragments. After affinity constant evaluation in different buffer systems, high-performance affinity chromatographic columns were prepared by coupling the proteins to Affi-prep 10 resin and tested with eight different murine monoclonal antibodies and their fragments of different isotypes. Affinity chromatographic experiments confirmed radioimmunoassay results showing that protein L bound 75% of the tested antibody fragments whereas protein LG had affinity for all the tested fragments. These results demonstrate that protein LG is the most powerful Ig-binding tool so far described. © 1995.","author":[{"dropping-particle":"","family":"Vola","given":"R.","non-dropping-particle":"","parse-names":false,"suffix":""},{"dropping-particle":"","family":"Lombardi","given":"A.","non-dropping-particle":"","parse-names":false,"suffix":""},{"dropping-particle":"","family":"Tarditi","given":"L.","non-dropping-particle":"","parse-names":false,"suffix":""},{"dropping-particle":"","family":"Björck","given":"L.","non-dropping-particle":"","parse-names":false,"suffix":""},{"dropping-particle":"","family":"Mariani","given":"M.","non-dropping-particle":"","parse-names":false,"suffix":""}],"container-title":"Journal of Chromatography B: Biomedical Sciences and Applications","id":"ITEM-4","issue":"2","issued":{"date-parts":[["1995","6","23"]]},"page":"209-218","publisher":"Elsevier","title":"Recombinant proteins L and LG: efficient tools for purification of murine immunoglobulin G fragments","type":"article-journal","volume":"668"},"uris":["http://www.mendeley.com/documents/?uuid=93e68ce5-61f5-3560-b6ff-f4129197503a"]}],"mendeley":{"formattedCitation":"&lt;sup&gt;41–44&lt;/sup&gt;","plainTextFormattedCitation":"41–44","previouslyFormattedCitation":"&lt;sup&gt;41–44&lt;/sup&gt;"},"properties":{"noteIndex":0},"schema":"https://github.com/citation-style-language/schema/raw/master/csl-citation.json"}</w:instrText>
      </w:r>
      <w:r>
        <w:fldChar w:fldCharType="separate"/>
      </w:r>
      <w:r w:rsidR="0009107D" w:rsidRPr="0009107D">
        <w:rPr>
          <w:noProof/>
          <w:vertAlign w:val="superscript"/>
        </w:rPr>
        <w:t>41–44</w:t>
      </w:r>
      <w:r>
        <w:fldChar w:fldCharType="end"/>
      </w:r>
      <w:r w:rsidRPr="00796AAD">
        <w:t>.</w:t>
      </w:r>
      <w:r>
        <w:t xml:space="preserve"> GFP mutants</w:t>
      </w:r>
      <w:r w:rsidRPr="00796AAD">
        <w:t xml:space="preserve"> have been </w:t>
      </w:r>
      <w:r>
        <w:t>used to</w:t>
      </w:r>
      <w:r w:rsidRPr="00796AAD">
        <w:t xml:space="preserve"> retain fluorescence under acidic conditions</w:t>
      </w:r>
      <w:r>
        <w:fldChar w:fldCharType="begin" w:fldLock="1"/>
      </w:r>
      <w:r w:rsidR="009E7237">
        <w:instrText>ADDIN CSL_CITATION {"citationItems":[{"id":"ITEM-1","itemData":{"DOI":"10.1016/j.chembiol.2017.12.005","ISSN":"24519448","abstract":"The fluorescent protein (FP) color palette has greatly contributed to the visualization of molecular and cellular processes. However, most FPs lose fluorescence at a pH lower than their neutral pK a (</w:instrText>
      </w:r>
      <w:r w:rsidR="009E7237">
        <w:rPr>
          <w:rFonts w:ascii="Cambria Math" w:hAnsi="Cambria Math" w:cs="Cambria Math"/>
        </w:rPr>
        <w:instrText>∼</w:instrText>
      </w:r>
      <w:r w:rsidR="009E7237">
        <w:instrText xml:space="preserve">6), and this has hampered their application in acidic organelles (pH </w:instrText>
      </w:r>
      <w:r w:rsidR="009E7237">
        <w:rPr>
          <w:rFonts w:ascii="Cambria Math" w:hAnsi="Cambria Math" w:cs="Cambria Math"/>
        </w:rPr>
        <w:instrText>∼</w:instrText>
      </w:r>
      <w:r w:rsidR="009E7237">
        <w:instrText>4.5–6.0). Currently, several cyan- and red-colored acid-tolerant FPs are available; however, there are few reports of acid-tolerant green FPs (GFPs) that are practically applicable to bioimaging. Here, we developed the acid-tolerant monomeric GFP “Gamillus” from the jellyfish Olindias formosa, with excellent brightness, maturation speed, and photostability. Results from X-ray crystallography and point mutagenesis suggest that across a broad pH range the acid tolerance is attributed to stabilization of deprotonation in the chromophore phenyl ring by forming a unique trans configuration. We demonstrate that Gamillus can serve as a molecular tag suitable for imaging in acidic organelles through autophagy-mediated molecular tracking to lysosomes. Shinoda et al. describe the cloning, engineering, and characterization of a monomeric GFP “Gamillus” from Olindias formosa. Gamillus has superior acid tolerance (pK a = 3.4) to reported other monomeric GFPs, and a unique trans chromophore configuration contributed to the acid tolerance. They demonstrate the usefulness for imaging in an acidic cellular environment, e.g., lysosomes.","author":[{"dropping-particle":"","family":"Shinoda","given":"Hajime","non-dropping-particle":"","parse-names":false,"suffix":""},{"dropping-particle":"","family":"Ma","given":"Yuanqing","non-dropping-particle":"","parse-names":false,"suffix":""},{"dropping-particle":"","family":"Nakashima","given":"Ryosuke","non-dropping-particle":"","parse-names":false,"suffix":""},{"dropping-particle":"","family":"Sakurai","given":"Keisuke","non-dropping-particle":"","parse-names":false,"suffix":""},{"dropping-particle":"","family":"Matsuda","given":"Tomoki","non-dropping-particle":"","parse-names":false,"suffix":""},{"dropping-particle":"","family":"Nagai","given":"Takeharu","non-dropping-particle":"","parse-names":false,"suffix":""}],"container-title":"Cell Chemical Biology","id":"ITEM-1","issue":"3","issued":{"date-parts":[["2018","3","15"]]},"page":"330-338.e7","publisher":"Elsevier Ltd","title":"Acid-Tolerant Monomeric GFP from Olindias formosa","type":"article-journal","volume":"25"},"uris":["http://www.mendeley.com/documents/?uuid=8e91b146-21a4-32e3-8a41-d454f1f97b76"]},{"id":"ITEM-2","itemData":{"DOI":"10.1038/srep28166","ISSN":"20452322","abstract":"Green fluorescent proteins (GFPs) are invaluable tools for modern cell biology. Even though many properties of GFP have been successfully engineered, a GFP retaining brightness at low pH has not emerged. This limits the use of GFP in quantitative studies performed in fluctuating or acidic conditions. We report the engineering and characterisation of tandem dimer GFP (pH-TdGFP), a bright and stable GFP that can be efficiently excited and maintains its fluorescence properties in acidic conditions. Therefore, pH-TdGFP could act as a quantitative marker for cellular processes that occur at low pH, such as endocytosis, autophagy or starvation.","author":[{"dropping-particle":"","family":"Roberts","given":"Tania Michelle","non-dropping-particle":"","parse-names":false,"suffix":""},{"dropping-particle":"","family":"Rudolf","given":"Fabian","non-dropping-particle":"","parse-names":false,"suffix":""},{"dropping-particle":"","family":"Meyer","given":"Andreas","non-dropping-particle":"","parse-names":false,"suffix":""},{"dropping-particle":"","family":"Pellaux","given":"Rene","non-dropping-particle":"","parse-names":false,"suffix":""},{"dropping-particle":"","family":"Whitehead","given":"Ellis","non-dropping-particle":"","parse-names":false,"suffix":""},{"dropping-particle":"","family":"Panke","given":"Sven","non-dropping-particle":"","parse-names":false,"suffix":""},{"dropping-particle":"","family":"Held","given":"Martin","non-dropping-particle":"","parse-names":false,"suffix":""}],"container-title":"Scientific Reports","id":"ITEM-2","issue":"1","issued":{"date-parts":[["2016","6","21"]]},"page":"1-9","publisher":"Nature Publishing Group","title":"Identification and Characterisation of a pH-stable GFP","type":"article-journal","volume":"6"},"uris":["http://www.mendeley.com/documents/?uuid=d5cda0f8-990b-3ee8-9079-332151b441c2"]}],"mendeley":{"formattedCitation":"&lt;sup&gt;45, 46&lt;/sup&gt;","plainTextFormattedCitation":"45, 46","previouslyFormattedCitation":"&lt;sup&gt;45, 46&lt;/sup&gt;"},"properties":{"noteIndex":0},"schema":"https://github.com/citation-style-language/schema/raw/master/csl-citation.json"}</w:instrText>
      </w:r>
      <w:r>
        <w:fldChar w:fldCharType="separate"/>
      </w:r>
      <w:r w:rsidR="0009107D" w:rsidRPr="0009107D">
        <w:rPr>
          <w:noProof/>
          <w:vertAlign w:val="superscript"/>
        </w:rPr>
        <w:t>45, 46</w:t>
      </w:r>
      <w:r>
        <w:fldChar w:fldCharType="end"/>
      </w:r>
      <w:r w:rsidRPr="00796AAD">
        <w:t>.</w:t>
      </w:r>
      <w:r>
        <w:t xml:space="preserve"> </w:t>
      </w:r>
    </w:p>
    <w:p w14:paraId="2CC65AED" w14:textId="77777777" w:rsidR="00015DCB" w:rsidRDefault="00015DCB" w:rsidP="00E10F2B">
      <w:pPr>
        <w:contextualSpacing/>
      </w:pPr>
    </w:p>
    <w:p w14:paraId="77C97221" w14:textId="0E16035F" w:rsidR="00394B72" w:rsidRPr="00796AAD" w:rsidRDefault="00394B72" w:rsidP="00E10F2B">
      <w:pPr>
        <w:contextualSpacing/>
        <w:rPr>
          <w:rFonts w:ascii="Times New Roman" w:hAnsi="Times New Roman" w:cs="Times New Roman"/>
        </w:rPr>
      </w:pPr>
      <w:r w:rsidRPr="00796AAD">
        <w:t>Her</w:t>
      </w:r>
      <w:r>
        <w:t xml:space="preserve">ein </w:t>
      </w:r>
      <w:r w:rsidR="004B57D2">
        <w:t>we de</w:t>
      </w:r>
      <w:r w:rsidR="005C7CE3">
        <w:t xml:space="preserve">scribe </w:t>
      </w:r>
      <w:r w:rsidR="00C86C8B" w:rsidRPr="00796AAD">
        <w:t>a simple method for expression, extraction, and purification</w:t>
      </w:r>
      <w:r w:rsidR="00C34F79">
        <w:t xml:space="preserve"> of</w:t>
      </w:r>
      <w:r w:rsidR="00C86C8B" w:rsidRPr="00796AAD">
        <w:t xml:space="preserve"> recombinant </w:t>
      </w:r>
      <w:r w:rsidR="00C34F79">
        <w:t xml:space="preserve">IgG </w:t>
      </w:r>
      <w:r w:rsidR="00C86C8B" w:rsidRPr="00796AAD">
        <w:t xml:space="preserve">fusion proteins in </w:t>
      </w:r>
      <w:r w:rsidR="00C86C8B" w:rsidRPr="00796AAD">
        <w:rPr>
          <w:i/>
          <w:iCs/>
        </w:rPr>
        <w:t>N. benthamiana</w:t>
      </w:r>
      <w:r w:rsidR="00C86C8B" w:rsidRPr="00796AAD">
        <w:t xml:space="preserve"> plants. </w:t>
      </w:r>
      <w:r w:rsidR="00C34F79">
        <w:t xml:space="preserve">We </w:t>
      </w:r>
      <w:r w:rsidR="00A54711">
        <w:t>produced</w:t>
      </w:r>
      <w:r w:rsidR="00164D68" w:rsidRPr="00796AAD">
        <w:t xml:space="preserve"> traditional GFP fused to the N-terminus of a humanized IgG</w:t>
      </w:r>
      <w:r w:rsidR="00164D68">
        <w:t xml:space="preserve"> heavy chain</w:t>
      </w:r>
      <w:r w:rsidR="00164D68" w:rsidRPr="00796AAD">
        <w:t>, creating a GFP-IgG fusion</w:t>
      </w:r>
      <w:r w:rsidR="00B8008D">
        <w:t xml:space="preserve">. </w:t>
      </w:r>
      <w:r w:rsidR="00B8008D" w:rsidRPr="00B8008D">
        <w:t>Simultaneously,</w:t>
      </w:r>
      <w:r w:rsidR="00B8008D">
        <w:t xml:space="preserve"> </w:t>
      </w:r>
      <w:r w:rsidR="00252BF2">
        <w:t xml:space="preserve">we developed </w:t>
      </w:r>
      <w:r>
        <w:t xml:space="preserve">the fusion of a plant codon-optimized </w:t>
      </w:r>
      <w:r w:rsidRPr="00796AAD">
        <w:t>sequence for an acid</w:t>
      </w:r>
      <w:r>
        <w:t>-</w:t>
      </w:r>
      <w:r w:rsidRPr="00796AAD">
        <w:t>stable GFP (</w:t>
      </w:r>
      <w:proofErr w:type="spellStart"/>
      <w:r w:rsidRPr="00796AAD">
        <w:t>asGFP</w:t>
      </w:r>
      <w:proofErr w:type="spellEnd"/>
      <w:r w:rsidRPr="00796AAD">
        <w:t>) to the N-terminus of a humanized IgG</w:t>
      </w:r>
      <w:r>
        <w:t xml:space="preserve"> heavy chain</w:t>
      </w:r>
      <w:r w:rsidRPr="00796AAD">
        <w:t xml:space="preserve">, creating an </w:t>
      </w:r>
      <w:proofErr w:type="spellStart"/>
      <w:r>
        <w:t>as</w:t>
      </w:r>
      <w:r w:rsidRPr="00796AAD">
        <w:t>GFP</w:t>
      </w:r>
      <w:proofErr w:type="spellEnd"/>
      <w:r w:rsidRPr="00796AAD">
        <w:t>-IgG fusion</w:t>
      </w:r>
      <w:r w:rsidR="00B8008D">
        <w:t xml:space="preserve">. </w:t>
      </w:r>
      <w:r>
        <w:t>The a</w:t>
      </w:r>
      <w:r w:rsidRPr="00796AAD">
        <w:t>dvantages of producing</w:t>
      </w:r>
      <w:r w:rsidR="00424F89">
        <w:t xml:space="preserve"> </w:t>
      </w:r>
      <w:r w:rsidRPr="00796AAD">
        <w:t xml:space="preserve">GFP-IgG include the ability to visualize the presence </w:t>
      </w:r>
      <w:r w:rsidR="00820CC4">
        <w:t>of</w:t>
      </w:r>
      <w:r w:rsidRPr="00796AAD">
        <w:t xml:space="preserve"> </w:t>
      </w:r>
      <w:r w:rsidR="00A54711">
        <w:t xml:space="preserve">a </w:t>
      </w:r>
      <w:r w:rsidR="00820CC4">
        <w:t>target protein</w:t>
      </w:r>
      <w:r w:rsidR="00E55C6F">
        <w:t xml:space="preserve"> </w:t>
      </w:r>
      <w:r w:rsidR="00401BF3">
        <w:t xml:space="preserve">during </w:t>
      </w:r>
      <w:r w:rsidR="00CF219F">
        <w:t>expression</w:t>
      </w:r>
      <w:r w:rsidR="002E4503">
        <w:t xml:space="preserve">, while </w:t>
      </w:r>
      <w:proofErr w:type="spellStart"/>
      <w:r w:rsidR="002E4503">
        <w:t>asGFP</w:t>
      </w:r>
      <w:proofErr w:type="spellEnd"/>
      <w:r w:rsidR="002E4503">
        <w:t>-IgG allows</w:t>
      </w:r>
      <w:r w:rsidR="00AA0B29">
        <w:t xml:space="preserve"> seeing</w:t>
      </w:r>
      <w:r w:rsidR="002E4503">
        <w:t xml:space="preserve"> the presence of recombinant </w:t>
      </w:r>
      <w:r w:rsidR="00C36F00">
        <w:t xml:space="preserve">protein </w:t>
      </w:r>
      <w:r w:rsidR="00CF219F">
        <w:t xml:space="preserve">in </w:t>
      </w:r>
      <w:r w:rsidR="00E54ECE">
        <w:t>not only the expression and extraction steps but also in the</w:t>
      </w:r>
      <w:r w:rsidR="00CF219F">
        <w:t xml:space="preserve"> </w:t>
      </w:r>
      <w:r w:rsidR="00885F6E">
        <w:t>purification</w:t>
      </w:r>
      <w:r w:rsidR="00252BF2">
        <w:t xml:space="preserve"> </w:t>
      </w:r>
      <w:r w:rsidR="001C1B87">
        <w:t>steps</w:t>
      </w:r>
      <w:r w:rsidR="00E54ECE">
        <w:t xml:space="preserve"> of the protein</w:t>
      </w:r>
      <w:r w:rsidRPr="00796AAD">
        <w:t xml:space="preserve">. This protocol can be </w:t>
      </w:r>
      <w:r w:rsidR="00366EB5">
        <w:t>adapted</w:t>
      </w:r>
      <w:r w:rsidRPr="00796AAD">
        <w:t xml:space="preserve"> </w:t>
      </w:r>
      <w:r w:rsidR="001A3AE1">
        <w:t xml:space="preserve">for the </w:t>
      </w:r>
      <w:r w:rsidR="007E1F8A">
        <w:t>production, purification</w:t>
      </w:r>
      <w:r w:rsidR="003E20FC">
        <w:t>,</w:t>
      </w:r>
      <w:r w:rsidR="007E1F8A">
        <w:t xml:space="preserve"> and </w:t>
      </w:r>
      <w:r w:rsidRPr="00796AAD">
        <w:t>visualization of a</w:t>
      </w:r>
      <w:r w:rsidR="007E1F8A">
        <w:t xml:space="preserve"> range </w:t>
      </w:r>
      <w:r w:rsidR="00482384">
        <w:t>of GFP fusion proteins</w:t>
      </w:r>
      <w:r w:rsidRPr="00796AAD">
        <w:t xml:space="preserve"> produced in </w:t>
      </w:r>
      <w:r w:rsidRPr="00796AAD">
        <w:rPr>
          <w:i/>
          <w:iCs/>
        </w:rPr>
        <w:t>N. benthamiana</w:t>
      </w:r>
      <w:r w:rsidRPr="00796AAD">
        <w:t xml:space="preserve"> and purified using chromatography techniques that require low </w:t>
      </w:r>
      <w:proofErr w:type="spellStart"/>
      <w:r w:rsidRPr="00796AAD">
        <w:t>pH.</w:t>
      </w:r>
      <w:proofErr w:type="spellEnd"/>
      <w:r w:rsidRPr="00796AAD">
        <w:t xml:space="preserve"> The process can also be tailored to various amounts of leaf material</w:t>
      </w:r>
      <w:r>
        <w:t>.</w:t>
      </w:r>
      <w:r w:rsidR="001A572E">
        <w:t xml:space="preserve"> </w:t>
      </w:r>
      <w:r w:rsidR="00BC3636">
        <w:t xml:space="preserve">While Abs and </w:t>
      </w:r>
      <w:r w:rsidR="00146FE8">
        <w:t xml:space="preserve">fusion proteins tagged with </w:t>
      </w:r>
      <w:r w:rsidR="007547BC">
        <w:t>GFP o</w:t>
      </w:r>
      <w:r w:rsidR="00F0349A">
        <w:t xml:space="preserve">r </w:t>
      </w:r>
      <w:proofErr w:type="spellStart"/>
      <w:r w:rsidR="00146FE8">
        <w:t>asGFP</w:t>
      </w:r>
      <w:proofErr w:type="spellEnd"/>
      <w:r w:rsidR="00146FE8">
        <w:t xml:space="preserve"> are not intended to be used for therapies, these</w:t>
      </w:r>
      <w:r w:rsidRPr="00796AAD">
        <w:t xml:space="preserve"> methods can be useful as control</w:t>
      </w:r>
      <w:r w:rsidR="001F2784">
        <w:t>s</w:t>
      </w:r>
      <w:r w:rsidRPr="00796AAD">
        <w:t xml:space="preserve"> during experiments and can also be further utilized as a teaching tool</w:t>
      </w:r>
      <w:r>
        <w:t xml:space="preserve"> for molecular </w:t>
      </w:r>
      <w:r w:rsidR="001F2784">
        <w:t xml:space="preserve">and cellular </w:t>
      </w:r>
      <w:r>
        <w:t>biology</w:t>
      </w:r>
      <w:r w:rsidR="001F2784">
        <w:t xml:space="preserve"> and biotechnology, </w:t>
      </w:r>
      <w:r w:rsidR="00A8279D">
        <w:t>both in-person and virtually</w:t>
      </w:r>
      <w:r>
        <w:t>.</w:t>
      </w:r>
    </w:p>
    <w:p w14:paraId="237AD7DD" w14:textId="77777777" w:rsidR="00D15131" w:rsidRPr="001B1519" w:rsidRDefault="00D15131" w:rsidP="00E10F2B">
      <w:pPr>
        <w:contextualSpacing/>
        <w:rPr>
          <w:rFonts w:asciiTheme="minorHAnsi" w:hAnsiTheme="minorHAnsi" w:cstheme="minorHAnsi"/>
          <w:b/>
        </w:rPr>
      </w:pPr>
    </w:p>
    <w:p w14:paraId="02E4BEB3" w14:textId="77777777" w:rsidR="009611DD" w:rsidRPr="00796AAD" w:rsidRDefault="009611DD" w:rsidP="00E10F2B">
      <w:pPr>
        <w:contextualSpacing/>
        <w:rPr>
          <w:rFonts w:ascii="Times New Roman" w:hAnsi="Times New Roman" w:cs="Times New Roman"/>
        </w:rPr>
      </w:pPr>
      <w:r w:rsidRPr="00796AAD">
        <w:rPr>
          <w:b/>
          <w:bCs/>
        </w:rPr>
        <w:t>Protocol:</w:t>
      </w:r>
    </w:p>
    <w:p w14:paraId="1C747DE5" w14:textId="77777777" w:rsidR="009611DD" w:rsidRDefault="009611DD" w:rsidP="00E10F2B">
      <w:pPr>
        <w:contextualSpacing/>
        <w:rPr>
          <w:rFonts w:ascii="Times New Roman" w:hAnsi="Times New Roman" w:cs="Times New Roman"/>
        </w:rPr>
      </w:pPr>
    </w:p>
    <w:p w14:paraId="3C0E7BC2" w14:textId="5E208EAF" w:rsidR="009611DD" w:rsidRPr="00796AAD" w:rsidRDefault="009611DD" w:rsidP="00E10F2B">
      <w:pPr>
        <w:contextualSpacing/>
        <w:rPr>
          <w:rFonts w:ascii="Times New Roman" w:hAnsi="Times New Roman" w:cs="Times New Roman"/>
        </w:rPr>
      </w:pPr>
      <w:r w:rsidRPr="00796AAD">
        <w:rPr>
          <w:b/>
          <w:bCs/>
        </w:rPr>
        <w:t>1.</w:t>
      </w:r>
      <w:r w:rsidR="00E10F2B">
        <w:rPr>
          <w:rFonts w:ascii="Times New Roman" w:hAnsi="Times New Roman" w:cs="Times New Roman"/>
          <w:sz w:val="14"/>
          <w:szCs w:val="14"/>
        </w:rPr>
        <w:t xml:space="preserve"> </w:t>
      </w:r>
      <w:r w:rsidRPr="00796AAD">
        <w:rPr>
          <w:b/>
          <w:bCs/>
        </w:rPr>
        <w:t xml:space="preserve">Cultivate </w:t>
      </w:r>
      <w:r w:rsidRPr="00796AAD">
        <w:rPr>
          <w:b/>
          <w:bCs/>
          <w:i/>
          <w:iCs/>
        </w:rPr>
        <w:t>N. benthamiana</w:t>
      </w:r>
      <w:r w:rsidRPr="00796AAD">
        <w:rPr>
          <w:b/>
          <w:bCs/>
        </w:rPr>
        <w:t xml:space="preserve"> plants</w:t>
      </w:r>
    </w:p>
    <w:p w14:paraId="12AE897C" w14:textId="77777777" w:rsidR="009611DD" w:rsidRDefault="009611DD" w:rsidP="00E10F2B">
      <w:pPr>
        <w:contextualSpacing/>
      </w:pPr>
    </w:p>
    <w:p w14:paraId="57C9F865" w14:textId="3326190D" w:rsidR="00F31506" w:rsidRDefault="00F31506" w:rsidP="00E10F2B">
      <w:pPr>
        <w:contextualSpacing/>
      </w:pPr>
      <w:r>
        <w:t>1.1</w:t>
      </w:r>
      <w:r w:rsidR="00AE27B8">
        <w:t xml:space="preserve"> </w:t>
      </w:r>
      <w:r w:rsidR="009611DD" w:rsidRPr="00796AAD">
        <w:t>Place soil peat pellets on a tray and pour previously boiled, still hot</w:t>
      </w:r>
      <w:r w:rsidR="009611DD">
        <w:t xml:space="preserve"> (~40-45</w:t>
      </w:r>
      <w:r w:rsidR="00015DCB">
        <w:t xml:space="preserve"> </w:t>
      </w:r>
      <w:r w:rsidR="009611DD" w:rsidRPr="00796AAD">
        <w:t>°C</w:t>
      </w:r>
      <w:r w:rsidR="009611DD">
        <w:t>)</w:t>
      </w:r>
      <w:r w:rsidR="009611DD" w:rsidRPr="00796AAD">
        <w:t xml:space="preserve">, water over </w:t>
      </w:r>
      <w:r w:rsidR="001E12C6">
        <w:t xml:space="preserve">the peat pellets </w:t>
      </w:r>
      <w:r w:rsidR="009611DD" w:rsidRPr="00796AAD">
        <w:t xml:space="preserve">for full expansion. </w:t>
      </w:r>
      <w:r w:rsidR="6BFC6E42">
        <w:t>After pellets</w:t>
      </w:r>
      <w:r w:rsidR="001E12C6">
        <w:t xml:space="preserve"> are fully e</w:t>
      </w:r>
      <w:r w:rsidR="001E5C5A">
        <w:t>xpanded</w:t>
      </w:r>
      <w:r w:rsidR="009611DD">
        <w:t>, p</w:t>
      </w:r>
      <w:r w:rsidR="009611DD" w:rsidRPr="00796AAD">
        <w:t xml:space="preserve">lace 2-3 </w:t>
      </w:r>
      <w:r w:rsidR="009611DD" w:rsidRPr="00F31506">
        <w:rPr>
          <w:i/>
          <w:iCs/>
        </w:rPr>
        <w:t>N. benthamiana</w:t>
      </w:r>
      <w:r w:rsidR="009611DD" w:rsidRPr="00796AAD">
        <w:t xml:space="preserve"> seeds on each peat pelle</w:t>
      </w:r>
      <w:r w:rsidR="009611DD">
        <w:t>t</w:t>
      </w:r>
      <w:r w:rsidR="001E5C5A">
        <w:t xml:space="preserve"> using </w:t>
      </w:r>
      <w:r w:rsidR="009611DD">
        <w:t>tweezer</w:t>
      </w:r>
      <w:r w:rsidR="001E5C5A">
        <w:t>s</w:t>
      </w:r>
      <w:r w:rsidR="009611DD" w:rsidRPr="00796AAD">
        <w:t>.</w:t>
      </w:r>
    </w:p>
    <w:p w14:paraId="11E6514E" w14:textId="77777777" w:rsidR="00F31506" w:rsidRDefault="00F31506" w:rsidP="00E10F2B">
      <w:pPr>
        <w:contextualSpacing/>
      </w:pPr>
    </w:p>
    <w:p w14:paraId="5BBDFBEC" w14:textId="282792A7" w:rsidR="009611DD" w:rsidRDefault="009611DD" w:rsidP="00E10F2B">
      <w:pPr>
        <w:contextualSpacing/>
      </w:pPr>
      <w:r w:rsidRPr="00796AAD">
        <w:t>1.2.</w:t>
      </w:r>
      <w:r w:rsidR="00E10F2B">
        <w:rPr>
          <w:rFonts w:ascii="Times New Roman" w:hAnsi="Times New Roman" w:cs="Times New Roman"/>
          <w:sz w:val="14"/>
          <w:szCs w:val="14"/>
        </w:rPr>
        <w:t xml:space="preserve"> </w:t>
      </w:r>
      <w:r w:rsidRPr="00796AAD">
        <w:t>Pour</w:t>
      </w:r>
      <w:r w:rsidRPr="00796AAD" w:rsidDel="00334D7E">
        <w:t xml:space="preserve"> </w:t>
      </w:r>
      <w:r w:rsidR="00334D7E">
        <w:t xml:space="preserve">about 0.5 </w:t>
      </w:r>
      <w:r w:rsidR="00C373DD">
        <w:t>in of water</w:t>
      </w:r>
      <w:r w:rsidR="00334D7E" w:rsidRPr="00796AAD">
        <w:t xml:space="preserve"> </w:t>
      </w:r>
      <w:r w:rsidRPr="00796AAD">
        <w:t>to cover the bottom of the tray</w:t>
      </w:r>
      <w:r w:rsidR="00474B03">
        <w:t xml:space="preserve">. </w:t>
      </w:r>
      <w:r w:rsidRPr="00796AAD">
        <w:t xml:space="preserve">Label the tray with the seeding date. </w:t>
      </w:r>
      <w:r w:rsidR="007609FC" w:rsidRPr="007609FC">
        <w:t>Continue to water the seedlings daily with appropriate amounts of fertilizer.</w:t>
      </w:r>
      <w:r>
        <w:t xml:space="preserve"> </w:t>
      </w:r>
      <w:r w:rsidR="4D31C501">
        <w:t>Fertilizer (water</w:t>
      </w:r>
      <w:r w:rsidR="003565D2">
        <w:t>-</w:t>
      </w:r>
      <w:r w:rsidR="4D31C501">
        <w:t>soluble all</w:t>
      </w:r>
      <w:r w:rsidR="003565D2">
        <w:t>-</w:t>
      </w:r>
      <w:r w:rsidR="4D31C501">
        <w:t>purpose plant food)</w:t>
      </w:r>
      <w:r>
        <w:t xml:space="preserve"> concentration is generally 2.5-2.</w:t>
      </w:r>
      <w:r w:rsidR="4D31C501">
        <w:t>8 g</w:t>
      </w:r>
      <w:r>
        <w:t>/L.</w:t>
      </w:r>
    </w:p>
    <w:p w14:paraId="2D8BC88E" w14:textId="69639507" w:rsidR="00474B03" w:rsidRDefault="00474B03" w:rsidP="00E10F2B">
      <w:pPr>
        <w:contextualSpacing/>
      </w:pPr>
    </w:p>
    <w:p w14:paraId="2CDC5E65" w14:textId="2A52C028" w:rsidR="009611DD" w:rsidRDefault="009611DD" w:rsidP="00E10F2B">
      <w:pPr>
        <w:contextualSpacing/>
      </w:pPr>
      <w:r w:rsidRPr="00796AAD">
        <w:t>1.3.</w:t>
      </w:r>
      <w:r w:rsidR="00E10F2B">
        <w:rPr>
          <w:rFonts w:ascii="Times New Roman" w:hAnsi="Times New Roman" w:cs="Times New Roman"/>
          <w:sz w:val="14"/>
          <w:szCs w:val="14"/>
        </w:rPr>
        <w:t xml:space="preserve"> </w:t>
      </w:r>
      <w:r w:rsidR="00015DCB">
        <w:t>Cover the</w:t>
      </w:r>
      <w:r w:rsidR="00474B03" w:rsidRPr="00474B03">
        <w:t xml:space="preserve"> tray with a </w:t>
      </w:r>
      <w:proofErr w:type="spellStart"/>
      <w:r w:rsidR="00474B03" w:rsidRPr="00474B03">
        <w:t>humidome</w:t>
      </w:r>
      <w:proofErr w:type="spellEnd"/>
      <w:r w:rsidR="00474B03" w:rsidRPr="00474B03">
        <w:t xml:space="preserve"> top when placed in </w:t>
      </w:r>
      <w:r w:rsidR="332136D5">
        <w:t xml:space="preserve">the </w:t>
      </w:r>
      <w:r w:rsidR="00474B03" w:rsidRPr="00474B03">
        <w:t xml:space="preserve">growth chamber. </w:t>
      </w:r>
      <w:r w:rsidR="00015DCB">
        <w:t>Keep the</w:t>
      </w:r>
      <w:r w:rsidR="00474B03" w:rsidRPr="00474B03">
        <w:t xml:space="preserve"> seeded peat pellets in the growth chamber at 23-25</w:t>
      </w:r>
      <w:r w:rsidR="00015DCB">
        <w:t xml:space="preserve"> </w:t>
      </w:r>
      <w:r w:rsidR="00474B03" w:rsidRPr="00474B03">
        <w:t>°C, with a 16 h photoperiod and 60% relative humidity</w:t>
      </w:r>
      <w:r w:rsidR="00DA1189">
        <w:t>.</w:t>
      </w:r>
    </w:p>
    <w:p w14:paraId="4D911296" w14:textId="77777777" w:rsidR="00DA1189" w:rsidRDefault="00DA1189" w:rsidP="00E10F2B">
      <w:pPr>
        <w:contextualSpacing/>
      </w:pPr>
    </w:p>
    <w:p w14:paraId="1D1E265B" w14:textId="5EAC6EA0" w:rsidR="009611DD" w:rsidRPr="00796AAD" w:rsidRDefault="009611DD" w:rsidP="00E10F2B">
      <w:pPr>
        <w:contextualSpacing/>
        <w:rPr>
          <w:rFonts w:ascii="Times New Roman" w:hAnsi="Times New Roman" w:cs="Times New Roman"/>
        </w:rPr>
      </w:pPr>
      <w:r w:rsidRPr="00796AAD">
        <w:t>1.4.</w:t>
      </w:r>
      <w:r w:rsidR="00E10F2B">
        <w:rPr>
          <w:rFonts w:ascii="Times New Roman" w:hAnsi="Times New Roman" w:cs="Times New Roman"/>
          <w:sz w:val="14"/>
          <w:szCs w:val="14"/>
        </w:rPr>
        <w:t xml:space="preserve"> </w:t>
      </w:r>
      <w:r w:rsidRPr="00796AAD">
        <w:t>After one week, remove extra plants leaving each pellet with only one seedling.</w:t>
      </w:r>
    </w:p>
    <w:p w14:paraId="19968A85" w14:textId="77777777" w:rsidR="00B458B3" w:rsidRDefault="00B458B3" w:rsidP="00E10F2B">
      <w:pPr>
        <w:contextualSpacing/>
      </w:pPr>
    </w:p>
    <w:p w14:paraId="557B2A14" w14:textId="10538AF2" w:rsidR="009611DD" w:rsidRPr="00796AAD" w:rsidRDefault="009611DD" w:rsidP="00E10F2B">
      <w:pPr>
        <w:contextualSpacing/>
        <w:rPr>
          <w:rFonts w:ascii="Times New Roman" w:hAnsi="Times New Roman" w:cs="Times New Roman"/>
        </w:rPr>
      </w:pPr>
      <w:r w:rsidRPr="00796AAD">
        <w:t>1.5.</w:t>
      </w:r>
      <w:r w:rsidR="00E10F2B">
        <w:rPr>
          <w:rFonts w:ascii="Times New Roman" w:hAnsi="Times New Roman" w:cs="Times New Roman"/>
          <w:sz w:val="14"/>
          <w:szCs w:val="14"/>
        </w:rPr>
        <w:t xml:space="preserve"> </w:t>
      </w:r>
      <w:r w:rsidRPr="00796AAD">
        <w:t>When the plants are 2-3 weeks old, transfer each peat pellet to an individual pot containing moisture control soil. </w:t>
      </w:r>
      <w:r>
        <w:t>This demonstration used Miracle</w:t>
      </w:r>
      <w:r w:rsidR="00015DCB">
        <w:t>-</w:t>
      </w:r>
      <w:r>
        <w:t>Gro moisture control potting soil.</w:t>
      </w:r>
    </w:p>
    <w:p w14:paraId="710A2298" w14:textId="77777777" w:rsidR="009611DD" w:rsidRDefault="009611DD" w:rsidP="00E10F2B">
      <w:pPr>
        <w:contextualSpacing/>
      </w:pPr>
    </w:p>
    <w:p w14:paraId="2CDE1F8D" w14:textId="5EC8FCFB" w:rsidR="009611DD" w:rsidRPr="00796AAD" w:rsidRDefault="009611DD" w:rsidP="00E10F2B">
      <w:pPr>
        <w:contextualSpacing/>
        <w:rPr>
          <w:rFonts w:ascii="Times New Roman" w:hAnsi="Times New Roman" w:cs="Times New Roman"/>
        </w:rPr>
      </w:pPr>
      <w:r w:rsidRPr="00796AAD">
        <w:t>1.6.</w:t>
      </w:r>
      <w:r w:rsidR="00E10F2B">
        <w:rPr>
          <w:rFonts w:ascii="Times New Roman" w:hAnsi="Times New Roman" w:cs="Times New Roman"/>
          <w:sz w:val="14"/>
          <w:szCs w:val="14"/>
        </w:rPr>
        <w:t xml:space="preserve"> </w:t>
      </w:r>
      <w:r w:rsidRPr="00796AAD">
        <w:t>Water daily with 1 g/L fertilizer. Never leave the soil completely dry. Plants are ready for infiltration when they are 5-6 weeks old.</w:t>
      </w:r>
    </w:p>
    <w:p w14:paraId="606D214A" w14:textId="77777777" w:rsidR="009611DD" w:rsidRDefault="009611DD" w:rsidP="00E10F2B">
      <w:pPr>
        <w:contextualSpacing/>
        <w:rPr>
          <w:rFonts w:ascii="Times New Roman" w:hAnsi="Times New Roman" w:cs="Times New Roman"/>
        </w:rPr>
      </w:pPr>
    </w:p>
    <w:p w14:paraId="55A2EF25" w14:textId="2C41B2B5" w:rsidR="009611DD" w:rsidRPr="00796AAD" w:rsidRDefault="009611DD" w:rsidP="00E10F2B">
      <w:pPr>
        <w:contextualSpacing/>
        <w:rPr>
          <w:rFonts w:ascii="Times New Roman" w:hAnsi="Times New Roman" w:cs="Times New Roman"/>
        </w:rPr>
      </w:pPr>
      <w:r w:rsidRPr="00796AAD">
        <w:rPr>
          <w:b/>
          <w:bCs/>
        </w:rPr>
        <w:lastRenderedPageBreak/>
        <w:t>2.</w:t>
      </w:r>
      <w:r w:rsidR="00E10F2B">
        <w:rPr>
          <w:rFonts w:ascii="Times New Roman" w:hAnsi="Times New Roman" w:cs="Times New Roman"/>
          <w:sz w:val="14"/>
          <w:szCs w:val="14"/>
        </w:rPr>
        <w:t xml:space="preserve"> </w:t>
      </w:r>
      <w:r w:rsidRPr="00796AAD">
        <w:rPr>
          <w:b/>
          <w:bCs/>
        </w:rPr>
        <w:t xml:space="preserve">Preparation of </w:t>
      </w:r>
      <w:r w:rsidRPr="00796AAD">
        <w:rPr>
          <w:b/>
          <w:bCs/>
          <w:i/>
          <w:iCs/>
        </w:rPr>
        <w:t>Agrobacterium</w:t>
      </w:r>
      <w:r w:rsidRPr="00796AAD">
        <w:rPr>
          <w:b/>
          <w:bCs/>
        </w:rPr>
        <w:t xml:space="preserve"> </w:t>
      </w:r>
      <w:r w:rsidRPr="00796AAD">
        <w:rPr>
          <w:b/>
          <w:bCs/>
          <w:i/>
          <w:iCs/>
        </w:rPr>
        <w:t>tumefaciens</w:t>
      </w:r>
      <w:r w:rsidRPr="00796AAD">
        <w:rPr>
          <w:b/>
          <w:bCs/>
        </w:rPr>
        <w:t xml:space="preserve"> for infiltration</w:t>
      </w:r>
    </w:p>
    <w:p w14:paraId="66BD416B" w14:textId="774FEA8C" w:rsidR="009611DD" w:rsidRDefault="009611DD" w:rsidP="00E10F2B">
      <w:pPr>
        <w:contextualSpacing/>
      </w:pPr>
    </w:p>
    <w:p w14:paraId="2387FE13" w14:textId="02FBC252" w:rsidR="00A54F69" w:rsidRDefault="00015DCB" w:rsidP="00E10F2B">
      <w:pPr>
        <w:contextualSpacing/>
      </w:pPr>
      <w:r w:rsidRPr="00015DCB">
        <w:t>NOTE:</w:t>
      </w:r>
      <w:r w:rsidR="00A54F69">
        <w:t xml:space="preserve"> GFP-IgG fusion construct</w:t>
      </w:r>
      <w:r w:rsidR="000E0F3F">
        <w:t>s</w:t>
      </w:r>
      <w:r w:rsidR="00A54F69">
        <w:t xml:space="preserve"> can be </w:t>
      </w:r>
      <w:r w:rsidR="000E0F3F">
        <w:t>obtained as described in this paper</w:t>
      </w:r>
      <w:r w:rsidR="00784FB6">
        <w:fldChar w:fldCharType="begin" w:fldLock="1"/>
      </w:r>
      <w:r w:rsidR="009E7237">
        <w:instrText>ADDIN CSL_CITATION {"citationItems":[{"id":"ITEM-1","itemData":{"DOI":"10.1016/j.vaccine.2020.02.089","ISSN":"18732518","abstract":"Zika virus (ZIKV) reemergence poses a significant health threat especially due to its risks to fetal development, necessitating safe and effective vaccines that can protect pregnant women. Zika envelope domain III (ZE3) has been identified as a safe and effective vaccine candidate, however it is poorly immunogenic. We previously showed that plant-made recombinant immune complex (RIC) vaccines are a robust platform to improve the immunogenicity of weak antigens. In this study, we altered the antigen fusion site on the RIC platform to accommodate N-terminal fusion to the IgG heavy chain (N-RIC), and thus a wider range of antigens, with a resulting 40% improvement in RIC expression over the normal C-terminal fusion (C-RIC). Both types of RICs containing ZE3 were efficiently assembled in plants and purified to &gt;95% homogeneity with a simple one-step purification. Both ZE3 RICs strongly bound complement receptor C1q and elicited strong ZE3-specific antibody titers that correlated with ZIKV neutralization. When either N-RIC or C-RIC was codelivered with plant-produced hepatitis B core (HBc) virus-like particles (VLP) displaying ZE3, the combination elicited 5-fold greater antibody titers (&gt;1,000,000) and more strongly neutralized ZIKV than either RICs or VLPs alone, after only two doses without adjuvant. These findings demonstrate that antigens that require a free N-terminus for optimal antigen display can now be used with the RIC system, and that plant-made RICs and VLPs are highly effective vaccines targeting ZE3. Thus, the RIC platform can be more generally applied to a wider variety of antigens.","author":[{"dropping-particle":"","family":"Diamos","given":"Andrew G.","non-dropping-particle":"","parse-names":false,"suffix":""},{"dropping-particle":"","family":"Pardhe","given":"Mary D.","non-dropping-particle":"","parse-names":false,"suffix":""},{"dropping-particle":"","family":"Sun","given":"Haiyan","non-dropping-particle":"","parse-names":false,"suffix":""},{"dropping-particle":"","family":"Hunter","given":"Joseph G.L.","non-dropping-particle":"","parse-names":false,"suffix":""},{"dropping-particle":"","family":"Mor","given":"Tsafrir","non-dropping-particle":"","parse-names":false,"suffix":""},{"dropping-particle":"","family":"Meador","given":"Lydia","non-dropping-particle":"","parse-names":false,"suffix":""},{"dropping-particle":"","family":"Kilbourne","given":"Jacquelyn","non-dropping-particle":"","parse-names":false,"suffix":""},{"dropping-particle":"","family":"Chen","given":"Qiang","non-dropping-particle":"","parse-names":false,"suffix":""},{"dropping-particle":"","family":"Mason","given":"Hugh S.","non-dropping-particle":"","parse-names":false,"suffix":""}],"container-title":"Vaccine","id":"ITEM-1","issue":"18","issued":{"date-parts":[["2020","4","16"]]},"page":"3455-3463","publisher":"Elsevier Ltd","title":"Codelivery of improved immune complex and virus-like particle vaccines containing Zika virus envelope domain III synergistically enhances immunogenicity","type":"article-journal","volume":"38"},"uris":["http://www.mendeley.com/documents/?uuid=ceff5ba8-e967-3dd8-b918-e1733d81b78a"]}],"mendeley":{"formattedCitation":"&lt;sup&gt;31&lt;/sup&gt;","plainTextFormattedCitation":"31","previouslyFormattedCitation":"&lt;sup&gt;31&lt;/sup&gt;"},"properties":{"noteIndex":0},"schema":"https://github.com/citation-style-language/schema/raw/master/csl-citation.json"}</w:instrText>
      </w:r>
      <w:r w:rsidR="00784FB6">
        <w:fldChar w:fldCharType="separate"/>
      </w:r>
      <w:r w:rsidR="0009107D" w:rsidRPr="0009107D">
        <w:rPr>
          <w:noProof/>
          <w:vertAlign w:val="superscript"/>
        </w:rPr>
        <w:t>31</w:t>
      </w:r>
      <w:r w:rsidR="00784FB6">
        <w:fldChar w:fldCharType="end"/>
      </w:r>
      <w:r w:rsidR="00C467DD">
        <w:t>.</w:t>
      </w:r>
      <w:r w:rsidR="00BB5517">
        <w:t xml:space="preserve"> </w:t>
      </w:r>
      <w:r w:rsidR="00784FB6">
        <w:t xml:space="preserve">The </w:t>
      </w:r>
      <w:proofErr w:type="spellStart"/>
      <w:r w:rsidR="00D43438">
        <w:t>asGFP</w:t>
      </w:r>
      <w:proofErr w:type="spellEnd"/>
      <w:r w:rsidR="00D43438">
        <w:t xml:space="preserve"> gene was </w:t>
      </w:r>
      <w:r w:rsidR="00C467DD">
        <w:t xml:space="preserve">obtained and </w:t>
      </w:r>
      <w:r w:rsidR="00D43438">
        <w:t>plant-optimized from this study</w:t>
      </w:r>
      <w:r w:rsidR="00784FB6" w:rsidRPr="00784FB6">
        <w:fldChar w:fldCharType="begin" w:fldLock="1"/>
      </w:r>
      <w:r w:rsidR="009E7237">
        <w:instrText>ADDIN CSL_CITATION {"citationItems":[{"id":"ITEM-1","itemData":{"DOI":"10.1016/j.chembiol.2017.12.005","ISSN":"24519448","abstract":"The fluorescent protein (FP) color palette has greatly contributed to the visualization of molecular and cellular processes. However, most FPs lose fluorescence at a pH lower than their neutral pK a (</w:instrText>
      </w:r>
      <w:r w:rsidR="009E7237">
        <w:rPr>
          <w:rFonts w:ascii="Cambria Math" w:hAnsi="Cambria Math" w:cs="Cambria Math"/>
        </w:rPr>
        <w:instrText>∼</w:instrText>
      </w:r>
      <w:r w:rsidR="009E7237">
        <w:instrText xml:space="preserve">6), and this has hampered their application in acidic organelles (pH </w:instrText>
      </w:r>
      <w:r w:rsidR="009E7237">
        <w:rPr>
          <w:rFonts w:ascii="Cambria Math" w:hAnsi="Cambria Math" w:cs="Cambria Math"/>
        </w:rPr>
        <w:instrText>∼</w:instrText>
      </w:r>
      <w:r w:rsidR="009E7237">
        <w:instrText>4.5–6.0). Currently, several cyan- and red-colored acid-tolerant FPs are available; however, there are few reports of acid-tolerant green FPs (GFPs) that are practically applicable to bioimaging. Here, we developed the acid-tolerant monomeric GFP “Gamillus” from the jellyfish Olindias formosa, with excellent brightness, maturation speed, and photostability. Results from X-ray crystallography and point mutagenesis suggest that across a broad pH range the acid tolerance is attributed to stabilization of deprotonation in the chromophore phenyl ring by forming a unique trans configuration. We demonstrate that Gamillus can serve as a molecular tag suitable for imaging in acidic organelles through autophagy-mediated molecular tracking to lysosomes. Shinoda et al. describe the cloning, engineering, and characterization of a monomeric GFP “Gamillus” from Olindias formosa. Gamillus has superior acid tolerance (pK a = 3.4) to reported other monomeric GFPs, and a unique trans chromophore configuration contributed to the acid tolerance. They demonstrate the usefulness for imaging in an acidic cellular environment, e.g., lysosomes.","author":[{"dropping-particle":"","family":"Shinoda","given":"Hajime","non-dropping-particle":"","parse-names":false,"suffix":""},{"dropping-particle":"","family":"Ma","given":"Yuanqing","non-dropping-particle":"","parse-names":false,"suffix":""},{"dropping-particle":"","family":"Nakashima","given":"Ryosuke","non-dropping-particle":"","parse-names":false,"suffix":""},{"dropping-particle":"","family":"Sakurai","given":"Keisuke","non-dropping-particle":"","parse-names":false,"suffix":""},{"dropping-particle":"","family":"Matsuda","given":"Tomoki","non-dropping-particle":"","parse-names":false,"suffix":""},{"dropping-particle":"","family":"Nagai","given":"Takeharu","non-dropping-particle":"","parse-names":false,"suffix":""}],"container-title":"Cell Chemical Biology","id":"ITEM-1","issue":"3","issued":{"date-parts":[["2018","3","15"]]},"page":"330-338.e7","publisher":"Elsevier Ltd","title":"Acid-Tolerant Monomeric GFP from Olindias formosa","type":"article-journal","volume":"25"},"uris":["http://www.mendeley.com/documents/?uuid=8e91b146-21a4-32e3-8a41-d454f1f97b76"]}],"mendeley":{"formattedCitation":"&lt;sup&gt;45&lt;/sup&gt;","plainTextFormattedCitation":"45","previouslyFormattedCitation":"&lt;sup&gt;45&lt;/sup&gt;"},"properties":{"noteIndex":0},"schema":"https://github.com/citation-style-language/schema/raw/master/csl-citation.json"}</w:instrText>
      </w:r>
      <w:r w:rsidR="00784FB6" w:rsidRPr="00784FB6">
        <w:fldChar w:fldCharType="separate"/>
      </w:r>
      <w:r w:rsidR="0009107D" w:rsidRPr="0009107D">
        <w:rPr>
          <w:noProof/>
          <w:vertAlign w:val="superscript"/>
        </w:rPr>
        <w:t>45</w:t>
      </w:r>
      <w:r w:rsidR="00784FB6" w:rsidRPr="00784FB6">
        <w:fldChar w:fldCharType="end"/>
      </w:r>
      <w:r w:rsidR="00784FB6">
        <w:t>.</w:t>
      </w:r>
      <w:r>
        <w:t xml:space="preserve"> </w:t>
      </w:r>
      <w:r w:rsidR="008831D2" w:rsidRPr="008831D2">
        <w:t>The following steps must be done next to a Bunsen burner</w:t>
      </w:r>
      <w:r w:rsidR="007551F2">
        <w:t>,</w:t>
      </w:r>
      <w:r w:rsidR="008831D2" w:rsidRPr="008831D2">
        <w:t xml:space="preserve"> and basic aseptic techniques should be applied to avoid contamination.</w:t>
      </w:r>
    </w:p>
    <w:p w14:paraId="532E66FD" w14:textId="77777777" w:rsidR="008831D2" w:rsidRDefault="008831D2" w:rsidP="00E10F2B">
      <w:pPr>
        <w:contextualSpacing/>
      </w:pPr>
    </w:p>
    <w:p w14:paraId="05112702" w14:textId="4B4FE380" w:rsidR="009813B1" w:rsidRDefault="009611DD" w:rsidP="00E10F2B">
      <w:pPr>
        <w:contextualSpacing/>
      </w:pPr>
      <w:r w:rsidRPr="00796AAD">
        <w:t>2.1.</w:t>
      </w:r>
      <w:r w:rsidR="00E10F2B">
        <w:rPr>
          <w:rFonts w:ascii="Times New Roman" w:hAnsi="Times New Roman" w:cs="Times New Roman"/>
          <w:sz w:val="14"/>
          <w:szCs w:val="14"/>
        </w:rPr>
        <w:t xml:space="preserve"> </w:t>
      </w:r>
      <w:r w:rsidRPr="00796AAD">
        <w:t xml:space="preserve">Streak </w:t>
      </w:r>
      <w:r w:rsidRPr="00796AAD">
        <w:rPr>
          <w:i/>
          <w:iCs/>
        </w:rPr>
        <w:t xml:space="preserve">A. tumefaciens </w:t>
      </w:r>
      <w:r w:rsidRPr="00796AAD">
        <w:t>EHA105 harboring bean yellow dwarf virus (</w:t>
      </w:r>
      <w:proofErr w:type="spellStart"/>
      <w:r w:rsidRPr="00796AAD">
        <w:t>BeYDV</w:t>
      </w:r>
      <w:proofErr w:type="spellEnd"/>
      <w:r w:rsidR="775FCD3A">
        <w:t>)</w:t>
      </w:r>
      <w:r>
        <w:fldChar w:fldCharType="begin" w:fldLock="1"/>
      </w:r>
      <w:r w:rsidR="009E7237">
        <w:instrText>ADDIN CSL_CITATION {"citationItems":[{"id":"ITEM-1","itemData":{"DOI":"10.3389/fbioe.2019.00472","ISSN":"2296-4185","abstract":"Biopharmaceuticals are a large and fast-growing sector of the total pharmaceutical market with antibody-based therapeutics accounting for over 100 billion USD in sales yearly. Mammalian cells are traditionally used for monoclonal antibody production, however plant-based expression systems have significant advantages. In this work, we showcase recent advances made in plant transient expression systems using optimized geminiviral vectors that can efficiently produce heteromultimeric proteins. Two, three, or four fluorescent proteins were coexpressed simultaneously, reaching high yields of 3–5 g/kg leaf fresh weight or ~50% total soluble protein. As a proof-of-concept for this system, various antibodies were produced using the optimized vectors with special focus given to the creation and production of a chimeric broadly neutralizing anti-flavivirus antibody. The variable regions of this murine antibody, 2A10G6, were codon optimized and fused to a human IgG1. Analysis of the chimeric antibody showed that it was efficiently expressed in plants at 1.5 g of antibody/kilogram of leaf tissue, can be purified to near homogeneity by a simple one-step purification process, retains its ability to recognize the Zika virus envelope protein, and potently neutralizes Zika virus. Two other monoclonal antibodies were produced at similar levels (1.2–1.4 g/kg). This technology will be a versatile tool for the production of a wide spectrum of pharmaceutical multi-protein complexes in a fast, powerful, and cost-effective way.","author":[{"dropping-particle":"","family":"Diamos","given":"Andrew G.","non-dropping-particle":"","parse-names":false,"suffix":""},{"dropping-particle":"","family":"Hunter","given":"Joseph G. L.","non-dropping-particle":"","parse-names":false,"suffix":""},{"dropping-particle":"","family":"Pardhe","given":"Mary D.","non-dropping-particle":"","parse-names":false,"suffix":""},{"dropping-particle":"","family":"Rosenthal","given":"Sun H.","non-dropping-particle":"","parse-names":false,"suffix":""},{"dropping-particle":"","family":"Sun","given":"Haiyan","non-dropping-particle":"","parse-names":false,"suffix":""},{"dropping-particle":"","family":"Foster","given":"Bonnie C.","non-dropping-particle":"","parse-names":false,"suffix":""},{"dropping-particle":"","family":"DiPalma","given":"Michelle P.","non-dropping-particle":"","parse-names":false,"suffix":""},{"dropping-particle":"","family":"Chen","given":"Qiang","non-dropping-particle":"","parse-names":false,"suffix":""},{"dropping-particle":"","family":"Mason","given":"Hugh S.","non-dropping-particle":"","parse-names":false,"suffix":""}],"container-title":"Frontiers in Bioengineering and Biotechnology","id":"ITEM-1","issued":{"date-parts":[["2020","1","17"]]},"page":"472","publisher":"Frontiers Media S.A.","title":"High Level Production of Monoclonal Antibodies Using an Optimized Plant Expression System","type":"article-journal","volume":"7"},"uris":["http://www.mendeley.com/documents/?uuid=51e7b67a-f759-3315-8a86-bc1dbd96780f"]}],"mendeley":{"formattedCitation":"&lt;sup&gt;19&lt;/sup&gt;","plainTextFormattedCitation":"19","previouslyFormattedCitation":"&lt;sup&gt;19&lt;/sup&gt;"},"properties":{"noteIndex":0},"schema":"https://github.com/citation-style-language/schema/raw/master/csl-citation.json"}</w:instrText>
      </w:r>
      <w:r>
        <w:fldChar w:fldCharType="separate"/>
      </w:r>
      <w:r w:rsidR="0009107D" w:rsidRPr="0009107D">
        <w:rPr>
          <w:noProof/>
          <w:vertAlign w:val="superscript"/>
        </w:rPr>
        <w:t>19</w:t>
      </w:r>
      <w:r>
        <w:fldChar w:fldCharType="end"/>
      </w:r>
      <w:r>
        <w:t xml:space="preserve"> </w:t>
      </w:r>
      <w:r w:rsidRPr="00796AAD">
        <w:t>plant expression vector for each construct (</w:t>
      </w:r>
      <w:proofErr w:type="spellStart"/>
      <w:r w:rsidRPr="00796AAD">
        <w:t>asGFP</w:t>
      </w:r>
      <w:proofErr w:type="spellEnd"/>
      <w:r w:rsidRPr="00796AAD">
        <w:t>-IgG, GFP-IgG, light chain) from a glycerol stock on LB agar (10 g/L Tryptone, 10 g/L NaCl, 5 g yeast extract, 15 g/L agar</w:t>
      </w:r>
      <w:r>
        <w:t xml:space="preserve">, </w:t>
      </w:r>
      <w:r w:rsidRPr="001E66CB">
        <w:t>50 µg</w:t>
      </w:r>
      <w:r w:rsidR="00015DCB">
        <w:t>/mL</w:t>
      </w:r>
      <w:r w:rsidRPr="001E66CB">
        <w:t xml:space="preserve"> kanamycin) </w:t>
      </w:r>
      <w:r w:rsidRPr="00796AAD">
        <w:t>plate. </w:t>
      </w:r>
    </w:p>
    <w:p w14:paraId="7892660D" w14:textId="77777777" w:rsidR="009813B1" w:rsidRDefault="009813B1" w:rsidP="00E10F2B">
      <w:pPr>
        <w:contextualSpacing/>
      </w:pPr>
    </w:p>
    <w:p w14:paraId="018DCDBF" w14:textId="60DC1D47" w:rsidR="009611DD" w:rsidRPr="00796AAD" w:rsidRDefault="009611DD" w:rsidP="00E10F2B">
      <w:pPr>
        <w:contextualSpacing/>
        <w:rPr>
          <w:rFonts w:ascii="Times New Roman" w:hAnsi="Times New Roman" w:cs="Times New Roman"/>
        </w:rPr>
      </w:pPr>
      <w:r w:rsidRPr="00796AAD">
        <w:t>2.2.</w:t>
      </w:r>
      <w:r w:rsidR="00E10F2B">
        <w:rPr>
          <w:rFonts w:ascii="Times New Roman" w:hAnsi="Times New Roman" w:cs="Times New Roman"/>
          <w:sz w:val="14"/>
          <w:szCs w:val="14"/>
        </w:rPr>
        <w:t xml:space="preserve"> </w:t>
      </w:r>
      <w:r w:rsidRPr="00796AAD">
        <w:t>Grow for</w:t>
      </w:r>
      <w:r w:rsidR="003C1983">
        <w:t xml:space="preserve"> one</w:t>
      </w:r>
      <w:r w:rsidRPr="00796AAD">
        <w:t xml:space="preserve"> day in a </w:t>
      </w:r>
      <w:r w:rsidR="003C1983">
        <w:t>30</w:t>
      </w:r>
      <w:r w:rsidR="00015DCB">
        <w:t xml:space="preserve"> </w:t>
      </w:r>
      <w:r w:rsidRPr="00796AAD">
        <w:t>°C standing incubator. Isolate a single colony for verification by standard colony screen PCR protocol. </w:t>
      </w:r>
    </w:p>
    <w:p w14:paraId="381ADC7F" w14:textId="77777777" w:rsidR="009611DD" w:rsidRDefault="009611DD" w:rsidP="00E10F2B">
      <w:pPr>
        <w:contextualSpacing/>
      </w:pPr>
    </w:p>
    <w:p w14:paraId="090E77A7" w14:textId="07D6B234" w:rsidR="009813B1" w:rsidRPr="00CA72B5" w:rsidRDefault="009611DD" w:rsidP="00E10F2B">
      <w:pPr>
        <w:contextualSpacing/>
        <w:rPr>
          <w:rFonts w:ascii="Times New Roman" w:hAnsi="Times New Roman" w:cs="Times New Roman"/>
        </w:rPr>
      </w:pPr>
      <w:r w:rsidRPr="00F90B6D">
        <w:t>2.3.</w:t>
      </w:r>
      <w:r w:rsidR="00E10F2B">
        <w:rPr>
          <w:rFonts w:ascii="Times New Roman" w:hAnsi="Times New Roman" w:cs="Times New Roman"/>
          <w:sz w:val="14"/>
          <w:szCs w:val="14"/>
        </w:rPr>
        <w:t xml:space="preserve"> </w:t>
      </w:r>
      <w:r w:rsidRPr="00F90B6D">
        <w:t>Use verified colony for each construct</w:t>
      </w:r>
      <w:r w:rsidR="001C01F7" w:rsidRPr="00F90B6D">
        <w:t>.</w:t>
      </w:r>
      <w:r w:rsidR="006610D3" w:rsidRPr="00F90B6D">
        <w:t xml:space="preserve"> </w:t>
      </w:r>
      <w:r w:rsidR="005346BA" w:rsidRPr="00F90B6D">
        <w:t>Fill</w:t>
      </w:r>
      <w:r w:rsidR="001C01F7" w:rsidRPr="00F90B6D">
        <w:t xml:space="preserve"> conical tube with </w:t>
      </w:r>
      <w:r w:rsidR="00E478D3" w:rsidRPr="00F90B6D">
        <w:t>10</w:t>
      </w:r>
      <w:r w:rsidR="00A94398">
        <w:t xml:space="preserve"> mL</w:t>
      </w:r>
      <w:r w:rsidR="00E478D3" w:rsidRPr="00F90B6D">
        <w:t xml:space="preserve"> </w:t>
      </w:r>
      <w:r w:rsidRPr="00F90B6D">
        <w:t xml:space="preserve">of LB media (10 g/L tryptone, 10 g/L NaCl, 5 g </w:t>
      </w:r>
      <w:r w:rsidR="00015DCB">
        <w:t xml:space="preserve">of </w:t>
      </w:r>
      <w:r w:rsidRPr="00F90B6D">
        <w:t>yeast extract, 50 µg</w:t>
      </w:r>
      <w:r w:rsidR="00015DCB">
        <w:t>/mL</w:t>
      </w:r>
      <w:r w:rsidR="00E478D3" w:rsidRPr="00F90B6D">
        <w:t>). Next</w:t>
      </w:r>
      <w:r w:rsidR="332136D5">
        <w:t>,</w:t>
      </w:r>
      <w:r w:rsidR="00694A6C" w:rsidRPr="00F90B6D">
        <w:t xml:space="preserve"> add 10</w:t>
      </w:r>
      <w:r w:rsidR="00F90B6D">
        <w:t xml:space="preserve"> </w:t>
      </w:r>
      <w:r w:rsidR="00F950CB" w:rsidRPr="00F90B6D">
        <w:t>µ</w:t>
      </w:r>
      <w:r w:rsidR="00F950CB">
        <w:t>L</w:t>
      </w:r>
      <w:r w:rsidR="00694A6C" w:rsidRPr="00F90B6D">
        <w:t xml:space="preserve"> of 100 </w:t>
      </w:r>
      <w:r w:rsidR="00EE2DC8" w:rsidRPr="00F90B6D">
        <w:t>µg</w:t>
      </w:r>
      <w:r w:rsidR="00015DCB">
        <w:t>/mL</w:t>
      </w:r>
      <w:r w:rsidR="00694A6C" w:rsidRPr="00F90B6D">
        <w:t xml:space="preserve"> kanamycin. </w:t>
      </w:r>
      <w:r w:rsidR="009B6956" w:rsidRPr="00F90B6D">
        <w:t>Add</w:t>
      </w:r>
      <w:r w:rsidR="00694A6C" w:rsidRPr="00F90B6D">
        <w:t xml:space="preserve"> 10</w:t>
      </w:r>
      <w:r w:rsidR="00F90B6D">
        <w:t xml:space="preserve"> </w:t>
      </w:r>
      <w:r w:rsidR="00F950CB" w:rsidRPr="00F90B6D">
        <w:t>µ</w:t>
      </w:r>
      <w:r w:rsidR="00F950CB">
        <w:t xml:space="preserve">L </w:t>
      </w:r>
      <w:r w:rsidR="00694A6C" w:rsidRPr="00F90B6D">
        <w:t>of 2.5</w:t>
      </w:r>
      <w:r w:rsidR="00F90B6D">
        <w:t xml:space="preserve"> </w:t>
      </w:r>
      <w:r w:rsidR="00EE2DC8" w:rsidRPr="00F90B6D">
        <w:t>µg</w:t>
      </w:r>
      <w:r w:rsidR="00015DCB">
        <w:t>/mL</w:t>
      </w:r>
      <w:r w:rsidR="00694A6C" w:rsidRPr="00F90B6D">
        <w:t xml:space="preserve"> rifampicin to prevent </w:t>
      </w:r>
      <w:r w:rsidR="00694A6C" w:rsidRPr="00F90B6D">
        <w:rPr>
          <w:i/>
          <w:iCs/>
        </w:rPr>
        <w:t>E. coli</w:t>
      </w:r>
      <w:r w:rsidR="00694A6C" w:rsidRPr="00F90B6D">
        <w:t xml:space="preserve"> contamination. </w:t>
      </w:r>
      <w:r w:rsidR="00CA72B5" w:rsidRPr="00F90B6D">
        <w:t>Incubate at 30°C and 120-150 rpm overnight.</w:t>
      </w:r>
      <w:r w:rsidR="00CA72B5">
        <w:t xml:space="preserve"> </w:t>
      </w:r>
    </w:p>
    <w:p w14:paraId="6F03F001" w14:textId="77777777" w:rsidR="009813B1" w:rsidRDefault="009813B1" w:rsidP="00E10F2B">
      <w:pPr>
        <w:contextualSpacing/>
      </w:pPr>
    </w:p>
    <w:p w14:paraId="1F043825" w14:textId="71CF603E" w:rsidR="009611DD" w:rsidRPr="00796AAD" w:rsidRDefault="009611DD" w:rsidP="00E10F2B">
      <w:pPr>
        <w:contextualSpacing/>
        <w:rPr>
          <w:rFonts w:ascii="Times New Roman" w:hAnsi="Times New Roman" w:cs="Times New Roman"/>
        </w:rPr>
      </w:pPr>
      <w:r w:rsidRPr="00796AAD">
        <w:t>2.4.</w:t>
      </w:r>
      <w:r w:rsidR="00E10F2B">
        <w:rPr>
          <w:rFonts w:ascii="Times New Roman" w:hAnsi="Times New Roman" w:cs="Times New Roman"/>
          <w:sz w:val="14"/>
          <w:szCs w:val="14"/>
        </w:rPr>
        <w:t xml:space="preserve"> </w:t>
      </w:r>
      <w:r w:rsidRPr="00796AAD">
        <w:t xml:space="preserve">The next day, if the </w:t>
      </w:r>
      <w:r w:rsidRPr="00796AAD">
        <w:rPr>
          <w:i/>
          <w:iCs/>
        </w:rPr>
        <w:t>Agrobacterium</w:t>
      </w:r>
      <w:r w:rsidRPr="00796AAD">
        <w:t xml:space="preserve"> culture is grown to OD</w:t>
      </w:r>
      <w:r w:rsidRPr="00E075F3">
        <w:rPr>
          <w:vertAlign w:val="subscript"/>
        </w:rPr>
        <w:t>600</w:t>
      </w:r>
      <w:r w:rsidRPr="00796AAD">
        <w:t xml:space="preserve"> = 0.6-0.9</w:t>
      </w:r>
      <w:r>
        <w:t>,</w:t>
      </w:r>
      <w:r w:rsidRPr="00796AAD">
        <w:t xml:space="preserve"> it can be used for infiltration. If it is overgrown (OD</w:t>
      </w:r>
      <w:r w:rsidRPr="00210E8B">
        <w:rPr>
          <w:vertAlign w:val="subscript"/>
        </w:rPr>
        <w:t>600</w:t>
      </w:r>
      <w:r w:rsidRPr="046F3C52">
        <w:rPr>
          <w:sz w:val="14"/>
          <w:szCs w:val="14"/>
          <w:vertAlign w:val="subscript"/>
        </w:rPr>
        <w:t xml:space="preserve"> </w:t>
      </w:r>
      <w:r w:rsidRPr="00796AAD">
        <w:t>&gt; 1), 1-2</w:t>
      </w:r>
      <w:r w:rsidR="00A94398">
        <w:t xml:space="preserve"> mL</w:t>
      </w:r>
      <w:r w:rsidRPr="00796AAD">
        <w:t xml:space="preserve"> should be transferred to fresh LB with antibiotics and grown to the required </w:t>
      </w:r>
      <w:r w:rsidR="006216E8" w:rsidRPr="00796AAD">
        <w:t>OD</w:t>
      </w:r>
      <w:r w:rsidR="006216E8" w:rsidRPr="00B64228">
        <w:rPr>
          <w:vertAlign w:val="subscript"/>
        </w:rPr>
        <w:t>600</w:t>
      </w:r>
      <w:r w:rsidRPr="00796AAD">
        <w:t>. </w:t>
      </w:r>
      <w:r w:rsidR="000F3833">
        <w:t xml:space="preserve">Depending on the </w:t>
      </w:r>
      <w:r w:rsidR="003D54A6">
        <w:t>initial culture's concentration</w:t>
      </w:r>
      <w:r w:rsidR="000F3833">
        <w:t>, it m</w:t>
      </w:r>
      <w:r w:rsidR="00ED3A6C">
        <w:t xml:space="preserve">ay potentially </w:t>
      </w:r>
      <w:r w:rsidR="000F3833">
        <w:t>take two days to gro</w:t>
      </w:r>
      <w:r w:rsidR="00262399">
        <w:t xml:space="preserve">w </w:t>
      </w:r>
      <w:r w:rsidR="00FB4BF9">
        <w:t>to OD</w:t>
      </w:r>
      <w:r w:rsidR="00FB4BF9" w:rsidRPr="00527AA2">
        <w:rPr>
          <w:vertAlign w:val="subscript"/>
        </w:rPr>
        <w:t>600</w:t>
      </w:r>
      <w:r w:rsidR="00FB4BF9">
        <w:t xml:space="preserve"> = 0.6-0.9.</w:t>
      </w:r>
    </w:p>
    <w:p w14:paraId="7FEAB64F" w14:textId="77777777" w:rsidR="009611DD" w:rsidRDefault="009611DD" w:rsidP="00E10F2B">
      <w:pPr>
        <w:contextualSpacing/>
      </w:pPr>
    </w:p>
    <w:p w14:paraId="2404DAA6" w14:textId="3E1D84C5" w:rsidR="009611DD" w:rsidRDefault="009611DD" w:rsidP="00E10F2B">
      <w:pPr>
        <w:contextualSpacing/>
      </w:pPr>
      <w:r w:rsidRPr="00796AAD">
        <w:t>2.5.</w:t>
      </w:r>
      <w:r w:rsidR="00E10F2B">
        <w:rPr>
          <w:rFonts w:ascii="Times New Roman" w:hAnsi="Times New Roman" w:cs="Times New Roman"/>
          <w:sz w:val="14"/>
          <w:szCs w:val="14"/>
        </w:rPr>
        <w:t xml:space="preserve"> </w:t>
      </w:r>
      <w:r w:rsidRPr="00796AAD">
        <w:t>Once at appropriate OD</w:t>
      </w:r>
      <w:r w:rsidRPr="00210E8B">
        <w:rPr>
          <w:vertAlign w:val="subscript"/>
        </w:rPr>
        <w:t>600</w:t>
      </w:r>
      <w:r w:rsidRPr="00796AAD">
        <w:t xml:space="preserve">, </w:t>
      </w:r>
      <w:r w:rsidR="005E3AE0" w:rsidRPr="005E3AE0">
        <w:t>place the cultures in a centrif</w:t>
      </w:r>
      <w:r w:rsidR="00D842A2">
        <w:t>ug</w:t>
      </w:r>
      <w:r w:rsidR="005E3AE0" w:rsidRPr="005E3AE0">
        <w:t>e,</w:t>
      </w:r>
      <w:r w:rsidR="003F1DFA">
        <w:t xml:space="preserve"> </w:t>
      </w:r>
      <w:r w:rsidR="005E3AE0" w:rsidRPr="005E3AE0">
        <w:t>and pellet the bacteria by centrif</w:t>
      </w:r>
      <w:r w:rsidR="00CB67B0">
        <w:t>u</w:t>
      </w:r>
      <w:r w:rsidR="00EE2DC8">
        <w:t>g</w:t>
      </w:r>
      <w:r w:rsidR="005E3AE0" w:rsidRPr="005E3AE0">
        <w:t>ation at 4,50</w:t>
      </w:r>
      <w:r w:rsidR="00470545">
        <w:t>0 x</w:t>
      </w:r>
      <w:r w:rsidR="00390702">
        <w:t xml:space="preserve"> </w:t>
      </w:r>
      <w:r w:rsidR="005E3AE0" w:rsidRPr="005E3AE0">
        <w:t>g for 20 min, room temperature (RT).</w:t>
      </w:r>
    </w:p>
    <w:p w14:paraId="7750DF75" w14:textId="77777777" w:rsidR="003F1DFA" w:rsidRDefault="003F1DFA" w:rsidP="00E10F2B">
      <w:pPr>
        <w:contextualSpacing/>
      </w:pPr>
    </w:p>
    <w:p w14:paraId="6944EB05" w14:textId="54D0ABD5" w:rsidR="009611DD" w:rsidRDefault="009611DD" w:rsidP="00E10F2B">
      <w:pPr>
        <w:contextualSpacing/>
      </w:pPr>
      <w:r w:rsidRPr="00796AAD">
        <w:t>2.6.</w:t>
      </w:r>
      <w:r w:rsidR="00E10F2B">
        <w:rPr>
          <w:rFonts w:ascii="Times New Roman" w:hAnsi="Times New Roman" w:cs="Times New Roman"/>
          <w:sz w:val="14"/>
          <w:szCs w:val="14"/>
        </w:rPr>
        <w:t xml:space="preserve"> </w:t>
      </w:r>
      <w:r w:rsidRPr="00796AAD">
        <w:t xml:space="preserve">Decant supernatant from both samples, </w:t>
      </w:r>
      <w:r w:rsidR="00015DCB">
        <w:t xml:space="preserve">and </w:t>
      </w:r>
      <w:r w:rsidRPr="00796AAD">
        <w:t>then resuspend each pellet in 1</w:t>
      </w:r>
      <w:r w:rsidR="00015DCB">
        <w:t>x</w:t>
      </w:r>
      <w:r w:rsidRPr="00796AAD">
        <w:t xml:space="preserve"> infiltration buffer (10 mM 2-(N-</w:t>
      </w:r>
      <w:r>
        <w:t>mor</w:t>
      </w:r>
      <w:r w:rsidRPr="00796AAD">
        <w:t xml:space="preserve">pholino) </w:t>
      </w:r>
      <w:proofErr w:type="spellStart"/>
      <w:r w:rsidRPr="00796AAD">
        <w:t>ethanesulfonic</w:t>
      </w:r>
      <w:proofErr w:type="spellEnd"/>
      <w:r w:rsidRPr="00796AAD">
        <w:t xml:space="preserve"> acid, 10 mM magnesium sulfate, adjusted to pH 5.5 with KOH) to get final OD</w:t>
      </w:r>
      <w:r w:rsidRPr="00210E8B">
        <w:rPr>
          <w:vertAlign w:val="subscript"/>
        </w:rPr>
        <w:t>600</w:t>
      </w:r>
      <w:r w:rsidRPr="00796AAD">
        <w:rPr>
          <w:sz w:val="14"/>
          <w:szCs w:val="14"/>
          <w:vertAlign w:val="subscript"/>
        </w:rPr>
        <w:t xml:space="preserve"> </w:t>
      </w:r>
      <w:r w:rsidRPr="00796AAD">
        <w:t>= 0.4.</w:t>
      </w:r>
      <w:r w:rsidR="007D2C89">
        <w:t xml:space="preserve"> This should take approximately 15-45</w:t>
      </w:r>
      <w:r w:rsidR="00A94398">
        <w:t xml:space="preserve"> mL</w:t>
      </w:r>
      <w:r w:rsidR="007D2C89">
        <w:t xml:space="preserve"> </w:t>
      </w:r>
      <w:r w:rsidR="001C7F52">
        <w:t>of infiltration buffer</w:t>
      </w:r>
      <w:r w:rsidR="00110D81">
        <w:t>,</w:t>
      </w:r>
      <w:r w:rsidR="001C7F52">
        <w:t xml:space="preserve"> </w:t>
      </w:r>
      <w:r w:rsidR="007D2C89">
        <w:t>depending on the in</w:t>
      </w:r>
      <w:r w:rsidR="009F65F7">
        <w:t xml:space="preserve">itial </w:t>
      </w:r>
      <w:r w:rsidR="002C73FD">
        <w:t xml:space="preserve">culture </w:t>
      </w:r>
      <w:r w:rsidR="00BD7E92">
        <w:t>density.</w:t>
      </w:r>
      <w:r w:rsidR="00B8310F">
        <w:t xml:space="preserve"> </w:t>
      </w:r>
      <w:r w:rsidRPr="00796AAD">
        <w:t>Combine equal volumes of each IgG fusion construct with the light chain construct to get final O</w:t>
      </w:r>
      <w:r w:rsidRPr="00210E8B">
        <w:t>D</w:t>
      </w:r>
      <w:r w:rsidR="00C437AF" w:rsidRPr="00210E8B">
        <w:rPr>
          <w:vertAlign w:val="subscript"/>
        </w:rPr>
        <w:t>600</w:t>
      </w:r>
      <w:r w:rsidRPr="00796AAD">
        <w:t xml:space="preserve"> = 0.2 per construct in each tube.</w:t>
      </w:r>
      <w:r w:rsidR="00E10F2B">
        <w:t xml:space="preserve"> </w:t>
      </w:r>
    </w:p>
    <w:p w14:paraId="19569CA8" w14:textId="77777777" w:rsidR="00110D81" w:rsidRDefault="00110D81" w:rsidP="00E10F2B">
      <w:pPr>
        <w:contextualSpacing/>
        <w:rPr>
          <w:rFonts w:ascii="Times New Roman" w:hAnsi="Times New Roman" w:cs="Times New Roman"/>
        </w:rPr>
      </w:pPr>
    </w:p>
    <w:p w14:paraId="51C41290" w14:textId="74789D14" w:rsidR="009611DD" w:rsidRPr="00796AAD" w:rsidRDefault="009611DD" w:rsidP="00E10F2B">
      <w:pPr>
        <w:contextualSpacing/>
        <w:rPr>
          <w:rFonts w:ascii="Times New Roman" w:hAnsi="Times New Roman" w:cs="Times New Roman"/>
        </w:rPr>
      </w:pPr>
      <w:r w:rsidRPr="00796AAD">
        <w:rPr>
          <w:b/>
          <w:bCs/>
        </w:rPr>
        <w:t>3.</w:t>
      </w:r>
      <w:r w:rsidR="00E10F2B">
        <w:rPr>
          <w:rFonts w:ascii="Times New Roman" w:hAnsi="Times New Roman" w:cs="Times New Roman"/>
          <w:sz w:val="14"/>
          <w:szCs w:val="14"/>
        </w:rPr>
        <w:t xml:space="preserve"> </w:t>
      </w:r>
      <w:r>
        <w:rPr>
          <w:b/>
          <w:bCs/>
        </w:rPr>
        <w:t>Needle</w:t>
      </w:r>
      <w:r w:rsidRPr="00796AAD">
        <w:rPr>
          <w:b/>
          <w:bCs/>
        </w:rPr>
        <w:t>-less</w:t>
      </w:r>
      <w:r>
        <w:rPr>
          <w:b/>
          <w:bCs/>
        </w:rPr>
        <w:t xml:space="preserve"> syringe</w:t>
      </w:r>
      <w:r w:rsidRPr="00796AAD">
        <w:rPr>
          <w:b/>
          <w:bCs/>
        </w:rPr>
        <w:t xml:space="preserve"> agroinfiltration</w:t>
      </w:r>
    </w:p>
    <w:p w14:paraId="7E4E26A5" w14:textId="77777777" w:rsidR="00CB082C" w:rsidRDefault="00CB082C" w:rsidP="00E10F2B">
      <w:pPr>
        <w:contextualSpacing/>
      </w:pPr>
    </w:p>
    <w:p w14:paraId="784F5D5E" w14:textId="5833D0D2" w:rsidR="009611DD" w:rsidRDefault="009611DD" w:rsidP="00E10F2B">
      <w:pPr>
        <w:contextualSpacing/>
      </w:pPr>
      <w:r w:rsidRPr="00796AAD">
        <w:t>3.1.</w:t>
      </w:r>
      <w:r w:rsidR="00E10F2B">
        <w:rPr>
          <w:rFonts w:ascii="Times New Roman" w:hAnsi="Times New Roman" w:cs="Times New Roman"/>
          <w:sz w:val="14"/>
          <w:szCs w:val="14"/>
        </w:rPr>
        <w:t xml:space="preserve"> </w:t>
      </w:r>
      <w:r w:rsidRPr="00796AAD">
        <w:t xml:space="preserve">Take </w:t>
      </w:r>
      <w:r>
        <w:t>a straightened</w:t>
      </w:r>
      <w:r w:rsidRPr="00796AAD">
        <w:t xml:space="preserve"> paper clip and 5-6</w:t>
      </w:r>
      <w:r w:rsidR="60FC95DC">
        <w:t>-</w:t>
      </w:r>
      <w:r w:rsidRPr="00796AAD">
        <w:t>week</w:t>
      </w:r>
      <w:r w:rsidR="60FC95DC">
        <w:t>-</w:t>
      </w:r>
      <w:r w:rsidRPr="00796AAD">
        <w:t xml:space="preserve">old </w:t>
      </w:r>
      <w:r w:rsidRPr="00796AAD">
        <w:rPr>
          <w:i/>
          <w:iCs/>
        </w:rPr>
        <w:t>N. benthamiana</w:t>
      </w:r>
      <w:r w:rsidRPr="00796AAD">
        <w:t xml:space="preserve"> plants from step 1. Using the paper clip</w:t>
      </w:r>
      <w:r w:rsidR="00F6433E">
        <w:t>'</w:t>
      </w:r>
      <w:r w:rsidRPr="00796AAD">
        <w:t>s sharp edge, make a small puncture in the first epidermal layer of the leaf</w:t>
      </w:r>
      <w:r>
        <w:t xml:space="preserve"> on the adaxial surface</w:t>
      </w:r>
      <w:r w:rsidRPr="00796AAD">
        <w:t xml:space="preserve">. Avoid puncturing it all the way </w:t>
      </w:r>
      <w:r w:rsidR="60FC95DC">
        <w:t>thro</w:t>
      </w:r>
      <w:r w:rsidR="00AD4544">
        <w:t>u</w:t>
      </w:r>
      <w:r w:rsidR="60FC95DC">
        <w:t>gh. </w:t>
      </w:r>
    </w:p>
    <w:p w14:paraId="56DEF8D5" w14:textId="77777777" w:rsidR="00015DCB" w:rsidRDefault="00015DCB" w:rsidP="00E10F2B">
      <w:pPr>
        <w:contextualSpacing/>
      </w:pPr>
    </w:p>
    <w:p w14:paraId="011BD45B" w14:textId="7B1B3638" w:rsidR="00C23B5B" w:rsidRPr="007E1887" w:rsidRDefault="00015DCB" w:rsidP="00E10F2B">
      <w:pPr>
        <w:contextualSpacing/>
        <w:rPr>
          <w:rFonts w:ascii="Times New Roman" w:hAnsi="Times New Roman" w:cs="Times New Roman"/>
        </w:rPr>
      </w:pPr>
      <w:r w:rsidRPr="00015DCB">
        <w:t>NOTE:</w:t>
      </w:r>
      <w:r w:rsidR="00C23B5B" w:rsidRPr="00C23B5B">
        <w:rPr>
          <w:b/>
          <w:bCs/>
        </w:rPr>
        <w:t xml:space="preserve"> </w:t>
      </w:r>
      <w:r w:rsidR="007E1887" w:rsidRPr="007E1887">
        <w:t xml:space="preserve">The lower </w:t>
      </w:r>
      <w:r w:rsidR="001A41E2">
        <w:t xml:space="preserve">leaves </w:t>
      </w:r>
      <w:r w:rsidR="00082AD1">
        <w:t>are</w:t>
      </w:r>
      <w:r w:rsidR="001A41E2">
        <w:t xml:space="preserve"> </w:t>
      </w:r>
      <w:r w:rsidR="00D43081">
        <w:t>easier</w:t>
      </w:r>
      <w:r w:rsidR="001A41E2">
        <w:t xml:space="preserve"> for infiltration, whereas the </w:t>
      </w:r>
      <w:r w:rsidR="00D43081">
        <w:t xml:space="preserve">leaves on the top of the plant are harder. </w:t>
      </w:r>
      <w:r w:rsidR="00C01FD5">
        <w:t xml:space="preserve">Generally, the expression of recombinant proteins </w:t>
      </w:r>
      <w:r w:rsidR="00DB1D5A">
        <w:t>is</w:t>
      </w:r>
      <w:r w:rsidR="00C01FD5">
        <w:t xml:space="preserve"> highest in </w:t>
      </w:r>
      <w:r w:rsidR="00DB1D5A">
        <w:t xml:space="preserve">the </w:t>
      </w:r>
      <w:r w:rsidR="00197659">
        <w:t xml:space="preserve">leaves located in </w:t>
      </w:r>
      <w:r w:rsidR="00C01FD5">
        <w:t xml:space="preserve">the middle of </w:t>
      </w:r>
      <w:r w:rsidR="00197659">
        <w:t>a plant</w:t>
      </w:r>
      <w:r w:rsidR="00AB783F">
        <w:t>,</w:t>
      </w:r>
      <w:r w:rsidR="00362EE8">
        <w:t xml:space="preserve"> and these leaves also get less necrotic</w:t>
      </w:r>
      <w:r w:rsidR="00197659">
        <w:t>.</w:t>
      </w:r>
    </w:p>
    <w:p w14:paraId="17BDD3AA" w14:textId="77777777" w:rsidR="009611DD" w:rsidRPr="007E1887" w:rsidRDefault="009611DD" w:rsidP="00E10F2B">
      <w:pPr>
        <w:contextualSpacing/>
      </w:pPr>
    </w:p>
    <w:p w14:paraId="686DE59D" w14:textId="5E6EFEB1" w:rsidR="009611DD" w:rsidRPr="00796AAD" w:rsidRDefault="009611DD" w:rsidP="00E10F2B">
      <w:pPr>
        <w:contextualSpacing/>
        <w:rPr>
          <w:rFonts w:ascii="Times New Roman" w:hAnsi="Times New Roman" w:cs="Times New Roman"/>
        </w:rPr>
      </w:pPr>
      <w:r w:rsidRPr="00796AAD">
        <w:t>3.2.</w:t>
      </w:r>
      <w:r w:rsidR="00E10F2B">
        <w:rPr>
          <w:rFonts w:ascii="Times New Roman" w:hAnsi="Times New Roman" w:cs="Times New Roman"/>
          <w:sz w:val="14"/>
          <w:szCs w:val="14"/>
        </w:rPr>
        <w:t xml:space="preserve"> </w:t>
      </w:r>
      <w:r w:rsidRPr="00796AAD">
        <w:t>Fill a 1</w:t>
      </w:r>
      <w:r w:rsidR="00A94398">
        <w:t xml:space="preserve"> mL</w:t>
      </w:r>
      <w:r w:rsidRPr="00796AAD" w:rsidDel="00AC7077">
        <w:t xml:space="preserve"> </w:t>
      </w:r>
      <w:r w:rsidRPr="00796AAD">
        <w:t>syringe</w:t>
      </w:r>
      <w:r w:rsidR="00053339">
        <w:t>,</w:t>
      </w:r>
      <w:r>
        <w:t xml:space="preserve"> </w:t>
      </w:r>
      <w:r w:rsidRPr="00E96FC3">
        <w:t>with</w:t>
      </w:r>
      <w:r w:rsidR="00AC7077">
        <w:t xml:space="preserve">out </w:t>
      </w:r>
      <w:r w:rsidR="007860E2">
        <w:t xml:space="preserve">a needle </w:t>
      </w:r>
      <w:r w:rsidRPr="00796AAD">
        <w:t>attached</w:t>
      </w:r>
      <w:r w:rsidR="00053339">
        <w:t>,</w:t>
      </w:r>
      <w:r w:rsidR="00077324">
        <w:t xml:space="preserve"> </w:t>
      </w:r>
      <w:r w:rsidRPr="00796AAD">
        <w:t xml:space="preserve">with the prepared </w:t>
      </w:r>
      <w:r w:rsidRPr="00796AAD">
        <w:rPr>
          <w:i/>
          <w:iCs/>
        </w:rPr>
        <w:t>Agrobacterium</w:t>
      </w:r>
      <w:r w:rsidRPr="00796AAD">
        <w:t xml:space="preserve"> solution from step 2. Cover the hole made in the previous step with the end of the syringe and slowly </w:t>
      </w:r>
      <w:r w:rsidRPr="00796AAD">
        <w:lastRenderedPageBreak/>
        <w:t>push to inject the bacteria into the leaf while applying gentle counterpressure from behind the leaf</w:t>
      </w:r>
      <w:r w:rsidR="002B54CF">
        <w:t>.</w:t>
      </w:r>
      <w:r w:rsidRPr="00796AAD">
        <w:t xml:space="preserve"> </w:t>
      </w:r>
      <w:r w:rsidR="00AF617D" w:rsidRPr="00AF617D">
        <w:t>Watch the leaf darken as the solution is injected without applying too much pressure on the syringe</w:t>
      </w:r>
      <w:r w:rsidR="006E7F98">
        <w:t xml:space="preserve">. </w:t>
      </w:r>
    </w:p>
    <w:p w14:paraId="5B0EB577" w14:textId="77777777" w:rsidR="009611DD" w:rsidRDefault="009611DD" w:rsidP="00E10F2B">
      <w:pPr>
        <w:contextualSpacing/>
      </w:pPr>
    </w:p>
    <w:p w14:paraId="5E54729E" w14:textId="525F4759" w:rsidR="009611DD" w:rsidRPr="00796AAD" w:rsidRDefault="009611DD" w:rsidP="00E10F2B">
      <w:pPr>
        <w:contextualSpacing/>
        <w:rPr>
          <w:rFonts w:ascii="Times New Roman" w:hAnsi="Times New Roman" w:cs="Times New Roman"/>
        </w:rPr>
      </w:pPr>
      <w:r w:rsidRPr="00796AAD">
        <w:t>3.3.</w:t>
      </w:r>
      <w:r w:rsidR="00E10F2B">
        <w:rPr>
          <w:rFonts w:ascii="Times New Roman" w:hAnsi="Times New Roman" w:cs="Times New Roman"/>
          <w:sz w:val="14"/>
          <w:szCs w:val="14"/>
        </w:rPr>
        <w:t xml:space="preserve"> </w:t>
      </w:r>
      <w:r w:rsidRPr="00796AAD">
        <w:t>Try to infiltrate most of the leaf a</w:t>
      </w:r>
      <w:r>
        <w:t>rea at a</w:t>
      </w:r>
      <w:r w:rsidRPr="00796AAD">
        <w:t xml:space="preserve"> maximum of 3-4 times </w:t>
      </w:r>
      <w:r w:rsidR="004C69D8">
        <w:t>–</w:t>
      </w:r>
      <w:r w:rsidRPr="00796AAD">
        <w:t xml:space="preserve"> excessive leaf damage may hinder protein yield. </w:t>
      </w:r>
      <w:r w:rsidR="00285ADE" w:rsidRPr="00285ADE">
        <w:t>The infiltrated plant leaf will appear mostly dark from the bottom view</w:t>
      </w:r>
      <w:r w:rsidR="00CB4A61">
        <w:t>.</w:t>
      </w:r>
    </w:p>
    <w:p w14:paraId="68BDEFD0" w14:textId="77777777" w:rsidR="009611DD" w:rsidRDefault="009611DD" w:rsidP="00E10F2B">
      <w:pPr>
        <w:contextualSpacing/>
        <w:rPr>
          <w:b/>
          <w:bCs/>
        </w:rPr>
      </w:pPr>
    </w:p>
    <w:p w14:paraId="3A16BA41" w14:textId="29001AEA" w:rsidR="00FB23BD" w:rsidRPr="00CB4A61" w:rsidRDefault="00015DCB" w:rsidP="00E10F2B">
      <w:pPr>
        <w:contextualSpacing/>
      </w:pPr>
      <w:r w:rsidRPr="00015DCB">
        <w:t>NOTE:</w:t>
      </w:r>
      <w:r w:rsidR="009611DD" w:rsidRPr="00796AAD">
        <w:t xml:space="preserve"> This bacterial solution should be eno</w:t>
      </w:r>
      <w:r w:rsidR="00FC28D8">
        <w:t>u</w:t>
      </w:r>
      <w:r w:rsidR="00EE2DC8">
        <w:t>g</w:t>
      </w:r>
      <w:r w:rsidR="009611DD" w:rsidRPr="00796AAD">
        <w:t xml:space="preserve">h for at least 3-4 plants per construct. Autoclave any remaining bacterial solution </w:t>
      </w:r>
      <w:r w:rsidR="009611DD">
        <w:t>before</w:t>
      </w:r>
      <w:r w:rsidR="009611DD" w:rsidRPr="00796AAD">
        <w:t xml:space="preserve"> discarding.</w:t>
      </w:r>
    </w:p>
    <w:p w14:paraId="4C5A22D8" w14:textId="77777777" w:rsidR="009611DD" w:rsidRPr="00796AAD" w:rsidRDefault="009611DD" w:rsidP="00E10F2B">
      <w:pPr>
        <w:contextualSpacing/>
        <w:rPr>
          <w:rFonts w:ascii="Times New Roman" w:hAnsi="Times New Roman" w:cs="Times New Roman"/>
        </w:rPr>
      </w:pPr>
    </w:p>
    <w:p w14:paraId="38F7A5F1" w14:textId="711438F5" w:rsidR="009611DD" w:rsidRPr="00796AAD" w:rsidRDefault="009611DD" w:rsidP="00E10F2B">
      <w:pPr>
        <w:contextualSpacing/>
        <w:rPr>
          <w:rFonts w:ascii="Times New Roman" w:hAnsi="Times New Roman" w:cs="Times New Roman"/>
        </w:rPr>
      </w:pPr>
      <w:r w:rsidRPr="00796AAD">
        <w:rPr>
          <w:b/>
          <w:bCs/>
        </w:rPr>
        <w:t>4.</w:t>
      </w:r>
      <w:r w:rsidR="00E10F2B">
        <w:rPr>
          <w:rFonts w:ascii="Times New Roman" w:hAnsi="Times New Roman" w:cs="Times New Roman"/>
          <w:sz w:val="14"/>
          <w:szCs w:val="14"/>
        </w:rPr>
        <w:t xml:space="preserve"> </w:t>
      </w:r>
      <w:r w:rsidRPr="00796AAD">
        <w:rPr>
          <w:b/>
          <w:bCs/>
        </w:rPr>
        <w:t xml:space="preserve">Grow and observe the infiltrated </w:t>
      </w:r>
      <w:r w:rsidRPr="00796AAD">
        <w:rPr>
          <w:b/>
          <w:bCs/>
          <w:i/>
          <w:iCs/>
        </w:rPr>
        <w:t>N. benthamiana</w:t>
      </w:r>
    </w:p>
    <w:p w14:paraId="0FA5D07E" w14:textId="77777777" w:rsidR="009611DD" w:rsidRDefault="009611DD" w:rsidP="00E10F2B">
      <w:pPr>
        <w:contextualSpacing/>
      </w:pPr>
    </w:p>
    <w:p w14:paraId="673C1F41" w14:textId="669034E7" w:rsidR="009611DD" w:rsidRPr="00796AAD" w:rsidRDefault="009611DD" w:rsidP="00E10F2B">
      <w:pPr>
        <w:contextualSpacing/>
        <w:rPr>
          <w:rFonts w:ascii="Times New Roman" w:hAnsi="Times New Roman" w:cs="Times New Roman"/>
        </w:rPr>
      </w:pPr>
      <w:r w:rsidRPr="00796AAD">
        <w:t>4.1.</w:t>
      </w:r>
      <w:r w:rsidR="00E10F2B">
        <w:rPr>
          <w:rFonts w:ascii="Times New Roman" w:hAnsi="Times New Roman" w:cs="Times New Roman"/>
          <w:sz w:val="14"/>
          <w:szCs w:val="14"/>
        </w:rPr>
        <w:t xml:space="preserve"> </w:t>
      </w:r>
      <w:r w:rsidRPr="00796AAD">
        <w:t>Place infiltrated plants back in the growth chamber and continue to water daily.</w:t>
      </w:r>
    </w:p>
    <w:p w14:paraId="0887E446" w14:textId="77777777" w:rsidR="009611DD" w:rsidRDefault="009611DD" w:rsidP="00E10F2B">
      <w:pPr>
        <w:contextualSpacing/>
      </w:pPr>
    </w:p>
    <w:p w14:paraId="604CF4DE" w14:textId="53C84F74" w:rsidR="009611DD" w:rsidRPr="00796AAD" w:rsidRDefault="009611DD" w:rsidP="00E10F2B">
      <w:pPr>
        <w:contextualSpacing/>
        <w:rPr>
          <w:rFonts w:ascii="Times New Roman" w:hAnsi="Times New Roman" w:cs="Times New Roman"/>
        </w:rPr>
      </w:pPr>
      <w:r w:rsidRPr="00796AAD">
        <w:t>4.2.</w:t>
      </w:r>
      <w:r w:rsidR="00E10F2B">
        <w:rPr>
          <w:rFonts w:ascii="Times New Roman" w:hAnsi="Times New Roman" w:cs="Times New Roman"/>
          <w:sz w:val="14"/>
          <w:szCs w:val="14"/>
        </w:rPr>
        <w:t xml:space="preserve"> </w:t>
      </w:r>
      <w:r w:rsidRPr="00796AAD">
        <w:t>Observe the leaves for chlorosis</w:t>
      </w:r>
      <w:r w:rsidR="00B76361" w:rsidRPr="00B76361">
        <w:t xml:space="preserve"> </w:t>
      </w:r>
      <w:r w:rsidR="00B76361">
        <w:t xml:space="preserve">and </w:t>
      </w:r>
      <w:r w:rsidRPr="00796AAD">
        <w:t>necrosi</w:t>
      </w:r>
      <w:r w:rsidR="004400E8">
        <w:t>s in</w:t>
      </w:r>
      <w:r w:rsidR="00DB2DEF">
        <w:t xml:space="preserve"> </w:t>
      </w:r>
      <w:r>
        <w:t>infiltrat</w:t>
      </w:r>
      <w:r w:rsidR="004400E8">
        <w:t>ed</w:t>
      </w:r>
      <w:r w:rsidR="06107CB9">
        <w:t xml:space="preserve"> areas</w:t>
      </w:r>
      <w:r w:rsidR="008C7BAF">
        <w:t>. Observe plants</w:t>
      </w:r>
      <w:r w:rsidRPr="00796AAD">
        <w:t xml:space="preserve"> for GFP fluorescence (if GFP is present) under a long and short-wave UV lamp.</w:t>
      </w:r>
    </w:p>
    <w:p w14:paraId="035AE5A2" w14:textId="77777777" w:rsidR="009611DD" w:rsidRDefault="009611DD" w:rsidP="00E10F2B">
      <w:pPr>
        <w:contextualSpacing/>
      </w:pPr>
    </w:p>
    <w:p w14:paraId="51282A6D" w14:textId="0F7D0E5B" w:rsidR="009611DD" w:rsidRPr="00796AAD" w:rsidRDefault="009611DD" w:rsidP="00E10F2B">
      <w:pPr>
        <w:contextualSpacing/>
        <w:rPr>
          <w:rFonts w:ascii="Times New Roman" w:hAnsi="Times New Roman" w:cs="Times New Roman"/>
        </w:rPr>
      </w:pPr>
      <w:r w:rsidRPr="00796AAD">
        <w:t>4.3.</w:t>
      </w:r>
      <w:r w:rsidR="00E10F2B">
        <w:rPr>
          <w:rFonts w:ascii="Times New Roman" w:hAnsi="Times New Roman" w:cs="Times New Roman"/>
          <w:sz w:val="14"/>
          <w:szCs w:val="14"/>
        </w:rPr>
        <w:t xml:space="preserve"> </w:t>
      </w:r>
      <w:r w:rsidRPr="00796AAD">
        <w:t>Day</w:t>
      </w:r>
      <w:r w:rsidR="346EFDA5">
        <w:t xml:space="preserve"> </w:t>
      </w:r>
      <w:r w:rsidRPr="00796AAD">
        <w:t xml:space="preserve">4-5 shows the highest fluorescence of both GFP constructs </w:t>
      </w:r>
      <w:r>
        <w:t xml:space="preserve">in the </w:t>
      </w:r>
      <w:r w:rsidRPr="00796AAD">
        <w:t>leaves. Harvest all the leaves at 4-5 dpi (days post-infiltration) and weigh the total leaf material. </w:t>
      </w:r>
    </w:p>
    <w:p w14:paraId="0CF088BE" w14:textId="77777777" w:rsidR="009611DD" w:rsidRDefault="009611DD" w:rsidP="00E10F2B">
      <w:pPr>
        <w:contextualSpacing/>
      </w:pPr>
    </w:p>
    <w:p w14:paraId="02BA9F25" w14:textId="00DD6C9C" w:rsidR="009611DD" w:rsidRPr="00796AAD" w:rsidRDefault="009611DD" w:rsidP="00E10F2B">
      <w:pPr>
        <w:contextualSpacing/>
        <w:rPr>
          <w:rFonts w:ascii="Times New Roman" w:hAnsi="Times New Roman" w:cs="Times New Roman"/>
        </w:rPr>
      </w:pPr>
      <w:r w:rsidRPr="00796AAD">
        <w:t>4.4.</w:t>
      </w:r>
      <w:r w:rsidR="00E10F2B">
        <w:rPr>
          <w:rFonts w:ascii="Times New Roman" w:hAnsi="Times New Roman" w:cs="Times New Roman"/>
          <w:sz w:val="14"/>
          <w:szCs w:val="14"/>
        </w:rPr>
        <w:t xml:space="preserve"> </w:t>
      </w:r>
      <w:r w:rsidRPr="00796AAD">
        <w:t xml:space="preserve">Use it immediately for downstream processing or </w:t>
      </w:r>
      <w:r>
        <w:t>store at</w:t>
      </w:r>
      <w:r w:rsidRPr="00796AAD">
        <w:t xml:space="preserve"> -80</w:t>
      </w:r>
      <w:r w:rsidR="00015DCB">
        <w:t xml:space="preserve"> </w:t>
      </w:r>
      <w:r w:rsidRPr="00796AAD">
        <w:t xml:space="preserve">°C until </w:t>
      </w:r>
      <w:r w:rsidR="2C0064A8">
        <w:t>ready</w:t>
      </w:r>
      <w:r w:rsidRPr="00796AAD">
        <w:t xml:space="preserve"> to use.</w:t>
      </w:r>
    </w:p>
    <w:p w14:paraId="4C77F1CF" w14:textId="77777777" w:rsidR="009611DD" w:rsidRPr="00796AAD" w:rsidRDefault="009611DD" w:rsidP="00E10F2B">
      <w:pPr>
        <w:contextualSpacing/>
      </w:pPr>
    </w:p>
    <w:p w14:paraId="308461DA" w14:textId="5C8BCA4E" w:rsidR="009611DD" w:rsidRPr="00796AAD" w:rsidRDefault="009611DD" w:rsidP="00E10F2B">
      <w:pPr>
        <w:contextualSpacing/>
        <w:rPr>
          <w:rFonts w:ascii="Times New Roman" w:hAnsi="Times New Roman" w:cs="Times New Roman"/>
        </w:rPr>
      </w:pPr>
      <w:r w:rsidRPr="00796AAD">
        <w:rPr>
          <w:b/>
          <w:bCs/>
        </w:rPr>
        <w:t>5.</w:t>
      </w:r>
      <w:r w:rsidR="00E10F2B">
        <w:rPr>
          <w:rFonts w:ascii="Times New Roman" w:hAnsi="Times New Roman" w:cs="Times New Roman"/>
          <w:sz w:val="14"/>
          <w:szCs w:val="14"/>
        </w:rPr>
        <w:t xml:space="preserve"> </w:t>
      </w:r>
      <w:r w:rsidRPr="00796AAD">
        <w:rPr>
          <w:b/>
          <w:bCs/>
        </w:rPr>
        <w:t>Protein extraction</w:t>
      </w:r>
    </w:p>
    <w:p w14:paraId="61AAB5E5" w14:textId="77777777" w:rsidR="009611DD" w:rsidRDefault="009611DD" w:rsidP="00E10F2B">
      <w:pPr>
        <w:contextualSpacing/>
      </w:pPr>
    </w:p>
    <w:p w14:paraId="6D10F9E4" w14:textId="1679BECA" w:rsidR="009611DD" w:rsidRPr="00796AAD" w:rsidRDefault="009611DD" w:rsidP="00E10F2B">
      <w:pPr>
        <w:contextualSpacing/>
        <w:rPr>
          <w:rFonts w:ascii="Times New Roman" w:hAnsi="Times New Roman" w:cs="Times New Roman"/>
        </w:rPr>
      </w:pPr>
      <w:r w:rsidRPr="00796AAD">
        <w:t>5.1.</w:t>
      </w:r>
      <w:r w:rsidR="00E10F2B">
        <w:rPr>
          <w:rFonts w:ascii="Times New Roman" w:hAnsi="Times New Roman" w:cs="Times New Roman"/>
          <w:sz w:val="14"/>
          <w:szCs w:val="14"/>
        </w:rPr>
        <w:t xml:space="preserve"> </w:t>
      </w:r>
      <w:r w:rsidRPr="00796AAD">
        <w:t xml:space="preserve">Keep buffers and blender cups on ice or </w:t>
      </w:r>
      <w:r>
        <w:t>at</w:t>
      </w:r>
      <w:r w:rsidRPr="00796AAD">
        <w:t xml:space="preserve"> 4</w:t>
      </w:r>
      <w:r w:rsidR="00015DCB">
        <w:t xml:space="preserve"> </w:t>
      </w:r>
      <w:r w:rsidRPr="00796AAD">
        <w:t xml:space="preserve">°C </w:t>
      </w:r>
      <w:r>
        <w:t>before</w:t>
      </w:r>
      <w:r w:rsidRPr="00796AAD">
        <w:t xml:space="preserve"> use.</w:t>
      </w:r>
    </w:p>
    <w:p w14:paraId="3F4F88A7" w14:textId="77777777" w:rsidR="009611DD" w:rsidRDefault="009611DD" w:rsidP="00E10F2B">
      <w:pPr>
        <w:contextualSpacing/>
      </w:pPr>
    </w:p>
    <w:p w14:paraId="693A4D00" w14:textId="694E649E" w:rsidR="009611DD" w:rsidRPr="00796AAD" w:rsidRDefault="009611DD" w:rsidP="00E10F2B">
      <w:pPr>
        <w:contextualSpacing/>
        <w:rPr>
          <w:rFonts w:ascii="Times New Roman" w:hAnsi="Times New Roman" w:cs="Times New Roman"/>
        </w:rPr>
      </w:pPr>
      <w:r w:rsidRPr="00796AAD">
        <w:t>5.2.</w:t>
      </w:r>
      <w:r w:rsidR="00E10F2B">
        <w:rPr>
          <w:rFonts w:ascii="Times New Roman" w:hAnsi="Times New Roman" w:cs="Times New Roman"/>
          <w:sz w:val="14"/>
          <w:szCs w:val="14"/>
        </w:rPr>
        <w:t xml:space="preserve"> </w:t>
      </w:r>
      <w:r w:rsidRPr="00796AAD">
        <w:t>Prepare 2-3</w:t>
      </w:r>
      <w:r w:rsidR="00A94398">
        <w:t xml:space="preserve"> mL</w:t>
      </w:r>
      <w:r w:rsidRPr="00796AAD">
        <w:t xml:space="preserve"> of ice</w:t>
      </w:r>
      <w:r>
        <w:t>-</w:t>
      </w:r>
      <w:r w:rsidRPr="00796AAD">
        <w:t xml:space="preserve">cold extraction buffer (100 mM Tris-HCl, 50 mM NaCl, 2 mM EDTA, pH 8 with HCl) per 1 g of plant material. Add 2 mM </w:t>
      </w:r>
      <w:proofErr w:type="spellStart"/>
      <w:r w:rsidRPr="008F651A">
        <w:t>phenylmethylsulfonyl</w:t>
      </w:r>
      <w:proofErr w:type="spellEnd"/>
      <w:r w:rsidRPr="008F651A">
        <w:t xml:space="preserve"> fluoride </w:t>
      </w:r>
      <w:r>
        <w:t>(</w:t>
      </w:r>
      <w:r w:rsidRPr="00796AAD">
        <w:t>PMSF</w:t>
      </w:r>
      <w:r>
        <w:t>)</w:t>
      </w:r>
      <w:r w:rsidRPr="00796AAD">
        <w:t xml:space="preserve"> from stock </w:t>
      </w:r>
      <w:r w:rsidR="00785DBD">
        <w:t>(100</w:t>
      </w:r>
      <w:r w:rsidR="0025247A">
        <w:t xml:space="preserve"> </w:t>
      </w:r>
      <w:r w:rsidR="00785DBD">
        <w:t xml:space="preserve">mM) </w:t>
      </w:r>
      <w:r w:rsidRPr="00796AAD">
        <w:t xml:space="preserve">and 50 mM sodium ascorbate to the extraction buffer just </w:t>
      </w:r>
      <w:r>
        <w:t>before</w:t>
      </w:r>
      <w:r w:rsidRPr="00796AAD">
        <w:t xml:space="preserve"> extraction.</w:t>
      </w:r>
    </w:p>
    <w:p w14:paraId="7CA8ED23" w14:textId="77777777" w:rsidR="009611DD" w:rsidRDefault="009611DD" w:rsidP="00E10F2B">
      <w:pPr>
        <w:contextualSpacing/>
      </w:pPr>
    </w:p>
    <w:p w14:paraId="779E4662" w14:textId="732C6660" w:rsidR="009611DD" w:rsidRDefault="009611DD" w:rsidP="00E10F2B">
      <w:pPr>
        <w:contextualSpacing/>
      </w:pPr>
      <w:r w:rsidRPr="002253B6">
        <w:t>5.3.</w:t>
      </w:r>
      <w:r w:rsidR="00E10F2B">
        <w:rPr>
          <w:rFonts w:ascii="Times New Roman" w:hAnsi="Times New Roman" w:cs="Times New Roman"/>
          <w:sz w:val="14"/>
          <w:szCs w:val="14"/>
        </w:rPr>
        <w:t xml:space="preserve"> </w:t>
      </w:r>
      <w:r w:rsidRPr="002253B6">
        <w:t>Place</w:t>
      </w:r>
      <w:r w:rsidRPr="00796AAD">
        <w:t xml:space="preserve"> plant tissue from step 4 </w:t>
      </w:r>
      <w:r>
        <w:t>in</w:t>
      </w:r>
      <w:r w:rsidRPr="00796AAD">
        <w:t xml:space="preserve">to the prechilled blender cup. Add a measured amount of </w:t>
      </w:r>
      <w:r w:rsidR="00AF70E1">
        <w:t xml:space="preserve">chilled </w:t>
      </w:r>
      <w:r w:rsidRPr="00796AAD">
        <w:t xml:space="preserve">extraction </w:t>
      </w:r>
      <w:r w:rsidR="00E02EC1">
        <w:t xml:space="preserve">buffer </w:t>
      </w:r>
      <w:r w:rsidR="00AF70E1">
        <w:t>to the blender cup</w:t>
      </w:r>
      <w:r w:rsidR="00156CBA">
        <w:t xml:space="preserve"> (as indicated in step 5.2)</w:t>
      </w:r>
      <w:r w:rsidRPr="00796AAD">
        <w:t>.</w:t>
      </w:r>
      <w:r w:rsidR="00AF70E1">
        <w:t xml:space="preserve"> Place the blender cup on the blender</w:t>
      </w:r>
      <w:r w:rsidR="006F7F53">
        <w:t>. Ta</w:t>
      </w:r>
      <w:r w:rsidR="00F93F30">
        <w:t>k</w:t>
      </w:r>
      <w:r w:rsidR="006F7F53">
        <w:t>e a pre-cut sheet of parafilm and stretch it over the top of the blender cup.</w:t>
      </w:r>
      <w:r w:rsidRPr="00796AAD">
        <w:t xml:space="preserve"> Blend to homogeneity with 20</w:t>
      </w:r>
      <w:r>
        <w:t>-</w:t>
      </w:r>
      <w:r w:rsidRPr="00796AAD">
        <w:t>sec intervals, stirring well between blend cycles as needed</w:t>
      </w:r>
      <w:r w:rsidR="00B54675">
        <w:t>.</w:t>
      </w:r>
    </w:p>
    <w:p w14:paraId="0DFF0262" w14:textId="77777777" w:rsidR="009611DD" w:rsidRDefault="009611DD" w:rsidP="00E10F2B">
      <w:pPr>
        <w:contextualSpacing/>
      </w:pPr>
    </w:p>
    <w:p w14:paraId="0B0B28EB" w14:textId="770CE726" w:rsidR="009611DD" w:rsidRPr="00796AAD" w:rsidRDefault="009611DD" w:rsidP="00E10F2B">
      <w:pPr>
        <w:contextualSpacing/>
        <w:rPr>
          <w:rFonts w:ascii="Times New Roman" w:hAnsi="Times New Roman" w:cs="Times New Roman"/>
        </w:rPr>
      </w:pPr>
      <w:r w:rsidRPr="00796AAD">
        <w:t>5.4.</w:t>
      </w:r>
      <w:r w:rsidR="00E10F2B">
        <w:rPr>
          <w:rFonts w:ascii="Times New Roman" w:hAnsi="Times New Roman" w:cs="Times New Roman"/>
          <w:sz w:val="14"/>
          <w:szCs w:val="14"/>
        </w:rPr>
        <w:t xml:space="preserve"> </w:t>
      </w:r>
      <w:r w:rsidRPr="00796AAD">
        <w:t>Transfer blended material to a beaker</w:t>
      </w:r>
      <w:r w:rsidR="005A0300">
        <w:t>. Add a stir bar</w:t>
      </w:r>
      <w:r w:rsidR="00F0262B">
        <w:t xml:space="preserve"> </w:t>
      </w:r>
      <w:r w:rsidR="0F79BE1E">
        <w:t>and</w:t>
      </w:r>
      <w:r w:rsidR="00F0262B">
        <w:t xml:space="preserve"> </w:t>
      </w:r>
      <w:r w:rsidR="0F79BE1E">
        <w:t>stir</w:t>
      </w:r>
      <w:r w:rsidRPr="00796AAD">
        <w:t xml:space="preserve"> </w:t>
      </w:r>
      <w:r>
        <w:t>at</w:t>
      </w:r>
      <w:r w:rsidRPr="00796AAD">
        <w:t xml:space="preserve"> 4</w:t>
      </w:r>
      <w:r w:rsidR="00015DCB">
        <w:t xml:space="preserve"> </w:t>
      </w:r>
      <w:r w:rsidRPr="00796AAD">
        <w:t xml:space="preserve">°C for 30 min to enhance </w:t>
      </w:r>
      <w:r>
        <w:t xml:space="preserve">protein </w:t>
      </w:r>
      <w:r w:rsidR="0078057C">
        <w:t>solubility and to allow precipitation of solids</w:t>
      </w:r>
      <w:r w:rsidRPr="00796AAD">
        <w:t>.</w:t>
      </w:r>
    </w:p>
    <w:p w14:paraId="462D8581" w14:textId="77777777" w:rsidR="009611DD" w:rsidRDefault="009611DD" w:rsidP="00E10F2B">
      <w:pPr>
        <w:contextualSpacing/>
      </w:pPr>
    </w:p>
    <w:p w14:paraId="5B67804D" w14:textId="007EDB3F" w:rsidR="009611DD" w:rsidRPr="00796AAD" w:rsidRDefault="009611DD" w:rsidP="00E10F2B">
      <w:pPr>
        <w:contextualSpacing/>
        <w:rPr>
          <w:rFonts w:ascii="Times New Roman" w:hAnsi="Times New Roman" w:cs="Times New Roman"/>
        </w:rPr>
      </w:pPr>
      <w:r w:rsidRPr="00796AAD">
        <w:t>5.5.</w:t>
      </w:r>
      <w:r w:rsidR="00E10F2B">
        <w:rPr>
          <w:rFonts w:ascii="Times New Roman" w:hAnsi="Times New Roman" w:cs="Times New Roman"/>
          <w:sz w:val="14"/>
          <w:szCs w:val="14"/>
        </w:rPr>
        <w:t xml:space="preserve"> </w:t>
      </w:r>
      <w:r w:rsidRPr="00796AAD">
        <w:t xml:space="preserve">Place 2 layers of </w:t>
      </w:r>
      <w:proofErr w:type="spellStart"/>
      <w:r w:rsidR="00015DCB">
        <w:t>M</w:t>
      </w:r>
      <w:r w:rsidRPr="00796AAD">
        <w:t>iracloth</w:t>
      </w:r>
      <w:proofErr w:type="spellEnd"/>
      <w:r w:rsidRPr="00796AAD">
        <w:t xml:space="preserve"> over a clean beaker on ice and pour the extract thro</w:t>
      </w:r>
      <w:r w:rsidR="00F54043">
        <w:t>u</w:t>
      </w:r>
      <w:r w:rsidR="00EE2DC8">
        <w:t>g</w:t>
      </w:r>
      <w:r w:rsidRPr="00796AAD">
        <w:t>h it to remove large leaf debri</w:t>
      </w:r>
      <w:r>
        <w:t>s</w:t>
      </w:r>
      <w:r w:rsidRPr="00796AAD">
        <w:t xml:space="preserve">. After all </w:t>
      </w:r>
      <w:r>
        <w:t xml:space="preserve">the </w:t>
      </w:r>
      <w:r w:rsidRPr="00796AAD">
        <w:t xml:space="preserve">extract is poured, fold the </w:t>
      </w:r>
      <w:proofErr w:type="spellStart"/>
      <w:r w:rsidR="00015DCB">
        <w:t>M</w:t>
      </w:r>
      <w:r w:rsidRPr="00796AAD">
        <w:t>iracloth</w:t>
      </w:r>
      <w:proofErr w:type="spellEnd"/>
      <w:r w:rsidRPr="00796AAD">
        <w:t xml:space="preserve"> to squeeze the residual leaf extract. </w:t>
      </w:r>
      <w:r w:rsidR="0078057C">
        <w:t xml:space="preserve">The extract should appear </w:t>
      </w:r>
      <w:r w:rsidR="004A7C91">
        <w:t>dark green without visible particulates.</w:t>
      </w:r>
    </w:p>
    <w:p w14:paraId="2CB1ED08" w14:textId="5413CB2B" w:rsidR="00E068D3" w:rsidRPr="00E068D3" w:rsidRDefault="00E068D3" w:rsidP="00E10F2B">
      <w:pPr>
        <w:contextualSpacing/>
      </w:pPr>
    </w:p>
    <w:p w14:paraId="1195B743" w14:textId="12D5EA82" w:rsidR="00445925" w:rsidRDefault="00445925" w:rsidP="00E10F2B">
      <w:pPr>
        <w:contextualSpacing/>
      </w:pPr>
      <w:r>
        <w:t>5.6</w:t>
      </w:r>
      <w:r w:rsidR="007973A4" w:rsidRPr="007973A4">
        <w:t xml:space="preserve"> </w:t>
      </w:r>
      <w:r w:rsidR="007973A4">
        <w:t>Transfer 50 µL of this</w:t>
      </w:r>
      <w:r w:rsidR="007973A4" w:rsidDel="00896540">
        <w:t xml:space="preserve"> </w:t>
      </w:r>
      <w:r w:rsidR="007973A4">
        <w:t>sample to a new 1.5</w:t>
      </w:r>
      <w:r w:rsidR="00A94398">
        <w:t xml:space="preserve"> mL</w:t>
      </w:r>
      <w:r w:rsidR="007973A4">
        <w:t xml:space="preserve"> tube and label "total extract" for later analysis.</w:t>
      </w:r>
      <w:r w:rsidR="00ED0F18">
        <w:t xml:space="preserve"> </w:t>
      </w:r>
      <w:r w:rsidR="00F80A47">
        <w:t>Transfer the extract to centrif</w:t>
      </w:r>
      <w:r w:rsidR="00DA61A8">
        <w:t>u</w:t>
      </w:r>
      <w:r w:rsidR="00EE2DC8">
        <w:t>g</w:t>
      </w:r>
      <w:r w:rsidR="00F80A47">
        <w:t xml:space="preserve">e tubes. </w:t>
      </w:r>
      <w:r w:rsidR="00B261BA">
        <w:t>C</w:t>
      </w:r>
      <w:r w:rsidR="00ED0F18">
        <w:t>entrif</w:t>
      </w:r>
      <w:r w:rsidR="007973A4">
        <w:t>u</w:t>
      </w:r>
      <w:r w:rsidR="00EE2DC8">
        <w:t>g</w:t>
      </w:r>
      <w:r w:rsidR="00ED0F18">
        <w:t xml:space="preserve">e </w:t>
      </w:r>
      <w:r w:rsidR="00ED29CB">
        <w:t xml:space="preserve">the </w:t>
      </w:r>
      <w:r w:rsidR="00055030">
        <w:t xml:space="preserve">remainder of </w:t>
      </w:r>
      <w:r w:rsidR="00ED29CB">
        <w:t>plant extract at</w:t>
      </w:r>
      <w:r w:rsidR="00172233">
        <w:t xml:space="preserve"> </w:t>
      </w:r>
      <w:r w:rsidR="0047074C">
        <w:t>16,0</w:t>
      </w:r>
      <w:r w:rsidR="00172233">
        <w:t xml:space="preserve">00 x g </w:t>
      </w:r>
      <w:r w:rsidR="00172233">
        <w:lastRenderedPageBreak/>
        <w:t xml:space="preserve">for 20 min, </w:t>
      </w:r>
      <w:r w:rsidR="0047074C" w:rsidRPr="00796AAD">
        <w:t>4</w:t>
      </w:r>
      <w:r w:rsidR="00015DCB">
        <w:t xml:space="preserve"> </w:t>
      </w:r>
      <w:r w:rsidR="0047074C" w:rsidRPr="00796AAD">
        <w:t>°C</w:t>
      </w:r>
      <w:r w:rsidR="00335CF3">
        <w:t xml:space="preserve"> and </w:t>
      </w:r>
      <w:r w:rsidR="00D65C94">
        <w:t xml:space="preserve">transfer the </w:t>
      </w:r>
      <w:r w:rsidR="007349F1">
        <w:t>supernatant</w:t>
      </w:r>
      <w:r w:rsidR="00D65C94">
        <w:t xml:space="preserve"> to a </w:t>
      </w:r>
      <w:r w:rsidR="00662D3A">
        <w:t>conical tube.</w:t>
      </w:r>
      <w:r w:rsidR="007349F1">
        <w:t xml:space="preserve"> </w:t>
      </w:r>
    </w:p>
    <w:p w14:paraId="3AA3FECA" w14:textId="77777777" w:rsidR="00445925" w:rsidRDefault="00445925" w:rsidP="00E10F2B">
      <w:pPr>
        <w:contextualSpacing/>
      </w:pPr>
    </w:p>
    <w:p w14:paraId="40DF0454" w14:textId="0D82571D" w:rsidR="009611DD" w:rsidRPr="00796AAD" w:rsidRDefault="009611DD" w:rsidP="00E10F2B">
      <w:pPr>
        <w:contextualSpacing/>
        <w:rPr>
          <w:rFonts w:ascii="Times New Roman" w:hAnsi="Times New Roman" w:cs="Times New Roman"/>
        </w:rPr>
      </w:pPr>
      <w:r w:rsidRPr="00796AAD">
        <w:t>5.</w:t>
      </w:r>
      <w:r w:rsidR="005633FF">
        <w:t>7</w:t>
      </w:r>
      <w:r w:rsidRPr="00796AAD">
        <w:t>.</w:t>
      </w:r>
      <w:r w:rsidR="00E10F2B">
        <w:rPr>
          <w:rFonts w:ascii="Times New Roman" w:hAnsi="Times New Roman" w:cs="Times New Roman"/>
          <w:sz w:val="14"/>
          <w:szCs w:val="14"/>
        </w:rPr>
        <w:t xml:space="preserve"> </w:t>
      </w:r>
      <w:r w:rsidRPr="00796AAD">
        <w:t xml:space="preserve">Filter the </w:t>
      </w:r>
      <w:r w:rsidR="00662D3A">
        <w:t xml:space="preserve">soluble </w:t>
      </w:r>
      <w:r w:rsidRPr="00796AAD">
        <w:t xml:space="preserve">extract using </w:t>
      </w:r>
      <w:r>
        <w:t xml:space="preserve">a </w:t>
      </w:r>
      <w:r w:rsidRPr="00796AAD">
        <w:t>50</w:t>
      </w:r>
      <w:r w:rsidR="00A94398">
        <w:t xml:space="preserve"> mL</w:t>
      </w:r>
      <w:r w:rsidRPr="00796AAD">
        <w:t xml:space="preserve"> syringe and syringe glass fiber filter (0.75 µm).</w:t>
      </w:r>
    </w:p>
    <w:p w14:paraId="46B5DBBD" w14:textId="77777777" w:rsidR="009611DD" w:rsidRDefault="009611DD" w:rsidP="00E10F2B">
      <w:pPr>
        <w:contextualSpacing/>
      </w:pPr>
    </w:p>
    <w:p w14:paraId="49BBB79A" w14:textId="1D1DFF62" w:rsidR="009611DD" w:rsidRPr="00796AAD" w:rsidRDefault="009611DD" w:rsidP="00E10F2B">
      <w:pPr>
        <w:contextualSpacing/>
        <w:rPr>
          <w:rFonts w:ascii="Times New Roman" w:hAnsi="Times New Roman" w:cs="Times New Roman"/>
        </w:rPr>
      </w:pPr>
      <w:r w:rsidRPr="00796AAD">
        <w:t>5.</w:t>
      </w:r>
      <w:r w:rsidR="005633FF">
        <w:t>8</w:t>
      </w:r>
      <w:r w:rsidRPr="00796AAD">
        <w:t>.</w:t>
      </w:r>
      <w:r w:rsidR="00E10F2B">
        <w:rPr>
          <w:rFonts w:ascii="Times New Roman" w:hAnsi="Times New Roman" w:cs="Times New Roman"/>
          <w:sz w:val="14"/>
          <w:szCs w:val="14"/>
        </w:rPr>
        <w:t xml:space="preserve"> </w:t>
      </w:r>
      <w:r w:rsidRPr="00796AAD">
        <w:t xml:space="preserve">Collect 50 µL of a sample </w:t>
      </w:r>
      <w:r w:rsidR="007349F1">
        <w:t>after centrif</w:t>
      </w:r>
      <w:r w:rsidR="00003E01">
        <w:t>u</w:t>
      </w:r>
      <w:r w:rsidR="00EE2DC8">
        <w:t>g</w:t>
      </w:r>
      <w:r w:rsidR="007349F1">
        <w:t>ation</w:t>
      </w:r>
      <w:r w:rsidR="001A70A6">
        <w:t xml:space="preserve">, </w:t>
      </w:r>
      <w:r w:rsidRPr="00796AAD">
        <w:t xml:space="preserve">label </w:t>
      </w:r>
      <w:r w:rsidR="00F6433E">
        <w:t>"</w:t>
      </w:r>
      <w:r w:rsidR="001A70A6">
        <w:t>soluble extract</w:t>
      </w:r>
      <w:r w:rsidR="00F6433E">
        <w:t>"</w:t>
      </w:r>
      <w:r w:rsidRPr="00796AAD">
        <w:t xml:space="preserve"> for later analysis.</w:t>
      </w:r>
      <w:r w:rsidR="00E10F2B">
        <w:t xml:space="preserve"> </w:t>
      </w:r>
    </w:p>
    <w:p w14:paraId="417F75E6" w14:textId="77777777" w:rsidR="009611DD" w:rsidRDefault="009611DD" w:rsidP="00E10F2B">
      <w:pPr>
        <w:contextualSpacing/>
        <w:rPr>
          <w:rFonts w:ascii="Times New Roman" w:hAnsi="Times New Roman" w:cs="Times New Roman"/>
        </w:rPr>
      </w:pPr>
    </w:p>
    <w:p w14:paraId="51DAC20F" w14:textId="2EAD45DF" w:rsidR="009611DD" w:rsidRPr="00796AAD" w:rsidRDefault="009611DD" w:rsidP="00E10F2B">
      <w:pPr>
        <w:contextualSpacing/>
        <w:rPr>
          <w:rFonts w:ascii="Times New Roman" w:hAnsi="Times New Roman" w:cs="Times New Roman"/>
        </w:rPr>
      </w:pPr>
      <w:r w:rsidRPr="00796AAD">
        <w:rPr>
          <w:b/>
          <w:bCs/>
        </w:rPr>
        <w:t>6.</w:t>
      </w:r>
      <w:r w:rsidR="00E10F2B">
        <w:rPr>
          <w:rFonts w:ascii="Times New Roman" w:hAnsi="Times New Roman" w:cs="Times New Roman"/>
          <w:sz w:val="14"/>
          <w:szCs w:val="14"/>
        </w:rPr>
        <w:t xml:space="preserve"> </w:t>
      </w:r>
      <w:r w:rsidRPr="00796AAD">
        <w:rPr>
          <w:b/>
          <w:bCs/>
        </w:rPr>
        <w:t>Protein G column chromatography procedure</w:t>
      </w:r>
    </w:p>
    <w:p w14:paraId="50539A8E" w14:textId="77777777" w:rsidR="009611DD" w:rsidRDefault="009611DD" w:rsidP="00E10F2B">
      <w:pPr>
        <w:contextualSpacing/>
        <w:rPr>
          <w:b/>
          <w:bCs/>
        </w:rPr>
      </w:pPr>
    </w:p>
    <w:p w14:paraId="325D2303" w14:textId="4027FE91" w:rsidR="009611DD" w:rsidRPr="00796AAD" w:rsidRDefault="00015DCB" w:rsidP="00E10F2B">
      <w:pPr>
        <w:contextualSpacing/>
        <w:rPr>
          <w:rFonts w:ascii="Times New Roman" w:hAnsi="Times New Roman" w:cs="Times New Roman"/>
        </w:rPr>
      </w:pPr>
      <w:r w:rsidRPr="00015DCB">
        <w:t>NOTE:</w:t>
      </w:r>
      <w:r w:rsidR="009611DD" w:rsidRPr="00796AAD">
        <w:t xml:space="preserve"> The protocol described here is for gravity-flow chromatography using Pierce Protein G agarose resin. If using </w:t>
      </w:r>
      <w:r w:rsidR="00C74A4B">
        <w:t>a</w:t>
      </w:r>
      <w:r w:rsidR="009611DD" w:rsidRPr="00796AAD">
        <w:t xml:space="preserve"> different resin, refer to the manufacturer</w:t>
      </w:r>
      <w:r w:rsidR="00F6433E">
        <w:t>'</w:t>
      </w:r>
      <w:r w:rsidR="009611DD" w:rsidRPr="00796AAD">
        <w:t>s instructions for adjustments. Never let the resin run dry and prevent all liquid from draining out. Recap the outlet as needed.</w:t>
      </w:r>
    </w:p>
    <w:p w14:paraId="3A14F35F" w14:textId="77777777" w:rsidR="009611DD" w:rsidRDefault="009611DD" w:rsidP="00E10F2B">
      <w:pPr>
        <w:contextualSpacing/>
      </w:pPr>
    </w:p>
    <w:p w14:paraId="50C94FB7" w14:textId="374FE77C" w:rsidR="009611DD" w:rsidRPr="00796AAD" w:rsidRDefault="009611DD" w:rsidP="00E10F2B">
      <w:pPr>
        <w:contextualSpacing/>
        <w:rPr>
          <w:rFonts w:ascii="Times New Roman" w:hAnsi="Times New Roman" w:cs="Times New Roman"/>
        </w:rPr>
      </w:pPr>
      <w:r w:rsidRPr="00796AAD">
        <w:t>6.1.</w:t>
      </w:r>
      <w:r w:rsidR="00E10F2B">
        <w:rPr>
          <w:rFonts w:ascii="Times New Roman" w:hAnsi="Times New Roman" w:cs="Times New Roman"/>
          <w:sz w:val="14"/>
          <w:szCs w:val="14"/>
        </w:rPr>
        <w:t xml:space="preserve"> </w:t>
      </w:r>
      <w:r w:rsidRPr="00796AAD">
        <w:t>Set up a polypropylene column that holds 20</w:t>
      </w:r>
      <w:r w:rsidR="00A94398">
        <w:t xml:space="preserve"> mL</w:t>
      </w:r>
      <w:r w:rsidRPr="00796AAD">
        <w:t xml:space="preserve"> of sample. </w:t>
      </w:r>
    </w:p>
    <w:p w14:paraId="5603EEE7" w14:textId="77777777" w:rsidR="009611DD" w:rsidRDefault="009611DD" w:rsidP="00E10F2B">
      <w:pPr>
        <w:contextualSpacing/>
      </w:pPr>
    </w:p>
    <w:p w14:paraId="6FF1026F" w14:textId="62FB80CB" w:rsidR="009611DD" w:rsidRPr="00796AAD" w:rsidRDefault="009611DD" w:rsidP="00E10F2B">
      <w:pPr>
        <w:contextualSpacing/>
        <w:rPr>
          <w:rFonts w:ascii="Times New Roman" w:hAnsi="Times New Roman" w:cs="Times New Roman"/>
        </w:rPr>
      </w:pPr>
      <w:r w:rsidRPr="00796AAD">
        <w:t>6.2.</w:t>
      </w:r>
      <w:r w:rsidR="00E10F2B">
        <w:rPr>
          <w:rFonts w:ascii="Times New Roman" w:hAnsi="Times New Roman" w:cs="Times New Roman"/>
          <w:sz w:val="14"/>
          <w:szCs w:val="14"/>
        </w:rPr>
        <w:t xml:space="preserve"> </w:t>
      </w:r>
      <w:r w:rsidRPr="00796AAD">
        <w:t>Estimate the amount of slurry needed depending on the target immunoglobulin type and its affinity to the resin. Generally, 3</w:t>
      </w:r>
      <w:r w:rsidR="00A94398">
        <w:t xml:space="preserve"> mL</w:t>
      </w:r>
      <w:r w:rsidRPr="00796AAD">
        <w:t xml:space="preserve"> of total slurry with 1.5</w:t>
      </w:r>
      <w:r w:rsidR="00A94398">
        <w:t xml:space="preserve"> mL</w:t>
      </w:r>
      <w:r w:rsidRPr="00796AAD">
        <w:t xml:space="preserve"> bed volume is </w:t>
      </w:r>
      <w:r w:rsidR="005A3E84">
        <w:t xml:space="preserve">sufficient </w:t>
      </w:r>
      <w:r w:rsidRPr="00796AAD">
        <w:t xml:space="preserve">for </w:t>
      </w:r>
      <w:r>
        <w:t xml:space="preserve">the </w:t>
      </w:r>
      <w:r w:rsidRPr="00796AAD">
        <w:t xml:space="preserve">purification of several milligrams of </w:t>
      </w:r>
      <w:r w:rsidR="006D1BFF">
        <w:t>Ab</w:t>
      </w:r>
      <w:r w:rsidRPr="00796AAD">
        <w:t>.</w:t>
      </w:r>
    </w:p>
    <w:p w14:paraId="0BF75975" w14:textId="77777777" w:rsidR="009611DD" w:rsidRDefault="009611DD" w:rsidP="00E10F2B">
      <w:pPr>
        <w:contextualSpacing/>
      </w:pPr>
    </w:p>
    <w:p w14:paraId="2B2F9E2B" w14:textId="47CD1373" w:rsidR="009611DD" w:rsidRPr="00796AAD" w:rsidRDefault="009611DD" w:rsidP="00E10F2B">
      <w:pPr>
        <w:contextualSpacing/>
        <w:rPr>
          <w:rFonts w:ascii="Times New Roman" w:hAnsi="Times New Roman" w:cs="Times New Roman"/>
        </w:rPr>
      </w:pPr>
      <w:r w:rsidRPr="00796AAD">
        <w:t>6.3.</w:t>
      </w:r>
      <w:r w:rsidR="00E10F2B">
        <w:rPr>
          <w:rFonts w:ascii="Times New Roman" w:hAnsi="Times New Roman" w:cs="Times New Roman"/>
          <w:sz w:val="14"/>
          <w:szCs w:val="14"/>
        </w:rPr>
        <w:t xml:space="preserve"> </w:t>
      </w:r>
      <w:r w:rsidRPr="00796AAD">
        <w:t xml:space="preserve">Carefully pour the required amount of resuspended slurry into the capped column. Open the column outlet from the bottom of the column and allow </w:t>
      </w:r>
      <w:r>
        <w:t xml:space="preserve">it </w:t>
      </w:r>
      <w:r w:rsidRPr="00796AAD">
        <w:t>to drain until most of the buffer is gone. </w:t>
      </w:r>
    </w:p>
    <w:p w14:paraId="5CD3A818" w14:textId="77777777" w:rsidR="009611DD" w:rsidRDefault="009611DD" w:rsidP="00E10F2B">
      <w:pPr>
        <w:contextualSpacing/>
      </w:pPr>
    </w:p>
    <w:p w14:paraId="3EE47DB5" w14:textId="4CD708BB" w:rsidR="009611DD" w:rsidRPr="00796AAD" w:rsidRDefault="009611DD" w:rsidP="00E10F2B">
      <w:pPr>
        <w:contextualSpacing/>
        <w:rPr>
          <w:rFonts w:ascii="Times New Roman" w:hAnsi="Times New Roman" w:cs="Times New Roman"/>
        </w:rPr>
      </w:pPr>
      <w:r w:rsidRPr="00796AAD">
        <w:t>6.4.</w:t>
      </w:r>
      <w:r w:rsidR="00E10F2B">
        <w:rPr>
          <w:rFonts w:ascii="Times New Roman" w:hAnsi="Times New Roman" w:cs="Times New Roman"/>
          <w:sz w:val="14"/>
          <w:szCs w:val="14"/>
        </w:rPr>
        <w:t xml:space="preserve"> </w:t>
      </w:r>
      <w:r w:rsidRPr="00796AAD">
        <w:t>Immediately pour 10</w:t>
      </w:r>
      <w:r w:rsidR="00A94398">
        <w:t xml:space="preserve"> mL</w:t>
      </w:r>
      <w:r w:rsidRPr="00796AAD">
        <w:t xml:space="preserve"> of wash buffer 1</w:t>
      </w:r>
      <w:r w:rsidR="00015DCB">
        <w:t>x</w:t>
      </w:r>
      <w:r w:rsidRPr="00796AAD">
        <w:t xml:space="preserve"> PBS (137 mM NaCl, 2.7 mM KCl, 10 mM Na</w:t>
      </w:r>
      <w:r w:rsidRPr="00015DCB">
        <w:rPr>
          <w:vertAlign w:val="subscript"/>
        </w:rPr>
        <w:t>2</w:t>
      </w:r>
      <w:r w:rsidRPr="00796AAD">
        <w:t>HPO</w:t>
      </w:r>
      <w:r w:rsidRPr="00015DCB">
        <w:rPr>
          <w:vertAlign w:val="subscript"/>
        </w:rPr>
        <w:t>4</w:t>
      </w:r>
      <w:r w:rsidRPr="00796AAD">
        <w:t>, 1.8 mM KH</w:t>
      </w:r>
      <w:r w:rsidRPr="00015DCB">
        <w:rPr>
          <w:vertAlign w:val="subscript"/>
        </w:rPr>
        <w:t>2</w:t>
      </w:r>
      <w:r w:rsidRPr="00796AAD">
        <w:t>PO</w:t>
      </w:r>
      <w:r w:rsidRPr="00015DCB">
        <w:rPr>
          <w:vertAlign w:val="subscript"/>
        </w:rPr>
        <w:t>4</w:t>
      </w:r>
      <w:r w:rsidRPr="00796AAD">
        <w:t>, pH 7.4 with HCl) on top. Let it drain and repeat this wash step 2</w:t>
      </w:r>
      <w:r w:rsidR="00015DCB">
        <w:t>x</w:t>
      </w:r>
      <w:r w:rsidRPr="00796AAD">
        <w:t>. </w:t>
      </w:r>
    </w:p>
    <w:p w14:paraId="5EB74C30" w14:textId="77777777" w:rsidR="009611DD" w:rsidRDefault="009611DD" w:rsidP="00E10F2B">
      <w:pPr>
        <w:contextualSpacing/>
      </w:pPr>
    </w:p>
    <w:p w14:paraId="38F2B98F" w14:textId="6F7E3087" w:rsidR="009611DD" w:rsidRDefault="009611DD" w:rsidP="00E10F2B">
      <w:pPr>
        <w:contextualSpacing/>
        <w:rPr>
          <w:rFonts w:ascii="Times New Roman" w:hAnsi="Times New Roman" w:cs="Times New Roman"/>
        </w:rPr>
      </w:pPr>
      <w:r w:rsidRPr="00796AAD">
        <w:t>6.5.</w:t>
      </w:r>
      <w:r w:rsidR="00E10F2B">
        <w:rPr>
          <w:rFonts w:ascii="Times New Roman" w:hAnsi="Times New Roman" w:cs="Times New Roman"/>
          <w:sz w:val="14"/>
          <w:szCs w:val="14"/>
        </w:rPr>
        <w:t xml:space="preserve"> </w:t>
      </w:r>
      <w:r w:rsidRPr="00796AAD">
        <w:t>Apply</w:t>
      </w:r>
      <w:r w:rsidR="00306461">
        <w:t xml:space="preserve"> the</w:t>
      </w:r>
      <w:r w:rsidRPr="00796AAD">
        <w:t xml:space="preserve"> filtered sample from step 5 to the column and collect the flowthro</w:t>
      </w:r>
      <w:r w:rsidR="00847FB1">
        <w:t>u</w:t>
      </w:r>
      <w:r w:rsidR="00EE2DC8">
        <w:t>g</w:t>
      </w:r>
      <w:r w:rsidRPr="00796AAD">
        <w:t>h</w:t>
      </w:r>
      <w:r>
        <w:t>—a</w:t>
      </w:r>
      <w:r w:rsidRPr="00796AAD">
        <w:t>liquot 50 µL of flowthro</w:t>
      </w:r>
      <w:r w:rsidR="00847FB1">
        <w:t>u</w:t>
      </w:r>
      <w:r w:rsidR="00EE2DC8">
        <w:t>g</w:t>
      </w:r>
      <w:r w:rsidRPr="00796AAD">
        <w:t>h for later analysis. Save the rest of the flowthro</w:t>
      </w:r>
      <w:r w:rsidR="00512B47">
        <w:t>u</w:t>
      </w:r>
      <w:r w:rsidR="00EE2DC8">
        <w:t>g</w:t>
      </w:r>
      <w:r w:rsidRPr="00796AAD">
        <w:t xml:space="preserve">h in case the </w:t>
      </w:r>
      <w:r w:rsidR="006D1BFF">
        <w:t>Ab</w:t>
      </w:r>
      <w:r w:rsidRPr="00796AAD">
        <w:t xml:space="preserve"> did not bind to the resin.</w:t>
      </w:r>
      <w:r>
        <w:rPr>
          <w:rFonts w:ascii="Times New Roman" w:hAnsi="Times New Roman" w:cs="Times New Roman"/>
        </w:rPr>
        <w:t xml:space="preserve"> </w:t>
      </w:r>
    </w:p>
    <w:p w14:paraId="52C580E9" w14:textId="77777777" w:rsidR="009611DD" w:rsidRDefault="009611DD" w:rsidP="00E10F2B">
      <w:pPr>
        <w:contextualSpacing/>
        <w:rPr>
          <w:rFonts w:ascii="Times New Roman" w:hAnsi="Times New Roman" w:cs="Times New Roman"/>
        </w:rPr>
      </w:pPr>
    </w:p>
    <w:p w14:paraId="7DEF3BF0" w14:textId="024C97D8" w:rsidR="009611DD" w:rsidRPr="00796AAD" w:rsidRDefault="00015DCB" w:rsidP="00E10F2B">
      <w:pPr>
        <w:contextualSpacing/>
        <w:rPr>
          <w:rFonts w:ascii="Times New Roman" w:hAnsi="Times New Roman" w:cs="Times New Roman"/>
        </w:rPr>
      </w:pPr>
      <w:r w:rsidRPr="00015DCB">
        <w:t>NOTE:</w:t>
      </w:r>
      <w:r w:rsidR="009611DD" w:rsidRPr="00796AAD">
        <w:t xml:space="preserve"> Re-applying flowthro</w:t>
      </w:r>
      <w:r w:rsidR="00847FB1">
        <w:t>u</w:t>
      </w:r>
      <w:r w:rsidR="00EE2DC8">
        <w:t>g</w:t>
      </w:r>
      <w:r w:rsidR="009611DD" w:rsidRPr="00796AAD">
        <w:t xml:space="preserve">h to </w:t>
      </w:r>
      <w:r w:rsidR="009611DD">
        <w:t>a new</w:t>
      </w:r>
      <w:r w:rsidR="009611DD" w:rsidRPr="00796AAD">
        <w:t xml:space="preserve"> column does not usually result in </w:t>
      </w:r>
      <w:r w:rsidR="00306461">
        <w:t>a</w:t>
      </w:r>
      <w:r w:rsidR="009611DD" w:rsidRPr="00796AAD">
        <w:t xml:space="preserve"> good yield</w:t>
      </w:r>
      <w:r w:rsidR="009611DD">
        <w:t>;</w:t>
      </w:r>
      <w:r w:rsidR="009611DD" w:rsidRPr="00796AAD">
        <w:t xml:space="preserve"> hence it is advised to </w:t>
      </w:r>
      <w:r w:rsidR="009611DD">
        <w:t>start with</w:t>
      </w:r>
      <w:r w:rsidR="009611DD" w:rsidRPr="00796AAD">
        <w:t xml:space="preserve"> new leaf material.</w:t>
      </w:r>
    </w:p>
    <w:p w14:paraId="5DDB6976" w14:textId="77777777" w:rsidR="009611DD" w:rsidRDefault="009611DD" w:rsidP="00E10F2B">
      <w:pPr>
        <w:contextualSpacing/>
      </w:pPr>
    </w:p>
    <w:p w14:paraId="4569B6B3" w14:textId="17F1C792" w:rsidR="009611DD" w:rsidRPr="00796AAD" w:rsidRDefault="009611DD" w:rsidP="00E10F2B">
      <w:pPr>
        <w:contextualSpacing/>
        <w:rPr>
          <w:rFonts w:ascii="Times New Roman" w:hAnsi="Times New Roman" w:cs="Times New Roman"/>
        </w:rPr>
      </w:pPr>
      <w:r w:rsidRPr="00796AAD">
        <w:t>6.6.</w:t>
      </w:r>
      <w:r w:rsidR="00E10F2B">
        <w:rPr>
          <w:rFonts w:ascii="Times New Roman" w:hAnsi="Times New Roman" w:cs="Times New Roman"/>
          <w:sz w:val="14"/>
          <w:szCs w:val="14"/>
        </w:rPr>
        <w:t xml:space="preserve"> </w:t>
      </w:r>
      <w:r w:rsidRPr="00796AAD">
        <w:t>Wash the resin twice with 10</w:t>
      </w:r>
      <w:r w:rsidR="00A94398">
        <w:t xml:space="preserve"> mL</w:t>
      </w:r>
      <w:r w:rsidRPr="00796AAD">
        <w:t xml:space="preserve"> of 1</w:t>
      </w:r>
      <w:r w:rsidR="00015DCB">
        <w:t>x</w:t>
      </w:r>
      <w:r w:rsidRPr="00796AAD">
        <w:t xml:space="preserve"> PBS to reduce non-specific binding. If desired, aliquot 50 µL of wash as the buffer drains thro</w:t>
      </w:r>
      <w:r w:rsidR="00847FB1">
        <w:t>u</w:t>
      </w:r>
      <w:r w:rsidR="00EE2DC8">
        <w:t>g</w:t>
      </w:r>
      <w:r w:rsidRPr="00796AAD">
        <w:t xml:space="preserve">h the column to verify that the target </w:t>
      </w:r>
      <w:r w:rsidR="006D1BFF">
        <w:t>Ab</w:t>
      </w:r>
      <w:r w:rsidRPr="00796AAD">
        <w:t xml:space="preserve"> is not eluted with a wash buffer. </w:t>
      </w:r>
    </w:p>
    <w:p w14:paraId="0392BAE9" w14:textId="77777777" w:rsidR="009611DD" w:rsidRDefault="009611DD" w:rsidP="00E10F2B">
      <w:pPr>
        <w:contextualSpacing/>
      </w:pPr>
    </w:p>
    <w:p w14:paraId="2F1933DE" w14:textId="4DBB5911" w:rsidR="009611DD" w:rsidRDefault="009611DD" w:rsidP="00E10F2B">
      <w:pPr>
        <w:contextualSpacing/>
      </w:pPr>
      <w:r w:rsidRPr="00796AAD">
        <w:t>6.7.</w:t>
      </w:r>
      <w:r w:rsidR="00E10F2B">
        <w:rPr>
          <w:rFonts w:ascii="Times New Roman" w:hAnsi="Times New Roman" w:cs="Times New Roman"/>
          <w:sz w:val="14"/>
          <w:szCs w:val="14"/>
        </w:rPr>
        <w:t xml:space="preserve"> </w:t>
      </w:r>
      <w:r w:rsidRPr="00796AAD">
        <w:t xml:space="preserve">Set up and label </w:t>
      </w:r>
      <w:r>
        <w:t>five</w:t>
      </w:r>
      <w:r w:rsidRPr="00796AAD">
        <w:t xml:space="preserve"> tubes with 125 µL of sterile 1 M Tris-HCl at pH 8</w:t>
      </w:r>
      <w:r w:rsidR="0066151E">
        <w:t xml:space="preserve">. This is to </w:t>
      </w:r>
      <w:r w:rsidRPr="00796AAD">
        <w:t>neutraliz</w:t>
      </w:r>
      <w:r w:rsidR="0066151E">
        <w:t>e</w:t>
      </w:r>
      <w:r w:rsidRPr="00796AAD">
        <w:t xml:space="preserve"> the </w:t>
      </w:r>
      <w:r w:rsidR="006D1BFF">
        <w:t>Abs</w:t>
      </w:r>
      <w:r w:rsidR="00AF609C">
        <w:t xml:space="preserve"> in </w:t>
      </w:r>
      <w:r w:rsidR="00AA2FA4">
        <w:t xml:space="preserve">the </w:t>
      </w:r>
      <w:r w:rsidR="00AF609C">
        <w:t>acid</w:t>
      </w:r>
      <w:r w:rsidR="00AC1698">
        <w:t xml:space="preserve">ic </w:t>
      </w:r>
      <w:r w:rsidR="00C21DD0">
        <w:t xml:space="preserve">elution </w:t>
      </w:r>
      <w:r w:rsidR="00AC1698">
        <w:t>buffer</w:t>
      </w:r>
      <w:r w:rsidR="00532C5F">
        <w:t xml:space="preserve"> </w:t>
      </w:r>
      <w:r w:rsidR="007E506F">
        <w:t xml:space="preserve">to avoid </w:t>
      </w:r>
      <w:r w:rsidR="009E78B6">
        <w:t>potential structural changes</w:t>
      </w:r>
      <w:r w:rsidRPr="00796AAD">
        <w:t xml:space="preserve">. Alternatively, add 30 µL of 2 M Tris base to get </w:t>
      </w:r>
      <w:r w:rsidR="00EF6C1C">
        <w:t xml:space="preserve">a </w:t>
      </w:r>
      <w:r w:rsidR="008E3670">
        <w:t>less diluted sampl</w:t>
      </w:r>
      <w:r w:rsidR="009A1CD1">
        <w:t>e</w:t>
      </w:r>
      <w:r w:rsidRPr="00796AAD">
        <w:t>. </w:t>
      </w:r>
    </w:p>
    <w:p w14:paraId="4E20314A" w14:textId="77777777" w:rsidR="005E018A" w:rsidRDefault="005E018A" w:rsidP="00E10F2B">
      <w:pPr>
        <w:contextualSpacing/>
      </w:pPr>
    </w:p>
    <w:p w14:paraId="31362E81" w14:textId="329C723F" w:rsidR="00BD0979" w:rsidRPr="006238C7" w:rsidRDefault="00015DCB" w:rsidP="00E10F2B">
      <w:pPr>
        <w:contextualSpacing/>
      </w:pPr>
      <w:r>
        <w:t>CAUTION</w:t>
      </w:r>
      <w:r w:rsidR="00BD0979">
        <w:t>: During elution</w:t>
      </w:r>
      <w:r w:rsidR="00557F35">
        <w:t>,</w:t>
      </w:r>
      <w:r w:rsidR="00BD0979">
        <w:t xml:space="preserve"> UV light may be used for visualization. This does not need to be done for the duration of the elution. If UV is being used</w:t>
      </w:r>
      <w:r w:rsidR="00557F35">
        <w:t>,</w:t>
      </w:r>
      <w:r w:rsidR="00BD0979">
        <w:t xml:space="preserve"> be sure to wear appropriate PPE to avoid damage to eyes and skin. A UV light does not need to be used during the elution step.</w:t>
      </w:r>
    </w:p>
    <w:p w14:paraId="74E7A077" w14:textId="77777777" w:rsidR="009611DD" w:rsidRDefault="009611DD" w:rsidP="00E10F2B">
      <w:pPr>
        <w:contextualSpacing/>
      </w:pPr>
    </w:p>
    <w:p w14:paraId="7503E6BE" w14:textId="0E6706F8" w:rsidR="009611DD" w:rsidRPr="00796AAD" w:rsidRDefault="009611DD" w:rsidP="00E10F2B">
      <w:pPr>
        <w:contextualSpacing/>
        <w:rPr>
          <w:rFonts w:ascii="Times New Roman" w:hAnsi="Times New Roman" w:cs="Times New Roman"/>
        </w:rPr>
      </w:pPr>
      <w:r w:rsidRPr="00796AAD">
        <w:lastRenderedPageBreak/>
        <w:t>6.8.</w:t>
      </w:r>
      <w:r w:rsidR="00E10F2B">
        <w:rPr>
          <w:rFonts w:ascii="Times New Roman" w:hAnsi="Times New Roman" w:cs="Times New Roman"/>
          <w:sz w:val="14"/>
          <w:szCs w:val="14"/>
        </w:rPr>
        <w:t xml:space="preserve"> </w:t>
      </w:r>
      <w:r w:rsidRPr="00796AAD">
        <w:t xml:space="preserve">Elute the </w:t>
      </w:r>
      <w:r w:rsidR="006D1BFF">
        <w:t>Abs</w:t>
      </w:r>
      <w:r w:rsidRPr="00796AAD">
        <w:t xml:space="preserve"> by applying 5</w:t>
      </w:r>
      <w:r w:rsidR="00A94398">
        <w:t xml:space="preserve"> mL</w:t>
      </w:r>
      <w:r w:rsidRPr="00796AAD">
        <w:t xml:space="preserve"> of elution buffer (100 mM glycine, pH 2.5 with HCl) to the column and collect 1</w:t>
      </w:r>
      <w:r w:rsidR="00A94398">
        <w:t xml:space="preserve"> mL</w:t>
      </w:r>
      <w:r w:rsidRPr="00796AAD">
        <w:t xml:space="preserve"> fractions to each designated tube from the previous step. </w:t>
      </w:r>
    </w:p>
    <w:p w14:paraId="31B80E6C" w14:textId="77777777" w:rsidR="009611DD" w:rsidRDefault="009611DD" w:rsidP="00E10F2B">
      <w:pPr>
        <w:contextualSpacing/>
      </w:pPr>
    </w:p>
    <w:p w14:paraId="7D0E0166" w14:textId="53BB2E01" w:rsidR="009611DD" w:rsidRPr="00796AAD" w:rsidRDefault="009611DD" w:rsidP="00E10F2B">
      <w:pPr>
        <w:contextualSpacing/>
        <w:rPr>
          <w:rFonts w:ascii="Times New Roman" w:hAnsi="Times New Roman" w:cs="Times New Roman"/>
        </w:rPr>
      </w:pPr>
      <w:r w:rsidRPr="00796AAD">
        <w:t>6.9.</w:t>
      </w:r>
      <w:r w:rsidR="00E10F2B">
        <w:rPr>
          <w:rFonts w:ascii="Times New Roman" w:hAnsi="Times New Roman" w:cs="Times New Roman"/>
          <w:sz w:val="14"/>
          <w:szCs w:val="14"/>
        </w:rPr>
        <w:t xml:space="preserve"> </w:t>
      </w:r>
      <w:r w:rsidRPr="00796AAD">
        <w:t>Immediately regenerate the column by applying 20</w:t>
      </w:r>
      <w:r w:rsidR="00A94398">
        <w:t xml:space="preserve"> mL</w:t>
      </w:r>
      <w:r>
        <w:t xml:space="preserve"> </w:t>
      </w:r>
      <w:r w:rsidR="00015DCB">
        <w:t xml:space="preserve">of </w:t>
      </w:r>
      <w:r>
        <w:t>wash buffer,</w:t>
      </w:r>
      <w:r w:rsidRPr="00796AAD">
        <w:t xml:space="preserve"> followed by 10</w:t>
      </w:r>
      <w:r w:rsidR="00A94398">
        <w:t xml:space="preserve"> mL</w:t>
      </w:r>
      <w:r w:rsidRPr="00796AAD">
        <w:t xml:space="preserve"> of wash buffer. Ensure that the resin is not left in an acidic environment for an extended time.</w:t>
      </w:r>
      <w:r w:rsidR="00702635">
        <w:t xml:space="preserve"> </w:t>
      </w:r>
      <w:r w:rsidR="00702635" w:rsidRPr="00702635">
        <w:t>Elutions should appear fluorescent, often the highest fluorescence is seen in the second el</w:t>
      </w:r>
      <w:r w:rsidR="00B432D5">
        <w:t>u</w:t>
      </w:r>
      <w:r w:rsidR="00702635" w:rsidRPr="00702635">
        <w:t>tion but can vary from extraction to extraction.</w:t>
      </w:r>
    </w:p>
    <w:p w14:paraId="1D58A0CA" w14:textId="77777777" w:rsidR="009611DD" w:rsidRDefault="009611DD" w:rsidP="00E10F2B">
      <w:pPr>
        <w:contextualSpacing/>
      </w:pPr>
    </w:p>
    <w:p w14:paraId="6C1D2D3D" w14:textId="1F4D2876" w:rsidR="009611DD" w:rsidRDefault="009611DD" w:rsidP="00E10F2B">
      <w:pPr>
        <w:contextualSpacing/>
      </w:pPr>
      <w:r w:rsidRPr="00796AAD">
        <w:t>6.10.</w:t>
      </w:r>
      <w:r w:rsidR="00E10F2B">
        <w:rPr>
          <w:rFonts w:ascii="Times New Roman" w:hAnsi="Times New Roman" w:cs="Times New Roman"/>
          <w:sz w:val="14"/>
          <w:szCs w:val="14"/>
        </w:rPr>
        <w:t xml:space="preserve"> </w:t>
      </w:r>
      <w:r w:rsidRPr="00796AAD">
        <w:t>For storage, wash the resin with 10</w:t>
      </w:r>
      <w:r w:rsidR="00A94398">
        <w:t xml:space="preserve"> mL</w:t>
      </w:r>
      <w:r w:rsidRPr="00796AAD">
        <w:t xml:space="preserve"> of 20% ethanol in PBS and let it drain halfway. Recap the top</w:t>
      </w:r>
      <w:r>
        <w:t>,</w:t>
      </w:r>
      <w:r w:rsidRPr="00796AAD">
        <w:t xml:space="preserve"> then the bottom of the column</w:t>
      </w:r>
      <w:r>
        <w:t>,</w:t>
      </w:r>
      <w:r w:rsidRPr="00796AAD">
        <w:t xml:space="preserve"> and keep upright at 4</w:t>
      </w:r>
      <w:r w:rsidR="00A94398">
        <w:t xml:space="preserve"> </w:t>
      </w:r>
      <w:r w:rsidRPr="00796AAD">
        <w:t>°C. </w:t>
      </w:r>
    </w:p>
    <w:p w14:paraId="365D5E6B" w14:textId="77777777" w:rsidR="009611DD" w:rsidRDefault="009611DD" w:rsidP="00E10F2B">
      <w:pPr>
        <w:contextualSpacing/>
      </w:pPr>
    </w:p>
    <w:p w14:paraId="36FC0005" w14:textId="2B218F35" w:rsidR="009611DD" w:rsidRPr="00796AAD" w:rsidRDefault="00015DCB" w:rsidP="00E10F2B">
      <w:pPr>
        <w:contextualSpacing/>
        <w:rPr>
          <w:rFonts w:ascii="Times New Roman" w:hAnsi="Times New Roman" w:cs="Times New Roman"/>
        </w:rPr>
      </w:pPr>
      <w:r w:rsidRPr="00015DCB">
        <w:t>NOTE:</w:t>
      </w:r>
      <w:r w:rsidR="009611DD" w:rsidRPr="00796AAD">
        <w:t xml:space="preserve"> Generally, protein G resins can be reused up to 10 times without significant loss of efficiency. Refer to </w:t>
      </w:r>
      <w:r w:rsidR="009611DD">
        <w:t xml:space="preserve">the </w:t>
      </w:r>
      <w:r w:rsidR="009611DD" w:rsidRPr="00796AAD">
        <w:t>manufacturer</w:t>
      </w:r>
      <w:r w:rsidR="00F6433E">
        <w:t>'</w:t>
      </w:r>
      <w:r w:rsidR="009611DD" w:rsidRPr="00796AAD">
        <w:t>s guidelines for specific details.</w:t>
      </w:r>
    </w:p>
    <w:p w14:paraId="7C998ECA" w14:textId="77777777" w:rsidR="009611DD" w:rsidRDefault="009611DD" w:rsidP="00E10F2B">
      <w:pPr>
        <w:contextualSpacing/>
      </w:pPr>
    </w:p>
    <w:p w14:paraId="2A07C675" w14:textId="7B072A74" w:rsidR="009611DD" w:rsidRPr="00796AAD" w:rsidRDefault="009611DD" w:rsidP="00E10F2B">
      <w:pPr>
        <w:contextualSpacing/>
        <w:rPr>
          <w:rFonts w:ascii="Times New Roman" w:hAnsi="Times New Roman" w:cs="Times New Roman"/>
        </w:rPr>
      </w:pPr>
      <w:r w:rsidRPr="00796AAD">
        <w:t>6.11.</w:t>
      </w:r>
      <w:r w:rsidRPr="00796AAD">
        <w:rPr>
          <w:rFonts w:ascii="Times New Roman" w:hAnsi="Times New Roman" w:cs="Times New Roman"/>
          <w:sz w:val="14"/>
          <w:szCs w:val="14"/>
        </w:rPr>
        <w:t xml:space="preserve"> </w:t>
      </w:r>
      <w:r w:rsidRPr="00796AAD">
        <w:t xml:space="preserve">Determine </w:t>
      </w:r>
      <w:r w:rsidR="006D1BFF">
        <w:t>Ab</w:t>
      </w:r>
      <w:r w:rsidRPr="00796AAD">
        <w:t xml:space="preserve"> concentration using a spectrophotometer by measuring absorbance at 280 nm</w:t>
      </w:r>
      <w:r>
        <w:t xml:space="preserve">, using </w:t>
      </w:r>
      <w:r w:rsidR="009B077B">
        <w:t>the</w:t>
      </w:r>
      <w:r w:rsidR="00565332">
        <w:t xml:space="preserve"> elution buffer</w:t>
      </w:r>
      <w:r>
        <w:t xml:space="preserve"> as </w:t>
      </w:r>
      <w:r w:rsidR="00440338">
        <w:t xml:space="preserve">a </w:t>
      </w:r>
      <w:r>
        <w:t>blank.</w:t>
      </w:r>
      <w:r w:rsidRPr="00796AAD">
        <w:t xml:space="preserve"> Store the eluates in -80</w:t>
      </w:r>
      <w:r w:rsidR="00A94398">
        <w:t xml:space="preserve"> </w:t>
      </w:r>
      <w:r w:rsidRPr="00796AAD">
        <w:t>°C and aliquot 50 µL of each fraction to a separate tube for further analysis. </w:t>
      </w:r>
    </w:p>
    <w:p w14:paraId="07553FB6" w14:textId="77777777" w:rsidR="009611DD" w:rsidRPr="00796AAD" w:rsidRDefault="009611DD" w:rsidP="00E10F2B">
      <w:pPr>
        <w:contextualSpacing/>
        <w:rPr>
          <w:rFonts w:ascii="Times New Roman" w:hAnsi="Times New Roman" w:cs="Times New Roman"/>
        </w:rPr>
      </w:pPr>
    </w:p>
    <w:p w14:paraId="6C79EE59" w14:textId="620B4C2A" w:rsidR="009611DD" w:rsidRPr="00796AAD" w:rsidRDefault="009611DD" w:rsidP="00E10F2B">
      <w:pPr>
        <w:contextualSpacing/>
        <w:rPr>
          <w:rFonts w:ascii="Times New Roman" w:hAnsi="Times New Roman" w:cs="Times New Roman"/>
        </w:rPr>
      </w:pPr>
      <w:r w:rsidRPr="00796AAD">
        <w:rPr>
          <w:b/>
          <w:bCs/>
        </w:rPr>
        <w:t>7.</w:t>
      </w:r>
      <w:r w:rsidR="00E10F2B">
        <w:rPr>
          <w:rFonts w:ascii="Times New Roman" w:hAnsi="Times New Roman" w:cs="Times New Roman"/>
          <w:sz w:val="14"/>
          <w:szCs w:val="14"/>
        </w:rPr>
        <w:t xml:space="preserve"> </w:t>
      </w:r>
      <w:r w:rsidRPr="00796AAD">
        <w:rPr>
          <w:b/>
          <w:bCs/>
        </w:rPr>
        <w:t>SDS-PAGE for GFP-Ig fusion detection</w:t>
      </w:r>
    </w:p>
    <w:p w14:paraId="1CB9C63E" w14:textId="77777777" w:rsidR="009611DD" w:rsidRDefault="009611DD" w:rsidP="00E10F2B">
      <w:pPr>
        <w:contextualSpacing/>
      </w:pPr>
    </w:p>
    <w:p w14:paraId="640EED97" w14:textId="77777777" w:rsidR="00A94398" w:rsidRDefault="009611DD" w:rsidP="00E10F2B">
      <w:pPr>
        <w:contextualSpacing/>
      </w:pPr>
      <w:r w:rsidRPr="00796AAD">
        <w:t>7.1.</w:t>
      </w:r>
      <w:r w:rsidR="00E10F2B">
        <w:rPr>
          <w:rFonts w:ascii="Times New Roman" w:hAnsi="Times New Roman" w:cs="Times New Roman"/>
          <w:sz w:val="14"/>
          <w:szCs w:val="14"/>
        </w:rPr>
        <w:t xml:space="preserve"> </w:t>
      </w:r>
      <w:r w:rsidRPr="00796AAD">
        <w:t xml:space="preserve">Prepare all samples </w:t>
      </w:r>
      <w:r>
        <w:t>before</w:t>
      </w:r>
      <w:r w:rsidRPr="00796AAD">
        <w:t xml:space="preserve"> setting up the </w:t>
      </w:r>
      <w:r w:rsidR="007E4812">
        <w:t>SDS</w:t>
      </w:r>
      <w:r w:rsidR="005C62C3">
        <w:t>-PAGE</w:t>
      </w:r>
      <w:r w:rsidRPr="00796AAD">
        <w:t xml:space="preserve">. </w:t>
      </w:r>
    </w:p>
    <w:p w14:paraId="5816ECEB" w14:textId="77777777" w:rsidR="00A94398" w:rsidRDefault="00A94398" w:rsidP="00E10F2B">
      <w:pPr>
        <w:contextualSpacing/>
      </w:pPr>
    </w:p>
    <w:p w14:paraId="0D17D7C2" w14:textId="77777777" w:rsidR="00A94398" w:rsidRDefault="00A94398" w:rsidP="00E10F2B">
      <w:pPr>
        <w:contextualSpacing/>
      </w:pPr>
      <w:r>
        <w:t xml:space="preserve">7.1.1. </w:t>
      </w:r>
      <w:r w:rsidR="009611DD" w:rsidRPr="00796AAD">
        <w:t xml:space="preserve">Add 4 µL of sample buffer </w:t>
      </w:r>
      <w:r w:rsidR="009611DD" w:rsidRPr="006407E2">
        <w:t>(</w:t>
      </w:r>
      <w:r w:rsidR="00A9451D">
        <w:t>6</w:t>
      </w:r>
      <w:r>
        <w:t>x</w:t>
      </w:r>
      <w:r w:rsidR="00A9451D">
        <w:t xml:space="preserve"> </w:t>
      </w:r>
      <w:r w:rsidR="003565D6">
        <w:t>reducing</w:t>
      </w:r>
      <w:r w:rsidR="0082567E">
        <w:t xml:space="preserve"> sample buffer</w:t>
      </w:r>
      <w:r w:rsidR="003565D6">
        <w:t xml:space="preserve">: </w:t>
      </w:r>
      <w:r w:rsidR="009611DD" w:rsidRPr="006407E2">
        <w:t>3.0</w:t>
      </w:r>
      <w:r>
        <w:t xml:space="preserve"> mL</w:t>
      </w:r>
      <w:r w:rsidR="009611DD" w:rsidRPr="006407E2">
        <w:t xml:space="preserve"> </w:t>
      </w:r>
      <w:r>
        <w:t xml:space="preserve">of </w:t>
      </w:r>
      <w:r w:rsidR="009611DD" w:rsidRPr="006407E2">
        <w:t xml:space="preserve">glycerol, 0.93 g </w:t>
      </w:r>
      <w:r>
        <w:t xml:space="preserve">of </w:t>
      </w:r>
      <w:r w:rsidR="009611DD" w:rsidRPr="006407E2">
        <w:t xml:space="preserve">DTT, 1 g </w:t>
      </w:r>
      <w:r>
        <w:t xml:space="preserve">of </w:t>
      </w:r>
      <w:r w:rsidR="009611DD" w:rsidRPr="006407E2">
        <w:t>SDS, 7</w:t>
      </w:r>
      <w:r>
        <w:t xml:space="preserve"> mL</w:t>
      </w:r>
      <w:r w:rsidR="009611DD" w:rsidRPr="006407E2">
        <w:t xml:space="preserve"> </w:t>
      </w:r>
      <w:r>
        <w:t xml:space="preserve">of </w:t>
      </w:r>
      <w:r w:rsidR="4D31C501">
        <w:t>4</w:t>
      </w:r>
      <w:r>
        <w:t>x</w:t>
      </w:r>
      <w:r w:rsidR="009611DD" w:rsidRPr="006407E2">
        <w:t xml:space="preserve"> </w:t>
      </w:r>
      <w:r>
        <w:t>T</w:t>
      </w:r>
      <w:r w:rsidR="009611DD" w:rsidRPr="006407E2">
        <w:t>ris (pH 6.8</w:t>
      </w:r>
      <w:r w:rsidR="008B136A">
        <w:t>)</w:t>
      </w:r>
      <w:r w:rsidR="009611DD" w:rsidRPr="006407E2">
        <w:t xml:space="preserve"> 0.5 M, 1.2 mg </w:t>
      </w:r>
      <w:r>
        <w:t xml:space="preserve">of </w:t>
      </w:r>
      <w:r w:rsidR="009611DD" w:rsidRPr="006407E2">
        <w:t>bromophenol blue</w:t>
      </w:r>
      <w:r w:rsidR="0082567E">
        <w:t>)</w:t>
      </w:r>
      <w:r w:rsidR="0099160F">
        <w:t>;</w:t>
      </w:r>
      <w:r w:rsidR="00F63032">
        <w:t xml:space="preserve"> (</w:t>
      </w:r>
      <w:r w:rsidR="00A9451D">
        <w:t>6</w:t>
      </w:r>
      <w:r>
        <w:t xml:space="preserve">x </w:t>
      </w:r>
      <w:r w:rsidR="0099160F">
        <w:t>non-reducing sample buffer</w:t>
      </w:r>
      <w:r w:rsidR="0082567E">
        <w:t xml:space="preserve">: </w:t>
      </w:r>
      <w:r w:rsidR="00DE250D" w:rsidRPr="00DE250D">
        <w:t>3.0</w:t>
      </w:r>
      <w:r>
        <w:t xml:space="preserve"> mL</w:t>
      </w:r>
      <w:r w:rsidR="00DE250D" w:rsidRPr="00DE250D">
        <w:t xml:space="preserve"> </w:t>
      </w:r>
      <w:r>
        <w:t xml:space="preserve">of </w:t>
      </w:r>
      <w:r w:rsidR="00DE250D" w:rsidRPr="00DE250D">
        <w:t xml:space="preserve">glycerol, 1 g </w:t>
      </w:r>
      <w:r>
        <w:t xml:space="preserve">of </w:t>
      </w:r>
      <w:r w:rsidR="00DE250D" w:rsidRPr="00DE250D">
        <w:t>SDS, 7</w:t>
      </w:r>
      <w:r>
        <w:t xml:space="preserve"> mL</w:t>
      </w:r>
      <w:r w:rsidR="00DE250D" w:rsidRPr="00DE250D">
        <w:t xml:space="preserve"> </w:t>
      </w:r>
      <w:r>
        <w:t xml:space="preserve">of </w:t>
      </w:r>
      <w:r w:rsidR="4D31C501">
        <w:t>4</w:t>
      </w:r>
      <w:r>
        <w:t>x T</w:t>
      </w:r>
      <w:r w:rsidR="00DE250D" w:rsidRPr="00DE250D">
        <w:t xml:space="preserve">ris (pH 6.8) 0.5 M, 1.2 mg </w:t>
      </w:r>
      <w:r>
        <w:t xml:space="preserve">of </w:t>
      </w:r>
      <w:r w:rsidR="00DE250D" w:rsidRPr="00DE250D">
        <w:t>bromophenol blue</w:t>
      </w:r>
      <w:r w:rsidR="0099160F" w:rsidRPr="006407E2">
        <w:t>)</w:t>
      </w:r>
      <w:r w:rsidR="009611DD">
        <w:t xml:space="preserve"> </w:t>
      </w:r>
      <w:r w:rsidR="009611DD" w:rsidRPr="00796AAD">
        <w:t xml:space="preserve">to 20 µL of each sample </w:t>
      </w:r>
      <w:r w:rsidR="00CF4D6A">
        <w:t xml:space="preserve">(total extract, soluble extract, </w:t>
      </w:r>
      <w:r w:rsidR="00404F8C">
        <w:t>flowthro</w:t>
      </w:r>
      <w:r w:rsidR="001764A4">
        <w:t>u</w:t>
      </w:r>
      <w:r w:rsidR="00EE2DC8">
        <w:t>g</w:t>
      </w:r>
      <w:r w:rsidR="00404F8C">
        <w:t>h, wash</w:t>
      </w:r>
      <w:r w:rsidR="006C7413">
        <w:t xml:space="preserve">, all elution fractions) </w:t>
      </w:r>
      <w:r w:rsidR="009611DD" w:rsidRPr="00796AAD">
        <w:t xml:space="preserve">for analysis. </w:t>
      </w:r>
      <w:r w:rsidR="009611DD">
        <w:t>Ensure that tube caps are securely fastened</w:t>
      </w:r>
      <w:r w:rsidR="00BF36FE">
        <w:t xml:space="preserve">. </w:t>
      </w:r>
    </w:p>
    <w:p w14:paraId="191552B1" w14:textId="77777777" w:rsidR="00A94398" w:rsidRDefault="00A94398" w:rsidP="00E10F2B">
      <w:pPr>
        <w:contextualSpacing/>
      </w:pPr>
    </w:p>
    <w:p w14:paraId="27D66A7F" w14:textId="2F05F7EF" w:rsidR="009611DD" w:rsidRDefault="00A94398" w:rsidP="00E10F2B">
      <w:pPr>
        <w:contextualSpacing/>
      </w:pPr>
      <w:r>
        <w:t xml:space="preserve">7.1.2. </w:t>
      </w:r>
      <w:r w:rsidR="009F0374">
        <w:t xml:space="preserve">Treat only reducing samples </w:t>
      </w:r>
      <w:r w:rsidR="009611DD" w:rsidRPr="00796AAD">
        <w:t xml:space="preserve">for 5 </w:t>
      </w:r>
      <w:r w:rsidR="009611DD">
        <w:t>m</w:t>
      </w:r>
      <w:r w:rsidR="009611DD" w:rsidRPr="00796AAD">
        <w:t>in</w:t>
      </w:r>
      <w:r w:rsidR="009611DD">
        <w:t xml:space="preserve"> in a boiling water bat</w:t>
      </w:r>
      <w:r w:rsidR="007A3A44">
        <w:t>h</w:t>
      </w:r>
      <w:r w:rsidR="009611DD">
        <w:t xml:space="preserve">, </w:t>
      </w:r>
      <w:r>
        <w:t xml:space="preserve">and </w:t>
      </w:r>
      <w:r w:rsidR="009611DD">
        <w:t xml:space="preserve">then </w:t>
      </w:r>
      <w:r w:rsidR="00E25EB3">
        <w:t xml:space="preserve">put samples for </w:t>
      </w:r>
      <w:r w:rsidR="009611DD">
        <w:t xml:space="preserve">5 min on </w:t>
      </w:r>
      <w:r w:rsidR="009611DD" w:rsidRPr="00796AAD">
        <w:t xml:space="preserve">ice. </w:t>
      </w:r>
      <w:r w:rsidR="009611DD">
        <w:t>Spin</w:t>
      </w:r>
      <w:r w:rsidR="00E25EB3">
        <w:t xml:space="preserve"> samples</w:t>
      </w:r>
      <w:r w:rsidR="009611DD" w:rsidRPr="00796AAD">
        <w:t xml:space="preserve"> in a microcentrif</w:t>
      </w:r>
      <w:r w:rsidR="001764A4">
        <w:t>u</w:t>
      </w:r>
      <w:r w:rsidR="00EE2DC8">
        <w:t>g</w:t>
      </w:r>
      <w:r w:rsidR="009611DD" w:rsidRPr="00796AAD">
        <w:t xml:space="preserve">e for ~5 </w:t>
      </w:r>
      <w:r>
        <w:t>s</w:t>
      </w:r>
      <w:r w:rsidR="009611DD" w:rsidRPr="00796AAD">
        <w:t xml:space="preserve"> and load 20 µL of each sample in the order of collection into the gel wells. Load 3 µL of dual</w:t>
      </w:r>
      <w:r w:rsidR="009611DD">
        <w:t>-</w:t>
      </w:r>
      <w:r w:rsidR="009611DD" w:rsidRPr="00796AAD">
        <w:t>color protein ladder</w:t>
      </w:r>
      <w:r w:rsidR="009611DD" w:rsidRPr="00D52669">
        <w:t xml:space="preserve"> </w:t>
      </w:r>
      <w:r w:rsidR="006240A4">
        <w:t>i</w:t>
      </w:r>
      <w:r w:rsidR="009611DD">
        <w:t>n a separate well</w:t>
      </w:r>
      <w:r w:rsidR="009611DD" w:rsidRPr="00796AAD">
        <w:t>.</w:t>
      </w:r>
    </w:p>
    <w:p w14:paraId="67C05B22" w14:textId="77777777" w:rsidR="009611DD" w:rsidRPr="00D52669" w:rsidRDefault="009611DD" w:rsidP="00E10F2B">
      <w:pPr>
        <w:contextualSpacing/>
      </w:pPr>
    </w:p>
    <w:p w14:paraId="59750EC0" w14:textId="232FC1CD" w:rsidR="009611DD" w:rsidRPr="00796AAD" w:rsidRDefault="009611DD" w:rsidP="00E10F2B">
      <w:pPr>
        <w:contextualSpacing/>
        <w:rPr>
          <w:rFonts w:ascii="Times New Roman" w:hAnsi="Times New Roman" w:cs="Times New Roman"/>
        </w:rPr>
      </w:pPr>
      <w:r w:rsidRPr="00796AAD">
        <w:t>7.2.</w:t>
      </w:r>
      <w:r w:rsidR="00E10F2B">
        <w:rPr>
          <w:rFonts w:ascii="Times New Roman" w:hAnsi="Times New Roman" w:cs="Times New Roman"/>
          <w:sz w:val="14"/>
          <w:szCs w:val="14"/>
        </w:rPr>
        <w:t xml:space="preserve"> </w:t>
      </w:r>
      <w:r w:rsidRPr="00796AAD">
        <w:t>Run the</w:t>
      </w:r>
      <w:r w:rsidR="4D31C501">
        <w:t xml:space="preserve"> SDS-PAGE</w:t>
      </w:r>
      <w:r w:rsidRPr="00796AAD">
        <w:t xml:space="preserve"> gel at </w:t>
      </w:r>
      <w:r w:rsidR="00954532">
        <w:t xml:space="preserve">a </w:t>
      </w:r>
      <w:r w:rsidRPr="00796AAD">
        <w:t>constant 100 V to desired protein band separation</w:t>
      </w:r>
      <w:r w:rsidR="00C71176">
        <w:t>;</w:t>
      </w:r>
      <w:r w:rsidR="00C455BF">
        <w:t xml:space="preserve"> </w:t>
      </w:r>
      <w:r w:rsidR="00EA1E92">
        <w:t>it takes about 1.5 h</w:t>
      </w:r>
      <w:r w:rsidR="00FF1ACE">
        <w:t>our</w:t>
      </w:r>
      <w:r w:rsidR="00EA1E92">
        <w:t>s</w:t>
      </w:r>
      <w:r w:rsidRPr="00796AAD">
        <w:t xml:space="preserve">. Monitor the ladder as an indicator </w:t>
      </w:r>
      <w:r>
        <w:t>of</w:t>
      </w:r>
      <w:r w:rsidRPr="00796AAD">
        <w:t xml:space="preserve"> protein separation.</w:t>
      </w:r>
    </w:p>
    <w:p w14:paraId="7AC3CF10" w14:textId="77777777" w:rsidR="009611DD" w:rsidRDefault="009611DD" w:rsidP="00E10F2B">
      <w:pPr>
        <w:contextualSpacing/>
      </w:pPr>
    </w:p>
    <w:p w14:paraId="44EB878E" w14:textId="51806E26" w:rsidR="009611DD" w:rsidRPr="00796AAD" w:rsidRDefault="009611DD" w:rsidP="00E10F2B">
      <w:pPr>
        <w:contextualSpacing/>
        <w:rPr>
          <w:rFonts w:ascii="Times New Roman" w:hAnsi="Times New Roman" w:cs="Times New Roman"/>
        </w:rPr>
      </w:pPr>
      <w:r w:rsidRPr="00796AAD">
        <w:t>7.3.</w:t>
      </w:r>
      <w:r w:rsidR="00E10F2B">
        <w:rPr>
          <w:rFonts w:ascii="Times New Roman" w:hAnsi="Times New Roman" w:cs="Times New Roman"/>
          <w:sz w:val="14"/>
          <w:szCs w:val="14"/>
        </w:rPr>
        <w:t xml:space="preserve"> </w:t>
      </w:r>
      <w:r w:rsidRPr="00796AAD">
        <w:t xml:space="preserve">Visualize the gel under the </w:t>
      </w:r>
      <w:r>
        <w:t>UV</w:t>
      </w:r>
      <w:r w:rsidRPr="00796AAD">
        <w:t xml:space="preserve"> to observe GFP fluorescence.</w:t>
      </w:r>
    </w:p>
    <w:p w14:paraId="1ABC3E69" w14:textId="77777777" w:rsidR="009611DD" w:rsidRDefault="009611DD" w:rsidP="00E10F2B">
      <w:pPr>
        <w:contextualSpacing/>
      </w:pPr>
    </w:p>
    <w:p w14:paraId="42B3043B" w14:textId="1450D471" w:rsidR="009611DD" w:rsidRDefault="009611DD" w:rsidP="00E10F2B">
      <w:pPr>
        <w:contextualSpacing/>
        <w:rPr>
          <w:rFonts w:ascii="Times New Roman" w:hAnsi="Times New Roman" w:cs="Times New Roman"/>
        </w:rPr>
      </w:pPr>
      <w:r w:rsidRPr="00796AAD">
        <w:t>7.4.</w:t>
      </w:r>
      <w:r w:rsidR="00E10F2B">
        <w:rPr>
          <w:rFonts w:ascii="Times New Roman" w:hAnsi="Times New Roman" w:cs="Times New Roman"/>
          <w:sz w:val="14"/>
          <w:szCs w:val="14"/>
        </w:rPr>
        <w:t xml:space="preserve"> </w:t>
      </w:r>
      <w:r w:rsidRPr="00796AAD">
        <w:t xml:space="preserve">If desired, stain the gel with Coomassie stain to assess total protein in each sample. Alternatively, perform western blot to </w:t>
      </w:r>
      <w:r>
        <w:t>evaluate</w:t>
      </w:r>
      <w:r w:rsidRPr="00796AAD">
        <w:t xml:space="preserve"> target protein using specific </w:t>
      </w:r>
      <w:r w:rsidR="006D1BFF">
        <w:t>Abs</w:t>
      </w:r>
      <w:r w:rsidRPr="00796AAD">
        <w:t>. </w:t>
      </w:r>
    </w:p>
    <w:p w14:paraId="01620C49" w14:textId="77777777" w:rsidR="00A94398" w:rsidRDefault="00A94398" w:rsidP="00E10F2B">
      <w:pPr>
        <w:contextualSpacing/>
      </w:pPr>
    </w:p>
    <w:p w14:paraId="68B62D36" w14:textId="1CD1AA77" w:rsidR="009611DD" w:rsidRPr="000A0EF5" w:rsidRDefault="00015DCB" w:rsidP="00E10F2B">
      <w:pPr>
        <w:contextualSpacing/>
        <w:rPr>
          <w:rFonts w:ascii="Times New Roman" w:hAnsi="Times New Roman" w:cs="Times New Roman"/>
          <w:color w:val="auto"/>
        </w:rPr>
      </w:pPr>
      <w:r w:rsidRPr="00015DCB">
        <w:t>NOTE:</w:t>
      </w:r>
      <w:r w:rsidR="009611DD" w:rsidRPr="00796AAD">
        <w:t xml:space="preserve"> Both Coomassie staining and </w:t>
      </w:r>
      <w:r w:rsidR="00780C82">
        <w:t>w</w:t>
      </w:r>
      <w:r w:rsidR="009611DD" w:rsidRPr="00796AAD">
        <w:t>estern blot can be performed by following standard protocols</w:t>
      </w:r>
      <w:r w:rsidR="009611DD">
        <w:fldChar w:fldCharType="begin" w:fldLock="1"/>
      </w:r>
      <w:r w:rsidR="009E7237">
        <w:instrText>ADDIN CSL_CITATION {"citationItems":[{"id":"ITEM-1","itemData":{"DOI":"10.1016/B978-0-12-420119-4.00013-6","ISBN":"9780124201194","ISSN":"15577988","abstract":"This protocol describes Coomassie brilliant blue staining, one of the most common methods of detecting proteins in polyacrylamide gels (PAGE). © 2014 Elsevier Inc.","author":[{"dropping-particle":"","family":"Brunelle","given":"Julie L.","non-dropping-particle":"","parse-names":false,"suffix":""},{"dropping-particle":"","family":"Green","given":"Rachel","non-dropping-particle":"","parse-names":false,"suffix":""}],"container-title":"Methods in Enzymology","id":"ITEM-1","issued":{"date-parts":[["2014","1","1"]]},"page":"161-167","publisher":"Academic Press Inc.","title":"Coomassie blue staining","type":"chapter","volume":"541"},"uris":["http://www.mendeley.com/documents/?uuid=03da1c71-dff1-33a7-9876-1f33ab5f5de3"]},{"id":"ITEM-2","itemData":{"DOI":"10.4103/1947-2714.100998","ISSN":"22501541","PMID":"23050259","abstract":"Western blotting is an important technique used in cell and molecular biology. By using a western blot, researchers are able to identify specific proteins from a complex mixture of proteins extracted from cells. The technique uses three elements to accomplish this task: (1) separation by size, (2) transfer to a solid support, and (3) marking target protein using a proper primary and secondary antibody to visualize. This paper will attempt to explain the technique and theory behind western blot, and offer some ways to troubleshoot.","author":[{"dropping-particle":"","family":"Mahmood","given":"Tahrin","non-dropping-particle":"","parse-names":false,"suffix":""},{"dropping-particle":"","family":"Yang","given":"Ping Chang","non-dropping-particle":"","parse-names":false,"suffix":""}],"container-title":"North American Journal of Medical Sciences","id":"ITEM-2","issue":"9","issued":{"date-parts":[["2012","9"]]},"page":"429-434","publisher":"Wolters Kluwer -- Medknow Publications","title":"Western blot: Technique, theory, and trouble shooting","type":"article-journal","volume":"4"},"uris":["http://www.mendeley.com/documents/?uuid=f77a6521-af6e-3a45-92e3-c142c25a8b76"]}],"mendeley":{"formattedCitation":"&lt;sup&gt;47, 48&lt;/sup&gt;","plainTextFormattedCitation":"47, 48","previouslyFormattedCitation":"&lt;sup&gt;47, 48&lt;/sup&gt;"},"properties":{"noteIndex":0},"schema":"https://github.com/citation-style-language/schema/raw/master/csl-citation.json"}</w:instrText>
      </w:r>
      <w:r w:rsidR="009611DD">
        <w:fldChar w:fldCharType="separate"/>
      </w:r>
      <w:r w:rsidR="0009107D" w:rsidRPr="0009107D">
        <w:rPr>
          <w:noProof/>
          <w:vertAlign w:val="superscript"/>
        </w:rPr>
        <w:t>47,48</w:t>
      </w:r>
      <w:r w:rsidR="009611DD">
        <w:fldChar w:fldCharType="end"/>
      </w:r>
      <w:r w:rsidR="009611DD" w:rsidRPr="00796AAD">
        <w:t>.</w:t>
      </w:r>
    </w:p>
    <w:p w14:paraId="2FF17265" w14:textId="77777777" w:rsidR="009611DD" w:rsidRDefault="009611DD" w:rsidP="00E10F2B">
      <w:pPr>
        <w:contextualSpacing/>
        <w:rPr>
          <w:b/>
          <w:bCs/>
        </w:rPr>
      </w:pPr>
    </w:p>
    <w:p w14:paraId="0D25DB77" w14:textId="44A11B1F" w:rsidR="009611DD" w:rsidRPr="00796AAD" w:rsidRDefault="009611DD" w:rsidP="00E10F2B">
      <w:pPr>
        <w:contextualSpacing/>
        <w:rPr>
          <w:rFonts w:ascii="Times New Roman" w:hAnsi="Times New Roman" w:cs="Times New Roman"/>
        </w:rPr>
      </w:pPr>
      <w:r w:rsidRPr="00796AAD">
        <w:rPr>
          <w:b/>
          <w:bCs/>
        </w:rPr>
        <w:t>Representative Results:</w:t>
      </w:r>
    </w:p>
    <w:p w14:paraId="006113F7" w14:textId="2AB8D342" w:rsidR="009611DD" w:rsidRPr="0006722F" w:rsidRDefault="017CCAD0" w:rsidP="00E10F2B">
      <w:pPr>
        <w:contextualSpacing/>
        <w:rPr>
          <w:b/>
          <w:bCs/>
        </w:rPr>
      </w:pPr>
      <w:r>
        <w:lastRenderedPageBreak/>
        <w:t xml:space="preserve">This study demonstrates an easy and fast method </w:t>
      </w:r>
      <w:r w:rsidR="00641391">
        <w:t>to produce recombinant</w:t>
      </w:r>
      <w:r>
        <w:t xml:space="preserve"> proteins and </w:t>
      </w:r>
      <w:r w:rsidR="00641391">
        <w:t>visualize them</w:t>
      </w:r>
      <w:r>
        <w:t xml:space="preserve"> throughout downstream process</w:t>
      </w:r>
      <w:r w:rsidR="00641391">
        <w:t>es</w:t>
      </w:r>
      <w:r>
        <w:t xml:space="preserve">. Using </w:t>
      </w:r>
      <w:r w:rsidRPr="017CCAD0">
        <w:rPr>
          <w:i/>
          <w:iCs/>
        </w:rPr>
        <w:t>N. benthamiana</w:t>
      </w:r>
      <w:r>
        <w:t xml:space="preserve"> and following the provided protocol, recombinant protein production described here can be achieved in less than a week. The overall workflow of plant expression, extraction, and purification is shown in</w:t>
      </w:r>
      <w:r w:rsidRPr="017CCAD0">
        <w:rPr>
          <w:b/>
          <w:bCs/>
        </w:rPr>
        <w:t xml:space="preserve"> Figure 1</w:t>
      </w:r>
      <w:r>
        <w:t xml:space="preserve">. </w:t>
      </w:r>
      <w:r w:rsidR="6A645788">
        <w:t>The</w:t>
      </w:r>
      <w:r>
        <w:t xml:space="preserve"> stages of plant growth</w:t>
      </w:r>
      <w:r w:rsidR="6A645788">
        <w:t xml:space="preserve"> from 2-week old seedlings, 4-week old plants</w:t>
      </w:r>
      <w:r w:rsidR="00CA27A0">
        <w:t>,</w:t>
      </w:r>
      <w:r w:rsidR="6A645788">
        <w:t xml:space="preserve"> and 6-week old plants are displayed in </w:t>
      </w:r>
      <w:r w:rsidR="6A645788" w:rsidRPr="6A645788">
        <w:rPr>
          <w:b/>
          <w:bCs/>
        </w:rPr>
        <w:t>Figure 1A (1-3)</w:t>
      </w:r>
      <w:r w:rsidR="00CA27A0">
        <w:rPr>
          <w:b/>
          <w:bCs/>
        </w:rPr>
        <w:t>,</w:t>
      </w:r>
      <w:r w:rsidR="6A645788">
        <w:t xml:space="preserve"> respectively</w:t>
      </w:r>
      <w:r>
        <w:t xml:space="preserve">, while </w:t>
      </w:r>
      <w:r w:rsidRPr="6A645788">
        <w:rPr>
          <w:b/>
        </w:rPr>
        <w:t>Figure 1B</w:t>
      </w:r>
      <w:r>
        <w:t xml:space="preserve"> depicts leaf morphological change</w:t>
      </w:r>
      <w:r w:rsidR="0015001B">
        <w:t>s</w:t>
      </w:r>
      <w:r>
        <w:t xml:space="preserve"> due to necrosis </w:t>
      </w:r>
      <w:r w:rsidRPr="017CCAD0">
        <w:rPr>
          <w:b/>
          <w:bCs/>
        </w:rPr>
        <w:t>(</w:t>
      </w:r>
      <w:r w:rsidR="56041488" w:rsidRPr="56041488">
        <w:rPr>
          <w:b/>
          <w:bCs/>
        </w:rPr>
        <w:t xml:space="preserve">Figure </w:t>
      </w:r>
      <w:r w:rsidRPr="017CCAD0">
        <w:rPr>
          <w:b/>
          <w:bCs/>
        </w:rPr>
        <w:t>1B-1)</w:t>
      </w:r>
      <w:r>
        <w:t xml:space="preserve"> or chlorosis </w:t>
      </w:r>
      <w:r w:rsidRPr="017CCAD0">
        <w:rPr>
          <w:b/>
          <w:bCs/>
        </w:rPr>
        <w:t>(</w:t>
      </w:r>
      <w:r w:rsidR="56041488" w:rsidRPr="56041488">
        <w:rPr>
          <w:b/>
          <w:bCs/>
        </w:rPr>
        <w:t>Figure</w:t>
      </w:r>
      <w:r w:rsidRPr="017CCAD0">
        <w:rPr>
          <w:b/>
          <w:bCs/>
        </w:rPr>
        <w:t xml:space="preserve"> 1B-2)</w:t>
      </w:r>
      <w:r>
        <w:t xml:space="preserve">. Necrosis may occur at the injection site between days 3-5 after infiltration. </w:t>
      </w:r>
      <w:r w:rsidR="0015001B">
        <w:t>These changes</w:t>
      </w:r>
      <w:r>
        <w:t xml:space="preserve"> often depend</w:t>
      </w:r>
      <w:r w:rsidR="0015001B">
        <w:t xml:space="preserve"> </w:t>
      </w:r>
      <w:r>
        <w:t>on the pro</w:t>
      </w:r>
      <w:r w:rsidR="0015001B">
        <w:t>tein's properties</w:t>
      </w:r>
      <w:r>
        <w:t xml:space="preserve"> being expressed and the infiltrated plants' health (further examined in discussion). Simultaneously, chlorosis can also rely on the health of plants being used (further examined in discussion). The process of </w:t>
      </w:r>
      <w:r w:rsidRPr="017CCAD0">
        <w:rPr>
          <w:i/>
          <w:iCs/>
        </w:rPr>
        <w:t xml:space="preserve">Agrobacterium </w:t>
      </w:r>
      <w:r>
        <w:t xml:space="preserve">growth and preparation for infiltration is shown in </w:t>
      </w:r>
      <w:r w:rsidRPr="017CCAD0">
        <w:rPr>
          <w:b/>
          <w:bCs/>
        </w:rPr>
        <w:t>Figure 1C</w:t>
      </w:r>
      <w:r>
        <w:t xml:space="preserve">. </w:t>
      </w:r>
      <w:r w:rsidRPr="017CCAD0">
        <w:rPr>
          <w:b/>
          <w:bCs/>
        </w:rPr>
        <w:t>Figure 1C-1</w:t>
      </w:r>
      <w:r>
        <w:t xml:space="preserve"> displays isolated colonies of </w:t>
      </w:r>
      <w:r w:rsidRPr="017CCAD0">
        <w:rPr>
          <w:i/>
          <w:iCs/>
        </w:rPr>
        <w:t>Agrobacterium</w:t>
      </w:r>
      <w:r>
        <w:t xml:space="preserve">. </w:t>
      </w:r>
      <w:r w:rsidRPr="017CCAD0">
        <w:rPr>
          <w:b/>
          <w:bCs/>
        </w:rPr>
        <w:t>Figures 1C</w:t>
      </w:r>
      <w:r w:rsidR="6A645788" w:rsidRPr="6A645788">
        <w:rPr>
          <w:b/>
          <w:bCs/>
        </w:rPr>
        <w:t xml:space="preserve"> (</w:t>
      </w:r>
      <w:r w:rsidRPr="017CCAD0">
        <w:rPr>
          <w:b/>
          <w:bCs/>
        </w:rPr>
        <w:t>2-5</w:t>
      </w:r>
      <w:r w:rsidR="6A645788" w:rsidRPr="6A645788">
        <w:rPr>
          <w:b/>
          <w:bCs/>
        </w:rPr>
        <w:t>)</w:t>
      </w:r>
      <w:r w:rsidRPr="017CCAD0">
        <w:rPr>
          <w:b/>
          <w:bCs/>
        </w:rPr>
        <w:t xml:space="preserve"> </w:t>
      </w:r>
      <w:r>
        <w:t xml:space="preserve">display the media's expected appearance after it is inoculated with a single isolated colony. Refer to </w:t>
      </w:r>
      <w:r w:rsidRPr="017CCAD0">
        <w:rPr>
          <w:b/>
          <w:bCs/>
        </w:rPr>
        <w:t>Figure 3</w:t>
      </w:r>
      <w:r>
        <w:t xml:space="preserve"> for more </w:t>
      </w:r>
      <w:r w:rsidR="6A645788">
        <w:t>details</w:t>
      </w:r>
      <w:r>
        <w:t xml:space="preserve"> on these steps.</w:t>
      </w:r>
      <w:r w:rsidRPr="017CCAD0">
        <w:rPr>
          <w:b/>
          <w:bCs/>
        </w:rPr>
        <w:t xml:space="preserve"> </w:t>
      </w:r>
      <w:r>
        <w:t xml:space="preserve">The plant infiltration process is shown in </w:t>
      </w:r>
      <w:r w:rsidRPr="017CCAD0">
        <w:rPr>
          <w:b/>
          <w:bCs/>
        </w:rPr>
        <w:t>Figure 1D</w:t>
      </w:r>
      <w:r>
        <w:t xml:space="preserve"> and begins with an un-infiltrated plant and is followed by the infiltration process. The expression, extraction, and clarification of plant proteins are displayed in </w:t>
      </w:r>
      <w:r w:rsidRPr="017CCAD0">
        <w:rPr>
          <w:b/>
          <w:bCs/>
        </w:rPr>
        <w:t>Figure 1E</w:t>
      </w:r>
      <w:r>
        <w:t xml:space="preserve">. The leaf material is placed in a blender and is homogenized, shown in </w:t>
      </w:r>
      <w:r w:rsidRPr="017CCAD0">
        <w:rPr>
          <w:b/>
          <w:bCs/>
        </w:rPr>
        <w:t>Figures 1E</w:t>
      </w:r>
      <w:r w:rsidR="6A645788" w:rsidRPr="6A645788">
        <w:rPr>
          <w:b/>
          <w:bCs/>
        </w:rPr>
        <w:t xml:space="preserve"> (1-3).</w:t>
      </w:r>
      <w:r>
        <w:t xml:space="preserve"> A sample representing total homogenate is </w:t>
      </w:r>
      <w:r w:rsidR="0015001B">
        <w:t xml:space="preserve">then </w:t>
      </w:r>
      <w:r>
        <w:t>taken</w:t>
      </w:r>
      <w:r w:rsidR="0015001B">
        <w:t>. It</w:t>
      </w:r>
      <w:r>
        <w:t xml:space="preserve"> is </w:t>
      </w:r>
      <w:r w:rsidR="0015001B">
        <w:t xml:space="preserve">then </w:t>
      </w:r>
      <w:r>
        <w:t xml:space="preserve">filtered through a </w:t>
      </w:r>
      <w:proofErr w:type="spellStart"/>
      <w:r w:rsidR="00A94398">
        <w:t>M</w:t>
      </w:r>
      <w:r>
        <w:t>iracloth</w:t>
      </w:r>
      <w:proofErr w:type="spellEnd"/>
      <w:r>
        <w:t xml:space="preserve"> (gauze or even a coffee filter can substitute </w:t>
      </w:r>
      <w:r w:rsidR="00E336BA">
        <w:t>for reduc</w:t>
      </w:r>
      <w:r w:rsidR="00A94398">
        <w:t>ed</w:t>
      </w:r>
      <w:r w:rsidR="00E336BA">
        <w:t xml:space="preserve"> </w:t>
      </w:r>
      <w:r>
        <w:t xml:space="preserve">expenses), and the clarified suspension is centrifuged. The centrifugation allows for the separation of the supernatant from the remaining materials, as shown in </w:t>
      </w:r>
      <w:r w:rsidRPr="017CCAD0">
        <w:rPr>
          <w:b/>
          <w:bCs/>
        </w:rPr>
        <w:t>Figures 1E</w:t>
      </w:r>
      <w:r w:rsidR="6A645788" w:rsidRPr="6A645788">
        <w:rPr>
          <w:b/>
          <w:bCs/>
        </w:rPr>
        <w:t xml:space="preserve"> (4-6)</w:t>
      </w:r>
      <w:r w:rsidR="6A645788">
        <w:t>.</w:t>
      </w:r>
      <w:r>
        <w:t xml:space="preserve"> The clarified supernatant is then loaded on a protein G affinity chromatography column, </w:t>
      </w:r>
      <w:r w:rsidRPr="017CCAD0">
        <w:rPr>
          <w:b/>
          <w:bCs/>
        </w:rPr>
        <w:t>Figure 1F</w:t>
      </w:r>
      <w:r w:rsidR="6A645788" w:rsidRPr="6A645788">
        <w:rPr>
          <w:b/>
          <w:bCs/>
        </w:rPr>
        <w:t xml:space="preserve"> (1-3).</w:t>
      </w:r>
      <w:r w:rsidRPr="017CCAD0">
        <w:rPr>
          <w:b/>
          <w:bCs/>
        </w:rPr>
        <w:t xml:space="preserve"> </w:t>
      </w:r>
      <w:r>
        <w:t xml:space="preserve">After </w:t>
      </w:r>
      <w:r w:rsidR="00E336BA">
        <w:t>most</w:t>
      </w:r>
      <w:r>
        <w:t xml:space="preserve"> of the protein is bound, </w:t>
      </w:r>
      <w:r w:rsidRPr="017CCAD0">
        <w:rPr>
          <w:b/>
          <w:bCs/>
        </w:rPr>
        <w:t>Figure 1F-4</w:t>
      </w:r>
      <w:r>
        <w:t xml:space="preserve">, the proteins are eluted from the resin </w:t>
      </w:r>
      <w:r w:rsidRPr="017CCAD0">
        <w:rPr>
          <w:b/>
          <w:bCs/>
        </w:rPr>
        <w:t>Figure 1F</w:t>
      </w:r>
      <w:r w:rsidR="6A645788" w:rsidRPr="6A645788">
        <w:rPr>
          <w:b/>
          <w:bCs/>
        </w:rPr>
        <w:t xml:space="preserve"> (5,6)</w:t>
      </w:r>
      <w:r w:rsidR="6A645788">
        <w:t>.</w:t>
      </w:r>
    </w:p>
    <w:p w14:paraId="274792E5" w14:textId="77777777" w:rsidR="009611DD" w:rsidRPr="00796AAD" w:rsidRDefault="009611DD" w:rsidP="00E10F2B">
      <w:pPr>
        <w:contextualSpacing/>
        <w:rPr>
          <w:rFonts w:ascii="Times New Roman" w:hAnsi="Times New Roman" w:cs="Times New Roman"/>
        </w:rPr>
      </w:pPr>
    </w:p>
    <w:p w14:paraId="7FDB1C74" w14:textId="38392F58" w:rsidR="009611DD" w:rsidRPr="00796AAD" w:rsidRDefault="009611DD" w:rsidP="00E10F2B">
      <w:pPr>
        <w:contextualSpacing/>
        <w:rPr>
          <w:rFonts w:ascii="Times New Roman" w:hAnsi="Times New Roman" w:cs="Times New Roman"/>
        </w:rPr>
      </w:pPr>
      <w:r w:rsidRPr="00796AAD">
        <w:rPr>
          <w:b/>
          <w:bCs/>
        </w:rPr>
        <w:t xml:space="preserve">Table 1 </w:t>
      </w:r>
      <w:r w:rsidRPr="00796AAD">
        <w:t>displays the plant optimized nucleic acid sequences used to produce asGFP</w:t>
      </w:r>
      <w:r>
        <w:fldChar w:fldCharType="begin" w:fldLock="1"/>
      </w:r>
      <w:r w:rsidR="009E7237">
        <w:instrText>ADDIN CSL_CITATION {"citationItems":[{"id":"ITEM-1","itemData":{"DOI":"10.1016/j.chembiol.2017.12.005","ISSN":"24519448","abstract":"The fluorescent protein (FP) color palette has greatly contributed to the visualization of molecular and cellular processes. However, most FPs lose fluorescence at a pH lower than their neutral pK a (</w:instrText>
      </w:r>
      <w:r w:rsidR="009E7237">
        <w:rPr>
          <w:rFonts w:ascii="Cambria Math" w:hAnsi="Cambria Math" w:cs="Cambria Math"/>
        </w:rPr>
        <w:instrText>∼</w:instrText>
      </w:r>
      <w:r w:rsidR="009E7237">
        <w:instrText xml:space="preserve">6), and this has hampered their application in acidic organelles (pH </w:instrText>
      </w:r>
      <w:r w:rsidR="009E7237">
        <w:rPr>
          <w:rFonts w:ascii="Cambria Math" w:hAnsi="Cambria Math" w:cs="Cambria Math"/>
        </w:rPr>
        <w:instrText>∼</w:instrText>
      </w:r>
      <w:r w:rsidR="009E7237">
        <w:instrText>4.5–6.0). Currently, several cyan- and red-colored acid-tolerant FPs are available; however, there are few reports of acid-tolerant green FPs (GFPs) that are practically applicable to bioimaging. Here, we developed the acid-tolerant monomeric GFP “Gamillus” from the jellyfish Olindias formosa, with excellent brightness, maturation speed, and photostability. Results from X-ray crystallography and point mutagenesis suggest that across a broad pH range the acid tolerance is attributed to stabilization of deprotonation in the chromophore phenyl ring by forming a unique trans configuration. We demonstrate that Gamillus can serve as a molecular tag suitable for imaging in acidic organelles through autophagy-mediated molecular tracking to lysosomes. Shinoda et al. describe the cloning, engineering, and characterization of a monomeric GFP “Gamillus” from Olindias formosa. Gamillus has superior acid tolerance (pK a = 3.4) to reported other monomeric GFPs, and a unique trans chromophore configuration contributed to the acid tolerance. They demonstrate the usefulness for imaging in an acidic cellular environment, e.g., lysosomes.","author":[{"dropping-particle":"","family":"Shinoda","given":"Hajime","non-dropping-particle":"","parse-names":false,"suffix":""},{"dropping-particle":"","family":"Ma","given":"Yuanqing","non-dropping-particle":"","parse-names":false,"suffix":""},{"dropping-particle":"","family":"Nakashima","given":"Ryosuke","non-dropping-particle":"","parse-names":false,"suffix":""},{"dropping-particle":"","family":"Sakurai","given":"Keisuke","non-dropping-particle":"","parse-names":false,"suffix":""},{"dropping-particle":"","family":"Matsuda","given":"Tomoki","non-dropping-particle":"","parse-names":false,"suffix":""},{"dropping-particle":"","family":"Nagai","given":"Takeharu","non-dropping-particle":"","parse-names":false,"suffix":""}],"container-title":"Cell Chemical Biology","id":"ITEM-1","issue":"3","issued":{"date-parts":[["2018","3","15"]]},"page":"330-338.e7","publisher":"Elsevier Ltd","title":"Acid-Tolerant Monomeric GFP from Olindias formosa","type":"article-journal","volume":"25"},"uris":["http://www.mendeley.com/documents/?uuid=8e91b146-21a4-32e3-8a41-d454f1f97b76"]}],"mendeley":{"formattedCitation":"&lt;sup&gt;45&lt;/sup&gt;","plainTextFormattedCitation":"45","previouslyFormattedCitation":"&lt;sup&gt;45&lt;/sup&gt;"},"properties":{"noteIndex":0},"schema":"https://github.com/citation-style-language/schema/raw/master/csl-citation.json"}</w:instrText>
      </w:r>
      <w:r>
        <w:fldChar w:fldCharType="separate"/>
      </w:r>
      <w:r w:rsidR="0009107D" w:rsidRPr="0009107D">
        <w:rPr>
          <w:noProof/>
          <w:vertAlign w:val="superscript"/>
        </w:rPr>
        <w:t>45</w:t>
      </w:r>
      <w:r>
        <w:fldChar w:fldCharType="end"/>
      </w:r>
      <w:r w:rsidRPr="00796AAD">
        <w:t xml:space="preserve"> (upper row) in the </w:t>
      </w:r>
      <w:proofErr w:type="spellStart"/>
      <w:r w:rsidRPr="00796AAD">
        <w:rPr>
          <w:shd w:val="clear" w:color="auto" w:fill="FFFFFF"/>
        </w:rPr>
        <w:t>pBY!KEAM-GFPasH</w:t>
      </w:r>
      <w:proofErr w:type="spellEnd"/>
      <w:r w:rsidRPr="00796AAD">
        <w:rPr>
          <w:shd w:val="clear" w:color="auto" w:fill="FFFFFF"/>
        </w:rPr>
        <w:t xml:space="preserve"> vector</w:t>
      </w:r>
      <w:r w:rsidR="00793A81">
        <w:rPr>
          <w:shd w:val="clear" w:color="auto" w:fill="FFFFFF"/>
        </w:rPr>
        <w:t xml:space="preserve"> </w:t>
      </w:r>
      <w:r w:rsidRPr="00796AAD">
        <w:rPr>
          <w:shd w:val="clear" w:color="auto" w:fill="FFFFFF"/>
        </w:rPr>
        <w:t xml:space="preserve">used in this study to express </w:t>
      </w:r>
      <w:proofErr w:type="spellStart"/>
      <w:r w:rsidRPr="00796AAD">
        <w:rPr>
          <w:shd w:val="clear" w:color="auto" w:fill="FFFFFF"/>
        </w:rPr>
        <w:t>asGFP</w:t>
      </w:r>
      <w:proofErr w:type="spellEnd"/>
      <w:r w:rsidRPr="00796AAD">
        <w:rPr>
          <w:shd w:val="clear" w:color="auto" w:fill="FFFFFF"/>
        </w:rPr>
        <w:t>-IgG fusion and GFP</w:t>
      </w:r>
      <w:r>
        <w:rPr>
          <w:shd w:val="clear" w:color="auto" w:fill="FFFFFF"/>
        </w:rPr>
        <w:fldChar w:fldCharType="begin" w:fldLock="1"/>
      </w:r>
      <w:r w:rsidR="009E7237">
        <w:rPr>
          <w:shd w:val="clear" w:color="auto" w:fill="FFFFFF"/>
        </w:rPr>
        <w:instrText>ADDIN CSL_CITATION {"citationItems":[{"id":"ITEM-1","itemData":{"DOI":"10.1126/science.8303295","ISSN":"00368075","PMID":"8303295","abstract":"A complementary DNA for the Aequorea victoria green fluorescent protein (GFP) produces a fluorescent product when expressed in prokaryotic (Escherichia coli) or eukaryotic (Caenorhabditis elegans) cells. Because exogenous substrates and cofactors are not required for this fluorescence, GFP expression can be used to monitor gene expression and protein localization in living organisms.","author":[{"dropping-particle":"","family":"Chalfie","given":"Martin","non-dropping-particle":"","parse-names":false,"suffix":""},{"dropping-particle":"","family":"Tu","given":"Yuan","non-dropping-particle":"","parse-names":false,"suffix":""},{"dropping-particle":"","family":"Euskirchen","given":"Ghia","non-dropping-particle":"","parse-names":false,"suffix":""},{"dropping-particle":"","family":"Ward","given":"William W.","non-dropping-particle":"","parse-names":false,"suffix":""},{"dropping-particle":"","family":"Prasher","given":"Douglas C.","non-dropping-particle":"","parse-names":false,"suffix":""}],"container-title":"Science","id":"ITEM-1","issue":"5148","issued":{"date-parts":[["1994"]]},"page":"802-805","title":"Green fluorescent protein as a marker for gene expression","type":"article-journal","volume":"263"},"uris":["http://www.mendeley.com/documents/?uuid=35282d45-ff9b-3aca-9337-dcf6ae8c13c2"]}],"mendeley":{"formattedCitation":"&lt;sup&gt;33&lt;/sup&gt;","plainTextFormattedCitation":"33","previouslyFormattedCitation":"&lt;sup&gt;33&lt;/sup&gt;"},"properties":{"noteIndex":0},"schema":"https://github.com/citation-style-language/schema/raw/master/csl-citation.json"}</w:instrText>
      </w:r>
      <w:r>
        <w:rPr>
          <w:shd w:val="clear" w:color="auto" w:fill="FFFFFF"/>
        </w:rPr>
        <w:fldChar w:fldCharType="separate"/>
      </w:r>
      <w:r w:rsidR="0009107D" w:rsidRPr="0009107D">
        <w:rPr>
          <w:noProof/>
          <w:shd w:val="clear" w:color="auto" w:fill="FFFFFF"/>
          <w:vertAlign w:val="superscript"/>
        </w:rPr>
        <w:t>33</w:t>
      </w:r>
      <w:r>
        <w:rPr>
          <w:shd w:val="clear" w:color="auto" w:fill="FFFFFF"/>
        </w:rPr>
        <w:fldChar w:fldCharType="end"/>
      </w:r>
      <w:r w:rsidRPr="00796AAD">
        <w:rPr>
          <w:shd w:val="clear" w:color="auto" w:fill="FFFFFF"/>
        </w:rPr>
        <w:t xml:space="preserve"> (lower row) in the PBYEAM-</w:t>
      </w:r>
      <w:proofErr w:type="spellStart"/>
      <w:r w:rsidRPr="00796AAD">
        <w:rPr>
          <w:shd w:val="clear" w:color="auto" w:fill="FFFFFF"/>
        </w:rPr>
        <w:t>GFPHgp</w:t>
      </w:r>
      <w:proofErr w:type="spellEnd"/>
      <w:r w:rsidRPr="00796AAD">
        <w:rPr>
          <w:shd w:val="clear" w:color="auto" w:fill="FFFFFF"/>
        </w:rPr>
        <w:t xml:space="preserve"> vector used in this study to express GFP-IgG fusion. Nucleic acid sequences were </w:t>
      </w:r>
      <w:r>
        <w:rPr>
          <w:shd w:val="clear" w:color="auto" w:fill="FFFFFF"/>
        </w:rPr>
        <w:t xml:space="preserve">examined using the </w:t>
      </w:r>
      <w:proofErr w:type="spellStart"/>
      <w:r w:rsidRPr="00796AAD">
        <w:rPr>
          <w:shd w:val="clear" w:color="auto" w:fill="FFFFFF"/>
        </w:rPr>
        <w:t>Expasy</w:t>
      </w:r>
      <w:proofErr w:type="spellEnd"/>
      <w:r w:rsidRPr="00796AAD">
        <w:rPr>
          <w:shd w:val="clear" w:color="auto" w:fill="FFFFFF"/>
        </w:rPr>
        <w:t xml:space="preserve"> protein translate tool (</w:t>
      </w:r>
      <w:hyperlink r:id="rId10" w:history="1">
        <w:r w:rsidRPr="00796AAD">
          <w:rPr>
            <w:color w:val="1155CC"/>
            <w:u w:val="single"/>
            <w:shd w:val="clear" w:color="auto" w:fill="FFFFFF"/>
          </w:rPr>
          <w:t>https://web.expasy.org/translate/</w:t>
        </w:r>
      </w:hyperlink>
      <w:r w:rsidRPr="00796AAD">
        <w:t>) to determine amino acid sequences.</w:t>
      </w:r>
    </w:p>
    <w:p w14:paraId="13DF7E63" w14:textId="77777777" w:rsidR="009611DD" w:rsidRPr="00796AAD" w:rsidRDefault="009611DD" w:rsidP="00E10F2B">
      <w:pPr>
        <w:contextualSpacing/>
        <w:rPr>
          <w:rFonts w:ascii="Times New Roman" w:hAnsi="Times New Roman" w:cs="Times New Roman"/>
        </w:rPr>
      </w:pPr>
    </w:p>
    <w:p w14:paraId="00005357" w14:textId="77777777" w:rsidR="009611DD" w:rsidRPr="00796AAD" w:rsidRDefault="009611DD" w:rsidP="00E10F2B">
      <w:pPr>
        <w:contextualSpacing/>
        <w:rPr>
          <w:rFonts w:ascii="Times New Roman" w:hAnsi="Times New Roman" w:cs="Times New Roman"/>
        </w:rPr>
      </w:pPr>
      <w:r w:rsidRPr="00796AAD">
        <w:rPr>
          <w:shd w:val="clear" w:color="auto" w:fill="FFFFFF"/>
        </w:rPr>
        <w:t xml:space="preserve">A representative </w:t>
      </w:r>
      <w:r w:rsidRPr="00796AAD">
        <w:rPr>
          <w:i/>
          <w:iCs/>
          <w:shd w:val="clear" w:color="auto" w:fill="FFFFFF"/>
        </w:rPr>
        <w:t xml:space="preserve">Agrobacterium </w:t>
      </w:r>
      <w:r w:rsidRPr="00796AAD">
        <w:rPr>
          <w:shd w:val="clear" w:color="auto" w:fill="FFFFFF"/>
        </w:rPr>
        <w:t xml:space="preserve">plate prepared using this protocol is shown in </w:t>
      </w:r>
      <w:r w:rsidRPr="00796AAD">
        <w:rPr>
          <w:b/>
          <w:bCs/>
          <w:shd w:val="clear" w:color="auto" w:fill="FFFFFF"/>
        </w:rPr>
        <w:t>Figure 2</w:t>
      </w:r>
      <w:r w:rsidRPr="00796AAD">
        <w:rPr>
          <w:shd w:val="clear" w:color="auto" w:fill="FFFFFF"/>
        </w:rPr>
        <w:t xml:space="preserve">. Desired colonies should appear round and uniform in shape and color. Colonies closer to the center of the plate have a higher likelihood of expressing kanamycin resistance. The </w:t>
      </w:r>
      <w:r>
        <w:rPr>
          <w:shd w:val="clear" w:color="auto" w:fill="FFFFFF"/>
        </w:rPr>
        <w:t xml:space="preserve">liquid cultures </w:t>
      </w:r>
      <w:r w:rsidRPr="00796AAD">
        <w:rPr>
          <w:shd w:val="clear" w:color="auto" w:fill="FFFFFF"/>
        </w:rPr>
        <w:t>will be prepared from a single isolated colony.</w:t>
      </w:r>
    </w:p>
    <w:p w14:paraId="2789ED00" w14:textId="3052E8E6" w:rsidR="009611DD" w:rsidRPr="00796AAD" w:rsidRDefault="009611DD" w:rsidP="00E10F2B">
      <w:pPr>
        <w:contextualSpacing/>
        <w:rPr>
          <w:rFonts w:ascii="Times New Roman" w:hAnsi="Times New Roman" w:cs="Times New Roman"/>
        </w:rPr>
      </w:pPr>
      <w:r w:rsidRPr="00796AAD">
        <w:rPr>
          <w:shd w:val="clear" w:color="auto" w:fill="FFFFFF"/>
        </w:rPr>
        <w:br/>
      </w:r>
      <w:r>
        <w:rPr>
          <w:shd w:val="clear" w:color="auto" w:fill="FFFFFF"/>
        </w:rPr>
        <w:t>The e</w:t>
      </w:r>
      <w:r w:rsidRPr="00796AAD">
        <w:rPr>
          <w:shd w:val="clear" w:color="auto" w:fill="FFFFFF"/>
        </w:rPr>
        <w:t xml:space="preserve">xpected appearance of media containing cultures is shown in </w:t>
      </w:r>
      <w:r w:rsidRPr="00796AAD">
        <w:rPr>
          <w:b/>
          <w:bCs/>
          <w:shd w:val="clear" w:color="auto" w:fill="FFFFFF"/>
        </w:rPr>
        <w:t xml:space="preserve">Figure 3. </w:t>
      </w:r>
      <w:r w:rsidRPr="00796AAD">
        <w:rPr>
          <w:shd w:val="clear" w:color="auto" w:fill="FFFFFF"/>
        </w:rPr>
        <w:t>Upon initial inoculation of an isolated colony, LB media will appear light yellow and translucent</w:t>
      </w:r>
      <w:r>
        <w:rPr>
          <w:shd w:val="clear" w:color="auto" w:fill="FFFFFF"/>
        </w:rPr>
        <w:t>,</w:t>
      </w:r>
      <w:r w:rsidRPr="00796AAD">
        <w:rPr>
          <w:shd w:val="clear" w:color="auto" w:fill="FFFFFF"/>
        </w:rPr>
        <w:t xml:space="preserve"> as shown in </w:t>
      </w:r>
      <w:r w:rsidRPr="00796AAD">
        <w:rPr>
          <w:b/>
          <w:bCs/>
          <w:shd w:val="clear" w:color="auto" w:fill="FFFFFF"/>
        </w:rPr>
        <w:t>Figure 3A</w:t>
      </w:r>
      <w:r w:rsidRPr="00796AAD">
        <w:rPr>
          <w:shd w:val="clear" w:color="auto" w:fill="FFFFFF"/>
        </w:rPr>
        <w:t>. After incubation of an isolated colony overnight at 30</w:t>
      </w:r>
      <w:r w:rsidR="00A94398">
        <w:rPr>
          <w:shd w:val="clear" w:color="auto" w:fill="FFFFFF"/>
        </w:rPr>
        <w:t xml:space="preserve"> </w:t>
      </w:r>
      <w:r w:rsidRPr="00796AAD">
        <w:t>°C</w:t>
      </w:r>
      <w:r w:rsidRPr="00796AAD">
        <w:rPr>
          <w:shd w:val="clear" w:color="auto" w:fill="FFFFFF"/>
        </w:rPr>
        <w:t xml:space="preserve">, LB media will appear </w:t>
      </w:r>
      <w:r w:rsidR="00CA269A">
        <w:rPr>
          <w:shd w:val="clear" w:color="auto" w:fill="FFFFFF"/>
        </w:rPr>
        <w:t>turbid</w:t>
      </w:r>
      <w:r w:rsidRPr="00796AAD">
        <w:rPr>
          <w:shd w:val="clear" w:color="auto" w:fill="FFFFFF"/>
        </w:rPr>
        <w:t xml:space="preserve">. As shown in </w:t>
      </w:r>
      <w:r w:rsidRPr="00796AAD">
        <w:rPr>
          <w:b/>
          <w:bCs/>
          <w:shd w:val="clear" w:color="auto" w:fill="FFFFFF"/>
        </w:rPr>
        <w:t>Figure 3B</w:t>
      </w:r>
      <w:r w:rsidRPr="00796AAD">
        <w:rPr>
          <w:shd w:val="clear" w:color="auto" w:fill="FFFFFF"/>
        </w:rPr>
        <w:t>, objects can no longer be seen thro</w:t>
      </w:r>
      <w:r w:rsidR="00501501">
        <w:rPr>
          <w:shd w:val="clear" w:color="auto" w:fill="FFFFFF"/>
        </w:rPr>
        <w:t>u</w:t>
      </w:r>
      <w:r w:rsidR="00EE2DC8">
        <w:rPr>
          <w:shd w:val="clear" w:color="auto" w:fill="FFFFFF"/>
        </w:rPr>
        <w:t>g</w:t>
      </w:r>
      <w:r w:rsidRPr="00796AAD">
        <w:rPr>
          <w:shd w:val="clear" w:color="auto" w:fill="FFFFFF"/>
        </w:rPr>
        <w:t>h the media</w:t>
      </w:r>
      <w:r>
        <w:rPr>
          <w:shd w:val="clear" w:color="auto" w:fill="FFFFFF"/>
        </w:rPr>
        <w:t xml:space="preserve"> when growth is present in the LB</w:t>
      </w:r>
      <w:r w:rsidRPr="00796AAD">
        <w:rPr>
          <w:shd w:val="clear" w:color="auto" w:fill="FFFFFF"/>
        </w:rPr>
        <w:t>. Following centrif</w:t>
      </w:r>
      <w:r w:rsidR="00501501">
        <w:rPr>
          <w:shd w:val="clear" w:color="auto" w:fill="FFFFFF"/>
        </w:rPr>
        <w:t>u</w:t>
      </w:r>
      <w:r w:rsidR="00EE2DC8">
        <w:rPr>
          <w:shd w:val="clear" w:color="auto" w:fill="FFFFFF"/>
        </w:rPr>
        <w:t>g</w:t>
      </w:r>
      <w:r w:rsidRPr="00796AAD">
        <w:rPr>
          <w:shd w:val="clear" w:color="auto" w:fill="FFFFFF"/>
        </w:rPr>
        <w:t xml:space="preserve">ation, a pellet should form at the bottom of the tube. The tube will have </w:t>
      </w:r>
      <w:r>
        <w:rPr>
          <w:shd w:val="clear" w:color="auto" w:fill="FFFFFF"/>
        </w:rPr>
        <w:t xml:space="preserve">a </w:t>
      </w:r>
      <w:r w:rsidRPr="00796AAD">
        <w:rPr>
          <w:shd w:val="clear" w:color="auto" w:fill="FFFFFF"/>
        </w:rPr>
        <w:t>clear separation of LB media above the pellet and will appear light yellow and translucent, as shown in</w:t>
      </w:r>
      <w:r w:rsidRPr="00796AAD">
        <w:rPr>
          <w:b/>
          <w:bCs/>
          <w:shd w:val="clear" w:color="auto" w:fill="FFFFFF"/>
        </w:rPr>
        <w:t xml:space="preserve"> Figure 3C</w:t>
      </w:r>
      <w:r w:rsidRPr="00796AAD">
        <w:rPr>
          <w:shd w:val="clear" w:color="auto" w:fill="FFFFFF"/>
        </w:rPr>
        <w:t>. The LB media supernatant is disposed of</w:t>
      </w:r>
      <w:r>
        <w:rPr>
          <w:shd w:val="clear" w:color="auto" w:fill="FFFFFF"/>
        </w:rPr>
        <w:t>,</w:t>
      </w:r>
      <w:r w:rsidRPr="00796AAD">
        <w:rPr>
          <w:shd w:val="clear" w:color="auto" w:fill="FFFFFF"/>
        </w:rPr>
        <w:t xml:space="preserve"> and the pellet is resuspended in the infiltration buffer. At an </w:t>
      </w:r>
      <w:r w:rsidR="00C71176">
        <w:t>OD</w:t>
      </w:r>
      <w:r w:rsidR="00C71176" w:rsidRPr="00527AA2">
        <w:rPr>
          <w:vertAlign w:val="subscript"/>
        </w:rPr>
        <w:t>600</w:t>
      </w:r>
      <w:r w:rsidRPr="00796AAD">
        <w:rPr>
          <w:shd w:val="clear" w:color="auto" w:fill="FFFFFF"/>
        </w:rPr>
        <w:t xml:space="preserve"> of 0.2, the media will appear </w:t>
      </w:r>
      <w:r w:rsidR="00CA269A">
        <w:rPr>
          <w:shd w:val="clear" w:color="auto" w:fill="FFFFFF"/>
        </w:rPr>
        <w:t>turbid</w:t>
      </w:r>
      <w:r>
        <w:rPr>
          <w:shd w:val="clear" w:color="auto" w:fill="FFFFFF"/>
        </w:rPr>
        <w:t>,</w:t>
      </w:r>
      <w:r w:rsidRPr="00796AAD">
        <w:rPr>
          <w:shd w:val="clear" w:color="auto" w:fill="FFFFFF"/>
        </w:rPr>
        <w:t xml:space="preserve"> as shown in </w:t>
      </w:r>
      <w:r w:rsidRPr="00796AAD">
        <w:rPr>
          <w:b/>
          <w:bCs/>
          <w:shd w:val="clear" w:color="auto" w:fill="FFFFFF"/>
        </w:rPr>
        <w:t>Figure 3D</w:t>
      </w:r>
      <w:r w:rsidRPr="00796AAD">
        <w:rPr>
          <w:shd w:val="clear" w:color="auto" w:fill="FFFFFF"/>
        </w:rPr>
        <w:t xml:space="preserve">. </w:t>
      </w:r>
      <w:r w:rsidR="00C71176">
        <w:t>OD</w:t>
      </w:r>
      <w:r w:rsidR="00C71176" w:rsidRPr="00527AA2">
        <w:rPr>
          <w:vertAlign w:val="subscript"/>
        </w:rPr>
        <w:t>600</w:t>
      </w:r>
      <w:r w:rsidRPr="00796AAD">
        <w:rPr>
          <w:shd w:val="clear" w:color="auto" w:fill="FFFFFF"/>
        </w:rPr>
        <w:t xml:space="preserve"> should be measured as described in the methods.</w:t>
      </w:r>
    </w:p>
    <w:p w14:paraId="7155DBE9" w14:textId="77777777" w:rsidR="009611DD" w:rsidRPr="00796AAD" w:rsidRDefault="009611DD" w:rsidP="00E10F2B">
      <w:pPr>
        <w:contextualSpacing/>
        <w:rPr>
          <w:rFonts w:ascii="Times New Roman" w:hAnsi="Times New Roman" w:cs="Times New Roman"/>
        </w:rPr>
      </w:pPr>
    </w:p>
    <w:p w14:paraId="05E26924" w14:textId="45475FBC" w:rsidR="009611DD" w:rsidRPr="00796AAD" w:rsidRDefault="009611DD" w:rsidP="00E10F2B">
      <w:pPr>
        <w:contextualSpacing/>
      </w:pPr>
      <w:r w:rsidRPr="00796AAD">
        <w:rPr>
          <w:b/>
          <w:bCs/>
          <w:shd w:val="clear" w:color="auto" w:fill="FFFFFF"/>
        </w:rPr>
        <w:t>Figure 4</w:t>
      </w:r>
      <w:r w:rsidRPr="00796AAD">
        <w:rPr>
          <w:shd w:val="clear" w:color="auto" w:fill="FFFFFF"/>
        </w:rPr>
        <w:t xml:space="preserve"> represents the process of leaf infiltration. A slight prod of the leaf with a paperclip should yield a break in the leaf </w:t>
      </w:r>
      <w:r>
        <w:rPr>
          <w:shd w:val="clear" w:color="auto" w:fill="FFFFFF"/>
        </w:rPr>
        <w:t xml:space="preserve">epidermis </w:t>
      </w:r>
      <w:r w:rsidRPr="00796AAD">
        <w:rPr>
          <w:shd w:val="clear" w:color="auto" w:fill="FFFFFF"/>
        </w:rPr>
        <w:t xml:space="preserve">that does not pass </w:t>
      </w:r>
      <w:r>
        <w:rPr>
          <w:shd w:val="clear" w:color="auto" w:fill="FFFFFF"/>
        </w:rPr>
        <w:t>entir</w:t>
      </w:r>
      <w:r w:rsidRPr="00796AAD">
        <w:rPr>
          <w:shd w:val="clear" w:color="auto" w:fill="FFFFFF"/>
        </w:rPr>
        <w:t>ely thro</w:t>
      </w:r>
      <w:r w:rsidR="00501501">
        <w:rPr>
          <w:shd w:val="clear" w:color="auto" w:fill="FFFFFF"/>
        </w:rPr>
        <w:t>u</w:t>
      </w:r>
      <w:r w:rsidR="00EE2DC8">
        <w:rPr>
          <w:shd w:val="clear" w:color="auto" w:fill="FFFFFF"/>
        </w:rPr>
        <w:t>g</w:t>
      </w:r>
      <w:r w:rsidRPr="00796AAD">
        <w:rPr>
          <w:shd w:val="clear" w:color="auto" w:fill="FFFFFF"/>
        </w:rPr>
        <w:t xml:space="preserve">h the leaf. The break </w:t>
      </w:r>
      <w:r w:rsidR="00FB4467">
        <w:rPr>
          <w:shd w:val="clear" w:color="auto" w:fill="FFFFFF"/>
        </w:rPr>
        <w:t>should</w:t>
      </w:r>
      <w:r w:rsidRPr="00796AAD">
        <w:rPr>
          <w:shd w:val="clear" w:color="auto" w:fill="FFFFFF"/>
        </w:rPr>
        <w:t xml:space="preserve"> barely pierce the leaf</w:t>
      </w:r>
      <w:r>
        <w:rPr>
          <w:shd w:val="clear" w:color="auto" w:fill="FFFFFF"/>
        </w:rPr>
        <w:t xml:space="preserve"> so </w:t>
      </w:r>
      <w:r w:rsidR="00376800">
        <w:rPr>
          <w:shd w:val="clear" w:color="auto" w:fill="FFFFFF"/>
        </w:rPr>
        <w:t xml:space="preserve">the </w:t>
      </w:r>
      <w:r w:rsidRPr="00796AAD">
        <w:rPr>
          <w:shd w:val="clear" w:color="auto" w:fill="FFFFFF"/>
        </w:rPr>
        <w:t xml:space="preserve">infiltration buffer can be injected into the leaf, shown in </w:t>
      </w:r>
      <w:r w:rsidRPr="00796AAD">
        <w:rPr>
          <w:b/>
          <w:bCs/>
          <w:shd w:val="clear" w:color="auto" w:fill="FFFFFF"/>
        </w:rPr>
        <w:t>Figure 4A</w:t>
      </w:r>
      <w:r w:rsidR="00A94398">
        <w:rPr>
          <w:b/>
          <w:bCs/>
          <w:shd w:val="clear" w:color="auto" w:fill="FFFFFF"/>
        </w:rPr>
        <w:t>-C</w:t>
      </w:r>
      <w:r w:rsidRPr="00796AAD">
        <w:rPr>
          <w:b/>
          <w:bCs/>
          <w:shd w:val="clear" w:color="auto" w:fill="FFFFFF"/>
        </w:rPr>
        <w:t>.</w:t>
      </w:r>
      <w:r w:rsidRPr="00796AAD">
        <w:rPr>
          <w:shd w:val="clear" w:color="auto" w:fill="FFFFFF"/>
        </w:rPr>
        <w:t xml:space="preserve"> The suspension of </w:t>
      </w:r>
      <w:r w:rsidRPr="017CCAD0">
        <w:rPr>
          <w:i/>
          <w:iCs/>
          <w:shd w:val="clear" w:color="auto" w:fill="FFFFFF"/>
        </w:rPr>
        <w:t>Agrobacterium</w:t>
      </w:r>
      <w:r w:rsidRPr="00796AAD">
        <w:rPr>
          <w:shd w:val="clear" w:color="auto" w:fill="FFFFFF"/>
        </w:rPr>
        <w:t xml:space="preserve"> and infiltration buffer is injected directly into the break in the leaf and </w:t>
      </w:r>
      <w:r w:rsidR="00FB4467">
        <w:rPr>
          <w:shd w:val="clear" w:color="auto" w:fill="FFFFFF"/>
        </w:rPr>
        <w:t>slightly alters</w:t>
      </w:r>
      <w:r w:rsidRPr="00796AAD">
        <w:rPr>
          <w:shd w:val="clear" w:color="auto" w:fill="FFFFFF"/>
        </w:rPr>
        <w:t xml:space="preserve"> the </w:t>
      </w:r>
      <w:r w:rsidR="00D9401B">
        <w:rPr>
          <w:shd w:val="clear" w:color="auto" w:fill="FFFFFF"/>
        </w:rPr>
        <w:t>infiltrated leaf's color</w:t>
      </w:r>
      <w:r w:rsidR="00045E38">
        <w:rPr>
          <w:shd w:val="clear" w:color="auto" w:fill="FFFFFF"/>
        </w:rPr>
        <w:t>;</w:t>
      </w:r>
      <w:r w:rsidRPr="00796AAD">
        <w:rPr>
          <w:shd w:val="clear" w:color="auto" w:fill="FFFFFF"/>
        </w:rPr>
        <w:t xml:space="preserve"> see </w:t>
      </w:r>
      <w:r w:rsidRPr="6A645788">
        <w:rPr>
          <w:b/>
          <w:bCs/>
          <w:shd w:val="clear" w:color="auto" w:fill="FFFFFF"/>
        </w:rPr>
        <w:t>Figure 4D-F.</w:t>
      </w:r>
    </w:p>
    <w:p w14:paraId="59E84858" w14:textId="77777777" w:rsidR="009611DD" w:rsidRPr="00796AAD" w:rsidRDefault="009611DD" w:rsidP="00E10F2B">
      <w:pPr>
        <w:contextualSpacing/>
        <w:rPr>
          <w:rFonts w:ascii="Times New Roman" w:hAnsi="Times New Roman" w:cs="Times New Roman"/>
        </w:rPr>
      </w:pPr>
    </w:p>
    <w:p w14:paraId="3F2C2FA3" w14:textId="672176D8" w:rsidR="009611DD" w:rsidRPr="00796AAD" w:rsidRDefault="009611DD" w:rsidP="00E10F2B">
      <w:pPr>
        <w:contextualSpacing/>
        <w:rPr>
          <w:rFonts w:ascii="Times New Roman" w:hAnsi="Times New Roman" w:cs="Times New Roman"/>
        </w:rPr>
      </w:pPr>
      <w:r w:rsidRPr="00796AAD">
        <w:rPr>
          <w:shd w:val="clear" w:color="auto" w:fill="FFFFFF"/>
        </w:rPr>
        <w:t xml:space="preserve">The appearance of leaves expressing IgG fusions </w:t>
      </w:r>
      <w:r>
        <w:rPr>
          <w:shd w:val="clear" w:color="auto" w:fill="FFFFFF"/>
        </w:rPr>
        <w:t>is</w:t>
      </w:r>
      <w:r w:rsidRPr="00796AAD">
        <w:rPr>
          <w:shd w:val="clear" w:color="auto" w:fill="FFFFFF"/>
        </w:rPr>
        <w:t xml:space="preserve"> represented in </w:t>
      </w:r>
      <w:r w:rsidRPr="00796AAD">
        <w:rPr>
          <w:b/>
          <w:bCs/>
          <w:shd w:val="clear" w:color="auto" w:fill="FFFFFF"/>
        </w:rPr>
        <w:t xml:space="preserve">Figure 5. </w:t>
      </w:r>
      <w:r w:rsidRPr="6A645788">
        <w:rPr>
          <w:shd w:val="clear" w:color="auto" w:fill="FFFFFF"/>
        </w:rPr>
        <w:t>It</w:t>
      </w:r>
      <w:r w:rsidRPr="6A645788">
        <w:rPr>
          <w:b/>
          <w:bCs/>
          <w:shd w:val="clear" w:color="auto" w:fill="FFFFFF"/>
        </w:rPr>
        <w:t xml:space="preserve"> </w:t>
      </w:r>
      <w:r w:rsidRPr="00796AAD">
        <w:rPr>
          <w:shd w:val="clear" w:color="auto" w:fill="FFFFFF"/>
        </w:rPr>
        <w:t>displays leave</w:t>
      </w:r>
      <w:r>
        <w:rPr>
          <w:shd w:val="clear" w:color="auto" w:fill="FFFFFF"/>
        </w:rPr>
        <w:t>s</w:t>
      </w:r>
      <w:r w:rsidRPr="00796AAD">
        <w:rPr>
          <w:shd w:val="clear" w:color="auto" w:fill="FFFFFF"/>
        </w:rPr>
        <w:t xml:space="preserve"> </w:t>
      </w:r>
      <w:r w:rsidR="004042AA">
        <w:rPr>
          <w:shd w:val="clear" w:color="auto" w:fill="FFFFFF"/>
        </w:rPr>
        <w:t>that express</w:t>
      </w:r>
      <w:r w:rsidRPr="00796AAD">
        <w:rPr>
          <w:shd w:val="clear" w:color="auto" w:fill="FFFFFF"/>
        </w:rPr>
        <w:t xml:space="preserve"> </w:t>
      </w:r>
      <w:proofErr w:type="spellStart"/>
      <w:r w:rsidRPr="00796AAD">
        <w:rPr>
          <w:shd w:val="clear" w:color="auto" w:fill="FFFFFF"/>
        </w:rPr>
        <w:t>asGFP</w:t>
      </w:r>
      <w:proofErr w:type="spellEnd"/>
      <w:r w:rsidRPr="00796AAD">
        <w:rPr>
          <w:shd w:val="clear" w:color="auto" w:fill="FFFFFF"/>
        </w:rPr>
        <w:t xml:space="preserve">-IgG fusions </w:t>
      </w:r>
      <w:r w:rsidRPr="6A645788">
        <w:rPr>
          <w:b/>
          <w:bCs/>
          <w:shd w:val="clear" w:color="auto" w:fill="FFFFFF"/>
        </w:rPr>
        <w:t>(Figure 5A)</w:t>
      </w:r>
      <w:r w:rsidRPr="00796AAD">
        <w:rPr>
          <w:shd w:val="clear" w:color="auto" w:fill="FFFFFF"/>
        </w:rPr>
        <w:t xml:space="preserve"> and GFP-IgG fusions </w:t>
      </w:r>
      <w:r w:rsidRPr="6A645788">
        <w:rPr>
          <w:b/>
          <w:bCs/>
          <w:shd w:val="clear" w:color="auto" w:fill="FFFFFF"/>
        </w:rPr>
        <w:t>(Figure 5C)</w:t>
      </w:r>
      <w:r w:rsidRPr="00796AAD">
        <w:rPr>
          <w:shd w:val="clear" w:color="auto" w:fill="FFFFFF"/>
        </w:rPr>
        <w:t xml:space="preserve"> under white light. If </w:t>
      </w:r>
      <w:r>
        <w:rPr>
          <w:shd w:val="clear" w:color="auto" w:fill="FFFFFF"/>
        </w:rPr>
        <w:t xml:space="preserve">the constructs in this protocol are used, when </w:t>
      </w:r>
      <w:r w:rsidRPr="00796AAD">
        <w:rPr>
          <w:shd w:val="clear" w:color="auto" w:fill="FFFFFF"/>
        </w:rPr>
        <w:t xml:space="preserve">infiltrated at a 0.2 </w:t>
      </w:r>
      <w:r w:rsidR="00C71176">
        <w:t>OD</w:t>
      </w:r>
      <w:r w:rsidR="00C71176" w:rsidRPr="00527AA2">
        <w:rPr>
          <w:vertAlign w:val="subscript"/>
        </w:rPr>
        <w:t>600</w:t>
      </w:r>
      <w:r w:rsidRPr="00796AAD">
        <w:rPr>
          <w:shd w:val="clear" w:color="auto" w:fill="FFFFFF"/>
        </w:rPr>
        <w:t xml:space="preserve">, leaves </w:t>
      </w:r>
      <w:r>
        <w:rPr>
          <w:shd w:val="clear" w:color="auto" w:fill="FFFFFF"/>
        </w:rPr>
        <w:t>should</w:t>
      </w:r>
      <w:r w:rsidRPr="00796AAD">
        <w:rPr>
          <w:shd w:val="clear" w:color="auto" w:fill="FFFFFF"/>
        </w:rPr>
        <w:t xml:space="preserve"> appear healthy on days 1-5 for both leaves expressing </w:t>
      </w:r>
      <w:proofErr w:type="spellStart"/>
      <w:r w:rsidRPr="00796AAD">
        <w:rPr>
          <w:shd w:val="clear" w:color="auto" w:fill="FFFFFF"/>
        </w:rPr>
        <w:t>asGFP</w:t>
      </w:r>
      <w:proofErr w:type="spellEnd"/>
      <w:r w:rsidRPr="00796AAD">
        <w:rPr>
          <w:shd w:val="clear" w:color="auto" w:fill="FFFFFF"/>
        </w:rPr>
        <w:t>-IgG fusions and leaves expressing GFP-IgG fusions. There may be a slight necrotic appearance at injection sites on day 5</w:t>
      </w:r>
      <w:r w:rsidR="00E277E9">
        <w:rPr>
          <w:shd w:val="clear" w:color="auto" w:fill="FFFFFF"/>
        </w:rPr>
        <w:t>,</w:t>
      </w:r>
      <w:r w:rsidR="0091278C">
        <w:rPr>
          <w:shd w:val="clear" w:color="auto" w:fill="FFFFFF"/>
        </w:rPr>
        <w:t xml:space="preserve"> which is </w:t>
      </w:r>
      <w:r w:rsidR="00561EB6">
        <w:rPr>
          <w:shd w:val="clear" w:color="auto" w:fill="FFFFFF"/>
        </w:rPr>
        <w:t>usually apparent by the</w:t>
      </w:r>
      <w:r w:rsidR="00280D83">
        <w:rPr>
          <w:shd w:val="clear" w:color="auto" w:fill="FFFFFF"/>
        </w:rPr>
        <w:t xml:space="preserve"> lightening of the plant tissu</w:t>
      </w:r>
      <w:r w:rsidR="00E277E9">
        <w:rPr>
          <w:shd w:val="clear" w:color="auto" w:fill="FFFFFF"/>
        </w:rPr>
        <w:t>e in those areas</w:t>
      </w:r>
      <w:r w:rsidRPr="00796AAD">
        <w:rPr>
          <w:shd w:val="clear" w:color="auto" w:fill="FFFFFF"/>
        </w:rPr>
        <w:t xml:space="preserve">. </w:t>
      </w:r>
      <w:r w:rsidRPr="6A645788">
        <w:rPr>
          <w:b/>
          <w:bCs/>
          <w:shd w:val="clear" w:color="auto" w:fill="FFFFFF"/>
        </w:rPr>
        <w:t xml:space="preserve">Figure 5 </w:t>
      </w:r>
      <w:r w:rsidRPr="00796AAD">
        <w:rPr>
          <w:shd w:val="clear" w:color="auto" w:fill="FFFFFF"/>
        </w:rPr>
        <w:t xml:space="preserve">also displays leaves expressing </w:t>
      </w:r>
      <w:proofErr w:type="spellStart"/>
      <w:r w:rsidRPr="00796AAD">
        <w:rPr>
          <w:shd w:val="clear" w:color="auto" w:fill="FFFFFF"/>
        </w:rPr>
        <w:t>asGFP</w:t>
      </w:r>
      <w:proofErr w:type="spellEnd"/>
      <w:r w:rsidRPr="00796AAD">
        <w:rPr>
          <w:shd w:val="clear" w:color="auto" w:fill="FFFFFF"/>
        </w:rPr>
        <w:t xml:space="preserve">-IgG fusions </w:t>
      </w:r>
      <w:r w:rsidRPr="6A645788">
        <w:rPr>
          <w:b/>
          <w:bCs/>
          <w:shd w:val="clear" w:color="auto" w:fill="FFFFFF"/>
        </w:rPr>
        <w:t>(Figure 5B)</w:t>
      </w:r>
      <w:r w:rsidRPr="00796AAD">
        <w:rPr>
          <w:shd w:val="clear" w:color="auto" w:fill="FFFFFF"/>
        </w:rPr>
        <w:t xml:space="preserve"> and GFP-IgG fusions </w:t>
      </w:r>
      <w:r w:rsidRPr="6A645788">
        <w:rPr>
          <w:b/>
          <w:bCs/>
          <w:shd w:val="clear" w:color="auto" w:fill="FFFFFF"/>
        </w:rPr>
        <w:t>(Figure 5D)</w:t>
      </w:r>
      <w:r w:rsidR="00285191">
        <w:rPr>
          <w:shd w:val="clear" w:color="auto" w:fill="FFFFFF"/>
        </w:rPr>
        <w:t>,</w:t>
      </w:r>
      <w:r w:rsidRPr="00796AAD">
        <w:rPr>
          <w:shd w:val="clear" w:color="auto" w:fill="FFFFFF"/>
        </w:rPr>
        <w:t xml:space="preserve"> respectively, under long-wave UV light from the </w:t>
      </w:r>
      <w:r w:rsidR="00E277E9">
        <w:rPr>
          <w:shd w:val="clear" w:color="auto" w:fill="FFFFFF"/>
        </w:rPr>
        <w:t>leaf's top view</w:t>
      </w:r>
      <w:r w:rsidRPr="00796AAD">
        <w:rPr>
          <w:shd w:val="clear" w:color="auto" w:fill="FFFFFF"/>
        </w:rPr>
        <w:t xml:space="preserve">. Fluorescence increases in intensity as the days progress for both constructs expressed. Leaves expressing </w:t>
      </w:r>
      <w:proofErr w:type="spellStart"/>
      <w:r w:rsidRPr="00796AAD">
        <w:rPr>
          <w:shd w:val="clear" w:color="auto" w:fill="FFFFFF"/>
        </w:rPr>
        <w:t>asGFP</w:t>
      </w:r>
      <w:proofErr w:type="spellEnd"/>
      <w:r w:rsidRPr="00796AAD">
        <w:rPr>
          <w:shd w:val="clear" w:color="auto" w:fill="FFFFFF"/>
        </w:rPr>
        <w:t>-IgG fusions tend to have slightly less intense fluorescence than leaves expressing GFP-IgG fusions on all days.</w:t>
      </w:r>
    </w:p>
    <w:p w14:paraId="1D2C47A0" w14:textId="77777777" w:rsidR="009611DD" w:rsidRPr="00796AAD" w:rsidRDefault="009611DD" w:rsidP="00E10F2B">
      <w:pPr>
        <w:contextualSpacing/>
        <w:rPr>
          <w:rFonts w:ascii="Times New Roman" w:hAnsi="Times New Roman" w:cs="Times New Roman"/>
        </w:rPr>
      </w:pPr>
    </w:p>
    <w:p w14:paraId="46C47C92" w14:textId="554CB9A7" w:rsidR="009611DD" w:rsidRPr="00796AAD" w:rsidRDefault="009611DD" w:rsidP="00E10F2B">
      <w:pPr>
        <w:contextualSpacing/>
        <w:rPr>
          <w:rFonts w:ascii="Times New Roman" w:hAnsi="Times New Roman" w:cs="Times New Roman"/>
        </w:rPr>
      </w:pPr>
      <w:r w:rsidRPr="00796AAD">
        <w:rPr>
          <w:shd w:val="clear" w:color="auto" w:fill="FFFFFF"/>
        </w:rPr>
        <w:t xml:space="preserve">When the supernatant of the </w:t>
      </w:r>
      <w:proofErr w:type="spellStart"/>
      <w:r w:rsidRPr="00796AAD">
        <w:rPr>
          <w:shd w:val="clear" w:color="auto" w:fill="FFFFFF"/>
        </w:rPr>
        <w:t>asGFP</w:t>
      </w:r>
      <w:proofErr w:type="spellEnd"/>
      <w:r w:rsidRPr="00796AAD">
        <w:rPr>
          <w:shd w:val="clear" w:color="auto" w:fill="FFFFFF"/>
        </w:rPr>
        <w:t xml:space="preserve">-IgG extract is added to the Protein G column, </w:t>
      </w:r>
      <w:r w:rsidR="00912165">
        <w:rPr>
          <w:shd w:val="clear" w:color="auto" w:fill="FFFFFF"/>
        </w:rPr>
        <w:t>the resin will become slightly green under white light</w:t>
      </w:r>
      <w:r w:rsidRPr="00796AAD">
        <w:rPr>
          <w:shd w:val="clear" w:color="auto" w:fill="FFFFFF"/>
        </w:rPr>
        <w:t xml:space="preserve"> due to plant chlorophyll pigments </w:t>
      </w:r>
      <w:r w:rsidRPr="6A645788">
        <w:rPr>
          <w:b/>
          <w:bCs/>
          <w:shd w:val="clear" w:color="auto" w:fill="FFFFFF"/>
        </w:rPr>
        <w:t>(</w:t>
      </w:r>
      <w:r w:rsidRPr="00796AAD">
        <w:rPr>
          <w:b/>
          <w:bCs/>
          <w:shd w:val="clear" w:color="auto" w:fill="FFFFFF"/>
        </w:rPr>
        <w:t>Figure 6A).</w:t>
      </w:r>
      <w:r w:rsidRPr="00796AAD">
        <w:rPr>
          <w:shd w:val="clear" w:color="auto" w:fill="FFFFFF"/>
        </w:rPr>
        <w:t xml:space="preserve"> The addition of supernatant under short-wave UV light results in </w:t>
      </w:r>
      <w:r>
        <w:rPr>
          <w:shd w:val="clear" w:color="auto" w:fill="FFFFFF"/>
        </w:rPr>
        <w:t xml:space="preserve">the </w:t>
      </w:r>
      <w:r w:rsidRPr="00796AAD">
        <w:rPr>
          <w:shd w:val="clear" w:color="auto" w:fill="FFFFFF"/>
        </w:rPr>
        <w:t xml:space="preserve">accumulation of fluorescence in the Protein G resin, as shown in </w:t>
      </w:r>
      <w:r w:rsidRPr="00796AAD">
        <w:rPr>
          <w:b/>
          <w:bCs/>
          <w:shd w:val="clear" w:color="auto" w:fill="FFFFFF"/>
        </w:rPr>
        <w:t>Figure 6B</w:t>
      </w:r>
      <w:r w:rsidRPr="00796AAD">
        <w:rPr>
          <w:shd w:val="clear" w:color="auto" w:fill="FFFFFF"/>
        </w:rPr>
        <w:t>.</w:t>
      </w:r>
      <w:r w:rsidR="00F30914">
        <w:rPr>
          <w:shd w:val="clear" w:color="auto" w:fill="FFFFFF"/>
        </w:rPr>
        <w:t xml:space="preserve"> Note that the supernatant will also be fluorescent </w:t>
      </w:r>
      <w:r w:rsidR="006A2908">
        <w:rPr>
          <w:shd w:val="clear" w:color="auto" w:fill="FFFFFF"/>
        </w:rPr>
        <w:t xml:space="preserve">alone </w:t>
      </w:r>
      <w:r w:rsidR="00F30914">
        <w:rPr>
          <w:shd w:val="clear" w:color="auto" w:fill="FFFFFF"/>
        </w:rPr>
        <w:t>under UV light</w:t>
      </w:r>
      <w:r w:rsidR="003043E2">
        <w:rPr>
          <w:shd w:val="clear" w:color="auto" w:fill="FFFFFF"/>
        </w:rPr>
        <w:t>. Still,</w:t>
      </w:r>
      <w:r w:rsidR="00F30914">
        <w:rPr>
          <w:shd w:val="clear" w:color="auto" w:fill="FFFFFF"/>
        </w:rPr>
        <w:t xml:space="preserve"> fluorescence is expected to be much more concentrated </w:t>
      </w:r>
      <w:r w:rsidR="006A2908">
        <w:rPr>
          <w:shd w:val="clear" w:color="auto" w:fill="FFFFFF"/>
        </w:rPr>
        <w:t xml:space="preserve">when </w:t>
      </w:r>
      <w:r w:rsidR="003043E2">
        <w:rPr>
          <w:shd w:val="clear" w:color="auto" w:fill="FFFFFF"/>
        </w:rPr>
        <w:t xml:space="preserve">the </w:t>
      </w:r>
      <w:proofErr w:type="spellStart"/>
      <w:r w:rsidR="003043E2">
        <w:rPr>
          <w:shd w:val="clear" w:color="auto" w:fill="FFFFFF"/>
        </w:rPr>
        <w:t>asGFP</w:t>
      </w:r>
      <w:proofErr w:type="spellEnd"/>
      <w:r w:rsidR="003043E2">
        <w:rPr>
          <w:shd w:val="clear" w:color="auto" w:fill="FFFFFF"/>
        </w:rPr>
        <w:t>-IgG</w:t>
      </w:r>
      <w:r w:rsidR="007B2710">
        <w:rPr>
          <w:shd w:val="clear" w:color="auto" w:fill="FFFFFF"/>
        </w:rPr>
        <w:t xml:space="preserve"> </w:t>
      </w:r>
      <w:r w:rsidR="003043E2">
        <w:rPr>
          <w:shd w:val="clear" w:color="auto" w:fill="FFFFFF"/>
        </w:rPr>
        <w:t xml:space="preserve">fusion begins to bind to </w:t>
      </w:r>
      <w:r w:rsidR="007B2710">
        <w:rPr>
          <w:shd w:val="clear" w:color="auto" w:fill="FFFFFF"/>
        </w:rPr>
        <w:t>the resin.</w:t>
      </w:r>
    </w:p>
    <w:p w14:paraId="7AEBD6C2" w14:textId="77777777" w:rsidR="009611DD" w:rsidRPr="00796AAD" w:rsidRDefault="009611DD" w:rsidP="00E10F2B">
      <w:pPr>
        <w:contextualSpacing/>
        <w:rPr>
          <w:rFonts w:ascii="Times New Roman" w:hAnsi="Times New Roman" w:cs="Times New Roman"/>
        </w:rPr>
      </w:pPr>
    </w:p>
    <w:p w14:paraId="22D310B9" w14:textId="193361A2" w:rsidR="009611DD" w:rsidRPr="00796AAD" w:rsidRDefault="009611DD" w:rsidP="00E10F2B">
      <w:pPr>
        <w:contextualSpacing/>
      </w:pPr>
      <w:r w:rsidRPr="00796AAD">
        <w:rPr>
          <w:shd w:val="clear" w:color="auto" w:fill="FFFFFF"/>
        </w:rPr>
        <w:t xml:space="preserve">Following the passing of supernatant of </w:t>
      </w:r>
      <w:proofErr w:type="spellStart"/>
      <w:r w:rsidRPr="00796AAD">
        <w:rPr>
          <w:shd w:val="clear" w:color="auto" w:fill="FFFFFF"/>
        </w:rPr>
        <w:t>asGFP</w:t>
      </w:r>
      <w:proofErr w:type="spellEnd"/>
      <w:r w:rsidRPr="00796AAD">
        <w:rPr>
          <w:shd w:val="clear" w:color="auto" w:fill="FFFFFF"/>
        </w:rPr>
        <w:t>-IgG thro</w:t>
      </w:r>
      <w:r w:rsidR="00501501">
        <w:rPr>
          <w:shd w:val="clear" w:color="auto" w:fill="FFFFFF"/>
        </w:rPr>
        <w:t>u</w:t>
      </w:r>
      <w:r w:rsidR="00EE2DC8">
        <w:rPr>
          <w:shd w:val="clear" w:color="auto" w:fill="FFFFFF"/>
        </w:rPr>
        <w:t>g</w:t>
      </w:r>
      <w:r w:rsidRPr="00796AAD">
        <w:rPr>
          <w:shd w:val="clear" w:color="auto" w:fill="FFFFFF"/>
        </w:rPr>
        <w:t xml:space="preserve">h the protein G resin, the resin should illuminate under short wave UV light, as shown in </w:t>
      </w:r>
      <w:r w:rsidRPr="00796AAD">
        <w:rPr>
          <w:b/>
          <w:bCs/>
          <w:shd w:val="clear" w:color="auto" w:fill="FFFFFF"/>
        </w:rPr>
        <w:t>Figure 7A</w:t>
      </w:r>
      <w:r w:rsidRPr="00796AAD">
        <w:rPr>
          <w:shd w:val="clear" w:color="auto" w:fill="FFFFFF"/>
        </w:rPr>
        <w:t>. At this point, most of the IgG will be bound to the resin. Upon adding the elution buffer, the fluorescence contained in the protein G resin will still be visible under short-wave UV light</w:t>
      </w:r>
      <w:r>
        <w:rPr>
          <w:shd w:val="clear" w:color="auto" w:fill="FFFFFF"/>
        </w:rPr>
        <w:t xml:space="preserve"> and</w:t>
      </w:r>
      <w:r w:rsidRPr="00796AAD">
        <w:rPr>
          <w:shd w:val="clear" w:color="auto" w:fill="FFFFFF"/>
        </w:rPr>
        <w:t xml:space="preserve"> will begin to lose intensity as more elution buffer of low pH passes thro</w:t>
      </w:r>
      <w:r w:rsidR="00501501">
        <w:rPr>
          <w:shd w:val="clear" w:color="auto" w:fill="FFFFFF"/>
        </w:rPr>
        <w:t>u</w:t>
      </w:r>
      <w:r w:rsidR="00EE2DC8">
        <w:rPr>
          <w:shd w:val="clear" w:color="auto" w:fill="FFFFFF"/>
        </w:rPr>
        <w:t>g</w:t>
      </w:r>
      <w:r w:rsidRPr="00796AAD">
        <w:rPr>
          <w:shd w:val="clear" w:color="auto" w:fill="FFFFFF"/>
        </w:rPr>
        <w:t xml:space="preserve">h the resin. Fluorescence will </w:t>
      </w:r>
      <w:r>
        <w:rPr>
          <w:shd w:val="clear" w:color="auto" w:fill="FFFFFF"/>
        </w:rPr>
        <w:t>start</w:t>
      </w:r>
      <w:r w:rsidRPr="00796AAD">
        <w:rPr>
          <w:shd w:val="clear" w:color="auto" w:fill="FFFFFF"/>
        </w:rPr>
        <w:t xml:space="preserve"> to accumulate in the </w:t>
      </w:r>
      <w:r w:rsidR="007D4ADF" w:rsidRPr="007D4ADF">
        <w:rPr>
          <w:shd w:val="clear" w:color="auto" w:fill="FFFFFF"/>
        </w:rPr>
        <w:t>eluate</w:t>
      </w:r>
      <w:r w:rsidR="007D4ADF">
        <w:rPr>
          <w:shd w:val="clear" w:color="auto" w:fill="FFFFFF"/>
        </w:rPr>
        <w:t xml:space="preserve">s </w:t>
      </w:r>
      <w:r w:rsidR="007D4ADF" w:rsidRPr="6A645788">
        <w:rPr>
          <w:b/>
          <w:bCs/>
          <w:shd w:val="clear" w:color="auto" w:fill="FFFFFF"/>
        </w:rPr>
        <w:t>(</w:t>
      </w:r>
      <w:r w:rsidRPr="00796AAD">
        <w:rPr>
          <w:b/>
          <w:bCs/>
          <w:shd w:val="clear" w:color="auto" w:fill="FFFFFF"/>
        </w:rPr>
        <w:t>Figure 7B)</w:t>
      </w:r>
      <w:r w:rsidRPr="00796AAD">
        <w:rPr>
          <w:shd w:val="clear" w:color="auto" w:fill="FFFFFF"/>
        </w:rPr>
        <w:t>. </w:t>
      </w:r>
      <w:r>
        <w:rPr>
          <w:shd w:val="clear" w:color="auto" w:fill="FFFFFF"/>
        </w:rPr>
        <w:t>E</w:t>
      </w:r>
      <w:r w:rsidRPr="007D4ADF">
        <w:rPr>
          <w:shd w:val="clear" w:color="auto" w:fill="FFFFFF"/>
        </w:rPr>
        <w:t>luate fractions</w:t>
      </w:r>
      <w:r w:rsidR="007D4ADF" w:rsidRPr="007D4ADF">
        <w:rPr>
          <w:shd w:val="clear" w:color="auto" w:fill="FFFFFF"/>
        </w:rPr>
        <w:t xml:space="preserve"> </w:t>
      </w:r>
      <w:r w:rsidRPr="00796AAD">
        <w:rPr>
          <w:shd w:val="clear" w:color="auto" w:fill="FFFFFF"/>
        </w:rPr>
        <w:t xml:space="preserve">will vary in fluorescence. As seen in </w:t>
      </w:r>
      <w:r w:rsidRPr="00796AAD">
        <w:rPr>
          <w:b/>
          <w:bCs/>
          <w:shd w:val="clear" w:color="auto" w:fill="FFFFFF"/>
        </w:rPr>
        <w:t>Figure 8</w:t>
      </w:r>
      <w:r w:rsidRPr="00796AAD">
        <w:rPr>
          <w:shd w:val="clear" w:color="auto" w:fill="FFFFFF"/>
        </w:rPr>
        <w:t xml:space="preserve">, fluorescence </w:t>
      </w:r>
      <w:r>
        <w:rPr>
          <w:shd w:val="clear" w:color="auto" w:fill="FFFFFF"/>
        </w:rPr>
        <w:t xml:space="preserve">is the </w:t>
      </w:r>
      <w:r w:rsidRPr="00796AAD">
        <w:rPr>
          <w:shd w:val="clear" w:color="auto" w:fill="FFFFFF"/>
        </w:rPr>
        <w:t>lowest intensity in the first elution and highest intensity in the second</w:t>
      </w:r>
      <w:r>
        <w:rPr>
          <w:shd w:val="clear" w:color="auto" w:fill="FFFFFF"/>
        </w:rPr>
        <w:t xml:space="preserve"> and third</w:t>
      </w:r>
      <w:r w:rsidRPr="00796AAD">
        <w:rPr>
          <w:shd w:val="clear" w:color="auto" w:fill="FFFFFF"/>
        </w:rPr>
        <w:t xml:space="preserve"> </w:t>
      </w:r>
      <w:r w:rsidR="007D4ADF" w:rsidRPr="007D4ADF">
        <w:rPr>
          <w:shd w:val="clear" w:color="auto" w:fill="FFFFFF"/>
        </w:rPr>
        <w:t>eluate</w:t>
      </w:r>
      <w:r w:rsidR="007D4ADF">
        <w:rPr>
          <w:shd w:val="clear" w:color="auto" w:fill="FFFFFF"/>
        </w:rPr>
        <w:t>s</w:t>
      </w:r>
      <w:r w:rsidRPr="00796AAD">
        <w:rPr>
          <w:shd w:val="clear" w:color="auto" w:fill="FFFFFF"/>
        </w:rPr>
        <w:t xml:space="preserve">. Results may vary, as the fluorescence will depend on the </w:t>
      </w:r>
      <w:r w:rsidR="003014FB">
        <w:rPr>
          <w:shd w:val="clear" w:color="auto" w:fill="FFFFFF"/>
        </w:rPr>
        <w:t>protein's expressio</w:t>
      </w:r>
      <w:r w:rsidRPr="00796AAD">
        <w:rPr>
          <w:shd w:val="clear" w:color="auto" w:fill="FFFFFF"/>
        </w:rPr>
        <w:t>n, harvested leaf material</w:t>
      </w:r>
      <w:r w:rsidR="003014FB">
        <w:rPr>
          <w:shd w:val="clear" w:color="auto" w:fill="FFFFFF"/>
        </w:rPr>
        <w:t>,</w:t>
      </w:r>
      <w:r w:rsidRPr="00796AAD">
        <w:rPr>
          <w:shd w:val="clear" w:color="auto" w:fill="FFFFFF"/>
        </w:rPr>
        <w:t xml:space="preserve"> and other conditions used in the experiment.</w:t>
      </w:r>
    </w:p>
    <w:p w14:paraId="16356167" w14:textId="77777777" w:rsidR="009611DD" w:rsidRDefault="009611DD" w:rsidP="00E10F2B">
      <w:pPr>
        <w:contextualSpacing/>
        <w:rPr>
          <w:rFonts w:ascii="Times New Roman" w:hAnsi="Times New Roman" w:cs="Times New Roman"/>
        </w:rPr>
      </w:pPr>
    </w:p>
    <w:p w14:paraId="36847549" w14:textId="20094ACA" w:rsidR="00551544" w:rsidRDefault="00874AAD" w:rsidP="00E10F2B">
      <w:pPr>
        <w:contextualSpacing/>
        <w:rPr>
          <w:color w:val="000000" w:themeColor="text1"/>
        </w:rPr>
      </w:pPr>
      <w:r>
        <w:t>After</w:t>
      </w:r>
      <w:r w:rsidR="6A645788">
        <w:t xml:space="preserve"> finish</w:t>
      </w:r>
      <w:r>
        <w:t xml:space="preserve">ing the purification process, samples are analyzed on the 10% SDS-PAGE gel </w:t>
      </w:r>
      <w:r w:rsidR="004D3314">
        <w:t>under</w:t>
      </w:r>
      <w:r>
        <w:t xml:space="preserve"> reduc</w:t>
      </w:r>
      <w:r w:rsidR="004D3314">
        <w:t>ing</w:t>
      </w:r>
      <w:r w:rsidR="009611DD">
        <w:t xml:space="preserve"> </w:t>
      </w:r>
      <w:r w:rsidR="6A645788">
        <w:t xml:space="preserve">conditions </w:t>
      </w:r>
      <w:r w:rsidR="009611DD">
        <w:t>(sample buffer contains DT</w:t>
      </w:r>
      <w:r w:rsidR="00FF68DF">
        <w:t>T</w:t>
      </w:r>
      <w:r w:rsidR="009611DD">
        <w:t xml:space="preserve"> and samples were boiled for 5 </w:t>
      </w:r>
      <w:r w:rsidR="6A645788">
        <w:t>min</w:t>
      </w:r>
      <w:r w:rsidR="009611DD">
        <w:t xml:space="preserve">) and non-reducing </w:t>
      </w:r>
      <w:r w:rsidR="6A645788">
        <w:t>conditions</w:t>
      </w:r>
      <w:r w:rsidR="00E56DCF">
        <w:t xml:space="preserve"> (sample buffer does not contain DTT and samples were not boiled</w:t>
      </w:r>
      <w:r w:rsidR="6A645788">
        <w:t>).</w:t>
      </w:r>
      <w:r w:rsidR="009611DD">
        <w:t xml:space="preserve"> As shown in </w:t>
      </w:r>
      <w:r w:rsidR="009611DD" w:rsidRPr="098DCA1A">
        <w:rPr>
          <w:b/>
          <w:color w:val="000000" w:themeColor="text1"/>
        </w:rPr>
        <w:t>Figure 9A,</w:t>
      </w:r>
      <w:r w:rsidR="009611DD" w:rsidRPr="098DCA1A">
        <w:rPr>
          <w:color w:val="000000" w:themeColor="text1"/>
        </w:rPr>
        <w:t xml:space="preserve"> only non-reducing samples, such as </w:t>
      </w:r>
      <w:r w:rsidR="00D8679A">
        <w:rPr>
          <w:color w:val="000000" w:themeColor="text1"/>
        </w:rPr>
        <w:t xml:space="preserve">in </w:t>
      </w:r>
      <w:r w:rsidR="00D8679A" w:rsidRPr="00D8679A">
        <w:rPr>
          <w:color w:val="000000" w:themeColor="text1"/>
        </w:rPr>
        <w:t>Elution 2 NR lane</w:t>
      </w:r>
      <w:r w:rsidR="009611DD" w:rsidRPr="098DCA1A">
        <w:rPr>
          <w:color w:val="000000" w:themeColor="text1"/>
        </w:rPr>
        <w:t xml:space="preserve">, will </w:t>
      </w:r>
      <w:r w:rsidR="009611DD" w:rsidRPr="6A645788">
        <w:rPr>
          <w:rFonts w:asciiTheme="minorHAnsi" w:hAnsiTheme="minorHAnsi" w:cstheme="minorBidi"/>
          <w:color w:val="000000" w:themeColor="text1"/>
        </w:rPr>
        <w:t>fluoresce when exposed to short wave UV light. Th</w:t>
      </w:r>
      <w:r w:rsidR="00484025">
        <w:rPr>
          <w:rFonts w:asciiTheme="minorHAnsi" w:hAnsiTheme="minorHAnsi" w:cstheme="minorBidi"/>
          <w:color w:val="000000" w:themeColor="text1"/>
        </w:rPr>
        <w:t>is lane's first band</w:t>
      </w:r>
      <w:r w:rsidR="009611DD" w:rsidRPr="6A645788">
        <w:rPr>
          <w:rFonts w:asciiTheme="minorHAnsi" w:hAnsiTheme="minorHAnsi" w:cstheme="minorBidi"/>
          <w:color w:val="000000" w:themeColor="text1"/>
        </w:rPr>
        <w:t xml:space="preserve"> is fluorescing</w:t>
      </w:r>
      <w:r w:rsidR="00D30352" w:rsidRPr="6A645788">
        <w:rPr>
          <w:rFonts w:asciiTheme="minorHAnsi" w:hAnsiTheme="minorHAnsi" w:cstheme="minorBidi"/>
          <w:color w:val="000000" w:themeColor="text1"/>
        </w:rPr>
        <w:t xml:space="preserve"> </w:t>
      </w:r>
      <w:r w:rsidR="00AD0CD0" w:rsidRPr="6A645788">
        <w:rPr>
          <w:rFonts w:asciiTheme="minorHAnsi" w:hAnsiTheme="minorHAnsi" w:cstheme="minorBidi"/>
          <w:color w:val="000000" w:themeColor="text1"/>
        </w:rPr>
        <w:t>at</w:t>
      </w:r>
      <w:r w:rsidR="00D30352" w:rsidRPr="6A645788">
        <w:rPr>
          <w:rFonts w:asciiTheme="minorHAnsi" w:hAnsiTheme="minorHAnsi" w:cstheme="minorBidi"/>
          <w:color w:val="000000" w:themeColor="text1"/>
        </w:rPr>
        <w:t xml:space="preserve"> the </w:t>
      </w:r>
      <w:r w:rsidR="00AF4CCD" w:rsidRPr="6A645788">
        <w:rPr>
          <w:rFonts w:asciiTheme="minorHAnsi" w:hAnsiTheme="minorHAnsi" w:cstheme="minorBidi"/>
          <w:color w:val="000000" w:themeColor="text1"/>
        </w:rPr>
        <w:t>full product's expected size</w:t>
      </w:r>
      <w:r w:rsidR="6A645788" w:rsidRPr="6A645788">
        <w:rPr>
          <w:rFonts w:asciiTheme="minorHAnsi" w:hAnsiTheme="minorHAnsi" w:cstheme="minorBidi"/>
          <w:color w:val="000000" w:themeColor="text1"/>
        </w:rPr>
        <w:t xml:space="preserve"> ~</w:t>
      </w:r>
      <w:r w:rsidR="00484025">
        <w:rPr>
          <w:rFonts w:asciiTheme="minorHAnsi" w:hAnsiTheme="minorHAnsi" w:cstheme="minorBidi"/>
          <w:color w:val="000000" w:themeColor="text1"/>
        </w:rPr>
        <w:t>200</w:t>
      </w:r>
      <w:r w:rsidR="6A645788" w:rsidRPr="6A645788">
        <w:rPr>
          <w:rFonts w:asciiTheme="minorHAnsi" w:hAnsiTheme="minorHAnsi" w:cstheme="minorBidi"/>
          <w:color w:val="000000" w:themeColor="text1"/>
        </w:rPr>
        <w:t xml:space="preserve"> kDa</w:t>
      </w:r>
      <w:r w:rsidR="009611DD" w:rsidRPr="6A645788">
        <w:rPr>
          <w:rFonts w:asciiTheme="minorHAnsi" w:hAnsiTheme="minorHAnsi" w:cstheme="minorBidi"/>
          <w:color w:val="000000" w:themeColor="text1"/>
        </w:rPr>
        <w:t xml:space="preserve">, indicating that the </w:t>
      </w:r>
      <w:proofErr w:type="spellStart"/>
      <w:r w:rsidR="009611DD" w:rsidRPr="6A645788">
        <w:rPr>
          <w:rFonts w:asciiTheme="minorHAnsi" w:hAnsiTheme="minorHAnsi" w:cstheme="minorBidi"/>
          <w:color w:val="000000" w:themeColor="text1"/>
        </w:rPr>
        <w:t>asGFP</w:t>
      </w:r>
      <w:proofErr w:type="spellEnd"/>
      <w:r w:rsidR="009611DD" w:rsidRPr="6A645788">
        <w:rPr>
          <w:rFonts w:asciiTheme="minorHAnsi" w:hAnsiTheme="minorHAnsi" w:cstheme="minorBidi"/>
          <w:color w:val="000000" w:themeColor="text1"/>
        </w:rPr>
        <w:t xml:space="preserve"> is still conformationally correct. </w:t>
      </w:r>
      <w:r w:rsidR="00484025">
        <w:rPr>
          <w:rFonts w:asciiTheme="minorHAnsi" w:hAnsiTheme="minorHAnsi" w:cstheme="minorBidi"/>
          <w:color w:val="000000" w:themeColor="text1"/>
        </w:rPr>
        <w:t>The fl</w:t>
      </w:r>
      <w:r w:rsidR="002B0BEF" w:rsidRPr="6A645788">
        <w:rPr>
          <w:rFonts w:asciiTheme="minorHAnsi" w:hAnsiTheme="minorHAnsi" w:cstheme="minorBidi"/>
          <w:color w:val="000000" w:themeColor="text1"/>
        </w:rPr>
        <w:t>uore</w:t>
      </w:r>
      <w:r w:rsidR="00C1339C" w:rsidRPr="6A645788">
        <w:rPr>
          <w:rFonts w:asciiTheme="minorHAnsi" w:hAnsiTheme="minorHAnsi" w:cstheme="minorBidi"/>
          <w:color w:val="000000" w:themeColor="text1"/>
        </w:rPr>
        <w:t>s</w:t>
      </w:r>
      <w:r w:rsidR="002B0BEF" w:rsidRPr="6A645788">
        <w:rPr>
          <w:rFonts w:asciiTheme="minorHAnsi" w:hAnsiTheme="minorHAnsi" w:cstheme="minorBidi"/>
          <w:color w:val="000000" w:themeColor="text1"/>
        </w:rPr>
        <w:t>cent</w:t>
      </w:r>
      <w:r w:rsidR="009611DD" w:rsidRPr="6A645788">
        <w:rPr>
          <w:rFonts w:asciiTheme="minorHAnsi" w:hAnsiTheme="minorHAnsi" w:cstheme="minorBidi"/>
          <w:color w:val="000000" w:themeColor="text1"/>
        </w:rPr>
        <w:t xml:space="preserve"> bands near the bottom of the gel are dye from the reducing buffer. </w:t>
      </w:r>
      <w:r w:rsidR="002B0BEF" w:rsidRPr="6A645788">
        <w:rPr>
          <w:rFonts w:asciiTheme="minorHAnsi" w:hAnsiTheme="minorHAnsi" w:cstheme="minorBidi"/>
          <w:color w:val="000000" w:themeColor="text1"/>
        </w:rPr>
        <w:t xml:space="preserve">Note that </w:t>
      </w:r>
      <w:proofErr w:type="spellStart"/>
      <w:r w:rsidR="002B0BEF" w:rsidRPr="6A645788">
        <w:rPr>
          <w:rFonts w:asciiTheme="minorHAnsi" w:hAnsiTheme="minorHAnsi" w:cstheme="minorBidi"/>
          <w:color w:val="000000" w:themeColor="text1"/>
        </w:rPr>
        <w:t>asGFP</w:t>
      </w:r>
      <w:proofErr w:type="spellEnd"/>
      <w:r w:rsidR="002B0BEF" w:rsidRPr="6A645788">
        <w:rPr>
          <w:rFonts w:asciiTheme="minorHAnsi" w:hAnsiTheme="minorHAnsi" w:cstheme="minorBidi"/>
          <w:color w:val="000000" w:themeColor="text1"/>
        </w:rPr>
        <w:t xml:space="preserve"> lo</w:t>
      </w:r>
      <w:r w:rsidR="001F0D21" w:rsidRPr="6A645788">
        <w:rPr>
          <w:rFonts w:asciiTheme="minorHAnsi" w:hAnsiTheme="minorHAnsi" w:cstheme="minorBidi"/>
          <w:color w:val="000000" w:themeColor="text1"/>
        </w:rPr>
        <w:t>ses fluorescence when exposed to temperatures at or above 95</w:t>
      </w:r>
      <w:r w:rsidR="00A94398">
        <w:rPr>
          <w:rFonts w:asciiTheme="minorHAnsi" w:hAnsiTheme="minorHAnsi" w:cstheme="minorBidi"/>
          <w:color w:val="000000" w:themeColor="text1"/>
        </w:rPr>
        <w:t xml:space="preserve"> </w:t>
      </w:r>
      <w:r w:rsidR="00A94398">
        <w:rPr>
          <w:rFonts w:asciiTheme="minorHAnsi" w:hAnsiTheme="minorHAnsi" w:cstheme="minorHAnsi"/>
          <w:color w:val="000000" w:themeColor="text1"/>
        </w:rPr>
        <w:t>°</w:t>
      </w:r>
      <w:r w:rsidR="00A94398">
        <w:rPr>
          <w:rFonts w:asciiTheme="minorHAnsi" w:hAnsiTheme="minorHAnsi" w:cstheme="minorBidi"/>
          <w:color w:val="000000" w:themeColor="text1"/>
        </w:rPr>
        <w:t xml:space="preserve">C </w:t>
      </w:r>
      <w:r w:rsidR="001F0D21" w:rsidRPr="6A645788">
        <w:rPr>
          <w:rFonts w:asciiTheme="minorHAnsi" w:hAnsiTheme="minorHAnsi" w:cstheme="minorBidi"/>
          <w:color w:val="000000" w:themeColor="text1"/>
        </w:rPr>
        <w:t>for 5 minutes</w:t>
      </w:r>
      <w:r w:rsidR="00484025">
        <w:rPr>
          <w:rFonts w:asciiTheme="minorHAnsi" w:hAnsiTheme="minorHAnsi" w:cstheme="minorBidi"/>
          <w:color w:val="000000" w:themeColor="text1"/>
        </w:rPr>
        <w:t>;</w:t>
      </w:r>
      <w:r w:rsidR="001F0D21" w:rsidRPr="6A645788">
        <w:rPr>
          <w:rFonts w:asciiTheme="minorHAnsi" w:hAnsiTheme="minorHAnsi" w:cstheme="minorBidi"/>
          <w:color w:val="000000" w:themeColor="text1"/>
        </w:rPr>
        <w:t xml:space="preserve"> this is different from</w:t>
      </w:r>
      <w:r w:rsidR="00730CFF" w:rsidRPr="6A645788">
        <w:rPr>
          <w:rFonts w:asciiTheme="minorHAnsi" w:hAnsiTheme="minorHAnsi" w:cstheme="minorBidi"/>
          <w:color w:val="000000" w:themeColor="text1"/>
        </w:rPr>
        <w:t xml:space="preserve"> eGFP</w:t>
      </w:r>
      <w:r w:rsidR="00A15A35" w:rsidRPr="6A645788">
        <w:rPr>
          <w:rFonts w:asciiTheme="minorHAnsi" w:hAnsiTheme="minorHAnsi" w:cstheme="minorBidi"/>
          <w:color w:val="000000" w:themeColor="text1"/>
        </w:rPr>
        <w:t xml:space="preserve"> (enhanced GFP)</w:t>
      </w:r>
      <w:r w:rsidR="001F0D21" w:rsidRPr="6A645788">
        <w:rPr>
          <w:rFonts w:asciiTheme="minorHAnsi" w:hAnsiTheme="minorHAnsi" w:cstheme="minorBidi"/>
          <w:color w:val="000000" w:themeColor="text1"/>
        </w:rPr>
        <w:t>,</w:t>
      </w:r>
      <w:r w:rsidR="00A15A35" w:rsidRPr="6A645788">
        <w:rPr>
          <w:rFonts w:asciiTheme="minorHAnsi" w:hAnsiTheme="minorHAnsi" w:cstheme="minorBidi"/>
          <w:color w:val="000000" w:themeColor="text1"/>
        </w:rPr>
        <w:t xml:space="preserve"> which would maintain</w:t>
      </w:r>
      <w:r w:rsidR="00660EAB" w:rsidRPr="6A645788">
        <w:rPr>
          <w:rFonts w:asciiTheme="minorHAnsi" w:hAnsiTheme="minorHAnsi" w:cstheme="minorBidi"/>
          <w:color w:val="000000" w:themeColor="text1"/>
        </w:rPr>
        <w:t xml:space="preserve"> some</w:t>
      </w:r>
      <w:r w:rsidR="00A15A35" w:rsidRPr="6A645788">
        <w:rPr>
          <w:rFonts w:asciiTheme="minorHAnsi" w:hAnsiTheme="minorHAnsi" w:cstheme="minorBidi"/>
          <w:color w:val="000000" w:themeColor="text1"/>
        </w:rPr>
        <w:t xml:space="preserve"> fluorescence under the same conditions</w:t>
      </w:r>
      <w:r w:rsidR="00820101" w:rsidRPr="6A645788">
        <w:rPr>
          <w:rFonts w:asciiTheme="minorHAnsi" w:hAnsiTheme="minorHAnsi" w:cstheme="minorBidi"/>
          <w:color w:val="000000" w:themeColor="text1"/>
        </w:rPr>
        <w:fldChar w:fldCharType="begin" w:fldLock="1"/>
      </w:r>
      <w:r w:rsidR="00170527">
        <w:rPr>
          <w:rFonts w:asciiTheme="minorHAnsi" w:hAnsiTheme="minorHAnsi" w:cstheme="minorBidi"/>
          <w:color w:val="000000" w:themeColor="text1"/>
        </w:rPr>
        <w:instrText>ADDIN CSL_CITATION {"citationItems":[{"id":"ITEM-1","itemData":{"DOI":"10.1111/j.1472-765X.2003.01460.x","ISSN":"0266-8254","abstract":"Aims: The thermal stability of isolated and extracted recombinant green fluorescent protein (GFPuv) was evaluated by analysing the loss of fluorescence intensity. Methods and Results: GFPuv was expressed by Escherichia colt, extracted by the three-phase partitioning method and purified by elution through an hydrophobic interaction column. The collected fractions were further diluted in Tris-HCl-EDTA (pH 8.0) and subjected to continuous heating at set temperatures (45-95°C). From a standard curve relating fluorescence intensity to GFPuv concentration, the loss of fluorescence intensity was converted to denatured GFPuv concentration (μg ml-1). To determine the extent of the thermal stability of GFPuv, decimal reduction times (D-values), z-value and energy of activation (Ea) were calculated. Conclusions: For temperatures between 45 and 70°C, extracted native GFPuv activity decreased from 11 to 75% relative to initial native protein concentration above 70°C, the average decrease in GFPuv fluorescence was between 72 to 83%. Significance and Impact of the Study: The thermal stability of GFPuv provides the basis for its potential utility as a fluorescent biological indicator to assess the efficacy of the treatment of liquids and materials exposed to steam.","author":[{"dropping-particle":"","family":"Vessoni Penna","given":"T.C.","non-dropping-particle":"","parse-names":false,"suffix":""},{"dropping-particle":"","family":"Ishii","given":"M.","non-dropping-particle":"","parse-names":false,"suffix":""},{"dropping-particle":"","family":"Cholewa","given":"O.","non-dropping-particle":"","parse-names":false,"suffix":""},{"dropping-particle":"","family":"Souza","given":"L.C.","non-dropping-particle":"de","parse-names":false,"suffix":""}],"container-title":"Letters in Applied Microbiology","id":"ITEM-1","issue":"2","issued":{"date-parts":[["2004","2","1"]]},"page":"135-139","publisher":"John Wiley &amp; Sons, Ltd","title":"Thermal characteristics of recombinant green fluorescent protein (GFPuv) extracted from Escherichia coli","type":"article-journal","volume":"38"},"uris":["http://www.mendeley.com/documents/?uuid=3344ea78-69f0-34be-a0fc-4a2db9eba65b"]},{"id":"ITEM-2","itemData":{"DOI":"10.1186/s13765-019-0448-y","ISSN":"24680842","abstract":"We investigated the expression and stability of enhanced green fluorescent protein (eGFP) under extreme conditions using two types of high-copy-number vectors and two types of anchoring motifs (CotB and C-terminally truncated ∆CotB spore coat proteins) for the development of a spore surface display system in Bacillus subtilis. The fused cotB-gfp and ΔcotB-gfp DNA fragments were cloned into the pUB19 (pUB110-derived) and pHY300PLK vectors. Four types of expression vectors were transformed into B. subtilis 168. The expression level of eGFP on the surface of spores prepared from B. subtilis transformants was measured by flow cytometry. When pUB19 vector was used, the activities of ∆CotB-eGFP and CotB-eGFP were 17.9 and 5.6 times higher than those of the pHY300PLK vector, respectively. In addition, the activity of pUB19-∆CotB-eGFP was 1.76 times higher than that of pUB19-CotB-eGFP. Overall, the activity of eGFP was more stable under extreme conditions (heat, pH, and protease challenges) when ∆CotB was used as an anchoring motif instead of CotB. Compared to the control groups, the activities of ΔCotB-eGFP and CotB-eGFP were maintained at 56% and 41% at 80 °C and 88% and 55% at pH 10, respectively. The activities of ΔCotB-eGFP and CotB-eGFP were maintained at 62% and 41%, respectively, when treated with 0.03 U of proteinase K. In addition, the activities were maintained at 77% and 36%, respectively, when treated with 5.5 U of trypsin.","author":[{"dropping-particle":"","family":"Kang","given":"Soo Ji","non-dropping-particle":"","parse-names":false,"suffix":""},{"dropping-particle":"","family":"Park","given":"Eun Ah","non-dropping-particle":"","parse-names":false,"suffix":""},{"dropping-particle":"","family":"Lee","given":"Dong Hun","non-dropping-particle":"","parse-names":false,"suffix":""},{"dropping-particle":"","family":"Hong","given":"Kwang Won","non-dropping-particle":"","parse-names":false,"suffix":""}],"container-title":"Applied Biological Chemistry","id":"ITEM-2","issue":"1","issued":{"date-parts":[["2019","12","1"]]},"page":"41","publisher":"Springer Netherlands","title":"Comparison of the stability of eGFP displayed on the Bacillus subtilis spore surface using CotB and C-terminally truncated CotB proteins as an anchoring motif under extreme conditions","type":"article-journal","volume":"62"},"uris":["http://www.mendeley.com/documents/?uuid=9688ac35-bbe3-3591-84ed-379011d056cf"]}],"mendeley":{"formattedCitation":"&lt;sup&gt;49, 50&lt;/sup&gt;","plainTextFormattedCitation":"49, 50","previouslyFormattedCitation":"&lt;sup&gt;49, 50&lt;/sup&gt;"},"properties":{"noteIndex":0},"schema":"https://github.com/citation-style-language/schema/raw/master/csl-citation.json"}</w:instrText>
      </w:r>
      <w:r w:rsidR="00820101" w:rsidRPr="6A645788">
        <w:rPr>
          <w:rFonts w:asciiTheme="minorHAnsi" w:hAnsiTheme="minorHAnsi" w:cstheme="minorBidi"/>
          <w:color w:val="000000" w:themeColor="text1"/>
        </w:rPr>
        <w:fldChar w:fldCharType="separate"/>
      </w:r>
      <w:r w:rsidR="00820101" w:rsidRPr="6A645788">
        <w:rPr>
          <w:rFonts w:asciiTheme="minorHAnsi" w:hAnsiTheme="minorHAnsi" w:cstheme="minorBidi"/>
          <w:noProof/>
          <w:color w:val="000000" w:themeColor="text1"/>
          <w:vertAlign w:val="superscript"/>
        </w:rPr>
        <w:t>49, 50</w:t>
      </w:r>
      <w:r w:rsidR="00820101" w:rsidRPr="6A645788">
        <w:rPr>
          <w:rFonts w:asciiTheme="minorHAnsi" w:hAnsiTheme="minorHAnsi" w:cstheme="minorBidi"/>
          <w:color w:val="000000" w:themeColor="text1"/>
        </w:rPr>
        <w:fldChar w:fldCharType="end"/>
      </w:r>
      <w:r w:rsidR="003D456A" w:rsidRPr="6A645788">
        <w:rPr>
          <w:rFonts w:asciiTheme="minorHAnsi" w:hAnsiTheme="minorHAnsi" w:cstheme="minorBidi"/>
          <w:color w:val="000000" w:themeColor="text1"/>
        </w:rPr>
        <w:t xml:space="preserve">. </w:t>
      </w:r>
      <w:r w:rsidR="00495B3C">
        <w:rPr>
          <w:rFonts w:asciiTheme="minorHAnsi" w:hAnsiTheme="minorHAnsi" w:cstheme="minorBidi"/>
          <w:color w:val="000000" w:themeColor="text1"/>
        </w:rPr>
        <w:t>T</w:t>
      </w:r>
      <w:r w:rsidR="009611DD" w:rsidRPr="6A645788">
        <w:rPr>
          <w:rFonts w:asciiTheme="minorHAnsi" w:hAnsiTheme="minorHAnsi" w:cstheme="minorBidi"/>
          <w:color w:val="000000" w:themeColor="text1"/>
        </w:rPr>
        <w:t xml:space="preserve">wo bands of the </w:t>
      </w:r>
      <w:r w:rsidR="009611DD" w:rsidRPr="6A645788">
        <w:rPr>
          <w:rFonts w:asciiTheme="minorHAnsi" w:hAnsiTheme="minorHAnsi" w:cstheme="minorBidi"/>
          <w:color w:val="000000" w:themeColor="text1"/>
        </w:rPr>
        <w:lastRenderedPageBreak/>
        <w:t xml:space="preserve">ladder, 75 kDa and 25 kDa, also fluoresce. </w:t>
      </w:r>
      <w:r w:rsidR="009611DD" w:rsidRPr="6A645788">
        <w:rPr>
          <w:rFonts w:asciiTheme="minorHAnsi" w:hAnsiTheme="minorHAnsi" w:cstheme="minorBidi"/>
          <w:b/>
          <w:color w:val="000000" w:themeColor="text1"/>
        </w:rPr>
        <w:t>Figure 9B</w:t>
      </w:r>
      <w:r w:rsidR="009611DD" w:rsidRPr="6A645788">
        <w:rPr>
          <w:rFonts w:asciiTheme="minorHAnsi" w:hAnsiTheme="minorHAnsi" w:cstheme="minorBidi"/>
          <w:color w:val="000000" w:themeColor="text1"/>
        </w:rPr>
        <w:t xml:space="preserve"> represents a Coomassie stain of the same gel in </w:t>
      </w:r>
      <w:r w:rsidR="009611DD" w:rsidRPr="6A645788">
        <w:rPr>
          <w:rFonts w:asciiTheme="minorHAnsi" w:hAnsiTheme="minorHAnsi" w:cstheme="minorBidi"/>
          <w:b/>
          <w:color w:val="000000" w:themeColor="text1"/>
        </w:rPr>
        <w:t>Figure 9A.</w:t>
      </w:r>
      <w:r w:rsidR="009611DD" w:rsidRPr="6A645788">
        <w:rPr>
          <w:rFonts w:asciiTheme="minorHAnsi" w:hAnsiTheme="minorHAnsi" w:cstheme="minorBidi"/>
          <w:color w:val="000000" w:themeColor="text1"/>
        </w:rPr>
        <w:t xml:space="preserve"> Elution</w:t>
      </w:r>
      <w:r w:rsidR="008218BA" w:rsidRPr="6A645788">
        <w:rPr>
          <w:rFonts w:asciiTheme="minorHAnsi" w:hAnsiTheme="minorHAnsi" w:cstheme="minorBidi"/>
          <w:color w:val="000000" w:themeColor="text1"/>
        </w:rPr>
        <w:t>s</w:t>
      </w:r>
      <w:r w:rsidR="009611DD" w:rsidRPr="6A645788">
        <w:rPr>
          <w:rFonts w:asciiTheme="minorHAnsi" w:hAnsiTheme="minorHAnsi" w:cstheme="minorBidi"/>
          <w:color w:val="000000" w:themeColor="text1"/>
        </w:rPr>
        <w:t xml:space="preserve"> </w:t>
      </w:r>
      <w:r w:rsidR="00D03AB7" w:rsidRPr="6A645788">
        <w:rPr>
          <w:rFonts w:asciiTheme="minorHAnsi" w:hAnsiTheme="minorHAnsi" w:cstheme="minorBidi"/>
          <w:color w:val="000000" w:themeColor="text1"/>
        </w:rPr>
        <w:t xml:space="preserve">in </w:t>
      </w:r>
      <w:r w:rsidR="009611DD" w:rsidRPr="6A645788">
        <w:rPr>
          <w:rFonts w:asciiTheme="minorHAnsi" w:hAnsiTheme="minorHAnsi" w:cstheme="minorBidi"/>
          <w:color w:val="000000" w:themeColor="text1"/>
        </w:rPr>
        <w:t>lanes 6-9</w:t>
      </w:r>
      <w:r w:rsidR="00D03AB7" w:rsidRPr="6A645788">
        <w:rPr>
          <w:rFonts w:asciiTheme="minorHAnsi" w:hAnsiTheme="minorHAnsi" w:cstheme="minorBidi"/>
          <w:color w:val="000000" w:themeColor="text1"/>
        </w:rPr>
        <w:t xml:space="preserve"> have been prepared under</w:t>
      </w:r>
      <w:r w:rsidR="009611DD" w:rsidRPr="6A645788">
        <w:rPr>
          <w:rFonts w:asciiTheme="minorHAnsi" w:hAnsiTheme="minorHAnsi" w:cstheme="minorBidi"/>
          <w:color w:val="000000" w:themeColor="text1"/>
        </w:rPr>
        <w:t xml:space="preserve"> reducing</w:t>
      </w:r>
      <w:r w:rsidR="00D03AB7" w:rsidRPr="6A645788">
        <w:rPr>
          <w:rFonts w:asciiTheme="minorHAnsi" w:hAnsiTheme="minorHAnsi" w:cstheme="minorBidi"/>
          <w:color w:val="000000" w:themeColor="text1"/>
        </w:rPr>
        <w:t xml:space="preserve"> conditions</w:t>
      </w:r>
      <w:r w:rsidR="6A645788" w:rsidRPr="6A645788">
        <w:rPr>
          <w:color w:val="000000" w:themeColor="text1"/>
        </w:rPr>
        <w:t>.</w:t>
      </w:r>
      <w:r w:rsidR="009378F4">
        <w:rPr>
          <w:color w:val="000000" w:themeColor="text1"/>
        </w:rPr>
        <w:t xml:space="preserve"> When r</w:t>
      </w:r>
      <w:r w:rsidR="00D962F4">
        <w:rPr>
          <w:color w:val="000000" w:themeColor="text1"/>
        </w:rPr>
        <w:t>u</w:t>
      </w:r>
      <w:r w:rsidR="009378F4">
        <w:rPr>
          <w:color w:val="000000" w:themeColor="text1"/>
        </w:rPr>
        <w:t>n on a gel and Coomassie</w:t>
      </w:r>
      <w:r w:rsidR="00D962F4">
        <w:rPr>
          <w:color w:val="000000" w:themeColor="text1"/>
        </w:rPr>
        <w:t>-</w:t>
      </w:r>
      <w:r w:rsidR="009378F4">
        <w:rPr>
          <w:color w:val="000000" w:themeColor="text1"/>
        </w:rPr>
        <w:t>stained, these samples</w:t>
      </w:r>
      <w:r w:rsidR="009611DD" w:rsidRPr="098DCA1A">
        <w:rPr>
          <w:color w:val="000000" w:themeColor="text1"/>
        </w:rPr>
        <w:t xml:space="preserve"> </w:t>
      </w:r>
      <w:r w:rsidR="009378F4">
        <w:rPr>
          <w:color w:val="000000" w:themeColor="text1"/>
        </w:rPr>
        <w:t>should display</w:t>
      </w:r>
      <w:r w:rsidR="009611DD" w:rsidRPr="098DCA1A">
        <w:rPr>
          <w:color w:val="000000" w:themeColor="text1"/>
        </w:rPr>
        <w:t xml:space="preserve"> the </w:t>
      </w:r>
      <w:proofErr w:type="spellStart"/>
      <w:r w:rsidR="009611DD" w:rsidRPr="098DCA1A">
        <w:rPr>
          <w:color w:val="000000" w:themeColor="text1"/>
        </w:rPr>
        <w:t>asGFP</w:t>
      </w:r>
      <w:proofErr w:type="spellEnd"/>
      <w:r w:rsidR="009611DD" w:rsidRPr="098DCA1A">
        <w:rPr>
          <w:color w:val="000000" w:themeColor="text1"/>
        </w:rPr>
        <w:t>-IgG fusion components</w:t>
      </w:r>
      <w:r w:rsidR="000C1127">
        <w:rPr>
          <w:color w:val="000000" w:themeColor="text1"/>
        </w:rPr>
        <w:t xml:space="preserve"> separately. These components include </w:t>
      </w:r>
      <w:r w:rsidR="009611DD" w:rsidRPr="098DCA1A">
        <w:rPr>
          <w:color w:val="000000" w:themeColor="text1"/>
        </w:rPr>
        <w:t>the</w:t>
      </w:r>
      <w:r w:rsidR="000C1127">
        <w:rPr>
          <w:color w:val="000000" w:themeColor="text1"/>
        </w:rPr>
        <w:t xml:space="preserve"> heavy chain fused to GFP (~</w:t>
      </w:r>
      <w:r w:rsidR="76E991D2" w:rsidRPr="76E991D2">
        <w:rPr>
          <w:color w:val="000000" w:themeColor="text1"/>
        </w:rPr>
        <w:t>75 kDa</w:t>
      </w:r>
      <w:r w:rsidR="000C1127">
        <w:rPr>
          <w:color w:val="000000" w:themeColor="text1"/>
        </w:rPr>
        <w:t>)</w:t>
      </w:r>
      <w:r w:rsidR="008356B5">
        <w:rPr>
          <w:color w:val="000000" w:themeColor="text1"/>
        </w:rPr>
        <w:t>, the</w:t>
      </w:r>
      <w:r w:rsidR="009611DD" w:rsidRPr="098DCA1A">
        <w:rPr>
          <w:color w:val="000000" w:themeColor="text1"/>
        </w:rPr>
        <w:t xml:space="preserve"> heavy chain </w:t>
      </w:r>
      <w:r w:rsidR="000C1127">
        <w:rPr>
          <w:color w:val="000000" w:themeColor="text1"/>
        </w:rPr>
        <w:t xml:space="preserve">alone </w:t>
      </w:r>
      <w:r w:rsidR="009611DD" w:rsidRPr="098DCA1A">
        <w:rPr>
          <w:color w:val="000000" w:themeColor="text1"/>
        </w:rPr>
        <w:t xml:space="preserve">(50 kDa), the light chain (25 kDa), </w:t>
      </w:r>
      <w:r w:rsidR="008356B5">
        <w:rPr>
          <w:color w:val="000000" w:themeColor="text1"/>
        </w:rPr>
        <w:t xml:space="preserve">and </w:t>
      </w:r>
      <w:r w:rsidR="009611DD" w:rsidRPr="098DCA1A">
        <w:rPr>
          <w:color w:val="000000" w:themeColor="text1"/>
        </w:rPr>
        <w:t xml:space="preserve">the </w:t>
      </w:r>
      <w:proofErr w:type="spellStart"/>
      <w:r w:rsidR="009611DD" w:rsidRPr="098DCA1A">
        <w:rPr>
          <w:color w:val="000000" w:themeColor="text1"/>
        </w:rPr>
        <w:t>asGFP</w:t>
      </w:r>
      <w:proofErr w:type="spellEnd"/>
      <w:r w:rsidR="009611DD" w:rsidRPr="098DCA1A">
        <w:rPr>
          <w:color w:val="000000" w:themeColor="text1"/>
        </w:rPr>
        <w:t xml:space="preserve"> itself (</w:t>
      </w:r>
      <w:r w:rsidR="00862CEE">
        <w:rPr>
          <w:color w:val="000000" w:themeColor="text1"/>
        </w:rPr>
        <w:t>27</w:t>
      </w:r>
      <w:r w:rsidR="009611DD" w:rsidRPr="098DCA1A">
        <w:rPr>
          <w:color w:val="000000" w:themeColor="text1"/>
        </w:rPr>
        <w:t xml:space="preserve"> kDa). </w:t>
      </w:r>
      <w:r w:rsidR="00A642BC">
        <w:rPr>
          <w:color w:val="000000" w:themeColor="text1"/>
        </w:rPr>
        <w:t>The non-reducing sample was included in the last lane of the gel for comparison purposes</w:t>
      </w:r>
      <w:r w:rsidR="6A645788" w:rsidRPr="6A645788">
        <w:rPr>
          <w:color w:val="000000" w:themeColor="text1"/>
        </w:rPr>
        <w:t xml:space="preserve"> and</w:t>
      </w:r>
      <w:r w:rsidR="00B65570">
        <w:rPr>
          <w:color w:val="000000" w:themeColor="text1"/>
        </w:rPr>
        <w:t xml:space="preserve"> </w:t>
      </w:r>
      <w:r w:rsidR="00B65EF3">
        <w:rPr>
          <w:color w:val="000000" w:themeColor="text1"/>
        </w:rPr>
        <w:t xml:space="preserve">should </w:t>
      </w:r>
      <w:r w:rsidR="00890FF6">
        <w:rPr>
          <w:color w:val="000000" w:themeColor="text1"/>
        </w:rPr>
        <w:t xml:space="preserve">display a single large band (~200 kDa), which should be made up of </w:t>
      </w:r>
      <w:r w:rsidR="00EF5CEC">
        <w:rPr>
          <w:color w:val="000000" w:themeColor="text1"/>
        </w:rPr>
        <w:t>two</w:t>
      </w:r>
      <w:r w:rsidR="00890FF6">
        <w:rPr>
          <w:color w:val="000000" w:themeColor="text1"/>
        </w:rPr>
        <w:t xml:space="preserve"> heavy chain</w:t>
      </w:r>
      <w:r w:rsidR="00EF5CEC">
        <w:rPr>
          <w:color w:val="000000" w:themeColor="text1"/>
        </w:rPr>
        <w:t xml:space="preserve">s fused to the </w:t>
      </w:r>
      <w:proofErr w:type="spellStart"/>
      <w:r w:rsidR="00EF5CEC">
        <w:rPr>
          <w:color w:val="000000" w:themeColor="text1"/>
        </w:rPr>
        <w:t>asGFP</w:t>
      </w:r>
      <w:proofErr w:type="spellEnd"/>
      <w:r w:rsidR="00EF5CEC">
        <w:rPr>
          <w:color w:val="000000" w:themeColor="text1"/>
        </w:rPr>
        <w:t xml:space="preserve"> and </w:t>
      </w:r>
      <w:r w:rsidR="00B65570">
        <w:rPr>
          <w:color w:val="000000" w:themeColor="text1"/>
        </w:rPr>
        <w:t xml:space="preserve">respective </w:t>
      </w:r>
      <w:r w:rsidR="00EF5CEC">
        <w:rPr>
          <w:color w:val="000000" w:themeColor="text1"/>
        </w:rPr>
        <w:t>light chains</w:t>
      </w:r>
      <w:r w:rsidR="00B65570">
        <w:rPr>
          <w:color w:val="000000" w:themeColor="text1"/>
        </w:rPr>
        <w:t xml:space="preserve">. </w:t>
      </w:r>
      <w:r w:rsidR="007A5C33" w:rsidRPr="007A5C33">
        <w:rPr>
          <w:color w:val="000000" w:themeColor="text1"/>
        </w:rPr>
        <w:t xml:space="preserve">Additionally, smaller bands are likely caused by native proteases. This cleavage </w:t>
      </w:r>
      <w:proofErr w:type="gramStart"/>
      <w:r w:rsidR="007A5C33" w:rsidRPr="007A5C33">
        <w:rPr>
          <w:color w:val="000000" w:themeColor="text1"/>
        </w:rPr>
        <w:t>can be prevented with the addition of protease inhibitors</w:t>
      </w:r>
      <w:r w:rsidR="003B2EB7" w:rsidRPr="003B2EB7">
        <w:t xml:space="preserve"> </w:t>
      </w:r>
      <w:r w:rsidR="003B2EB7">
        <w:t>a</w:t>
      </w:r>
      <w:r w:rsidR="003B2EB7" w:rsidRPr="003B2EB7">
        <w:rPr>
          <w:color w:val="000000" w:themeColor="text1"/>
        </w:rPr>
        <w:t>nd by keeping the protein extract cold at all times</w:t>
      </w:r>
      <w:proofErr w:type="gramEnd"/>
      <w:r w:rsidR="003B2EB7" w:rsidRPr="003B2EB7">
        <w:rPr>
          <w:color w:val="000000" w:themeColor="text1"/>
        </w:rPr>
        <w:t xml:space="preserve">, including </w:t>
      </w:r>
      <w:r w:rsidR="003B2EB7">
        <w:rPr>
          <w:color w:val="000000" w:themeColor="text1"/>
        </w:rPr>
        <w:t xml:space="preserve">when </w:t>
      </w:r>
      <w:r w:rsidR="003B2EB7" w:rsidRPr="003B2EB7">
        <w:rPr>
          <w:color w:val="000000" w:themeColor="text1"/>
        </w:rPr>
        <w:t>performing the column purification</w:t>
      </w:r>
      <w:r w:rsidR="007A5C33">
        <w:rPr>
          <w:color w:val="000000" w:themeColor="text1"/>
        </w:rPr>
        <w:t xml:space="preserve">. </w:t>
      </w:r>
      <w:r w:rsidR="00B65570">
        <w:rPr>
          <w:color w:val="000000" w:themeColor="text1"/>
        </w:rPr>
        <w:t xml:space="preserve">The </w:t>
      </w:r>
      <w:r w:rsidR="00D962F4">
        <w:rPr>
          <w:color w:val="000000" w:themeColor="text1"/>
        </w:rPr>
        <w:t xml:space="preserve">IgG fusion protein's individual components </w:t>
      </w:r>
      <w:r w:rsidR="00B65570">
        <w:rPr>
          <w:color w:val="000000" w:themeColor="text1"/>
        </w:rPr>
        <w:t xml:space="preserve">will not be </w:t>
      </w:r>
      <w:r w:rsidR="00D962F4">
        <w:rPr>
          <w:color w:val="000000" w:themeColor="text1"/>
        </w:rPr>
        <w:t>distinguishable in the non-reducing samples on the Coomassie gel.</w:t>
      </w:r>
    </w:p>
    <w:p w14:paraId="1F86FDDA" w14:textId="77777777" w:rsidR="00A94398" w:rsidRDefault="00A94398" w:rsidP="00E10F2B">
      <w:pPr>
        <w:contextualSpacing/>
        <w:rPr>
          <w:color w:val="000000" w:themeColor="text1"/>
        </w:rPr>
      </w:pPr>
    </w:p>
    <w:p w14:paraId="307AA7D1" w14:textId="5CA4ED13" w:rsidR="009611DD" w:rsidRDefault="2886537D" w:rsidP="00E10F2B">
      <w:pPr>
        <w:contextualSpacing/>
        <w:rPr>
          <w:rFonts w:cs="Times New Roman"/>
        </w:rPr>
      </w:pPr>
      <w:r w:rsidRPr="2886537D">
        <w:rPr>
          <w:b/>
          <w:bCs/>
        </w:rPr>
        <w:t>Figure 1: Workflow of plant expression, extraction, and purification processes. </w:t>
      </w:r>
    </w:p>
    <w:p w14:paraId="5007D779" w14:textId="717E3CF9" w:rsidR="009611DD" w:rsidRDefault="009611DD" w:rsidP="00E10F2B">
      <w:pPr>
        <w:contextualSpacing/>
        <w:rPr>
          <w:rFonts w:cs="Times New Roman"/>
          <w:b/>
        </w:rPr>
      </w:pPr>
    </w:p>
    <w:p w14:paraId="46E3B72C" w14:textId="0E4EB88C" w:rsidR="009611DD" w:rsidRPr="00A94398" w:rsidRDefault="009611DD" w:rsidP="00E10F2B">
      <w:pPr>
        <w:contextualSpacing/>
        <w:rPr>
          <w:rFonts w:cs="Times New Roman"/>
          <w:b/>
          <w:bCs/>
          <w:shd w:val="clear" w:color="auto" w:fill="FFFFFF"/>
        </w:rPr>
      </w:pPr>
      <w:r w:rsidRPr="00A94398">
        <w:rPr>
          <w:rFonts w:cs="Times New Roman"/>
          <w:b/>
          <w:bCs/>
          <w:shd w:val="clear" w:color="auto" w:fill="FFFFFF"/>
        </w:rPr>
        <w:t xml:space="preserve">Table 1: Sequences used to create </w:t>
      </w:r>
      <w:proofErr w:type="spellStart"/>
      <w:r w:rsidRPr="00A94398">
        <w:rPr>
          <w:rFonts w:cs="Times New Roman"/>
          <w:b/>
          <w:bCs/>
          <w:shd w:val="clear" w:color="auto" w:fill="FFFFFF"/>
        </w:rPr>
        <w:t>asGFP</w:t>
      </w:r>
      <w:proofErr w:type="spellEnd"/>
      <w:r w:rsidRPr="00A94398">
        <w:rPr>
          <w:rFonts w:cs="Times New Roman"/>
          <w:b/>
          <w:bCs/>
          <w:shd w:val="clear" w:color="auto" w:fill="FFFFFF"/>
        </w:rPr>
        <w:t xml:space="preserve"> and GFP</w:t>
      </w:r>
    </w:p>
    <w:p w14:paraId="24892515" w14:textId="35151222" w:rsidR="009611DD" w:rsidRPr="00A606BA" w:rsidRDefault="009611DD" w:rsidP="00E10F2B">
      <w:pPr>
        <w:contextualSpacing/>
      </w:pPr>
    </w:p>
    <w:p w14:paraId="3C606F6B" w14:textId="2D4E187B" w:rsidR="009611DD" w:rsidRDefault="009611DD" w:rsidP="00E10F2B">
      <w:pPr>
        <w:contextualSpacing/>
        <w:rPr>
          <w:rFonts w:ascii="Times New Roman" w:hAnsi="Times New Roman" w:cs="Times New Roman"/>
          <w:b/>
          <w:bCs/>
        </w:rPr>
      </w:pPr>
      <w:r w:rsidRPr="007745F6">
        <w:rPr>
          <w:b/>
          <w:bCs/>
          <w:shd w:val="clear" w:color="auto" w:fill="FFFFFF"/>
        </w:rPr>
        <w:t xml:space="preserve">Figure 2: </w:t>
      </w:r>
      <w:r w:rsidRPr="007745F6">
        <w:rPr>
          <w:b/>
          <w:bCs/>
          <w:i/>
          <w:iCs/>
          <w:shd w:val="clear" w:color="auto" w:fill="FFFFFF"/>
        </w:rPr>
        <w:t xml:space="preserve">Agrobacterium </w:t>
      </w:r>
      <w:r w:rsidRPr="6A645788">
        <w:rPr>
          <w:b/>
          <w:bCs/>
          <w:shd w:val="clear" w:color="auto" w:fill="FFFFFF"/>
        </w:rPr>
        <w:t>colonies</w:t>
      </w:r>
      <w:r w:rsidRPr="007745F6">
        <w:rPr>
          <w:b/>
          <w:bCs/>
          <w:shd w:val="clear" w:color="auto" w:fill="FFFFFF"/>
        </w:rPr>
        <w:t xml:space="preserve"> grown on LB plate containing kanamycin</w:t>
      </w:r>
      <w:r>
        <w:rPr>
          <w:rFonts w:ascii="Times New Roman" w:hAnsi="Times New Roman" w:cs="Times New Roman"/>
          <w:b/>
          <w:bCs/>
        </w:rPr>
        <w:t>.</w:t>
      </w:r>
    </w:p>
    <w:p w14:paraId="5A9F3F13" w14:textId="77777777" w:rsidR="009611DD" w:rsidRPr="00980B43" w:rsidRDefault="009611DD" w:rsidP="00E10F2B">
      <w:pPr>
        <w:contextualSpacing/>
        <w:rPr>
          <w:rFonts w:ascii="Times New Roman" w:hAnsi="Times New Roman" w:cs="Times New Roman"/>
          <w:b/>
          <w:bCs/>
        </w:rPr>
      </w:pPr>
    </w:p>
    <w:p w14:paraId="00A8CB1C" w14:textId="6BB7B652" w:rsidR="009611DD" w:rsidRPr="00796AAD" w:rsidRDefault="009611DD" w:rsidP="00E10F2B">
      <w:pPr>
        <w:contextualSpacing/>
        <w:rPr>
          <w:rFonts w:ascii="Times New Roman" w:hAnsi="Times New Roman" w:cs="Times New Roman"/>
        </w:rPr>
      </w:pPr>
      <w:r w:rsidRPr="00796AAD">
        <w:rPr>
          <w:b/>
          <w:bCs/>
          <w:shd w:val="clear" w:color="auto" w:fill="FFFFFF"/>
        </w:rPr>
        <w:t>Figure 3</w:t>
      </w:r>
      <w:r w:rsidRPr="007745F6">
        <w:rPr>
          <w:b/>
          <w:bCs/>
          <w:shd w:val="clear" w:color="auto" w:fill="FFFFFF"/>
        </w:rPr>
        <w:t>: Appearance of media thro</w:t>
      </w:r>
      <w:r w:rsidR="00413000">
        <w:rPr>
          <w:b/>
          <w:bCs/>
          <w:shd w:val="clear" w:color="auto" w:fill="FFFFFF"/>
        </w:rPr>
        <w:t>u</w:t>
      </w:r>
      <w:r w:rsidR="00EE2DC8">
        <w:rPr>
          <w:b/>
          <w:bCs/>
          <w:shd w:val="clear" w:color="auto" w:fill="FFFFFF"/>
        </w:rPr>
        <w:t>g</w:t>
      </w:r>
      <w:r w:rsidRPr="007745F6">
        <w:rPr>
          <w:b/>
          <w:bCs/>
          <w:shd w:val="clear" w:color="auto" w:fill="FFFFFF"/>
        </w:rPr>
        <w:t xml:space="preserve">hout the growth and processing of </w:t>
      </w:r>
      <w:r w:rsidRPr="007745F6">
        <w:rPr>
          <w:b/>
          <w:bCs/>
          <w:i/>
          <w:iCs/>
          <w:shd w:val="clear" w:color="auto" w:fill="FFFFFF"/>
        </w:rPr>
        <w:t>Agrobacterium</w:t>
      </w:r>
      <w:r w:rsidRPr="007745F6">
        <w:rPr>
          <w:b/>
          <w:bCs/>
          <w:shd w:val="clear" w:color="auto" w:fill="FFFFFF"/>
        </w:rPr>
        <w:t>.</w:t>
      </w:r>
      <w:r w:rsidRPr="00E959FB">
        <w:rPr>
          <w:shd w:val="clear" w:color="auto" w:fill="FFFFFF"/>
        </w:rPr>
        <w:t xml:space="preserve"> </w:t>
      </w:r>
      <w:r w:rsidRPr="00E959FB">
        <w:rPr>
          <w:b/>
          <w:bCs/>
          <w:shd w:val="clear" w:color="auto" w:fill="FFFFFF"/>
        </w:rPr>
        <w:t>(A)</w:t>
      </w:r>
      <w:r w:rsidRPr="00E959FB">
        <w:rPr>
          <w:shd w:val="clear" w:color="auto" w:fill="FFFFFF"/>
        </w:rPr>
        <w:t xml:space="preserve"> The appearance of LB media immediately following inoculation of isolated </w:t>
      </w:r>
      <w:r w:rsidRPr="00E959FB">
        <w:rPr>
          <w:i/>
          <w:iCs/>
          <w:shd w:val="clear" w:color="auto" w:fill="FFFFFF"/>
        </w:rPr>
        <w:t xml:space="preserve">Agrobacterium </w:t>
      </w:r>
      <w:r w:rsidRPr="00E959FB">
        <w:rPr>
          <w:shd w:val="clear" w:color="auto" w:fill="FFFFFF"/>
        </w:rPr>
        <w:t xml:space="preserve">colony. </w:t>
      </w:r>
      <w:r w:rsidRPr="00E959FB">
        <w:rPr>
          <w:b/>
          <w:bCs/>
          <w:shd w:val="clear" w:color="auto" w:fill="FFFFFF"/>
        </w:rPr>
        <w:t>(B)</w:t>
      </w:r>
      <w:r w:rsidRPr="00E959FB">
        <w:rPr>
          <w:shd w:val="clear" w:color="auto" w:fill="FFFFFF"/>
        </w:rPr>
        <w:t xml:space="preserve"> The presence of media after overnight incubation of an isolated colony at 30°C. </w:t>
      </w:r>
      <w:r w:rsidRPr="00E959FB">
        <w:rPr>
          <w:b/>
          <w:bCs/>
          <w:shd w:val="clear" w:color="auto" w:fill="FFFFFF"/>
        </w:rPr>
        <w:t xml:space="preserve">(C) </w:t>
      </w:r>
      <w:r w:rsidRPr="00E959FB">
        <w:rPr>
          <w:shd w:val="clear" w:color="auto" w:fill="FFFFFF"/>
        </w:rPr>
        <w:t xml:space="preserve">The appearance of media after cultures are spun down for </w:t>
      </w:r>
      <w:r w:rsidR="009338E8">
        <w:rPr>
          <w:shd w:val="clear" w:color="auto" w:fill="FFFFFF"/>
        </w:rPr>
        <w:t>2</w:t>
      </w:r>
      <w:r w:rsidRPr="00E959FB">
        <w:rPr>
          <w:shd w:val="clear" w:color="auto" w:fill="FFFFFF"/>
        </w:rPr>
        <w:t xml:space="preserve">0 min at </w:t>
      </w:r>
      <w:r w:rsidR="009A7B9B">
        <w:rPr>
          <w:shd w:val="clear" w:color="auto" w:fill="FFFFFF"/>
        </w:rPr>
        <w:t>4,5</w:t>
      </w:r>
      <w:r w:rsidR="009338E8">
        <w:rPr>
          <w:shd w:val="clear" w:color="auto" w:fill="FFFFFF"/>
        </w:rPr>
        <w:t>00</w:t>
      </w:r>
      <w:r w:rsidRPr="00E959FB">
        <w:rPr>
          <w:shd w:val="clear" w:color="auto" w:fill="FFFFFF"/>
        </w:rPr>
        <w:t xml:space="preserve"> x g. </w:t>
      </w:r>
      <w:r w:rsidRPr="00E959FB">
        <w:rPr>
          <w:b/>
          <w:bCs/>
          <w:shd w:val="clear" w:color="auto" w:fill="FFFFFF"/>
        </w:rPr>
        <w:t>(D)</w:t>
      </w:r>
      <w:r w:rsidRPr="00E959FB">
        <w:rPr>
          <w:shd w:val="clear" w:color="auto" w:fill="FFFFFF"/>
        </w:rPr>
        <w:t xml:space="preserve"> Pellet resuspended in the infiltration buffer.</w:t>
      </w:r>
    </w:p>
    <w:p w14:paraId="6684A180" w14:textId="4D9AFB0C" w:rsidR="009611DD" w:rsidRPr="008A4994" w:rsidRDefault="009611DD" w:rsidP="00E10F2B">
      <w:pPr>
        <w:contextualSpacing/>
      </w:pPr>
    </w:p>
    <w:p w14:paraId="09348B6A" w14:textId="6B629F48" w:rsidR="009611DD" w:rsidRPr="00796AAD" w:rsidRDefault="009611DD" w:rsidP="00E10F2B">
      <w:pPr>
        <w:contextualSpacing/>
        <w:rPr>
          <w:rFonts w:ascii="Times New Roman" w:hAnsi="Times New Roman" w:cs="Times New Roman"/>
        </w:rPr>
      </w:pPr>
      <w:r w:rsidRPr="00796AAD">
        <w:rPr>
          <w:b/>
          <w:bCs/>
          <w:shd w:val="clear" w:color="auto" w:fill="FFFFFF"/>
        </w:rPr>
        <w:t xml:space="preserve">Figure 4: Process of infiltration of </w:t>
      </w:r>
      <w:r w:rsidRPr="00796AAD">
        <w:rPr>
          <w:b/>
          <w:bCs/>
          <w:i/>
          <w:iCs/>
          <w:shd w:val="clear" w:color="auto" w:fill="FFFFFF"/>
        </w:rPr>
        <w:t xml:space="preserve">N. benthamiana </w:t>
      </w:r>
      <w:r w:rsidRPr="00796AAD">
        <w:rPr>
          <w:b/>
          <w:bCs/>
          <w:shd w:val="clear" w:color="auto" w:fill="FFFFFF"/>
        </w:rPr>
        <w:t xml:space="preserve">plants. </w:t>
      </w:r>
      <w:r w:rsidRPr="00E959FB">
        <w:rPr>
          <w:b/>
          <w:bCs/>
          <w:shd w:val="clear" w:color="auto" w:fill="FFFFFF"/>
        </w:rPr>
        <w:t>(A-B)</w:t>
      </w:r>
      <w:r w:rsidRPr="00E959FB">
        <w:rPr>
          <w:shd w:val="clear" w:color="auto" w:fill="FFFFFF"/>
        </w:rPr>
        <w:t xml:space="preserve"> Slightly poking the leaf results in a subtle hole at the top of the leaf. </w:t>
      </w:r>
      <w:r w:rsidRPr="00E959FB">
        <w:rPr>
          <w:b/>
          <w:bCs/>
          <w:shd w:val="clear" w:color="auto" w:fill="FFFFFF"/>
        </w:rPr>
        <w:t>(C-D)</w:t>
      </w:r>
      <w:r w:rsidRPr="00E959FB">
        <w:rPr>
          <w:shd w:val="clear" w:color="auto" w:fill="FFFFFF"/>
        </w:rPr>
        <w:t xml:space="preserve"> Injection of </w:t>
      </w:r>
      <w:r w:rsidRPr="00E959FB">
        <w:rPr>
          <w:i/>
          <w:iCs/>
          <w:shd w:val="clear" w:color="auto" w:fill="FFFFFF"/>
        </w:rPr>
        <w:t xml:space="preserve">Agrobacterium </w:t>
      </w:r>
      <w:r w:rsidRPr="00E959FB">
        <w:rPr>
          <w:shd w:val="clear" w:color="auto" w:fill="FFFFFF"/>
        </w:rPr>
        <w:t xml:space="preserve">suspension into leaf. </w:t>
      </w:r>
      <w:r w:rsidRPr="00E959FB">
        <w:rPr>
          <w:b/>
          <w:bCs/>
          <w:shd w:val="clear" w:color="auto" w:fill="FFFFFF"/>
        </w:rPr>
        <w:t xml:space="preserve">(E) </w:t>
      </w:r>
      <w:r w:rsidRPr="00E959FB">
        <w:rPr>
          <w:shd w:val="clear" w:color="auto" w:fill="FFFFFF"/>
        </w:rPr>
        <w:t xml:space="preserve">Infiltrated Plant leaf from </w:t>
      </w:r>
      <w:r>
        <w:rPr>
          <w:shd w:val="clear" w:color="auto" w:fill="FFFFFF"/>
        </w:rPr>
        <w:t xml:space="preserve">the </w:t>
      </w:r>
      <w:r w:rsidRPr="00E959FB">
        <w:rPr>
          <w:shd w:val="clear" w:color="auto" w:fill="FFFFFF"/>
        </w:rPr>
        <w:t xml:space="preserve">top view. </w:t>
      </w:r>
      <w:r w:rsidRPr="00E959FB">
        <w:rPr>
          <w:b/>
          <w:bCs/>
          <w:shd w:val="clear" w:color="auto" w:fill="FFFFFF"/>
        </w:rPr>
        <w:t>(F)</w:t>
      </w:r>
      <w:r w:rsidRPr="00E959FB">
        <w:rPr>
          <w:shd w:val="clear" w:color="auto" w:fill="FFFFFF"/>
        </w:rPr>
        <w:t xml:space="preserve"> Plant with multiple leaves infiltrated from the top view.</w:t>
      </w:r>
    </w:p>
    <w:p w14:paraId="3FD50D44" w14:textId="650A6B3B" w:rsidR="009611DD" w:rsidRPr="00A56E9A" w:rsidRDefault="009611DD" w:rsidP="00E10F2B">
      <w:pPr>
        <w:contextualSpacing/>
      </w:pPr>
    </w:p>
    <w:p w14:paraId="6B6AC689" w14:textId="50C675C7" w:rsidR="009611DD" w:rsidRPr="00796AAD" w:rsidRDefault="009611DD" w:rsidP="00E10F2B">
      <w:pPr>
        <w:contextualSpacing/>
        <w:rPr>
          <w:rFonts w:ascii="Times New Roman" w:hAnsi="Times New Roman" w:cs="Times New Roman"/>
        </w:rPr>
      </w:pPr>
      <w:r w:rsidRPr="00796AAD">
        <w:rPr>
          <w:b/>
          <w:bCs/>
          <w:shd w:val="clear" w:color="auto" w:fill="FFFFFF"/>
        </w:rPr>
        <w:t>Figure 5</w:t>
      </w:r>
      <w:r w:rsidRPr="007745F6">
        <w:rPr>
          <w:b/>
          <w:bCs/>
          <w:shd w:val="clear" w:color="auto" w:fill="FFFFFF"/>
        </w:rPr>
        <w:t xml:space="preserve">: Visualization of leaves containing </w:t>
      </w:r>
      <w:proofErr w:type="spellStart"/>
      <w:r w:rsidRPr="007745F6">
        <w:rPr>
          <w:b/>
          <w:bCs/>
          <w:shd w:val="clear" w:color="auto" w:fill="FFFFFF"/>
        </w:rPr>
        <w:t>asGFP</w:t>
      </w:r>
      <w:proofErr w:type="spellEnd"/>
      <w:r w:rsidRPr="007745F6">
        <w:rPr>
          <w:b/>
          <w:bCs/>
          <w:shd w:val="clear" w:color="auto" w:fill="FFFFFF"/>
        </w:rPr>
        <w:t>-IgG fusion and GFP-IgG fusion begin on day 1 post infiltration (dpi) in the first row, leading up to day 5 dpi in the last row for all conditions.</w:t>
      </w:r>
      <w:r w:rsidRPr="006613B9">
        <w:rPr>
          <w:shd w:val="clear" w:color="auto" w:fill="FFFFFF"/>
        </w:rPr>
        <w:t xml:space="preserve"> </w:t>
      </w:r>
      <w:r w:rsidRPr="00796AAD">
        <w:rPr>
          <w:b/>
          <w:bCs/>
          <w:shd w:val="clear" w:color="auto" w:fill="FFFFFF"/>
        </w:rPr>
        <w:t xml:space="preserve">A) </w:t>
      </w:r>
      <w:proofErr w:type="spellStart"/>
      <w:r w:rsidRPr="006613B9">
        <w:rPr>
          <w:shd w:val="clear" w:color="auto" w:fill="FFFFFF"/>
        </w:rPr>
        <w:t>asGFP</w:t>
      </w:r>
      <w:proofErr w:type="spellEnd"/>
      <w:r w:rsidRPr="006613B9">
        <w:rPr>
          <w:shd w:val="clear" w:color="auto" w:fill="FFFFFF"/>
        </w:rPr>
        <w:t>-IgG fusion under white light</w:t>
      </w:r>
      <w:r w:rsidR="00A02262">
        <w:rPr>
          <w:shd w:val="clear" w:color="auto" w:fill="FFFFFF"/>
        </w:rPr>
        <w:t>.</w:t>
      </w:r>
      <w:r w:rsidRPr="006613B9">
        <w:rPr>
          <w:shd w:val="clear" w:color="auto" w:fill="FFFFFF"/>
        </w:rPr>
        <w:t xml:space="preserve"> </w:t>
      </w:r>
      <w:r w:rsidRPr="006613B9">
        <w:rPr>
          <w:b/>
          <w:bCs/>
          <w:shd w:val="clear" w:color="auto" w:fill="FFFFFF"/>
        </w:rPr>
        <w:t xml:space="preserve">B) </w:t>
      </w:r>
      <w:proofErr w:type="spellStart"/>
      <w:r w:rsidRPr="006613B9">
        <w:rPr>
          <w:shd w:val="clear" w:color="auto" w:fill="FFFFFF"/>
        </w:rPr>
        <w:t>asGFP</w:t>
      </w:r>
      <w:proofErr w:type="spellEnd"/>
      <w:r w:rsidRPr="006613B9">
        <w:rPr>
          <w:shd w:val="clear" w:color="auto" w:fill="FFFFFF"/>
        </w:rPr>
        <w:t>-IgG fusion under long-wave UV</w:t>
      </w:r>
      <w:r w:rsidR="00A02262">
        <w:rPr>
          <w:shd w:val="clear" w:color="auto" w:fill="FFFFFF"/>
        </w:rPr>
        <w:t xml:space="preserve">. </w:t>
      </w:r>
      <w:r w:rsidRPr="00796AAD">
        <w:rPr>
          <w:b/>
          <w:bCs/>
          <w:shd w:val="clear" w:color="auto" w:fill="FFFFFF"/>
        </w:rPr>
        <w:t xml:space="preserve">C) </w:t>
      </w:r>
      <w:r w:rsidRPr="006613B9">
        <w:rPr>
          <w:shd w:val="clear" w:color="auto" w:fill="FFFFFF"/>
        </w:rPr>
        <w:t>GFP-IgG fusion under white light</w:t>
      </w:r>
      <w:r w:rsidR="00A02262">
        <w:rPr>
          <w:shd w:val="clear" w:color="auto" w:fill="FFFFFF"/>
        </w:rPr>
        <w:t xml:space="preserve">. </w:t>
      </w:r>
      <w:r w:rsidRPr="00796AAD">
        <w:rPr>
          <w:b/>
          <w:bCs/>
          <w:shd w:val="clear" w:color="auto" w:fill="FFFFFF"/>
        </w:rPr>
        <w:t xml:space="preserve">D) </w:t>
      </w:r>
      <w:r w:rsidRPr="006613B9">
        <w:rPr>
          <w:shd w:val="clear" w:color="auto" w:fill="FFFFFF"/>
        </w:rPr>
        <w:t>GFP-IgG fusion under long-wave UV</w:t>
      </w:r>
      <w:r w:rsidR="00A02262">
        <w:rPr>
          <w:shd w:val="clear" w:color="auto" w:fill="FFFFFF"/>
        </w:rPr>
        <w:t>.</w:t>
      </w:r>
    </w:p>
    <w:p w14:paraId="7A4F77FE" w14:textId="34144D6C" w:rsidR="009611DD" w:rsidRPr="00757659" w:rsidRDefault="009611DD" w:rsidP="00E10F2B">
      <w:pPr>
        <w:contextualSpacing/>
      </w:pPr>
    </w:p>
    <w:p w14:paraId="55BB3FC9" w14:textId="657F843A" w:rsidR="009611DD" w:rsidRPr="00757659" w:rsidRDefault="009611DD" w:rsidP="00E10F2B">
      <w:pPr>
        <w:contextualSpacing/>
        <w:rPr>
          <w:rFonts w:ascii="Times New Roman" w:hAnsi="Times New Roman" w:cs="Times New Roman"/>
          <w:color w:val="auto"/>
        </w:rPr>
      </w:pPr>
      <w:r w:rsidRPr="00796AAD">
        <w:rPr>
          <w:b/>
          <w:bCs/>
          <w:shd w:val="clear" w:color="auto" w:fill="FFFFFF"/>
        </w:rPr>
        <w:t xml:space="preserve">Figure 6: </w:t>
      </w:r>
      <w:r w:rsidRPr="007745F6">
        <w:rPr>
          <w:b/>
          <w:bCs/>
          <w:shd w:val="clear" w:color="auto" w:fill="FFFFFF"/>
        </w:rPr>
        <w:t xml:space="preserve">Supernatant of the </w:t>
      </w:r>
      <w:proofErr w:type="spellStart"/>
      <w:r w:rsidRPr="007745F6">
        <w:rPr>
          <w:b/>
          <w:bCs/>
          <w:shd w:val="clear" w:color="auto" w:fill="FFFFFF"/>
        </w:rPr>
        <w:t>asGFP</w:t>
      </w:r>
      <w:proofErr w:type="spellEnd"/>
      <w:r w:rsidRPr="007745F6">
        <w:rPr>
          <w:b/>
          <w:bCs/>
          <w:shd w:val="clear" w:color="auto" w:fill="FFFFFF"/>
        </w:rPr>
        <w:t xml:space="preserve">-IgG extract being added to </w:t>
      </w:r>
      <w:r w:rsidR="00A02262">
        <w:rPr>
          <w:b/>
          <w:bCs/>
          <w:shd w:val="clear" w:color="auto" w:fill="FFFFFF"/>
        </w:rPr>
        <w:t xml:space="preserve">the </w:t>
      </w:r>
      <w:r w:rsidRPr="007745F6">
        <w:rPr>
          <w:b/>
          <w:bCs/>
          <w:shd w:val="clear" w:color="auto" w:fill="FFFFFF"/>
        </w:rPr>
        <w:t>Protein G column.</w:t>
      </w:r>
      <w:r w:rsidRPr="00796AAD">
        <w:rPr>
          <w:b/>
          <w:bCs/>
          <w:shd w:val="clear" w:color="auto" w:fill="FFFFFF"/>
        </w:rPr>
        <w:t xml:space="preserve"> A) </w:t>
      </w:r>
      <w:r w:rsidRPr="006613B9">
        <w:rPr>
          <w:shd w:val="clear" w:color="auto" w:fill="FFFFFF"/>
        </w:rPr>
        <w:t>Addition under white light</w:t>
      </w:r>
      <w:r w:rsidR="00A02262">
        <w:rPr>
          <w:shd w:val="clear" w:color="auto" w:fill="FFFFFF"/>
        </w:rPr>
        <w:t>.</w:t>
      </w:r>
      <w:r w:rsidRPr="00796AAD">
        <w:rPr>
          <w:b/>
          <w:bCs/>
          <w:shd w:val="clear" w:color="auto" w:fill="FFFFFF"/>
        </w:rPr>
        <w:t xml:space="preserve"> B) </w:t>
      </w:r>
      <w:r w:rsidRPr="006613B9">
        <w:rPr>
          <w:shd w:val="clear" w:color="auto" w:fill="FFFFFF"/>
        </w:rPr>
        <w:t>Addition under short wave UV light</w:t>
      </w:r>
      <w:r w:rsidR="00A02262">
        <w:rPr>
          <w:shd w:val="clear" w:color="auto" w:fill="FFFFFF"/>
        </w:rPr>
        <w:t>.</w:t>
      </w:r>
    </w:p>
    <w:p w14:paraId="0B8AED3F" w14:textId="4B2335BC" w:rsidR="009611DD" w:rsidRPr="00757659" w:rsidRDefault="009611DD" w:rsidP="00E10F2B">
      <w:pPr>
        <w:contextualSpacing/>
      </w:pPr>
    </w:p>
    <w:p w14:paraId="6BBC3A96" w14:textId="4ADA9D17" w:rsidR="009611DD" w:rsidRPr="008A4994" w:rsidRDefault="009611DD" w:rsidP="00E10F2B">
      <w:pPr>
        <w:contextualSpacing/>
        <w:rPr>
          <w:rFonts w:ascii="Times New Roman" w:hAnsi="Times New Roman" w:cs="Times New Roman"/>
        </w:rPr>
      </w:pPr>
      <w:r w:rsidRPr="00796AAD">
        <w:rPr>
          <w:b/>
          <w:bCs/>
          <w:shd w:val="clear" w:color="auto" w:fill="FFFFFF"/>
        </w:rPr>
        <w:t xml:space="preserve">Figure 7: </w:t>
      </w:r>
      <w:r w:rsidRPr="007745F6">
        <w:rPr>
          <w:b/>
          <w:bCs/>
          <w:shd w:val="clear" w:color="auto" w:fill="FFFFFF"/>
        </w:rPr>
        <w:t xml:space="preserve">Protein G resin under short-wave UV light after supernatant of the </w:t>
      </w:r>
      <w:proofErr w:type="spellStart"/>
      <w:r w:rsidRPr="007745F6">
        <w:rPr>
          <w:b/>
          <w:bCs/>
          <w:shd w:val="clear" w:color="auto" w:fill="FFFFFF"/>
        </w:rPr>
        <w:t>asGFP</w:t>
      </w:r>
      <w:proofErr w:type="spellEnd"/>
      <w:r w:rsidRPr="007745F6">
        <w:rPr>
          <w:b/>
          <w:bCs/>
          <w:shd w:val="clear" w:color="auto" w:fill="FFFFFF"/>
        </w:rPr>
        <w:t>-IgG extract was run thro</w:t>
      </w:r>
      <w:r w:rsidR="001404D3">
        <w:rPr>
          <w:b/>
          <w:bCs/>
          <w:shd w:val="clear" w:color="auto" w:fill="FFFFFF"/>
        </w:rPr>
        <w:t>u</w:t>
      </w:r>
      <w:r w:rsidR="00EE2DC8">
        <w:rPr>
          <w:b/>
          <w:bCs/>
          <w:shd w:val="clear" w:color="auto" w:fill="FFFFFF"/>
        </w:rPr>
        <w:t>g</w:t>
      </w:r>
      <w:r w:rsidRPr="007745F6">
        <w:rPr>
          <w:b/>
          <w:bCs/>
          <w:shd w:val="clear" w:color="auto" w:fill="FFFFFF"/>
        </w:rPr>
        <w:t>h the column.</w:t>
      </w:r>
      <w:r w:rsidRPr="00796AAD">
        <w:rPr>
          <w:b/>
          <w:bCs/>
          <w:shd w:val="clear" w:color="auto" w:fill="FFFFFF"/>
        </w:rPr>
        <w:t xml:space="preserve"> A) </w:t>
      </w:r>
      <w:r w:rsidRPr="006613B9">
        <w:rPr>
          <w:shd w:val="clear" w:color="auto" w:fill="FFFFFF"/>
        </w:rPr>
        <w:t>Protein G resin under short-wave UV light</w:t>
      </w:r>
      <w:r w:rsidR="00A02262">
        <w:rPr>
          <w:shd w:val="clear" w:color="auto" w:fill="FFFFFF"/>
        </w:rPr>
        <w:t xml:space="preserve">. </w:t>
      </w:r>
      <w:r w:rsidRPr="006613B9">
        <w:rPr>
          <w:b/>
          <w:bCs/>
          <w:shd w:val="clear" w:color="auto" w:fill="FFFFFF"/>
        </w:rPr>
        <w:t>B)</w:t>
      </w:r>
      <w:r w:rsidRPr="00796AAD">
        <w:rPr>
          <w:b/>
          <w:bCs/>
          <w:shd w:val="clear" w:color="auto" w:fill="FFFFFF"/>
        </w:rPr>
        <w:t xml:space="preserve"> </w:t>
      </w:r>
      <w:r w:rsidRPr="006613B9">
        <w:rPr>
          <w:shd w:val="clear" w:color="auto" w:fill="FFFFFF"/>
        </w:rPr>
        <w:t>Protein G resin upon elution of proteins under low PH conditions</w:t>
      </w:r>
      <w:r w:rsidR="00A02262">
        <w:rPr>
          <w:shd w:val="clear" w:color="auto" w:fill="FFFFFF"/>
        </w:rPr>
        <w:t>.</w:t>
      </w:r>
    </w:p>
    <w:p w14:paraId="2F208F3E" w14:textId="6506CB01" w:rsidR="009611DD" w:rsidRPr="00367257" w:rsidRDefault="009611DD" w:rsidP="00E10F2B">
      <w:pPr>
        <w:contextualSpacing/>
        <w:jc w:val="left"/>
      </w:pPr>
    </w:p>
    <w:p w14:paraId="2A3FDE08" w14:textId="12A7B140" w:rsidR="00210E8B" w:rsidRDefault="009611DD" w:rsidP="00E10F2B">
      <w:pPr>
        <w:contextualSpacing/>
        <w:rPr>
          <w:b/>
          <w:bCs/>
        </w:rPr>
      </w:pPr>
      <w:r w:rsidRPr="00796AAD">
        <w:rPr>
          <w:b/>
          <w:bCs/>
        </w:rPr>
        <w:t>Figure 8</w:t>
      </w:r>
      <w:r w:rsidRPr="007745F6">
        <w:rPr>
          <w:b/>
          <w:bCs/>
        </w:rPr>
        <w:t xml:space="preserve">: Purified elutions </w:t>
      </w:r>
      <w:r w:rsidRPr="007745F6">
        <w:rPr>
          <w:b/>
          <w:bCs/>
          <w:shd w:val="clear" w:color="auto" w:fill="FFFFFF"/>
        </w:rPr>
        <w:t xml:space="preserve">of </w:t>
      </w:r>
      <w:proofErr w:type="spellStart"/>
      <w:r w:rsidRPr="007745F6">
        <w:rPr>
          <w:b/>
          <w:bCs/>
          <w:shd w:val="clear" w:color="auto" w:fill="FFFFFF"/>
        </w:rPr>
        <w:t>asGFP</w:t>
      </w:r>
      <w:proofErr w:type="spellEnd"/>
      <w:r w:rsidRPr="007745F6">
        <w:rPr>
          <w:b/>
          <w:bCs/>
          <w:shd w:val="clear" w:color="auto" w:fill="FFFFFF"/>
        </w:rPr>
        <w:t xml:space="preserve">-IgG </w:t>
      </w:r>
      <w:r w:rsidRPr="007745F6">
        <w:rPr>
          <w:b/>
          <w:bCs/>
        </w:rPr>
        <w:t>obtained</w:t>
      </w:r>
      <w:r w:rsidRPr="007745F6">
        <w:rPr>
          <w:b/>
          <w:bCs/>
          <w:shd w:val="clear" w:color="auto" w:fill="FFFFFF"/>
        </w:rPr>
        <w:t xml:space="preserve"> after </w:t>
      </w:r>
      <w:r w:rsidRPr="007745F6">
        <w:rPr>
          <w:b/>
          <w:bCs/>
        </w:rPr>
        <w:t>exposure to low pH conditions thro</w:t>
      </w:r>
      <w:r w:rsidR="001404D3">
        <w:rPr>
          <w:b/>
          <w:bCs/>
        </w:rPr>
        <w:t>u</w:t>
      </w:r>
      <w:r w:rsidR="00EE2DC8">
        <w:rPr>
          <w:b/>
          <w:bCs/>
        </w:rPr>
        <w:t>g</w:t>
      </w:r>
      <w:r w:rsidRPr="007745F6">
        <w:rPr>
          <w:b/>
          <w:bCs/>
        </w:rPr>
        <w:t>h purification.</w:t>
      </w:r>
    </w:p>
    <w:p w14:paraId="766D5EC8" w14:textId="50B43BA0" w:rsidR="009611DD" w:rsidRPr="00210E8B" w:rsidRDefault="009611DD" w:rsidP="00E10F2B">
      <w:pPr>
        <w:contextualSpacing/>
        <w:rPr>
          <w:b/>
          <w:bCs/>
        </w:rPr>
      </w:pPr>
    </w:p>
    <w:p w14:paraId="5CDA1BDC" w14:textId="12439398" w:rsidR="009611DD" w:rsidRPr="00796AAD" w:rsidRDefault="009611DD" w:rsidP="00E10F2B">
      <w:pPr>
        <w:contextualSpacing/>
        <w:rPr>
          <w:b/>
          <w:color w:val="000000" w:themeColor="text1"/>
        </w:rPr>
      </w:pPr>
      <w:r w:rsidRPr="1C3B1870">
        <w:rPr>
          <w:b/>
          <w:color w:val="000000" w:themeColor="text1"/>
        </w:rPr>
        <w:lastRenderedPageBreak/>
        <w:t xml:space="preserve">Figure 9: SDS-PAGE of Column Samples. </w:t>
      </w:r>
      <w:r w:rsidR="00E42C27">
        <w:rPr>
          <w:bCs/>
          <w:color w:val="000000" w:themeColor="text1"/>
        </w:rPr>
        <w:t xml:space="preserve">Samples labeled with </w:t>
      </w:r>
      <w:r w:rsidR="00F6433E">
        <w:rPr>
          <w:bCs/>
          <w:color w:val="000000" w:themeColor="text1"/>
        </w:rPr>
        <w:t>"</w:t>
      </w:r>
      <w:r w:rsidR="00E42C27">
        <w:rPr>
          <w:bCs/>
          <w:color w:val="000000" w:themeColor="text1"/>
        </w:rPr>
        <w:t>R</w:t>
      </w:r>
      <w:r w:rsidR="00F6433E">
        <w:rPr>
          <w:bCs/>
          <w:color w:val="000000" w:themeColor="text1"/>
        </w:rPr>
        <w:t>"</w:t>
      </w:r>
      <w:r w:rsidR="00E42C27">
        <w:rPr>
          <w:bCs/>
          <w:color w:val="000000" w:themeColor="text1"/>
        </w:rPr>
        <w:t xml:space="preserve"> </w:t>
      </w:r>
      <w:r w:rsidR="6A645788" w:rsidRPr="6A645788">
        <w:rPr>
          <w:color w:val="000000" w:themeColor="text1"/>
        </w:rPr>
        <w:t xml:space="preserve">are in </w:t>
      </w:r>
      <w:r w:rsidR="00E42C27">
        <w:rPr>
          <w:bCs/>
          <w:color w:val="000000" w:themeColor="text1"/>
        </w:rPr>
        <w:t xml:space="preserve">reducing </w:t>
      </w:r>
      <w:r w:rsidR="6A645788" w:rsidRPr="6A645788">
        <w:rPr>
          <w:color w:val="000000" w:themeColor="text1"/>
        </w:rPr>
        <w:t>conditions</w:t>
      </w:r>
      <w:r w:rsidR="00F02864">
        <w:rPr>
          <w:bCs/>
          <w:color w:val="000000" w:themeColor="text1"/>
        </w:rPr>
        <w:t>,</w:t>
      </w:r>
      <w:r w:rsidR="00E42C27">
        <w:rPr>
          <w:bCs/>
          <w:color w:val="000000" w:themeColor="text1"/>
        </w:rPr>
        <w:t xml:space="preserve"> and samples labeled with </w:t>
      </w:r>
      <w:r w:rsidR="00F6433E">
        <w:rPr>
          <w:bCs/>
          <w:color w:val="000000" w:themeColor="text1"/>
        </w:rPr>
        <w:t>"</w:t>
      </w:r>
      <w:r w:rsidR="00E42C27">
        <w:rPr>
          <w:bCs/>
          <w:color w:val="000000" w:themeColor="text1"/>
        </w:rPr>
        <w:t>NR</w:t>
      </w:r>
      <w:r w:rsidR="00F6433E">
        <w:rPr>
          <w:bCs/>
          <w:color w:val="000000" w:themeColor="text1"/>
        </w:rPr>
        <w:t>"</w:t>
      </w:r>
      <w:r w:rsidR="00E42C27">
        <w:rPr>
          <w:bCs/>
          <w:color w:val="000000" w:themeColor="text1"/>
        </w:rPr>
        <w:t xml:space="preserve"> </w:t>
      </w:r>
      <w:r w:rsidR="6A645788" w:rsidRPr="6A645788">
        <w:rPr>
          <w:color w:val="000000" w:themeColor="text1"/>
        </w:rPr>
        <w:t xml:space="preserve">are in </w:t>
      </w:r>
      <w:r w:rsidR="00E42C27">
        <w:rPr>
          <w:bCs/>
          <w:color w:val="000000" w:themeColor="text1"/>
        </w:rPr>
        <w:t xml:space="preserve">non-reducing </w:t>
      </w:r>
      <w:r w:rsidR="6A645788" w:rsidRPr="6A645788">
        <w:rPr>
          <w:color w:val="000000" w:themeColor="text1"/>
        </w:rPr>
        <w:t>conditions.</w:t>
      </w:r>
      <w:r w:rsidR="00E42C27">
        <w:rPr>
          <w:bCs/>
          <w:color w:val="000000" w:themeColor="text1"/>
        </w:rPr>
        <w:t xml:space="preserve"> </w:t>
      </w:r>
      <w:r w:rsidRPr="1C3B1870">
        <w:rPr>
          <w:b/>
          <w:color w:val="000000" w:themeColor="text1"/>
        </w:rPr>
        <w:t xml:space="preserve">A) </w:t>
      </w:r>
      <w:r w:rsidRPr="1C3B1870">
        <w:rPr>
          <w:color w:val="000000" w:themeColor="text1"/>
        </w:rPr>
        <w:t>Under UV light, only non-reducing samples fluoresce in the 10% polyacrylamide gel, as seen in</w:t>
      </w:r>
      <w:r w:rsidR="00D8679A" w:rsidRPr="6A645788">
        <w:rPr>
          <w:color w:val="000000" w:themeColor="text1"/>
        </w:rPr>
        <w:t xml:space="preserve"> </w:t>
      </w:r>
      <w:r w:rsidR="00D8679A" w:rsidRPr="00D8679A">
        <w:rPr>
          <w:color w:val="000000" w:themeColor="text1"/>
        </w:rPr>
        <w:t>Elution 2 NR lane</w:t>
      </w:r>
      <w:r w:rsidRPr="1C3B1870">
        <w:rPr>
          <w:color w:val="000000" w:themeColor="text1"/>
        </w:rPr>
        <w:t xml:space="preserve">. The 75 kDa and 25 kDa ladder bands also </w:t>
      </w:r>
      <w:r w:rsidRPr="098DCA1A">
        <w:rPr>
          <w:color w:val="000000" w:themeColor="text1"/>
        </w:rPr>
        <w:t>fluoresce.</w:t>
      </w:r>
      <w:r w:rsidRPr="1C3B1870">
        <w:rPr>
          <w:b/>
          <w:bCs/>
          <w:color w:val="000000" w:themeColor="text1"/>
        </w:rPr>
        <w:t xml:space="preserve"> </w:t>
      </w:r>
      <w:r w:rsidRPr="1C3B1870">
        <w:rPr>
          <w:b/>
          <w:color w:val="000000" w:themeColor="text1"/>
        </w:rPr>
        <w:t xml:space="preserve">B) </w:t>
      </w:r>
      <w:r w:rsidRPr="1C3B1870">
        <w:rPr>
          <w:color w:val="000000" w:themeColor="text1"/>
        </w:rPr>
        <w:t xml:space="preserve">Coomassie staining of the same gel reveals the presence of all proteins in the sample. In the reduced elutions, the IgG </w:t>
      </w:r>
      <w:r w:rsidRPr="4DBED068">
        <w:rPr>
          <w:color w:val="000000" w:themeColor="text1"/>
        </w:rPr>
        <w:t>fusion</w:t>
      </w:r>
      <w:r w:rsidR="00E50425">
        <w:rPr>
          <w:color w:val="000000" w:themeColor="text1"/>
        </w:rPr>
        <w:t xml:space="preserve"> without</w:t>
      </w:r>
      <w:r w:rsidR="00D00DFF">
        <w:rPr>
          <w:color w:val="000000" w:themeColor="text1"/>
        </w:rPr>
        <w:t xml:space="preserve"> light chain</w:t>
      </w:r>
      <w:r w:rsidRPr="4DBED068">
        <w:rPr>
          <w:color w:val="000000" w:themeColor="text1"/>
        </w:rPr>
        <w:t xml:space="preserve">, the </w:t>
      </w:r>
      <w:r w:rsidRPr="1C3B1870">
        <w:rPr>
          <w:color w:val="000000" w:themeColor="text1"/>
        </w:rPr>
        <w:t xml:space="preserve">heavy chain, light chain, and </w:t>
      </w:r>
      <w:r w:rsidR="00AC3F17">
        <w:rPr>
          <w:color w:val="000000" w:themeColor="text1"/>
        </w:rPr>
        <w:t xml:space="preserve">possibly degraded </w:t>
      </w:r>
      <w:r w:rsidRPr="1C3B1870">
        <w:rPr>
          <w:color w:val="000000" w:themeColor="text1"/>
        </w:rPr>
        <w:t>GFP are present at ~75 kDa, ~50 kDa, ~25 kDa, and ~10 kDa</w:t>
      </w:r>
      <w:r w:rsidR="00F02864">
        <w:rPr>
          <w:color w:val="000000" w:themeColor="text1"/>
        </w:rPr>
        <w:t>,</w:t>
      </w:r>
      <w:r w:rsidRPr="1C3B1870">
        <w:rPr>
          <w:color w:val="000000" w:themeColor="text1"/>
        </w:rPr>
        <w:t xml:space="preserve"> </w:t>
      </w:r>
      <w:r w:rsidRPr="098DCA1A">
        <w:rPr>
          <w:color w:val="000000" w:themeColor="text1"/>
        </w:rPr>
        <w:t>respectively</w:t>
      </w:r>
      <w:r w:rsidR="00010F66">
        <w:rPr>
          <w:color w:val="000000" w:themeColor="text1"/>
        </w:rPr>
        <w:t>. In contrast,</w:t>
      </w:r>
      <w:r w:rsidRPr="1C3B1870">
        <w:rPr>
          <w:color w:val="000000" w:themeColor="text1"/>
        </w:rPr>
        <w:t xml:space="preserve"> in the non-reduced elutions, one prominent band is present, consistent with the size of the entire </w:t>
      </w:r>
      <w:proofErr w:type="spellStart"/>
      <w:r w:rsidRPr="1C3B1870">
        <w:rPr>
          <w:color w:val="000000" w:themeColor="text1"/>
        </w:rPr>
        <w:t>asGFP</w:t>
      </w:r>
      <w:proofErr w:type="spellEnd"/>
      <w:r w:rsidRPr="1C3B1870">
        <w:rPr>
          <w:color w:val="000000" w:themeColor="text1"/>
        </w:rPr>
        <w:t>-IgG fusion</w:t>
      </w:r>
      <w:r w:rsidR="00A02262">
        <w:rPr>
          <w:color w:val="000000" w:themeColor="text1"/>
        </w:rPr>
        <w:t xml:space="preserve"> (~200 kDa)</w:t>
      </w:r>
      <w:r w:rsidRPr="4DBED068">
        <w:rPr>
          <w:color w:val="000000" w:themeColor="text1"/>
        </w:rPr>
        <w:t xml:space="preserve">. </w:t>
      </w:r>
    </w:p>
    <w:p w14:paraId="366BB4D8" w14:textId="77777777" w:rsidR="009611DD" w:rsidRPr="00796AAD" w:rsidRDefault="009611DD" w:rsidP="00E10F2B">
      <w:pPr>
        <w:contextualSpacing/>
        <w:rPr>
          <w:rFonts w:ascii="Times New Roman" w:hAnsi="Times New Roman" w:cs="Times New Roman"/>
        </w:rPr>
      </w:pPr>
    </w:p>
    <w:p w14:paraId="5D0587DA" w14:textId="77777777" w:rsidR="009611DD" w:rsidRPr="00796AAD" w:rsidRDefault="009611DD" w:rsidP="00E10F2B">
      <w:pPr>
        <w:contextualSpacing/>
        <w:rPr>
          <w:rFonts w:ascii="Times New Roman" w:hAnsi="Times New Roman" w:cs="Times New Roman"/>
        </w:rPr>
      </w:pPr>
      <w:r w:rsidRPr="00796AAD">
        <w:rPr>
          <w:b/>
          <w:bCs/>
        </w:rPr>
        <w:t>Discussion:</w:t>
      </w:r>
    </w:p>
    <w:p w14:paraId="383997AE" w14:textId="1944C590" w:rsidR="009611DD" w:rsidRDefault="009611DD" w:rsidP="00E10F2B">
      <w:pPr>
        <w:contextualSpacing/>
      </w:pPr>
      <w:r w:rsidRPr="00796AAD">
        <w:t xml:space="preserve">This protocol can be utilized for the visual verification of any recombinant </w:t>
      </w:r>
      <w:r w:rsidR="006D1BFF">
        <w:t>Ab</w:t>
      </w:r>
      <w:r w:rsidRPr="00796AAD">
        <w:t xml:space="preserve"> or recombinant protein produced in </w:t>
      </w:r>
      <w:r w:rsidRPr="00796AAD">
        <w:rPr>
          <w:i/>
          <w:iCs/>
        </w:rPr>
        <w:t>N. benthamiana</w:t>
      </w:r>
      <w:r w:rsidRPr="00796AAD">
        <w:t xml:space="preserve"> plants, including those that require temporary exposure to acidic environments for column purification purposes</w:t>
      </w:r>
      <w:r>
        <w:fldChar w:fldCharType="begin" w:fldLock="1"/>
      </w:r>
      <w:r w:rsidR="009E7237">
        <w:instrText>ADDIN CSL_CITATION {"citationItems":[{"id":"ITEM-1","itemData":{"DOI":"10.1016/0378-4347(95)00091-V","ISSN":"03784347","abstract":"In order to improve antibody purification methods, recombinant proteins L and LG were tested in the purification of murine monoclonal immunoglobulin G (IgG) and its fragments. After affinity constant evaluation in different buffer systems, high-performance affinity chromatographic columns were prepared by coupling the proteins to Affi-prep 10 resin and tested with eight different murine monoclonal antibodies and their fragments of different isotypes. Affinity chromatographic experiments confirmed radioimmunoassay results showing that protein L bound 75% of the tested antibody fragments whereas protein LG had affinity for all the tested fragments. These results demonstrate that protein LG is the most powerful Ig-binding tool so far described. © 1995.","author":[{"dropping-particle":"","family":"Vola","given":"R.","non-dropping-particle":"","parse-names":false,"suffix":""},{"dropping-particle":"","family":"Lombardi","given":"A.","non-dropping-particle":"","parse-names":false,"suffix":""},{"dropping-particle":"","family":"Tarditi","given":"L.","non-dropping-particle":"","parse-names":false,"suffix":""},{"dropping-particle":"","family":"Björck","given":"L.","non-dropping-particle":"","parse-names":false,"suffix":""},{"dropping-particle":"","family":"Mariani","given":"M.","non-dropping-particle":"","parse-names":false,"suffix":""}],"container-title":"Journal of Chromatography B: Biomedical Sciences and Applications","id":"ITEM-1","issue":"2","issued":{"date-parts":[["1995","6","23"]]},"page":"209-218","publisher":"Elsevier","title":"Recombinant proteins L and LG: efficient tools for purification of murine immunoglobulin G fragments","type":"article-journal","volume":"668"},"uris":["http://www.mendeley.com/documents/?uuid=93e68ce5-61f5-3560-b6ff-f4129197503a"]},{"id":"ITEM-2","itemData":{"DOI":"10.1002/0471142735.im0207s21","abstract":"IgG can be purified, as described here, by ammonium sulfate precipitation followed by size-exclusion (SE) chromatography. This is the least expensive option available for purification of antibodies. Protein A- and protein G-affinity chromatography are the fastest methods for purifying antibodies, but they are not effective for all subclasses of rat antibody. A protocol for affinity chromatography using anti-rat antibody is provided for purification of rat antibodies. Ion-exchange (IEX) chromatography is described for purifying intact monoclonal and polyclonal antibodies and antibody fragments.","author":[{"dropping-particle":"","family":"Andrew","given":"Sarah M.","non-dropping-particle":"","parse-names":false,"suffix":""},{"dropping-particle":"","family":"Titus","given":"Julie A.","non-dropping-particle":"","parse-names":false,"suffix":""}],"container-title":"Current Protocols in Immunology","id":"ITEM-2","issue":"1","issued":{"date-parts":[["2001","5","1"]]},"page":"2.7.1-2.7.12","publisher":"John Wiley &amp; Sons, Inc.","publisher-place":"Hoboken, NJ, USA","title":"Purification of Immunoglobulin G","type":"chapter","volume":"21"},"uris":["http://www.mendeley.com/documents/?uuid=a1729a6d-5270-3916-88f0-02dc0e1c236a"]},{"id":"ITEM-3","itemData":{"DOI":"10.1016/j.jchromb.2006.09.030","ISSN":"15700232","abstract":"Staphylococcal protein A (SPA) is one of the first discovered immunoglobulin binding molecules and has been extensively studied during the past decades. Due to its affinity to immunoglobulins, SPA has found widespread use as a tool in the detection and purification of antibodies and the molecule has been further developed to one of the most employed affinity purification systems. Interestingly, a minimized SPA derivative has been constructed and a domain originating from SPA has been improved to withstand the harsh environment employed in industrial purifications. This review will focus on the development of different affinity molecules and matrices for usage in antibody purification. © 2006 Elsevier B.V. All rights reserved.","author":[{"dropping-particle":"","family":"Hober","given":"Sophia","non-dropping-particle":"","parse-names":false,"suffix":""},{"dropping-particle":"","family":"Nord","given":"Karin","non-dropping-particle":"","parse-names":false,"suffix":""},{"dropping-particle":"","family":"Linhult","given":"Martin","non-dropping-particle":"","parse-names":false,"suffix":""}],"container-title":"Journal of Chromatography B: Analytical Technologies in the Biomedical and Life Sciences","id":"ITEM-3","issue":"1","issued":{"date-parts":[["2007","3","15"]]},"page":"40-47","publisher":"Elsevier","title":"Protein A chromatography for antibody purification","type":"article","volume":"848"},"uris":["http://www.mendeley.com/documents/?uuid=c5ad9a89-ea0c-32b9-b3b0-9ee597c144af"]}],"mendeley":{"formattedCitation":"&lt;sup&gt;42–44&lt;/sup&gt;","plainTextFormattedCitation":"42–44","previouslyFormattedCitation":"&lt;sup&gt;42–44&lt;/sup&gt;"},"properties":{"noteIndex":0},"schema":"https://github.com/citation-style-language/schema/raw/master/csl-citation.json"}</w:instrText>
      </w:r>
      <w:r>
        <w:fldChar w:fldCharType="separate"/>
      </w:r>
      <w:r w:rsidR="0009107D" w:rsidRPr="0009107D">
        <w:rPr>
          <w:noProof/>
          <w:vertAlign w:val="superscript"/>
        </w:rPr>
        <w:t>42–44</w:t>
      </w:r>
      <w:r>
        <w:fldChar w:fldCharType="end"/>
      </w:r>
      <w:r w:rsidRPr="00796AAD">
        <w:t xml:space="preserve">. Furthermore, the fusion of </w:t>
      </w:r>
      <w:proofErr w:type="spellStart"/>
      <w:r w:rsidRPr="00796AAD">
        <w:t>asGFP</w:t>
      </w:r>
      <w:proofErr w:type="spellEnd"/>
      <w:r w:rsidRPr="00796AAD">
        <w:t xml:space="preserve"> to other proteins in different expression systems can be a useful tool for experimental visualization and education. The protocol herein can further be scaled to larger and smaller amounts of leaf material to produce </w:t>
      </w:r>
      <w:r w:rsidR="00A02262">
        <w:t xml:space="preserve">the </w:t>
      </w:r>
      <w:r w:rsidRPr="00796AAD">
        <w:t xml:space="preserve">desired amount of recombinant protein. The described methods take advantage of previous studies that have identified and </w:t>
      </w:r>
      <w:r w:rsidR="00010F66">
        <w:t>made</w:t>
      </w:r>
      <w:r w:rsidRPr="00796AAD">
        <w:t xml:space="preserve"> versions of GFP that remain stable under acidic conditions</w:t>
      </w:r>
      <w:r w:rsidR="00257425">
        <w:fldChar w:fldCharType="begin" w:fldLock="1"/>
      </w:r>
      <w:r w:rsidR="00820101">
        <w:instrText>ADDIN CSL_CITATION {"citationItems":[{"id":"ITEM-1","itemData":{"DOI":"10.1038/srep28166","ISSN":"20452322","abstract":"Green fluorescent proteins (GFPs) are invaluable tools for modern cell biology. Even though many properties of GFP have been successfully engineered, a GFP retaining brightness at low pH has not emerged. This limits the use of GFP in quantitative studies performed in fluctuating or acidic conditions. We report the engineering and characterisation of tandem dimer GFP (pH-TdGFP), a bright and stable GFP that can be efficiently excited and maintains its fluorescence properties in acidic conditions. Therefore, pH-TdGFP could act as a quantitative marker for cellular processes that occur at low pH, such as endocytosis, autophagy or starvation.","author":[{"dropping-particle":"","family":"Roberts","given":"Tania Michelle","non-dropping-particle":"","parse-names":false,"suffix":""},{"dropping-particle":"","family":"Rudolf","given":"Fabian","non-dropping-particle":"","parse-names":false,"suffix":""},{"dropping-particle":"","family":"Meyer","given":"Andreas","non-dropping-particle":"","parse-names":false,"suffix":""},{"dropping-particle":"","family":"Pellaux","given":"Rene","non-dropping-particle":"","parse-names":false,"suffix":""},{"dropping-particle":"","family":"Whitehead","given":"Ellis","non-dropping-particle":"","parse-names":false,"suffix":""},{"dropping-particle":"","family":"Panke","given":"Sven","non-dropping-particle":"","parse-names":false,"suffix":""},{"dropping-particle":"","family":"Held","given":"Martin","non-dropping-particle":"","parse-names":false,"suffix":""}],"container-title":"Scientific Reports","id":"ITEM-1","issue":"1","issued":{"date-parts":[["2016","6","21"]]},"page":"1-9","publisher":"Nature Publishing Group","title":"Identification and Characterisation of a pH-stable GFP","type":"article-journal","volume":"6"},"uris":["http://www.mendeley.com/documents/?uuid=d5cda0f8-990b-3ee8-9079-332151b441c2"]}],"mendeley":{"formattedCitation":"&lt;sup&gt;46&lt;/sup&gt;","plainTextFormattedCitation":"46","previouslyFormattedCitation":"&lt;sup&gt;46&lt;/sup&gt;"},"properties":{"noteIndex":0},"schema":"https://github.com/citation-style-language/schema/raw/master/csl-citation.json"}</w:instrText>
      </w:r>
      <w:r w:rsidR="00257425">
        <w:fldChar w:fldCharType="separate"/>
      </w:r>
      <w:r w:rsidR="00257425" w:rsidRPr="00257425">
        <w:rPr>
          <w:noProof/>
          <w:vertAlign w:val="superscript"/>
        </w:rPr>
        <w:t>46</w:t>
      </w:r>
      <w:r w:rsidR="00257425">
        <w:fldChar w:fldCharType="end"/>
      </w:r>
      <w:r w:rsidRPr="00796AAD">
        <w:t xml:space="preserve">. </w:t>
      </w:r>
      <w:r w:rsidR="00010F66">
        <w:t>Comprehensiv</w:t>
      </w:r>
      <w:r w:rsidRPr="00796AAD">
        <w:t xml:space="preserve">e prior studies have created </w:t>
      </w:r>
      <w:r>
        <w:t>i</w:t>
      </w:r>
      <w:r w:rsidRPr="00796AAD">
        <w:t>mmunoglobulin domains fused to a protein of interest, often termed IgG-fusions, which this protocol can also accommodate</w:t>
      </w:r>
      <w:r w:rsidR="009E7237">
        <w:fldChar w:fldCharType="begin" w:fldLock="1"/>
      </w:r>
      <w:r w:rsidR="00257425">
        <w:instrText>ADDIN CSL_CITATION {"citationItems":[{"id":"ITEM-1","itemData":{"DOI":"10.1080/21645515.2015.1116655","ISSN":"2164-5515","abstract":"ABSTRACTImmune complexes (IC) used as vaccines have the potential to enhance both antibody and cell-mediated immune responses over those obtained with antigen alone. However, difficulty of manufacture represents a significant hurdle to the widespread use of IC as vaccines. Recombinant IC (RIC) and their expression in plants enable manufacturing by the coordinate expression of immunoglobulin and antigen as a fusion protein. The use of a modular RIC system facilitates insertion of antigen genes and provides a broadly applicable platform that can be adapted for a wide variety of antigens.","author":[{"dropping-particle":"","family":"Mason","given":"Hugh S.","non-dropping-particle":"","parse-names":false,"suffix":""}],"container-title":"Human Vaccines &amp; Immunotherapeutics","id":"ITEM-1","issue":"4","issued":{"date-parts":[["2016","4","2"]]},"page":"988-989","publisher":"Taylor &amp; Francis","title":"Recombinant immune complexes as versatile and potent vaccines","type":"article-journal","volume":"12"},"uris":["http://www.mendeley.com/documents/?uuid=b5a4c864-2c44-3010-af7b-480502f0a3a8"]}],"mendeley":{"formattedCitation":"&lt;sup&gt;28&lt;/sup&gt;","plainTextFormattedCitation":"28","previouslyFormattedCitation":"&lt;sup&gt;28&lt;/sup&gt;"},"properties":{"noteIndex":0},"schema":"https://github.com/citation-style-language/schema/raw/master/csl-citation.json"}</w:instrText>
      </w:r>
      <w:r w:rsidR="009E7237">
        <w:fldChar w:fldCharType="separate"/>
      </w:r>
      <w:r w:rsidR="009E7237" w:rsidRPr="009E7237">
        <w:rPr>
          <w:noProof/>
          <w:vertAlign w:val="superscript"/>
        </w:rPr>
        <w:t>28</w:t>
      </w:r>
      <w:r w:rsidR="009E7237">
        <w:fldChar w:fldCharType="end"/>
      </w:r>
      <w:r w:rsidR="009E7237">
        <w:t xml:space="preserve">. </w:t>
      </w:r>
      <w:r w:rsidRPr="00796AAD">
        <w:t>By creating and expressing an IgG</w:t>
      </w:r>
      <w:r>
        <w:t>-</w:t>
      </w:r>
      <w:r w:rsidRPr="00796AAD">
        <w:t>fusion composed of a humanized IgG1 fused to a</w:t>
      </w:r>
      <w:r>
        <w:t xml:space="preserve"> GFP and </w:t>
      </w:r>
      <w:proofErr w:type="spellStart"/>
      <w:r w:rsidRPr="00796AAD">
        <w:t>asGFP</w:t>
      </w:r>
      <w:proofErr w:type="spellEnd"/>
      <w:r w:rsidRPr="00796AAD">
        <w:t xml:space="preserve">, we were able to visualize the presence of </w:t>
      </w:r>
      <w:r w:rsidR="00A94398">
        <w:t>the</w:t>
      </w:r>
      <w:r w:rsidRPr="00796AAD">
        <w:t xml:space="preserve"> desired protein during the expression, extraction, and purification processes.</w:t>
      </w:r>
    </w:p>
    <w:p w14:paraId="740DBAF4" w14:textId="77777777" w:rsidR="00A94398" w:rsidRPr="00796AAD" w:rsidRDefault="00A94398" w:rsidP="00E10F2B">
      <w:pPr>
        <w:contextualSpacing/>
        <w:rPr>
          <w:rFonts w:ascii="Times New Roman" w:hAnsi="Times New Roman" w:cs="Times New Roman"/>
        </w:rPr>
      </w:pPr>
    </w:p>
    <w:p w14:paraId="147CADC1" w14:textId="506AAFAA" w:rsidR="009611DD" w:rsidRDefault="009611DD" w:rsidP="00E10F2B">
      <w:pPr>
        <w:contextualSpacing/>
      </w:pPr>
      <w:r w:rsidRPr="00796AAD">
        <w:t xml:space="preserve">If </w:t>
      </w:r>
      <w:r w:rsidR="007966FB">
        <w:t>a skilled researcher follows this protocol</w:t>
      </w:r>
      <w:r w:rsidRPr="00796AAD">
        <w:t xml:space="preserve">, leaves will begin to display </w:t>
      </w:r>
      <w:r w:rsidR="00A02262">
        <w:t>necrosis sign</w:t>
      </w:r>
      <w:r w:rsidR="00295729">
        <w:t xml:space="preserve">s </w:t>
      </w:r>
      <w:r w:rsidRPr="00796AAD">
        <w:t>at the infiltration site</w:t>
      </w:r>
      <w:r w:rsidR="00A02262">
        <w:t>s</w:t>
      </w:r>
      <w:r w:rsidRPr="00796AAD">
        <w:t xml:space="preserve"> between days 4-5. However,</w:t>
      </w:r>
      <w:r>
        <w:t xml:space="preserve"> </w:t>
      </w:r>
      <w:r w:rsidRPr="00796AAD">
        <w:t>when using the described vectors</w:t>
      </w:r>
      <w:r>
        <w:t>,</w:t>
      </w:r>
      <w:r w:rsidRPr="00796AAD">
        <w:t xml:space="preserve"> </w:t>
      </w:r>
      <w:r>
        <w:t xml:space="preserve">infiltrated areas of </w:t>
      </w:r>
      <w:r w:rsidRPr="00796AAD">
        <w:t xml:space="preserve">leaves should appear healthy up until day 5 </w:t>
      </w:r>
      <w:r>
        <w:t xml:space="preserve">with </w:t>
      </w:r>
      <w:r w:rsidRPr="00796AAD">
        <w:t>proper</w:t>
      </w:r>
      <w:r>
        <w:t xml:space="preserve"> care</w:t>
      </w:r>
      <w:r w:rsidRPr="00796AAD">
        <w:t xml:space="preserve">. It is important to note that </w:t>
      </w:r>
      <w:r>
        <w:rPr>
          <w:i/>
          <w:iCs/>
        </w:rPr>
        <w:t xml:space="preserve">Agrobacterium </w:t>
      </w:r>
      <w:r w:rsidRPr="00796AAD">
        <w:t xml:space="preserve">infection on its own will eventually result in necrosis of the plant leaves due to </w:t>
      </w:r>
      <w:r>
        <w:t xml:space="preserve">the </w:t>
      </w:r>
      <w:r w:rsidRPr="00796AAD">
        <w:t>accumulation of reactive oxygen species (ROS) as part of the plant cell immune response</w:t>
      </w:r>
      <w:r>
        <w:fldChar w:fldCharType="begin" w:fldLock="1"/>
      </w:r>
      <w:r w:rsidR="00170527">
        <w:instrText>ADDIN CSL_CITATION {"citationItems":[{"id":"ITEM-1","itemData":{"DOI":"10.4314/AJB.V4I8.15199","ISSN":"1684-5315","abstract":"High necrosis and poor survival rate of target plant tissues are some of the major factors that affect the efficiency of Agrobacterium-mediated T-DNA transfer into plant cells. These factors may be the result of, or linked to, hypersensitive defense reaction in plants to Agrobacterium infection, which may involve the recognition of specific signals from the Agrobacterium that triggers the burst of reactive oxygen species at the infection site. Evidences of Agrobacterium-induced necrosis in target plant tissues and its link to reactive oxygen species are presented. Application of antioxidants, addition of acetosyringone and optimization of pre-culture conditions suppress the Agrobacterium-induced hypersensitive necrotic response in target plant tissues, thereby enhancing stable transformation.Key words: Agrobacterium; hypersensitive reaction; necrosis; signal transduction; oxidative burst; transformation.African Journal of Biotechnology Vol. 4 (8), pp. 752-757","author":[{"dropping-particle":"","family":"Kuta","given":"Danladi Dada","non-dropping-particle":"","parse-names":false,"suffix":""},{"dropping-particle":"","family":"Tripathi","given":"Leena","non-dropping-particle":"","parse-names":false,"suffix":""}],"container-title":"African Journal of Biotechnology","id":"ITEM-1","issue":"8","issued":{"date-parts":[["2005","9","1"]]},"page":"752-757","title":"&lt;i&gt;Agrobacterium&lt;/i&gt;-induced hypersensitive necrotic reaction in plant cells: a resistance response against &lt;i&gt;Agrobacterium&lt;/i&gt;-mediated DNA transfer","type":"article-journal","volume":"4"},"uris":["http://www.mendeley.com/documents/?uuid=157db197-5f23-3a0d-b987-2bac1e993371"]},{"id":"ITEM-2","itemData":{"DOI":"10.1007/s11240-004-3176-9","ISSN":"01676857","abstract":"Our objective is to develop an Agrobacterium-based transformation system for peanut. Ascorbic acid (AA), sodium selenite (Se), DL-α-tocopherol (TOC) and glutathione (GSH) were used as antioxidants during the plant regeneration and co-cultivation with Agrobacterium tumefaciens. Percentage of explants with buds or shoots increased from 50 in control group to 88, 90, 87 and 76 in GSH, TOC, Se or AA treated groups, respectively. The percentage of GUS-positive plantlets increased from 3.9 (in control) to 14.5, 10.3, 12.4 and 3.9 in GSH, TOC, Se or AA groups, respectively. Some of the callus in AA group became brown and died 2 months later. GSH, TOC and Se not only eliminated the formation of H2O2 produced in wound tissue during preparation of leaflets and co-cultivation with Agrobacterium tumefaciens and decreased malondialdehyde (MDA) formation, but also enhanced superoxide dismutase (SOD) and catalase (CAT) activities. As a result, GSH, TOC or Se increased the frequency of plant regeneration and transformation efficiency of peanut (Arachis hypogaea L.) explants by Agrobacterium tumefaciens. AA is an unsuitable antioxidant in Murashige and Skoog (MS) medium due to the stimulation of oxidation in the presence of iron in MS medium. © Springer 2005.","author":[{"dropping-particle":"","family":"Qiusheng","given":"Zheng","non-dropping-particle":"","parse-names":false,"suffix":""},{"dropping-particle":"","family":"Bao","given":"Ju","non-dropping-particle":"","parse-names":false,"suffix":""},{"dropping-particle":"","family":"Likun","given":"Liang","non-dropping-particle":"","parse-names":false,"suffix":""},{"dropping-particle":"","family":"Xianhua","given":"Xiao","non-dropping-particle":"","parse-names":false,"suffix":""}],"container-title":"Plant Cell, Tissue and Organ Culture","id":"ITEM-2","issue":"1","issued":{"date-parts":[["2005","4"]]},"page":"83-90","publisher":"Springer","title":"Effects of antioxidants on the plant regeneration and GUS expressive frequency of peanut (Arachis hypogaea) explants by Agrobacterium tumefaciens","type":"article-journal","volume":"81"},"uris":["http://www.mendeley.com/documents/?uuid=db982b91-8fda-3e29-a7b6-b94984e0008c"]}],"mendeley":{"formattedCitation":"&lt;sup&gt;51, 52&lt;/sup&gt;","plainTextFormattedCitation":"51, 52","previouslyFormattedCitation":"&lt;sup&gt;51, 52&lt;/sup&gt;"},"properties":{"noteIndex":0},"schema":"https://github.com/citation-style-language/schema/raw/master/csl-citation.json"}</w:instrText>
      </w:r>
      <w:r>
        <w:fldChar w:fldCharType="separate"/>
      </w:r>
      <w:r w:rsidR="00820101" w:rsidRPr="00820101">
        <w:rPr>
          <w:noProof/>
          <w:vertAlign w:val="superscript"/>
        </w:rPr>
        <w:t>51,52</w:t>
      </w:r>
      <w:r>
        <w:fldChar w:fldCharType="end"/>
      </w:r>
      <w:r w:rsidRPr="00796AAD">
        <w:t xml:space="preserve">. This immune response and </w:t>
      </w:r>
      <w:r>
        <w:t xml:space="preserve">the </w:t>
      </w:r>
      <w:r w:rsidRPr="00796AAD">
        <w:t>resultant level of necrosis can vary based on several factor</w:t>
      </w:r>
      <w:r>
        <w:t>s</w:t>
      </w:r>
      <w:r>
        <w:fldChar w:fldCharType="begin" w:fldLock="1"/>
      </w:r>
      <w:r w:rsidR="00170527">
        <w:instrText>ADDIN CSL_CITATION {"citationItems":[{"id":"ITEM-1","itemData":{"DOI":"10.4314/AJB.V4I8.15199","ISSN":"1684-5315","abstract":"High necrosis and poor survival rate of target plant tissues are some of the major factors that affect the efficiency of Agrobacterium-mediated T-DNA transfer into plant cells. These factors may be the result of, or linked to, hypersensitive defense reaction in plants to Agrobacterium infection, which may involve the recognition of specific signals from the Agrobacterium that triggers the burst of reactive oxygen species at the infection site. Evidences of Agrobacterium-induced necrosis in target plant tissues and its link to reactive oxygen species are presented. Application of antioxidants, addition of acetosyringone and optimization of pre-culture conditions suppress the Agrobacterium-induced hypersensitive necrotic response in target plant tissues, thereby enhancing stable transformation.Key words: Agrobacterium; hypersensitive reaction; necrosis; signal transduction; oxidative burst; transformation.African Journal of Biotechnology Vol. 4 (8), pp. 752-757","author":[{"dropping-particle":"","family":"Kuta","given":"Danladi Dada","non-dropping-particle":"","parse-names":false,"suffix":""},{"dropping-particle":"","family":"Tripathi","given":"Leena","non-dropping-particle":"","parse-names":false,"suffix":""}],"container-title":"African Journal of Biotechnology","id":"ITEM-1","issue":"8","issued":{"date-parts":[["2005","9","1"]]},"page":"752-757","title":"&lt;i&gt;Agrobacterium&lt;/i&gt;-induced hypersensitive necrotic reaction in plant cells: a resistance response against &lt;i&gt;Agrobacterium&lt;/i&gt;-mediated DNA transfer","type":"article-journal","volume":"4"},"uris":["http://www.mendeley.com/documents/?uuid=157db197-5f23-3a0d-b987-2bac1e993371"]}],"mendeley":{"formattedCitation":"&lt;sup&gt;51&lt;/sup&gt;","plainTextFormattedCitation":"51","previouslyFormattedCitation":"&lt;sup&gt;51&lt;/sup&gt;"},"properties":{"noteIndex":0},"schema":"https://github.com/citation-style-language/schema/raw/master/csl-citation.json"}</w:instrText>
      </w:r>
      <w:r>
        <w:fldChar w:fldCharType="separate"/>
      </w:r>
      <w:r w:rsidR="00820101" w:rsidRPr="00820101">
        <w:rPr>
          <w:noProof/>
          <w:vertAlign w:val="superscript"/>
        </w:rPr>
        <w:t>51</w:t>
      </w:r>
      <w:r>
        <w:fldChar w:fldCharType="end"/>
      </w:r>
      <w:r>
        <w:t xml:space="preserve">, including the </w:t>
      </w:r>
      <w:r w:rsidRPr="00796AAD">
        <w:t>cellular</w:t>
      </w:r>
      <w:r>
        <w:t xml:space="preserve"> targeting</w:t>
      </w:r>
      <w:r w:rsidR="002F2B52">
        <w:t>,</w:t>
      </w:r>
      <w:r>
        <w:t xml:space="preserve"> the </w:t>
      </w:r>
      <w:r w:rsidR="00A02262">
        <w:t>protein's locatio</w:t>
      </w:r>
      <w:r>
        <w:t>n, the type of protein</w:t>
      </w:r>
      <w:r w:rsidRPr="00796AAD">
        <w:t xml:space="preserve"> being produced, the expression vector</w:t>
      </w:r>
      <w:r>
        <w:t>,</w:t>
      </w:r>
      <w:r w:rsidRPr="00796AAD">
        <w:t xml:space="preserve"> and the strain of </w:t>
      </w:r>
      <w:r w:rsidRPr="00796AAD">
        <w:rPr>
          <w:i/>
          <w:iCs/>
        </w:rPr>
        <w:t>Agrobacterium</w:t>
      </w:r>
      <w:r w:rsidRPr="00796AAD">
        <w:t xml:space="preserve"> used</w:t>
      </w:r>
      <w:r>
        <w:fldChar w:fldCharType="begin" w:fldLock="1"/>
      </w:r>
      <w:r w:rsidR="00170527">
        <w:instrText>ADDIN CSL_CITATION {"citationItems":[{"id":"ITEM-1","itemData":{"DOI":"10.3389/fpls.2016.00200","ISSN":"1664-462X","abstract":"We previously reported a recombinant protein production system based on a geminivirus replicon that yields high levels of vaccine antigens and monoclonal antibodies in plants. The bean yellow dwarf virus (BeYDV) replicon generates massive amounts of DNA copies, which engage the plant transcription machinery. However, we noticed a disparity between transcript level and protein production, suggesting that mRNAs could be more efficiently utilized. In this study, we systematically evaluated genetic elements from human, viral, and plant sources for their potential to improve the BeYDV system. The tobacco extensin terminator enhanced transcript accumulation and protein production compared to other commonly used terminators, indicating that efficient transcript processing plays an important role in recombinant protein production. Evaluation of human-derived 5′ untranslated regions (UTRs) indicated that many provided high levels of protein production, supporting their cross-kingdom function. Among the viral 5′ UTRs tested, we found the greatest enhancement with the tobacco mosaic virus omega leader. An analysis of the 5′ UTRs from the Arabidopsis thaliana and Nicotinana benthamiana photosystem I K genes found that they were highly active when truncated to include only the near upstream region, providing a dramatic enhancement of transgene production that exceeded that of the tobacco mosaic virus omega leader. The tobacco Rb7 matrix attachment region inserted downstream from the gene of interest provided significant enhancement, which was correlated with a reduction in plant cell death. Evaluation of Agrobacterium strains found that EHA105 enhanced protein production and reduced cell death compared to LBA4301 and GV3101. We used these improvements to produce Norwalk virus capsid protein at &gt;20% total soluble protein, corresponding to 1.8 mg/g leaf fresh weight, more than twice the highest level ever reported in a plant system. We also produced the monoclonal antibody rituximab at 1 mg/g leaf fresh weight.","author":[{"dropping-particle":"","family":"Diamos","given":"Andrew G.","non-dropping-particle":"","parse-names":false,"suffix":""},{"dropping-particle":"","family":"Rosenthal","given":"Sun H.","non-dropping-particle":"","parse-names":false,"suffix":""},{"dropping-particle":"","family":"Mason","given":"Hugh S.","non-dropping-particle":"","parse-names":false,"suffix":""}],"container-title":"Frontiers in Plant Science","id":"ITEM-1","issue":"FEB2016","issued":{"date-parts":[["2016","2","24"]]},"page":"200","publisher":"Frontiers Media S.A.","title":"5′ and 3′ Untranslated Regions Strongly Enhance Performance of Geminiviral Replicons in Nicotiana benthamiana Leaves","type":"article-journal","volume":"7"},"uris":["http://www.mendeley.com/documents/?uuid=fc7223b2-b63d-39d3-8269-146b16a2aeae"]},{"id":"ITEM-2","itemData":{"DOI":"10.1002/bit.22299","ISSN":"00063592","abstract":"Recombinant virus-like particles (VLPs) represent a safe and effective vaccine strategy. We previously described a stable transgenic plant system for inexpensive production and oral delivery of VLP vaccines. However, the relatively low-level antigen accumulation and long-time frame to produce transgenic plants are the two major road-blocks in the practical development of plant-based VLP production. In this article, we describe the optimization of geminivirus-derived DNA replicon vectors for rapid, high-yield plant-based production of VLPs. Co-delivery of bean yellow dwarf virus (BeYDV)-derived vector and Rep/ RepA-supplying vector by agroinfiltration of Nicotiana benthamiana leaves resulted in efficient replicon amplification and robust protein production within 5 days. Co-expression of the P19 protein of tomato bush stunt virus, a gene silencing inhibitor, further enhanced VLP accumulation by stabilizing the mRNA. With this system, hepatitis B core antigen (HBc) and Norwalk virus capsid protein (NVCP) were produced at 0.80 and 0.34 mg/g leaf fresh weight, respectively. Sedimentation analysis and electron microscopy of transiently expressed antigens verified the efficient assembly of VLPs. Furthermore, a single replicon vector containing a built-in Rep/RepA cassette without P19 drove protein expression at similar levels as the three-component system. These results demonstrate the advantages of fast and high-level production of VLP-based vaccines using the BeYDV-derived DNA replicon system for transient expression in plants. © 2009 Wiley Periodicals, Inc.","author":[{"dropping-particle":"","family":"Huang","given":"Zhong","non-dropping-particle":"","parse-names":false,"suffix":""},{"dropping-particle":"","family":"Chen","given":"Qiang","non-dropping-particle":"","parse-names":false,"suffix":""},{"dropping-particle":"","family":"Hjelm","given":"Brooke","non-dropping-particle":"","parse-names":false,"suffix":""},{"dropping-particle":"","family":"Arntzen","given":"Charles","non-dropping-particle":"","parse-names":false,"suffix":""},{"dropping-particle":"","family":"Mason","given":"Hugh","non-dropping-particle":"","parse-names":false,"suffix":""}],"container-title":"Biotechnology and Bioengineering","id":"ITEM-2","issue":"4","issued":{"date-parts":[["2009","7","1"]]},"page":"706-714","title":"A DNA replicon system for rapid high-level production of virus-like particles in plants","type":"article-journal","volume":"103"},"uris":["http://www.mendeley.com/documents/?uuid=e4be1147-985b-3383-9804-882cc3f0ddb1"]}],"mendeley":{"formattedCitation":"&lt;sup&gt;53, 54&lt;/sup&gt;","plainTextFormattedCitation":"53, 54","previouslyFormattedCitation":"&lt;sup&gt;53, 54&lt;/sup&gt;"},"properties":{"noteIndex":0},"schema":"https://github.com/citation-style-language/schema/raw/master/csl-citation.json"}</w:instrText>
      </w:r>
      <w:r>
        <w:fldChar w:fldCharType="separate"/>
      </w:r>
      <w:r w:rsidR="00820101" w:rsidRPr="00820101">
        <w:rPr>
          <w:noProof/>
          <w:vertAlign w:val="superscript"/>
        </w:rPr>
        <w:t>53,54</w:t>
      </w:r>
      <w:r>
        <w:fldChar w:fldCharType="end"/>
      </w:r>
      <w:r w:rsidRPr="00796AAD">
        <w:t xml:space="preserve">. </w:t>
      </w:r>
      <w:r>
        <w:t>Also</w:t>
      </w:r>
      <w:r w:rsidRPr="00796AAD">
        <w:t>, variations in the optical density (OD</w:t>
      </w:r>
      <w:r w:rsidRPr="00B64228">
        <w:rPr>
          <w:vertAlign w:val="subscript"/>
        </w:rPr>
        <w:t>600</w:t>
      </w:r>
      <w:r w:rsidRPr="00796AAD">
        <w:t xml:space="preserve">) of the </w:t>
      </w:r>
      <w:r w:rsidRPr="00796AAD">
        <w:rPr>
          <w:i/>
          <w:iCs/>
        </w:rPr>
        <w:t xml:space="preserve">Agrobacterium </w:t>
      </w:r>
      <w:r>
        <w:t>used for</w:t>
      </w:r>
      <w:r w:rsidRPr="00796AAD">
        <w:t xml:space="preserve"> infiltration can </w:t>
      </w:r>
      <w:r>
        <w:t>affect the</w:t>
      </w:r>
      <w:r w:rsidRPr="00796AAD">
        <w:t xml:space="preserve"> levels of necrosis</w:t>
      </w:r>
      <w:r>
        <w:fldChar w:fldCharType="begin" w:fldLock="1"/>
      </w:r>
      <w:r w:rsidR="00170527">
        <w:instrText>ADDIN CSL_CITATION {"citationItems":[{"id":"ITEM-1","itemData":{"DOI":"10.3389/fpls.2018.01974","ISSN":"1664-462X","abstract":"Plants are a promising platform to produce biopharmaceutical proteins, however, the toxic nature of some proteins inhibits their accumulation. We previously created a replicating geminiviral expression system based on bean yellow dwarf virus (BeYDV) that enables very high-level production of recombinant proteins. To study the role of replication in this system, we generated vectors that allow separate and controlled expression of BeYDV Rep and RepA proteins. We show that the ratio of Rep and RepA strongly affects the efficiency of replication. Rep, RepA, and vector replication all elicit the plant hypersensitive response, resulting in cell death. We find that a modest reduction in expression of Rep and RepA reduces plant leaf cell death which, despite reducing the accumulation of viral replicons, increases target protein accumulation. A single nucleotide change in the 5 ′ untranslated region (UTR) reduced Rep/RepA expression, reduced cell death, and enhanced the production of monoclonal antibodies. We also find that replicating vectors achieve optimal expression with lower Agrobacterium concentrations than non-replicating vectors, further reducing cell death. Viral UTRs are also shown to contribute substantially to cell death, while a native plant-derived 5 ′ UTR does not.","author":[{"dropping-particle":"","family":"Diamos","given":"Andrew G.","non-dropping-particle":"","parse-names":false,"suffix":""},{"dropping-particle":"","family":"Mason","given":"Hugh S.","non-dropping-particle":"","parse-names":false,"suffix":""}],"container-title":"Frontiers in Plant Science","id":"ITEM-1","issued":{"date-parts":[["2019","1","9"]]},"page":"1974","publisher":"Frontiers Media S.A.","title":"Modifying the Replication of Geminiviral Vectors Reduces Cell Death and Enhances Expression of Biopharmaceutical Proteins in Nicotiana benthamiana Leaves","type":"article-journal","volume":"9"},"uris":["http://www.mendeley.com/documents/?uuid=b1db72a4-26c1-3d28-8140-3e74dbee1e17"]}],"mendeley":{"formattedCitation":"&lt;sup&gt;55&lt;/sup&gt;","plainTextFormattedCitation":"55","previouslyFormattedCitation":"&lt;sup&gt;55&lt;/sup&gt;"},"properties":{"noteIndex":0},"schema":"https://github.com/citation-style-language/schema/raw/master/csl-citation.json"}</w:instrText>
      </w:r>
      <w:r>
        <w:fldChar w:fldCharType="separate"/>
      </w:r>
      <w:r w:rsidR="00820101" w:rsidRPr="00820101">
        <w:rPr>
          <w:noProof/>
          <w:vertAlign w:val="superscript"/>
        </w:rPr>
        <w:t>55</w:t>
      </w:r>
      <w:r>
        <w:fldChar w:fldCharType="end"/>
      </w:r>
      <w:r w:rsidRPr="00796AAD">
        <w:t>. Many expression vectors utilize proteins that bind retinoblastoma protein to keep the plant cells in synthesis (S)-phase and increase cell division and transformation frequency</w:t>
      </w:r>
      <w:r>
        <w:fldChar w:fldCharType="begin" w:fldLock="1"/>
      </w:r>
      <w:r w:rsidR="00170527">
        <w:instrText>ADDIN CSL_CITATION {"citationItems":[{"id":"ITEM-1","itemData":{"DOI":"10.1073/pnas.142409899","ISSN":"00278424","abstract":"The genome of the Mastreviruses encodes a replication-associated protein (RepA) that interacts with members of the plant retinoblastoma-related protein family, which are putative cell cycle regulators. Expression of ZmRb1, a maize retinoblastoma-related gene, and RepA inhibited and stimulated, respectively, cell division in tobacco cell cultures. The effect of RepA was mitigated by over-expression of ZmRb1. RepA increased transformation frequency and callus growth rate of high type II maize germplasm. RepA-containing transgenic maize calli remained embryogenic, were readily regenerable, and produced fertile plants that transmitted transgene expression in a Mendelian fashion. In high type II, transformation frequency increased with the strength of the promoter driving RepA expression. When a construct in which RepA was expressed behind its native LIR promoter was used, primary transformation frequencies did not improve for two elite Pioneer maize inbreds. However, when LIR:RepA-containing transgenic embryos were used in subsequent rounds of transformation, frequencies were higher in the RepA+ embryos. These data demonstrate that RepA can stimulate cell division and callus growth in culture, and improve maize transformation.","author":[{"dropping-particle":"","family":"Gordon-Kamm","given":"William","non-dropping-particle":"","parse-names":false,"suffix":""},{"dropping-particle":"","family":"Dilkes","given":"Brian P.","non-dropping-particle":"","parse-names":false,"suffix":""},{"dropping-particle":"","family":"Lowe","given":"Keith","non-dropping-particle":"","parse-names":false,"suffix":""},{"dropping-particle":"","family":"Hoerster","given":"George","non-dropping-particle":"","parse-names":false,"suffix":""},{"dropping-particle":"","family":"Sun","given":"Xifan","non-dropping-particle":"","parse-names":false,"suffix":""},{"dropping-particle":"","family":"Ross","given":"Margit","non-dropping-particle":"","parse-names":false,"suffix":""},{"dropping-particle":"","family":"Church","given":"Laura","non-dropping-particle":"","parse-names":false,"suffix":""},{"dropping-particle":"","family":"Bunde","given":"Chris","non-dropping-particle":"","parse-names":false,"suffix":""},{"dropping-particle":"","family":"Farrell","given":"Jeff","non-dropping-particle":"","parse-names":false,"suffix":""},{"dropping-particle":"","family":"Hill","given":"Patrea","non-dropping-particle":"","parse-names":false,"suffix":""},{"dropping-particle":"","family":"Maddock","given":"Sheila","non-dropping-particle":"","parse-names":false,"suffix":""},{"dropping-particle":"","family":"Snyder","given":"Jane","non-dropping-particle":"","parse-names":false,"suffix":""},{"dropping-particle":"","family":"Sykes","given":"Louisa","non-dropping-particle":"","parse-names":false,"suffix":""},{"dropping-particle":"","family":"Li","given":"Zhongsen","non-dropping-particle":"","parse-names":false,"suffix":""},{"dropping-particle":"","family":"Woo","given":"Young Min","non-dropping-particle":"","parse-names":false,"suffix":""},{"dropping-particle":"","family":"Bidney","given":"Dennis","non-dropping-particle":"","parse-names":false,"suffix":""},{"dropping-particle":"","family":"Larkins","given":"Brian A.","non-dropping-particle":"","parse-names":false,"suffix":""}],"container-title":"Proceedings of the National Academy of Sciences of the United States of America","id":"ITEM-1","issue":"18","issued":{"date-parts":[["2002","9","3"]]},"page":"11975-11980","title":"Stimulation of the cell cycle and maize transformation by disruption of the plant retinoblastoma pathway","type":"article-journal","volume":"99"},"uris":["http://www.mendeley.com/documents/?uuid=4daf7ee2-32a6-31f6-a01e-180a53447f1b"]},{"id":"ITEM-2","itemData":{"DOI":"10.1007/BF01007700","ISSN":"00320935","abstract":"Chimeric β-glucuronidase (GUS) gene expression in an efficient Agrobacterium-mediated transformation system utilising mesophyll cells of Petunia hybrida synchronized with cell cycle phase-specific inhibitors (mimosine and colchicine) was used to show the absolute requirement of S-phase for transfer and/or integration of the transferred DNA (T-DNA). Flow-cytometric analysis of nuclear DNA content and immunohistological detection of bromodeoxyuridine (BrdUrd) incorporation showed that, prior to phytohormone treatment, most (98%) mesophyll cells were at G0-G1-phase (quiescent phase) and no cell division was occurring. After 48 h and 72 h of phytohormone treatment, there was a rapid increase in S-G2 M-phase populations (&gt; 75%) and a concomitant decrease (down to 24%) in G0-G1-phase cells. Assays of GUS showed that maximum transformation (&gt; 95% of explants) also occurred after this period. Our data showed that mimosine and colchicine blocked the mesophyll cells at late G1-phase and M-phase, respectively. No transformation (= GUS expression) was observed in phytohormone-treated cells inhibited in late G1 by mimosine. However, after removal of mimosine, 82% of the explants were transformed.indicating the non-toxic and reversible effect of the inhibitor. On the other hand, a relatively high transformation frequency (65% of explants) was observed after blocking the cell cycle at M-phase with colchicine. However, only transient, but no stable, gene expression (= kanamycin-resistant callus formation) was observed in colchicine-treated M-phase-arrested cells. Similarly, endoreduplication of nuclear DNA, which occurred during the 48 h of phytohormone treatment in some mesophyll cells and cells located along the minor veins in the leaf explants, resulted in transient GUS expression only. These observations indicate a direct correlation between endoreduplication and transient GUS gene expression. Obviously, for stable GUS gene expression, cell division and proliferation are required, indicating that both DNA duplication (S-phase) and cell division (M-phase) are strongly related to stable transformation. We propose that the present system should facilitate. Further dissection of the process of T-DNA integration in the host genome and therefore should aid in developing new strategies for transformation of recalcitrant plants.","author":[{"dropping-particle":"","family":"Villemont","given":"Estelle","non-dropping-particle":"","parse-names":false,"suffix":""},{"dropping-particle":"","family":"Dubois","given":"Frédéric","non-dropping-particle":"","parse-names":false,"suffix":""},{"dropping-particle":"","family":"Sangwan","given":"Rajbir S.","non-dropping-particle":"","parse-names":false,"suffix":""},{"dropping-particle":"","family":"Vasseur","given":"Gérard","non-dropping-particle":"","parse-names":false,"suffix":""},{"dropping-particle":"","family":"Bourgeois","given":"Yvan","non-dropping-particle":"","parse-names":false,"suffix":""},{"dropping-particle":"","family":"Sangwan-Norreel","given":"Brigitte S.","non-dropping-particle":"","parse-names":false,"suffix":""}],"container-title":"Planta","id":"ITEM-2","issue":"2","issued":{"date-parts":[["1997"]]},"page":"160-172","publisher":"Springer Verlag","title":"Role of the host cell cycle in the Agrobacterium-mediated genetic transformation of Petunia: Evidence of an S-phase control mechanism for T-DNA transfer","type":"article-journal","volume":"201"},"uris":["http://www.mendeley.com/documents/?uuid=bc47487c-1def-3219-8448-f91d583edd78"]}],"mendeley":{"formattedCitation":"&lt;sup&gt;56, 57&lt;/sup&gt;","plainTextFormattedCitation":"56, 57","previouslyFormattedCitation":"&lt;sup&gt;56, 57&lt;/sup&gt;"},"properties":{"noteIndex":0},"schema":"https://github.com/citation-style-language/schema/raw/master/csl-citation.json"}</w:instrText>
      </w:r>
      <w:r>
        <w:fldChar w:fldCharType="separate"/>
      </w:r>
      <w:r w:rsidR="00820101" w:rsidRPr="00820101">
        <w:rPr>
          <w:noProof/>
          <w:vertAlign w:val="superscript"/>
        </w:rPr>
        <w:t>56,57</w:t>
      </w:r>
      <w:r>
        <w:fldChar w:fldCharType="end"/>
      </w:r>
      <w:r w:rsidRPr="00796AAD">
        <w:t>. Increases in protein production, such as those caused by binding to retinoblastoma protein, can lead to necrosis</w:t>
      </w:r>
      <w:r>
        <w:fldChar w:fldCharType="begin" w:fldLock="1"/>
      </w:r>
      <w:r w:rsidR="00170527">
        <w:instrText>ADDIN CSL_CITATION {"citationItems":[{"id":"ITEM-1","itemData":{"DOI":"10.1073/pnas.142409899","ISSN":"00278424","abstract":"The genome of the Mastreviruses encodes a replication-associated protein (RepA) that interacts with members of the plant retinoblastoma-related protein family, which are putative cell cycle regulators. Expression of ZmRb1, a maize retinoblastoma-related gene, and RepA inhibited and stimulated, respectively, cell division in tobacco cell cultures. The effect of RepA was mitigated by over-expression of ZmRb1. RepA increased transformation frequency and callus growth rate of high type II maize germplasm. RepA-containing transgenic maize calli remained embryogenic, were readily regenerable, and produced fertile plants that transmitted transgene expression in a Mendelian fashion. In high type II, transformation frequency increased with the strength of the promoter driving RepA expression. When a construct in which RepA was expressed behind its native LIR promoter was used, primary transformation frequencies did not improve for two elite Pioneer maize inbreds. However, when LIR:RepA-containing transgenic embryos were used in subsequent rounds of transformation, frequencies were higher in the RepA+ embryos. These data demonstrate that RepA can stimulate cell division and callus growth in culture, and improve maize transformation.","author":[{"dropping-particle":"","family":"Gordon-Kamm","given":"William","non-dropping-particle":"","parse-names":false,"suffix":""},{"dropping-particle":"","family":"Dilkes","given":"Brian P.","non-dropping-particle":"","parse-names":false,"suffix":""},{"dropping-particle":"","family":"Lowe","given":"Keith","non-dropping-particle":"","parse-names":false,"suffix":""},{"dropping-particle":"","family":"Hoerster","given":"George","non-dropping-particle":"","parse-names":false,"suffix":""},{"dropping-particle":"","family":"Sun","given":"Xifan","non-dropping-particle":"","parse-names":false,"suffix":""},{"dropping-particle":"","family":"Ross","given":"Margit","non-dropping-particle":"","parse-names":false,"suffix":""},{"dropping-particle":"","family":"Church","given":"Laura","non-dropping-particle":"","parse-names":false,"suffix":""},{"dropping-particle":"","family":"Bunde","given":"Chris","non-dropping-particle":"","parse-names":false,"suffix":""},{"dropping-particle":"","family":"Farrell","given":"Jeff","non-dropping-particle":"","parse-names":false,"suffix":""},{"dropping-particle":"","family":"Hill","given":"Patrea","non-dropping-particle":"","parse-names":false,"suffix":""},{"dropping-particle":"","family":"Maddock","given":"Sheila","non-dropping-particle":"","parse-names":false,"suffix":""},{"dropping-particle":"","family":"Snyder","given":"Jane","non-dropping-particle":"","parse-names":false,"suffix":""},{"dropping-particle":"","family":"Sykes","given":"Louisa","non-dropping-particle":"","parse-names":false,"suffix":""},{"dropping-particle":"","family":"Li","given":"Zhongsen","non-dropping-particle":"","parse-names":false,"suffix":""},{"dropping-particle":"","family":"Woo","given":"Young Min","non-dropping-particle":"","parse-names":false,"suffix":""},{"dropping-particle":"","family":"Bidney","given":"Dennis","non-dropping-particle":"","parse-names":false,"suffix":""},{"dropping-particle":"","family":"Larkins","given":"Brian A.","non-dropping-particle":"","parse-names":false,"suffix":""}],"container-title":"Proceedings of the National Academy of Sciences of the United States of America","id":"ITEM-1","issue":"18","issued":{"date-parts":[["2002","9","3"]]},"page":"11975-11980","title":"Stimulation of the cell cycle and maize transformation by disruption of the plant retinoblastoma pathway","type":"article-journal","volume":"99"},"uris":["http://www.mendeley.com/documents/?uuid=4daf7ee2-32a6-31f6-a01e-180a53447f1b"]},{"id":"ITEM-2","itemData":{"DOI":"10.1007/BF01007700","ISSN":"00320935","abstract":"Chimeric β-glucuronidase (GUS) gene expression in an efficient Agrobacterium-mediated transformation system utilising mesophyll cells of Petunia hybrida synchronized with cell cycle phase-specific inhibitors (mimosine and colchicine) was used to show the absolute requirement of S-phase for transfer and/or integration of the transferred DNA (T-DNA). Flow-cytometric analysis of nuclear DNA content and immunohistological detection of bromodeoxyuridine (BrdUrd) incorporation showed that, prior to phytohormone treatment, most (98%) mesophyll cells were at G0-G1-phase (quiescent phase) and no cell division was occurring. After 48 h and 72 h of phytohormone treatment, there was a rapid increase in S-G2 M-phase populations (&gt; 75%) and a concomitant decrease (down to 24%) in G0-G1-phase cells. Assays of GUS showed that maximum transformation (&gt; 95% of explants) also occurred after this period. Our data showed that mimosine and colchicine blocked the mesophyll cells at late G1-phase and M-phase, respectively. No transformation (= GUS expression) was observed in phytohormone-treated cells inhibited in late G1 by mimosine. However, after removal of mimosine, 82% of the explants were transformed.indicating the non-toxic and reversible effect of the inhibitor. On the other hand, a relatively high transformation frequency (65% of explants) was observed after blocking the cell cycle at M-phase with colchicine. However, only transient, but no stable, gene expression (= kanamycin-resistant callus formation) was observed in colchicine-treated M-phase-arrested cells. Similarly, endoreduplication of nuclear DNA, which occurred during the 48 h of phytohormone treatment in some mesophyll cells and cells located along the minor veins in the leaf explants, resulted in transient GUS expression only. These observations indicate a direct correlation between endoreduplication and transient GUS gene expression. Obviously, for stable GUS gene expression, cell division and proliferation are required, indicating that both DNA duplication (S-phase) and cell division (M-phase) are strongly related to stable transformation. We propose that the present system should facilitate. Further dissection of the process of T-DNA integration in the host genome and therefore should aid in developing new strategies for transformation of recalcitrant plants.","author":[{"dropping-particle":"","family":"Villemont","given":"Estelle","non-dropping-particle":"","parse-names":false,"suffix":""},{"dropping-particle":"","family":"Dubois","given":"Frédéric","non-dropping-particle":"","parse-names":false,"suffix":""},{"dropping-particle":"","family":"Sangwan","given":"Rajbir S.","non-dropping-particle":"","parse-names":false,"suffix":""},{"dropping-particle":"","family":"Vasseur","given":"Gérard","non-dropping-particle":"","parse-names":false,"suffix":""},{"dropping-particle":"","family":"Bourgeois","given":"Yvan","non-dropping-particle":"","parse-names":false,"suffix":""},{"dropping-particle":"","family":"Sangwan-Norreel","given":"Brigitte S.","non-dropping-particle":"","parse-names":false,"suffix":""}],"container-title":"Planta","id":"ITEM-2","issue":"2","issued":{"date-parts":[["1997"]]},"page":"160-172","publisher":"Springer Verlag","title":"Role of the host cell cycle in the Agrobacterium-mediated genetic transformation of Petunia: Evidence of an S-phase control mechanism for T-DNA transfer","type":"article-journal","volume":"201"},"uris":["http://www.mendeley.com/documents/?uuid=bc47487c-1def-3219-8448-f91d583edd78"]}],"mendeley":{"formattedCitation":"&lt;sup&gt;56, 57&lt;/sup&gt;","plainTextFormattedCitation":"56, 57","previouslyFormattedCitation":"&lt;sup&gt;56, 57&lt;/sup&gt;"},"properties":{"noteIndex":0},"schema":"https://github.com/citation-style-language/schema/raw/master/csl-citation.json"}</w:instrText>
      </w:r>
      <w:r>
        <w:fldChar w:fldCharType="separate"/>
      </w:r>
      <w:r w:rsidR="00820101" w:rsidRPr="00820101">
        <w:rPr>
          <w:noProof/>
          <w:vertAlign w:val="superscript"/>
        </w:rPr>
        <w:t>56,57</w:t>
      </w:r>
      <w:r>
        <w:fldChar w:fldCharType="end"/>
      </w:r>
      <w:r w:rsidRPr="00796AAD">
        <w:t xml:space="preserve">. Advances in vector design, such as those used in modified versions of the </w:t>
      </w:r>
      <w:proofErr w:type="spellStart"/>
      <w:r w:rsidRPr="00796AAD">
        <w:t>geminivirus</w:t>
      </w:r>
      <w:proofErr w:type="spellEnd"/>
      <w:r w:rsidRPr="00796AAD">
        <w:t xml:space="preserve"> </w:t>
      </w:r>
      <w:proofErr w:type="spellStart"/>
      <w:r w:rsidRPr="00796AAD">
        <w:t>BeYDV</w:t>
      </w:r>
      <w:proofErr w:type="spellEnd"/>
      <w:r w:rsidRPr="00796AAD">
        <w:t xml:space="preserve"> replicons used in this protocol, have </w:t>
      </w:r>
      <w:r>
        <w:t>minimized</w:t>
      </w:r>
      <w:r w:rsidRPr="00796AAD">
        <w:t xml:space="preserve"> necrosis while maintaining high </w:t>
      </w:r>
      <w:r w:rsidR="00727233">
        <w:t>protein expression levels</w:t>
      </w:r>
      <w:r>
        <w:fldChar w:fldCharType="begin" w:fldLock="1"/>
      </w:r>
      <w:r w:rsidR="00170527">
        <w:instrText>ADDIN CSL_CITATION {"citationItems":[{"id":"ITEM-1","itemData":{"DOI":"10.1111/j.1467-7652.2009.00462.x","ISSN":"14677644","abstract":"We constructed a novel autonomously replicating gene expression shuttle vector, with the aim of developing a system for transiently expressing proteins at levels useful for commercial production of vaccines and other proteins in plants. The vector, pRIC, is based on the mild strain of the geminivirus Bean yellow dwarf virus (BeYDV-m) and is replicationally released into plant cells from a recombinant Agrobacterium tumefaciens Ti plasmid. pRIC differs from most other geminivirus-based vectors in that the BeYDV replication-associated elements were included in cis rather than from a co-transfected plasmid, while the BeYDV capsid protein (CP) and movement protein (MP) genes were replaced by an antigen encoding transgene expression cassette derived from the non-replicating A. tumefaciens vector, pTRAc. We tested vector efficacy in Nicotiana benthamiana by comparing transient cytoplasmic expression between pRIC and pTRAc constructs encoding either enhanced green fluorescent protein (EGFP) or the subunit vaccine antigens, human papillomavirus subtype 16 (HPV-16) major CP L1 and human immunodeficiency virus subtype C p24 antigen. The pRIC constructs were amplified in planta by up to two orders of magnitude by replication, while 50% more HPV-16 L1 and three- to seven-fold more EGFP and HIV-1 p24 were expressed from pRIC than from pTRAc. Vector replication was shown to be correlated with increased protein expression. We anticipate that this new high-yielding plant expression vector will contribute towards the development of a viable plant production platform for vaccine candidates and other pharmaceuticals. © 2009 Blackwell Publishing Ltd.","author":[{"dropping-particle":"","family":"Regnard","given":"Guy L.","non-dropping-particle":"","parse-names":false,"suffix":""},{"dropping-particle":"","family":"Halley-Stott","given":"Richard P.","non-dropping-particle":"","parse-names":false,"suffix":""},{"dropping-particle":"","family":"Tanzer","given":"Fiona L.","non-dropping-particle":"","parse-names":false,"suffix":""},{"dropping-particle":"","family":"Hitzeroth","given":"Inga I.","non-dropping-particle":"","parse-names":false,"suffix":""},{"dropping-particle":"","family":"Rybicki","given":"Edward P.","non-dropping-particle":"","parse-names":false,"suffix":""}],"container-title":"Plant Biotechnology Journal","id":"ITEM-1","issue":"1","issued":{"date-parts":[["2010","1","1"]]},"page":"38-46","publisher":"John Wiley &amp; Sons, Ltd","title":"High level protein expression in plants through the use of a novel autonomously replicating geminivirus shuttle vector","type":"article-journal","volume":"8"},"uris":["http://www.mendeley.com/documents/?uuid=4d80d2f8-475e-346b-b7e4-0307eeaf2e04"]}],"mendeley":{"formattedCitation":"&lt;sup&gt;58&lt;/sup&gt;","plainTextFormattedCitation":"58","previouslyFormattedCitation":"&lt;sup&gt;58&lt;/sup&gt;"},"properties":{"noteIndex":0},"schema":"https://github.com/citation-style-language/schema/raw/master/csl-citation.json"}</w:instrText>
      </w:r>
      <w:r>
        <w:fldChar w:fldCharType="separate"/>
      </w:r>
      <w:r w:rsidR="00820101" w:rsidRPr="00820101">
        <w:rPr>
          <w:noProof/>
          <w:vertAlign w:val="superscript"/>
        </w:rPr>
        <w:t>58</w:t>
      </w:r>
      <w:r>
        <w:fldChar w:fldCharType="end"/>
      </w:r>
      <w:r w:rsidRPr="00796AAD">
        <w:t xml:space="preserve">. </w:t>
      </w:r>
      <w:r>
        <w:t>Also</w:t>
      </w:r>
      <w:r w:rsidRPr="00796AAD">
        <w:t xml:space="preserve">, </w:t>
      </w:r>
      <w:proofErr w:type="spellStart"/>
      <w:r w:rsidRPr="00796AAD">
        <w:t>BeYDV</w:t>
      </w:r>
      <w:proofErr w:type="spellEnd"/>
      <w:r w:rsidRPr="00796AAD">
        <w:t xml:space="preserve"> replicons are non-competing, </w:t>
      </w:r>
      <w:r w:rsidR="002F2B52">
        <w:t>providing</w:t>
      </w:r>
      <w:r w:rsidRPr="00796AAD">
        <w:t xml:space="preserve"> expression of multiple proteins on a single cassette without known size limitations</w:t>
      </w:r>
      <w:r>
        <w:fldChar w:fldCharType="begin" w:fldLock="1"/>
      </w:r>
      <w:r w:rsidR="00170527">
        <w:instrText>ADDIN CSL_CITATION {"citationItems":[{"id":"ITEM-1","itemData":{"DOI":"10.3389/fpls.2016.00200","ISSN":"1664-462X","abstract":"We previously reported a recombinant protein production system based on a geminivirus replicon that yields high levels of vaccine antigens and monoclonal antibodies in plants. The bean yellow dwarf virus (BeYDV) replicon generates massive amounts of DNA copies, which engage the plant transcription machinery. However, we noticed a disparity between transcript level and protein production, suggesting that mRNAs could be more efficiently utilized. In this study, we systematically evaluated genetic elements from human, viral, and plant sources for their potential to improve the BeYDV system. The tobacco extensin terminator enhanced transcript accumulation and protein production compared to other commonly used terminators, indicating that efficient transcript processing plays an important role in recombinant protein production. Evaluation of human-derived 5′ untranslated regions (UTRs) indicated that many provided high levels of protein production, supporting their cross-kingdom function. Among the viral 5′ UTRs tested, we found the greatest enhancement with the tobacco mosaic virus omega leader. An analysis of the 5′ UTRs from the Arabidopsis thaliana and Nicotinana benthamiana photosystem I K genes found that they were highly active when truncated to include only the near upstream region, providing a dramatic enhancement of transgene production that exceeded that of the tobacco mosaic virus omega leader. The tobacco Rb7 matrix attachment region inserted downstream from the gene of interest provided significant enhancement, which was correlated with a reduction in plant cell death. Evaluation of Agrobacterium strains found that EHA105 enhanced protein production and reduced cell death compared to LBA4301 and GV3101. We used these improvements to produce Norwalk virus capsid protein at &gt;20% total soluble protein, corresponding to 1.8 mg/g leaf fresh weight, more than twice the highest level ever reported in a plant system. We also produced the monoclonal antibody rituximab at 1 mg/g leaf fresh weight.","author":[{"dropping-particle":"","family":"Diamos","given":"Andrew G.","non-dropping-particle":"","parse-names":false,"suffix":""},{"dropping-particle":"","family":"Rosenthal","given":"Sun H.","non-dropping-particle":"","parse-names":false,"suffix":""},{"dropping-particle":"","family":"Mason","given":"Hugh S.","non-dropping-particle":"","parse-names":false,"suffix":""}],"container-title":"Frontiers in Plant Science","id":"ITEM-1","issue":"FEB2016","issued":{"date-parts":[["2016","2","24"]]},"page":"200","publisher":"Frontiers Media S.A.","title":"5′ and 3′ Untranslated Regions Strongly Enhance Performance of Geminiviral Replicons in Nicotiana benthamiana Leaves","type":"article-journal","volume":"7"},"uris":["http://www.mendeley.com/documents/?uuid=fc7223b2-b63d-39d3-8269-146b16a2aeae"]},{"id":"ITEM-2","itemData":{"DOI":"10.4161/hv.7.3.14262","ISSN":"1554-8600","abstract":"Expression of recombinant vaccine antigens and monoclonal antibodies using plant viral vectors has developed extensively during the past several years. The approach benefits from high yields of recombinant protein obtained within days after transient delivery of viral vectors to leaves of Nicotiana benthamiana, a tobacco relative. Modified viral genomes of both RNA and DNA viruses have been created. Geminiviruses such as bean yellow dwarf virus (BeYDV) have a small, single stranded DNA genome that replicates in the nucleus of an infected plant cell, using the cellular DNA synthesis apparatus and a virus-encoded replication initiator protein (Rep). BeYDV-derived expression vectors contain deletions of the viral genes encoding coat and movement proteins and insertion of an expression cassette for a protein of interest. Delivery of the geminiviral vector to leaf cells via Agrobacterium-mediated delivery produces very high levels of recombinant DNA that can act as a transcription template, yielding high level...","author":[{"dropping-particle":"","family":"Chen","given":"Qiang","non-dropping-particle":"","parse-names":false,"suffix":""},{"dropping-particle":"","family":"He","given":"Junyun","non-dropping-particle":"","parse-names":false,"suffix":""},{"dropping-particle":"","family":"Phoolcharoen","given":"Waranyoo","non-dropping-particle":"","parse-names":false,"suffix":""},{"dropping-particle":"","family":"Mason","given":"Hugh S.","non-dropping-particle":"","parse-names":false,"suffix":""}],"container-title":"Human Vaccines","id":"ITEM-2","issue":"3","issued":{"date-parts":[["2011","3","27"]]},"page":"331-338","publisher":"Taylor &amp; Francis","title":"Geminiviral vectors based on bean yellow dwarf virus for production of vaccine antigens and monoclonal antibodies in plants","type":"article-journal","volume":"7"},"uris":["http://www.mendeley.com/documents/?uuid=828e32dc-140a-396e-8ead-5bd58b73fca1"]}],"mendeley":{"formattedCitation":"&lt;sup&gt;53, 59&lt;/sup&gt;","plainTextFormattedCitation":"53, 59","previouslyFormattedCitation":"&lt;sup&gt;53, 59&lt;/sup&gt;"},"properties":{"noteIndex":0},"schema":"https://github.com/citation-style-language/schema/raw/master/csl-citation.json"}</w:instrText>
      </w:r>
      <w:r>
        <w:fldChar w:fldCharType="separate"/>
      </w:r>
      <w:r w:rsidR="00820101" w:rsidRPr="00820101">
        <w:rPr>
          <w:noProof/>
          <w:vertAlign w:val="superscript"/>
        </w:rPr>
        <w:t>53,59</w:t>
      </w:r>
      <w:r>
        <w:fldChar w:fldCharType="end"/>
      </w:r>
      <w:r w:rsidRPr="00796AAD">
        <w:t>. </w:t>
      </w:r>
    </w:p>
    <w:p w14:paraId="30FD0809" w14:textId="77777777" w:rsidR="00A94398" w:rsidRPr="00796AAD" w:rsidRDefault="00A94398" w:rsidP="00E10F2B">
      <w:pPr>
        <w:contextualSpacing/>
        <w:rPr>
          <w:rFonts w:ascii="Times New Roman" w:hAnsi="Times New Roman" w:cs="Times New Roman"/>
        </w:rPr>
      </w:pPr>
    </w:p>
    <w:p w14:paraId="0E2279CB" w14:textId="0DBEC94D" w:rsidR="009611DD" w:rsidRDefault="017CCAD0" w:rsidP="00E10F2B">
      <w:pPr>
        <w:contextualSpacing/>
      </w:pPr>
      <w:r>
        <w:t xml:space="preserve">Several factors affect plant growth before and after infiltration, which might eventually lead to low protein yield. When seeding plants, too many seeds per plant pellet can result in many small plant sprouts leading to more modest plant growth. Hence, reducing the seed number per peat pellet and removing the extra sprouts after a week will result in better plant growth. Maintaining </w:t>
      </w:r>
      <w:r>
        <w:lastRenderedPageBreak/>
        <w:t>proper soil moisture is another factor affecting overall plant health. Overwatering, underwatering, adding too much or too little fertilizer might contribute to chlorosis and affect the plant health</w:t>
      </w:r>
      <w:r w:rsidR="009611DD" w:rsidRPr="017CCAD0">
        <w:rPr>
          <w:color w:val="000000" w:themeColor="text1"/>
        </w:rPr>
        <w:fldChar w:fldCharType="begin" w:fldLock="1"/>
      </w:r>
      <w:r w:rsidR="00170527">
        <w:rPr>
          <w:color w:val="000000" w:themeColor="text1"/>
        </w:rPr>
        <w:instrText>ADDIN CSL_CITATION {"citationItems":[{"id":"ITEM-1","itemData":{"DOI":"10.2134/jeq1988.00472425001700010019x","ISSN":"0047-2425","abstract":"Fertilized home lawns represent a potential source of NO,-N contamination to groundwater and surface waters. The waterborne losses of inorganic N from Kentucky bluegrass (Poa pratensis L.) turf subjected to three levels of N fertilization (0, 97, and 244 kg N ha\"' yr~' as urea and methylene urea) and two irrigation regimes (scheduled by tensiometer and overwatering with 3.75 cm of water per week in addition to rainfall) were measured. The site was located on a Merrimac sandy loam (sandy, mixed, mesic Typic Dystrochrept). Soil-water percolate was collected by suction plate lysimeters placed below the root zone. Surface runoff was quantified with orifice flow splitters. Soil-water percolate flux comprised &gt;93% of the total water and inorganic-N discharged from all treatments. Mean annual flow weighted concentrations of inorganic N in soil-water percolate were below the U.S. drinking water standard on all treatments and ranged from 0.36 mg L' 1 on the overwatered, unfertilized, control treatment to 4.02 mg L\" 1 on the over-watered, high N treatment. Annual losses ranged from 32 kg ha\"' on the overwatered high N rate treatment to 2 kg ha' 1 on the scheduled irrigation, unfertilized, control treatment. Overwatering in conjunction with fertilization generated significantly higher annual flow weighted concentrations and mass loss than the unfertilized controls. Nitrogen loss and concentrations from the scheduled irrigation treatments were not significantly different from the controls.","author":[{"dropping-particle":"","family":"Morton","given":"T. G.","non-dropping-particle":"","parse-names":false,"suffix":""},{"dropping-particle":"","family":"Gold","given":"A. J.","non-dropping-particle":"","parse-names":false,"suffix":""},{"dropping-particle":"","family":"Sullivan","given":"W. M.","non-dropping-particle":"","parse-names":false,"suffix":""}],"container-title":"Journal of Environmental Quality","id":"ITEM-1","issue":"1","issued":{"date-parts":[["1988","1","1"]]},"page":"124-130","publisher":"Wiley","title":"Influence of Overwatering and Fertilization on Nitrogen Losses from Home Lawns","type":"article-journal","volume":"17"},"uris":["http://www.mendeley.com/documents/?uuid=8073790e-eb93-3bd0-9b9d-f1ca4ee45709"]},{"id":"ITEM-2","itemData":{"DOI":"10.1016/S0065-2113(08)60963-3","ISSN":"00652113","author":[{"dropping-particle":"","family":"Brown","given":"John C.","non-dropping-particle":"","parse-names":false,"suffix":""}],"container-title":"Advances in Agronomy","id":"ITEM-2","issue":"C","issued":{"date-parts":[["1961","1","1"]]},"page":"329-369","publisher":"Academic Press","title":"Iron Chlorosis in Plants","type":"article-journal","volume":"13"},"uris":["http://www.mendeley.com/documents/?uuid=71e9a086-6129-3ecb-bd75-44663688d5d9"]},{"id":"ITEM-3","itemData":{"DOI":"10.1002/9780471729259.mc03d01s24","ISSN":"19348533","abstract":"Agrobacterium species are plant-associated relatives of the rhizobia. Several species cause plant diseases such as crown gall and hairy root, although there are also avirulent species. A. tumefaciens is the most intensively studied species and causes crown gall, a neoplastic disease that occurs on a variety of plants. Virulence is specified by large plasmids, and in the case of A. tumefaciens this is called the Ti (tumor-inducing) plasmid. During pathogenesis, virulent agrobacteria copy a segment of the Ti plasmid and transfer it to the plant, where it subsequently integrates into the plant genome and expresses genes that result in the disease symptoms. A. tumefaciens has been used extensively as a plant genetic engineering tool, and is also a model microorganism that has been well studied for host-microbe associations, horizontal gene transfer, cell-cell communication, and biofilm formation. This unit describes standard protocols for laboratory cultivation of A. tumefaciens.","author":[{"dropping-particle":"","family":"Morton","given":"Elise R.","non-dropping-particle":"","parse-names":false,"suffix":""},{"dropping-particle":"","family":"Fuqua","given":"Clay","non-dropping-particle":"","parse-names":false,"suffix":""}],"container-title":"Current Protocols in Microbiology","id":"ITEM-3","issued":{"date-parts":[["2012","2"]]},"page":"Unit3D.1","publisher":"John Wiley &amp; Sons, Inc.","title":" Laboratory Maintenance of Agrobacterium ","type":"chapter","volume":"CHAPTER"},"uris":["http://www.mendeley.com/documents/?uuid=b21e5cc2-1d5d-3820-9b65-e4a390fed305"]}],"mendeley":{"formattedCitation":"&lt;sup&gt;60–62&lt;/sup&gt;","plainTextFormattedCitation":"60–62","previouslyFormattedCitation":"&lt;sup&gt;60–62&lt;/sup&gt;"},"properties":{"noteIndex":0},"schema":"https://github.com/citation-style-language/schema/raw/master/csl-citation.json"}</w:instrText>
      </w:r>
      <w:r w:rsidR="009611DD" w:rsidRPr="017CCAD0">
        <w:rPr>
          <w:color w:val="000000" w:themeColor="text1"/>
        </w:rPr>
        <w:fldChar w:fldCharType="separate"/>
      </w:r>
      <w:r w:rsidRPr="017CCAD0">
        <w:rPr>
          <w:noProof/>
          <w:color w:val="000000" w:themeColor="text1"/>
          <w:vertAlign w:val="superscript"/>
        </w:rPr>
        <w:t>60–62</w:t>
      </w:r>
      <w:r w:rsidR="009611DD" w:rsidRPr="017CCAD0">
        <w:rPr>
          <w:color w:val="000000" w:themeColor="text1"/>
        </w:rPr>
        <w:fldChar w:fldCharType="end"/>
      </w:r>
      <w:r w:rsidRPr="017CCAD0">
        <w:rPr>
          <w:color w:val="000000" w:themeColor="text1"/>
        </w:rPr>
        <w:t xml:space="preserve">. </w:t>
      </w:r>
      <w:r w:rsidRPr="017CCAD0">
        <w:rPr>
          <w:color w:val="auto"/>
        </w:rPr>
        <w:t>Necrosis and chlorosis can additionally be caused by the production of a protein that causes cell stress.</w:t>
      </w:r>
      <w:r w:rsidRPr="017CCAD0">
        <w:rPr>
          <w:color w:val="548DD4" w:themeColor="text2" w:themeTint="99"/>
        </w:rPr>
        <w:t xml:space="preserve"> </w:t>
      </w:r>
      <w:r>
        <w:t>This phenomenon has been seen many times with the expression of recombinant immune complexes (RIC)</w:t>
      </w:r>
      <w:r w:rsidR="009611DD">
        <w:fldChar w:fldCharType="begin" w:fldLock="1"/>
      </w:r>
      <w:r w:rsidR="00170527">
        <w:instrText>ADDIN CSL_CITATION {"citationItems":[{"id":"ITEM-1","itemData":{"DOI":"10.1073/pnas.142409899","ISSN":"00278424","abstract":"The genome of the Mastreviruses encodes a replication-associated protein (RepA) that interacts with members of the plant retinoblastoma-related protein family, which are putative cell cycle regulators. Expression of ZmRb1, a maize retinoblastoma-related gene, and RepA inhibited and stimulated, respectively, cell division in tobacco cell cultures. The effect of RepA was mitigated by over-expression of ZmRb1. RepA increased transformation frequency and callus growth rate of high type II maize germplasm. RepA-containing transgenic maize calli remained embryogenic, were readily regenerable, and produced fertile plants that transmitted transgene expression in a Mendelian fashion. In high type II, transformation frequency increased with the strength of the promoter driving RepA expression. When a construct in which RepA was expressed behind its native LIR promoter was used, primary transformation frequencies did not improve for two elite Pioneer maize inbreds. However, when LIR:RepA-containing transgenic embryos were used in subsequent rounds of transformation, frequencies were higher in the RepA+ embryos. These data demonstrate that RepA can stimulate cell division and callus growth in culture, and improve maize transformation.","author":[{"dropping-particle":"","family":"Gordon-Kamm","given":"William","non-dropping-particle":"","parse-names":false,"suffix":""},{"dropping-particle":"","family":"Dilkes","given":"Brian P.","non-dropping-particle":"","parse-names":false,"suffix":""},{"dropping-particle":"","family":"Lowe","given":"Keith","non-dropping-particle":"","parse-names":false,"suffix":""},{"dropping-particle":"","family":"Hoerster","given":"George","non-dropping-particle":"","parse-names":false,"suffix":""},{"dropping-particle":"","family":"Sun","given":"Xifan","non-dropping-particle":"","parse-names":false,"suffix":""},{"dropping-particle":"","family":"Ross","given":"Margit","non-dropping-particle":"","parse-names":false,"suffix":""},{"dropping-particle":"","family":"Church","given":"Laura","non-dropping-particle":"","parse-names":false,"suffix":""},{"dropping-particle":"","family":"Bunde","given":"Chris","non-dropping-particle":"","parse-names":false,"suffix":""},{"dropping-particle":"","family":"Farrell","given":"Jeff","non-dropping-particle":"","parse-names":false,"suffix":""},{"dropping-particle":"","family":"Hill","given":"Patrea","non-dropping-particle":"","parse-names":false,"suffix":""},{"dropping-particle":"","family":"Maddock","given":"Sheila","non-dropping-particle":"","parse-names":false,"suffix":""},{"dropping-particle":"","family":"Snyder","given":"Jane","non-dropping-particle":"","parse-names":false,"suffix":""},{"dropping-particle":"","family":"Sykes","given":"Louisa","non-dropping-particle":"","parse-names":false,"suffix":""},{"dropping-particle":"","family":"Li","given":"Zhongsen","non-dropping-particle":"","parse-names":false,"suffix":""},{"dropping-particle":"","family":"Woo","given":"Young Min","non-dropping-particle":"","parse-names":false,"suffix":""},{"dropping-particle":"","family":"Bidney","given":"Dennis","non-dropping-particle":"","parse-names":false,"suffix":""},{"dropping-particle":"","family":"Larkins","given":"Brian A.","non-dropping-particle":"","parse-names":false,"suffix":""}],"container-title":"Proceedings of the National Academy of Sciences of the United States of America","id":"ITEM-1","issue":"18","issued":{"date-parts":[["2002","9","3"]]},"page":"11975-11980","title":"Stimulation of the cell cycle and maize transformation by disruption of the plant retinoblastoma pathway","type":"article-journal","volume":"99"},"uris":["http://www.mendeley.com/documents/?uuid=4daf7ee2-32a6-31f6-a01e-180a53447f1b"]}],"mendeley":{"formattedCitation":"&lt;sup&gt;56&lt;/sup&gt;","plainTextFormattedCitation":"56","previouslyFormattedCitation":"&lt;sup&gt;56&lt;/sup&gt;"},"properties":{"noteIndex":0},"schema":"https://github.com/citation-style-language/schema/raw/master/csl-citation.json"}</w:instrText>
      </w:r>
      <w:r w:rsidR="009611DD">
        <w:fldChar w:fldCharType="separate"/>
      </w:r>
      <w:r w:rsidRPr="017CCAD0">
        <w:rPr>
          <w:noProof/>
          <w:vertAlign w:val="superscript"/>
        </w:rPr>
        <w:t>56</w:t>
      </w:r>
      <w:r w:rsidR="009611DD">
        <w:fldChar w:fldCharType="end"/>
      </w:r>
      <w:r>
        <w:t>. We have observed that changes in protein structure and fusion of proteins can help minimize necrosis; however, some proteins can remain toxic to plants even after various modifications. If using the expression vectors outlined herein, extraction of protein may be performed early and before the onset of significant necrosis, resulting in high protein yield</w:t>
      </w:r>
      <w:r w:rsidR="009611DD">
        <w:fldChar w:fldCharType="begin" w:fldLock="1"/>
      </w:r>
      <w:r w:rsidR="00170527">
        <w:instrText>ADDIN CSL_CITATION {"citationItems":[{"id":"ITEM-1","itemData":{"DOI":"10.1073/pnas.142409899","ISSN":"00278424","abstract":"The genome of the Mastreviruses encodes a replication-associated protein (RepA) that interacts with members of the plant retinoblastoma-related protein family, which are putative cell cycle regulators. Expression of ZmRb1, a maize retinoblastoma-related gene, and RepA inhibited and stimulated, respectively, cell division in tobacco cell cultures. The effect of RepA was mitigated by over-expression of ZmRb1. RepA increased transformation frequency and callus growth rate of high type II maize germplasm. RepA-containing transgenic maize calli remained embryogenic, were readily regenerable, and produced fertile plants that transmitted transgene expression in a Mendelian fashion. In high type II, transformation frequency increased with the strength of the promoter driving RepA expression. When a construct in which RepA was expressed behind its native LIR promoter was used, primary transformation frequencies did not improve for two elite Pioneer maize inbreds. However, when LIR:RepA-containing transgenic embryos were used in subsequent rounds of transformation, frequencies were higher in the RepA+ embryos. These data demonstrate that RepA can stimulate cell division and callus growth in culture, and improve maize transformation.","author":[{"dropping-particle":"","family":"Gordon-Kamm","given":"William","non-dropping-particle":"","parse-names":false,"suffix":""},{"dropping-particle":"","family":"Dilkes","given":"Brian P.","non-dropping-particle":"","parse-names":false,"suffix":""},{"dropping-particle":"","family":"Lowe","given":"Keith","non-dropping-particle":"","parse-names":false,"suffix":""},{"dropping-particle":"","family":"Hoerster","given":"George","non-dropping-particle":"","parse-names":false,"suffix":""},{"dropping-particle":"","family":"Sun","given":"Xifan","non-dropping-particle":"","parse-names":false,"suffix":""},{"dropping-particle":"","family":"Ross","given":"Margit","non-dropping-particle":"","parse-names":false,"suffix":""},{"dropping-particle":"","family":"Church","given":"Laura","non-dropping-particle":"","parse-names":false,"suffix":""},{"dropping-particle":"","family":"Bunde","given":"Chris","non-dropping-particle":"","parse-names":false,"suffix":""},{"dropping-particle":"","family":"Farrell","given":"Jeff","non-dropping-particle":"","parse-names":false,"suffix":""},{"dropping-particle":"","family":"Hill","given":"Patrea","non-dropping-particle":"","parse-names":false,"suffix":""},{"dropping-particle":"","family":"Maddock","given":"Sheila","non-dropping-particle":"","parse-names":false,"suffix":""},{"dropping-particle":"","family":"Snyder","given":"Jane","non-dropping-particle":"","parse-names":false,"suffix":""},{"dropping-particle":"","family":"Sykes","given":"Louisa","non-dropping-particle":"","parse-names":false,"suffix":""},{"dropping-particle":"","family":"Li","given":"Zhongsen","non-dropping-particle":"","parse-names":false,"suffix":""},{"dropping-particle":"","family":"Woo","given":"Young Min","non-dropping-particle":"","parse-names":false,"suffix":""},{"dropping-particle":"","family":"Bidney","given":"Dennis","non-dropping-particle":"","parse-names":false,"suffix":""},{"dropping-particle":"","family":"Larkins","given":"Brian A.","non-dropping-particle":"","parse-names":false,"suffix":""}],"container-title":"Proceedings of the National Academy of Sciences of the United States of America","id":"ITEM-1","issue":"18","issued":{"date-parts":[["2002","9","3"]]},"page":"11975-11980","title":"Stimulation of the cell cycle and maize transformation by disruption of the plant retinoblastoma pathway","type":"article-journal","volume":"99"},"uris":["http://www.mendeley.com/documents/?uuid=4daf7ee2-32a6-31f6-a01e-180a53447f1b"]}],"mendeley":{"formattedCitation":"&lt;sup&gt;56&lt;/sup&gt;","plainTextFormattedCitation":"56","previouslyFormattedCitation":"&lt;sup&gt;56&lt;/sup&gt;"},"properties":{"noteIndex":0},"schema":"https://github.com/citation-style-language/schema/raw/master/csl-citation.json"}</w:instrText>
      </w:r>
      <w:r w:rsidR="009611DD">
        <w:fldChar w:fldCharType="separate"/>
      </w:r>
      <w:r w:rsidRPr="017CCAD0">
        <w:rPr>
          <w:noProof/>
          <w:vertAlign w:val="superscript"/>
        </w:rPr>
        <w:t>56</w:t>
      </w:r>
      <w:r w:rsidR="009611DD">
        <w:fldChar w:fldCharType="end"/>
      </w:r>
      <w:r>
        <w:t>.</w:t>
      </w:r>
    </w:p>
    <w:p w14:paraId="6B3D55DA" w14:textId="77777777" w:rsidR="00A94398" w:rsidRPr="00796AAD" w:rsidRDefault="00A94398" w:rsidP="00E10F2B">
      <w:pPr>
        <w:contextualSpacing/>
        <w:rPr>
          <w:rFonts w:ascii="Times New Roman" w:hAnsi="Times New Roman" w:cs="Times New Roman"/>
        </w:rPr>
      </w:pPr>
    </w:p>
    <w:p w14:paraId="5BA70875" w14:textId="5C6A90FF" w:rsidR="009611DD" w:rsidRDefault="0013332D" w:rsidP="00E10F2B">
      <w:pPr>
        <w:contextualSpacing/>
      </w:pPr>
      <w:r>
        <w:t xml:space="preserve">Different growth conditions can slow </w:t>
      </w:r>
      <w:r w:rsidR="00780C82">
        <w:t xml:space="preserve">or even inhibit </w:t>
      </w:r>
      <w:r w:rsidRPr="00794A04">
        <w:rPr>
          <w:i/>
          <w:iCs/>
        </w:rPr>
        <w:t>Agrobacterium</w:t>
      </w:r>
      <w:r>
        <w:t xml:space="preserve"> growth</w:t>
      </w:r>
      <w:r w:rsidR="009611DD" w:rsidRPr="00796AAD">
        <w:t xml:space="preserve">. </w:t>
      </w:r>
      <w:r w:rsidR="009611DD" w:rsidRPr="00796AAD">
        <w:rPr>
          <w:i/>
          <w:iCs/>
        </w:rPr>
        <w:t>Agrobacterium</w:t>
      </w:r>
      <w:r w:rsidR="009611DD" w:rsidRPr="00796AAD">
        <w:t xml:space="preserve"> grows optimally at 28</w:t>
      </w:r>
      <w:r w:rsidR="00A94398">
        <w:t xml:space="preserve"> </w:t>
      </w:r>
      <w:r w:rsidR="009611DD" w:rsidRPr="00796AAD">
        <w:t>°C</w:t>
      </w:r>
      <w:r w:rsidR="00F45F47">
        <w:t>-</w:t>
      </w:r>
      <w:r w:rsidR="00F45F47" w:rsidRPr="00796AAD">
        <w:t>30</w:t>
      </w:r>
      <w:r w:rsidR="00A94398">
        <w:t xml:space="preserve"> </w:t>
      </w:r>
      <w:r w:rsidR="00F45F47" w:rsidRPr="00796AAD">
        <w:t xml:space="preserve">°C </w:t>
      </w:r>
      <w:r w:rsidR="009611DD" w:rsidRPr="00796AAD">
        <w:t>and experiences a heat shock when incubated above 30</w:t>
      </w:r>
      <w:r w:rsidR="00A94398">
        <w:t xml:space="preserve"> </w:t>
      </w:r>
      <w:r w:rsidR="009611DD" w:rsidRPr="00796AAD">
        <w:t>°C</w:t>
      </w:r>
      <w:r w:rsidR="00794A04">
        <w:t>, producing</w:t>
      </w:r>
      <w:r w:rsidR="009611DD" w:rsidRPr="00796AAD">
        <w:t xml:space="preserve"> cell division errors</w:t>
      </w:r>
      <w:r w:rsidR="009611DD">
        <w:fldChar w:fldCharType="begin" w:fldLock="1"/>
      </w:r>
      <w:r w:rsidR="00170527">
        <w:instrText>ADDIN CSL_CITATION {"citationItems":[{"id":"ITEM-1","itemData":{"DOI":"10.1002/9780471729259.mc03d01s24","ISSN":"19348533","abstract":"Agrobacterium species are plant-associated relatives of the rhizobia. Several species cause plant diseases such as crown gall and hairy root, although there are also avirulent species. A. tumefaciens is the most intensively studied species and causes crown gall, a neoplastic disease that occurs on a variety of plants. Virulence is specified by large plasmids, and in the case of A. tumefaciens this is called the Ti (tumor-inducing) plasmid. During pathogenesis, virulent agrobacteria copy a segment of the Ti plasmid and transfer it to the plant, where it subsequently integrates into the plant genome and expresses genes that result in the disease symptoms. A. tumefaciens has been used extensively as a plant genetic engineering tool, and is also a model microorganism that has been well studied for host-microbe associations, horizontal gene transfer, cell-cell communication, and biofilm formation. This unit describes standard protocols for laboratory cultivation of A. tumefaciens.","author":[{"dropping-particle":"","family":"Morton","given":"Elise R.","non-dropping-particle":"","parse-names":false,"suffix":""},{"dropping-particle":"","family":"Fuqua","given":"Clay","non-dropping-particle":"","parse-names":false,"suffix":""}],"container-title":"Current Protocols in Microbiology","id":"ITEM-1","issued":{"date-parts":[["2012","2"]]},"page":"Unit3D.1","publisher":"John Wiley &amp; Sons, Inc.","title":" Laboratory Maintenance of Agrobacterium ","type":"chapter","volume":"CHAPTER"},"uris":["http://www.mendeley.com/documents/?uuid=b21e5cc2-1d5d-3820-9b65-e4a390fed305"]}],"mendeley":{"formattedCitation":"&lt;sup&gt;62&lt;/sup&gt;","plainTextFormattedCitation":"62","previouslyFormattedCitation":"&lt;sup&gt;62&lt;/sup&gt;"},"properties":{"noteIndex":0},"schema":"https://github.com/citation-style-language/schema/raw/master/csl-citation.json"}</w:instrText>
      </w:r>
      <w:r w:rsidR="009611DD">
        <w:fldChar w:fldCharType="separate"/>
      </w:r>
      <w:r w:rsidR="00820101" w:rsidRPr="00820101">
        <w:rPr>
          <w:noProof/>
          <w:vertAlign w:val="superscript"/>
        </w:rPr>
        <w:t>62</w:t>
      </w:r>
      <w:r w:rsidR="009611DD">
        <w:fldChar w:fldCharType="end"/>
      </w:r>
      <w:r w:rsidR="009611DD" w:rsidRPr="00796AAD">
        <w:t xml:space="preserve">. </w:t>
      </w:r>
      <w:r w:rsidR="00780C82">
        <w:t>G</w:t>
      </w:r>
      <w:r w:rsidR="009611DD" w:rsidRPr="00796AAD">
        <w:t xml:space="preserve">rowth can also be </w:t>
      </w:r>
      <w:r w:rsidR="00780C82">
        <w:t>impeded</w:t>
      </w:r>
      <w:r w:rsidR="00780C82" w:rsidRPr="00796AAD">
        <w:t xml:space="preserve"> </w:t>
      </w:r>
      <w:r w:rsidR="009611DD" w:rsidRPr="00796AAD">
        <w:t xml:space="preserve">by </w:t>
      </w:r>
      <w:r w:rsidR="009611DD">
        <w:t xml:space="preserve">the </w:t>
      </w:r>
      <w:r w:rsidR="009611DD" w:rsidRPr="00796AAD">
        <w:t xml:space="preserve">addition of too much rifampicin, as different </w:t>
      </w:r>
      <w:r w:rsidR="009611DD" w:rsidRPr="00796AAD">
        <w:rPr>
          <w:i/>
          <w:iCs/>
        </w:rPr>
        <w:t>Agrobacterium</w:t>
      </w:r>
      <w:r w:rsidR="009611DD" w:rsidRPr="00796AAD">
        <w:t xml:space="preserve"> strains are more or less naturally resistant to this antibiotic</w:t>
      </w:r>
      <w:r w:rsidR="009611DD">
        <w:fldChar w:fldCharType="begin" w:fldLock="1"/>
      </w:r>
      <w:r w:rsidR="00170527">
        <w:instrText>ADDIN CSL_CITATION {"citationItems":[{"id":"ITEM-1","itemData":{"DOI":"10.1002/9780471729259.mc03d01s24","ISSN":"19348533","abstract":"Agrobacterium species are plant-associated relatives of the rhizobia. Several species cause plant diseases such as crown gall and hairy root, although there are also avirulent species. A. tumefaciens is the most intensively studied species and causes crown gall, a neoplastic disease that occurs on a variety of plants. Virulence is specified by large plasmids, and in the case of A. tumefaciens this is called the Ti (tumor-inducing) plasmid. During pathogenesis, virulent agrobacteria copy a segment of the Ti plasmid and transfer it to the plant, where it subsequently integrates into the plant genome and expresses genes that result in the disease symptoms. A. tumefaciens has been used extensively as a plant genetic engineering tool, and is also a model microorganism that has been well studied for host-microbe associations, horizontal gene transfer, cell-cell communication, and biofilm formation. This unit describes standard protocols for laboratory cultivation of A. tumefaciens.","author":[{"dropping-particle":"","family":"Morton","given":"Elise R.","non-dropping-particle":"","parse-names":false,"suffix":""},{"dropping-particle":"","family":"Fuqua","given":"Clay","non-dropping-particle":"","parse-names":false,"suffix":""}],"container-title":"Current Protocols in Microbiology","id":"ITEM-1","issued":{"date-parts":[["2012","2"]]},"page":"Unit3D.1","publisher":"John Wiley &amp; Sons, Inc.","title":" Laboratory Maintenance of Agrobacterium ","type":"chapter","volume":"CHAPTER"},"uris":["http://www.mendeley.com/documents/?uuid=b21e5cc2-1d5d-3820-9b65-e4a390fed305"]}],"mendeley":{"formattedCitation":"&lt;sup&gt;62&lt;/sup&gt;","plainTextFormattedCitation":"62","previouslyFormattedCitation":"&lt;sup&gt;62&lt;/sup&gt;"},"properties":{"noteIndex":0},"schema":"https://github.com/citation-style-language/schema/raw/master/csl-citation.json"}</w:instrText>
      </w:r>
      <w:r w:rsidR="009611DD">
        <w:fldChar w:fldCharType="separate"/>
      </w:r>
      <w:r w:rsidR="00820101" w:rsidRPr="00820101">
        <w:rPr>
          <w:noProof/>
          <w:vertAlign w:val="superscript"/>
        </w:rPr>
        <w:t>62</w:t>
      </w:r>
      <w:r w:rsidR="009611DD">
        <w:fldChar w:fldCharType="end"/>
      </w:r>
      <w:r w:rsidR="009611DD" w:rsidRPr="00796AAD">
        <w:t xml:space="preserve">. </w:t>
      </w:r>
      <w:r w:rsidR="009611DD">
        <w:t>The bacterial culture prepared for infiltration with significantly higher OD</w:t>
      </w:r>
      <w:r w:rsidR="009611DD" w:rsidRPr="00AD7195">
        <w:rPr>
          <w:vertAlign w:val="subscript"/>
        </w:rPr>
        <w:t>600</w:t>
      </w:r>
      <w:r w:rsidR="009611DD">
        <w:t xml:space="preserve"> than recommended will</w:t>
      </w:r>
      <w:r w:rsidR="009611DD" w:rsidRPr="00796AAD">
        <w:t xml:space="preserve"> likely </w:t>
      </w:r>
      <w:r w:rsidR="009611DD">
        <w:t>cause necrosis</w:t>
      </w:r>
      <w:r w:rsidR="009611DD">
        <w:fldChar w:fldCharType="begin" w:fldLock="1"/>
      </w:r>
      <w:r w:rsidR="00170527">
        <w:instrText>ADDIN CSL_CITATION {"citationItems":[{"id":"ITEM-1","itemData":{"DOI":"10.3389/fpls.2018.01974","ISSN":"1664-462X","abstract":"Plants are a promising platform to produce biopharmaceutical proteins, however, the toxic nature of some proteins inhibits their accumulation. We previously created a replicating geminiviral expression system based on bean yellow dwarf virus (BeYDV) that enables very high-level production of recombinant proteins. To study the role of replication in this system, we generated vectors that allow separate and controlled expression of BeYDV Rep and RepA proteins. We show that the ratio of Rep and RepA strongly affects the efficiency of replication. Rep, RepA, and vector replication all elicit the plant hypersensitive response, resulting in cell death. We find that a modest reduction in expression of Rep and RepA reduces plant leaf cell death which, despite reducing the accumulation of viral replicons, increases target protein accumulation. A single nucleotide change in the 5 ′ untranslated region (UTR) reduced Rep/RepA expression, reduced cell death, and enhanced the production of monoclonal antibodies. We also find that replicating vectors achieve optimal expression with lower Agrobacterium concentrations than non-replicating vectors, further reducing cell death. Viral UTRs are also shown to contribute substantially to cell death, while a native plant-derived 5 ′ UTR does not.","author":[{"dropping-particle":"","family":"Diamos","given":"Andrew G.","non-dropping-particle":"","parse-names":false,"suffix":""},{"dropping-particle":"","family":"Mason","given":"Hugh S.","non-dropping-particle":"","parse-names":false,"suffix":""}],"container-title":"Frontiers in Plant Science","id":"ITEM-1","issued":{"date-parts":[["2019","1","9"]]},"page":"1974","publisher":"Frontiers Media S.A.","title":"Modifying the Replication of Geminiviral Vectors Reduces Cell Death and Enhances Expression of Biopharmaceutical Proteins in Nicotiana benthamiana Leaves","type":"article-journal","volume":"9"},"uris":["http://www.mendeley.com/documents/?uuid=b1db72a4-26c1-3d28-8140-3e74dbee1e17"]}],"mendeley":{"formattedCitation":"&lt;sup&gt;55&lt;/sup&gt;","plainTextFormattedCitation":"55","previouslyFormattedCitation":"&lt;sup&gt;55&lt;/sup&gt;"},"properties":{"noteIndex":0},"schema":"https://github.com/citation-style-language/schema/raw/master/csl-citation.json"}</w:instrText>
      </w:r>
      <w:r w:rsidR="009611DD">
        <w:fldChar w:fldCharType="separate"/>
      </w:r>
      <w:r w:rsidR="00820101" w:rsidRPr="00820101">
        <w:rPr>
          <w:noProof/>
          <w:vertAlign w:val="superscript"/>
        </w:rPr>
        <w:t>55</w:t>
      </w:r>
      <w:r w:rsidR="009611DD">
        <w:fldChar w:fldCharType="end"/>
      </w:r>
      <w:r w:rsidR="009611DD" w:rsidRPr="00796AAD">
        <w:t xml:space="preserve">. </w:t>
      </w:r>
      <w:r w:rsidR="009611DD">
        <w:t>A</w:t>
      </w:r>
      <w:r w:rsidR="009611DD" w:rsidRPr="00796AAD">
        <w:t xml:space="preserve"> slightly higher OD</w:t>
      </w:r>
      <w:r w:rsidR="009611DD" w:rsidRPr="00AD7195">
        <w:rPr>
          <w:vertAlign w:val="subscript"/>
        </w:rPr>
        <w:t>600</w:t>
      </w:r>
      <w:r w:rsidR="009611DD">
        <w:t xml:space="preserve"> of</w:t>
      </w:r>
      <w:r w:rsidR="009611DD" w:rsidRPr="00796AAD">
        <w:t xml:space="preserve"> the culture </w:t>
      </w:r>
      <w:r w:rsidR="009611DD">
        <w:t>usually does not affect the yield, but</w:t>
      </w:r>
      <w:r w:rsidR="009611DD" w:rsidRPr="00796AAD">
        <w:t xml:space="preserve"> </w:t>
      </w:r>
      <w:r w:rsidR="009611DD">
        <w:t>if it</w:t>
      </w:r>
      <w:r w:rsidR="009611DD" w:rsidRPr="00796AAD">
        <w:t xml:space="preserve"> is lower than 0.</w:t>
      </w:r>
      <w:r w:rsidR="009611DD">
        <w:t>1,</w:t>
      </w:r>
      <w:r w:rsidR="009611DD" w:rsidRPr="00796AAD">
        <w:t xml:space="preserve"> the protein </w:t>
      </w:r>
      <w:r w:rsidR="009611DD">
        <w:t>yield might be considerably reduced.</w:t>
      </w:r>
      <w:r w:rsidR="009611DD" w:rsidRPr="00796AAD">
        <w:t xml:space="preserve"> </w:t>
      </w:r>
      <w:r w:rsidR="009611DD">
        <w:t>Accumulation of d</w:t>
      </w:r>
      <w:r w:rsidR="009611DD" w:rsidRPr="00796AAD">
        <w:t>ead cells can occur under two circumstances; 1) the culture was overgrown</w:t>
      </w:r>
      <w:r w:rsidR="009611DD">
        <w:t>,</w:t>
      </w:r>
      <w:r w:rsidR="009611DD" w:rsidRPr="00796AAD">
        <w:t xml:space="preserve"> leading to a significant fraction of the OD being dead cells</w:t>
      </w:r>
      <w:r w:rsidR="009611DD">
        <w:t>,</w:t>
      </w:r>
      <w:r w:rsidR="009611DD" w:rsidRPr="00796AAD">
        <w:t xml:space="preserve"> and 2) damaging/killing the </w:t>
      </w:r>
      <w:r w:rsidR="009611DD" w:rsidRPr="00796AAD">
        <w:rPr>
          <w:i/>
          <w:iCs/>
        </w:rPr>
        <w:t>Agrobacterium</w:t>
      </w:r>
      <w:r w:rsidR="009611DD" w:rsidRPr="00796AAD">
        <w:t xml:space="preserve"> after growth</w:t>
      </w:r>
      <w:r w:rsidR="009611DD">
        <w:t>,</w:t>
      </w:r>
      <w:r w:rsidR="009611DD" w:rsidRPr="00796AAD">
        <w:t xml:space="preserve"> such as with chemical residue or high centrif</w:t>
      </w:r>
      <w:r w:rsidR="00F001C6">
        <w:t>u</w:t>
      </w:r>
      <w:r w:rsidR="00EE2DC8">
        <w:t>g</w:t>
      </w:r>
      <w:r w:rsidR="009611DD" w:rsidRPr="00796AAD">
        <w:t xml:space="preserve">e speeds. Infiltrations using </w:t>
      </w:r>
      <w:r w:rsidR="009611DD">
        <w:t>an</w:t>
      </w:r>
      <w:r w:rsidR="009611DD" w:rsidRPr="00796AAD">
        <w:t xml:space="preserve"> </w:t>
      </w:r>
      <w:r w:rsidR="009611DD">
        <w:t xml:space="preserve">increased number of </w:t>
      </w:r>
      <w:r w:rsidR="009611DD" w:rsidRPr="00796AAD">
        <w:t xml:space="preserve">dead cells </w:t>
      </w:r>
      <w:r w:rsidR="009611DD">
        <w:t>in the culture might reduce protein expression</w:t>
      </w:r>
      <w:r w:rsidR="009611DD" w:rsidRPr="00796AAD">
        <w:t xml:space="preserve">. </w:t>
      </w:r>
      <w:r w:rsidR="009611DD">
        <w:t xml:space="preserve">Moreover, puncturing the leaves by applying too much pressure can damage the leaves and hence might lead to premature necrosis. Considering these possible factors when expressing recombinant proteins in </w:t>
      </w:r>
      <w:r w:rsidR="009611DD" w:rsidRPr="008E57D7">
        <w:rPr>
          <w:i/>
          <w:iCs/>
        </w:rPr>
        <w:t>Nicotiana benthamiana</w:t>
      </w:r>
      <w:r w:rsidR="009611DD">
        <w:t>, can lead to enhanced protein production.</w:t>
      </w:r>
    </w:p>
    <w:p w14:paraId="7F4976F3" w14:textId="77777777" w:rsidR="00A94398" w:rsidRDefault="00A94398" w:rsidP="00E10F2B">
      <w:pPr>
        <w:contextualSpacing/>
      </w:pPr>
    </w:p>
    <w:p w14:paraId="31FC54AF" w14:textId="3B0ADE8D" w:rsidR="009611DD" w:rsidRDefault="009611DD" w:rsidP="00E10F2B">
      <w:pPr>
        <w:contextualSpacing/>
      </w:pPr>
      <w:r>
        <w:t xml:space="preserve">Obtaining </w:t>
      </w:r>
      <w:r w:rsidR="00794A04">
        <w:t>low</w:t>
      </w:r>
      <w:r w:rsidRPr="00796AAD">
        <w:t xml:space="preserve"> protein yield could be due</w:t>
      </w:r>
      <w:r>
        <w:t xml:space="preserve"> to some issues in the extraction and purification steps.</w:t>
      </w:r>
      <w:r w:rsidRPr="00796AAD">
        <w:t xml:space="preserve"> </w:t>
      </w:r>
      <w:r>
        <w:t>Firstly, the extraction buffer might need optimization depending on the protein of interest</w:t>
      </w:r>
      <w:r w:rsidRPr="00796AAD">
        <w:t xml:space="preserve">. </w:t>
      </w:r>
      <w:r>
        <w:t>During blending, plant material should be homogenous without any visible leaf pieces.</w:t>
      </w:r>
      <w:r w:rsidRPr="00796AAD">
        <w:t xml:space="preserve"> </w:t>
      </w:r>
      <w:r>
        <w:t>Next, s</w:t>
      </w:r>
      <w:r w:rsidRPr="00796AAD">
        <w:t>ome proteins require detergents</w:t>
      </w:r>
      <w:r>
        <w:t xml:space="preserve"> for solubilization in the extraction buffer,</w:t>
      </w:r>
      <w:r w:rsidRPr="00796AAD">
        <w:t xml:space="preserve"> such as </w:t>
      </w:r>
      <w:r>
        <w:t>T</w:t>
      </w:r>
      <w:r w:rsidRPr="00796AAD">
        <w:t>ween-20</w:t>
      </w:r>
      <w:r>
        <w:t xml:space="preserve"> or</w:t>
      </w:r>
      <w:r w:rsidRPr="00796AAD">
        <w:t xml:space="preserve"> </w:t>
      </w:r>
      <w:r>
        <w:t>Triton</w:t>
      </w:r>
      <w:r w:rsidRPr="00796AAD">
        <w:t xml:space="preserve">. Other proteins </w:t>
      </w:r>
      <w:r>
        <w:t>might need</w:t>
      </w:r>
      <w:r w:rsidRPr="00796AAD">
        <w:t xml:space="preserve"> </w:t>
      </w:r>
      <w:r>
        <w:t>u</w:t>
      </w:r>
      <w:r w:rsidRPr="00796AAD">
        <w:t xml:space="preserve">rea at high concentrations </w:t>
      </w:r>
      <w:r>
        <w:t>~</w:t>
      </w:r>
      <w:r w:rsidRPr="00796AAD">
        <w:t>7.5 M</w:t>
      </w:r>
      <w:r>
        <w:t xml:space="preserve"> for solubilization</w:t>
      </w:r>
      <w:r w:rsidRPr="00796AAD">
        <w:t xml:space="preserve">, while some </w:t>
      </w:r>
      <w:r>
        <w:t xml:space="preserve">can be extracted with PBS </w:t>
      </w:r>
      <w:r w:rsidRPr="00796AAD">
        <w:t>only. Degradation of protein can occur if buffers, plant tissue, centrif</w:t>
      </w:r>
      <w:r w:rsidR="00F001C6">
        <w:t>u</w:t>
      </w:r>
      <w:r w:rsidR="00EE2DC8">
        <w:t>g</w:t>
      </w:r>
      <w:r w:rsidRPr="00796AAD">
        <w:t xml:space="preserve">es, etc. are not kept cool during </w:t>
      </w:r>
      <w:r>
        <w:t xml:space="preserve">the </w:t>
      </w:r>
      <w:r w:rsidRPr="00796AAD">
        <w:t>extraction</w:t>
      </w:r>
      <w:r>
        <w:t xml:space="preserve"> process</w:t>
      </w:r>
      <w:r w:rsidRPr="00796AAD">
        <w:t xml:space="preserve">. Lack of protease inhibitors and sodium ascorbate or similar chemicals in the extraction buffer can also cause degradation or aggregation. </w:t>
      </w:r>
      <w:r w:rsidR="00B52EBD">
        <w:t>S</w:t>
      </w:r>
      <w:r>
        <w:t>ome protease</w:t>
      </w:r>
      <w:r w:rsidR="006160D0">
        <w:t xml:space="preserve"> inhibitors</w:t>
      </w:r>
      <w:r>
        <w:t xml:space="preserve"> like</w:t>
      </w:r>
      <w:r w:rsidRPr="00796AAD">
        <w:t xml:space="preserve"> PMSF degrade quickly</w:t>
      </w:r>
      <w:r>
        <w:t>,</w:t>
      </w:r>
      <w:r w:rsidRPr="00796AAD">
        <w:t xml:space="preserve"> and sodium ascorbate takes some time to become aqueous. </w:t>
      </w:r>
      <w:r>
        <w:t>Overall, researchers should determine optimal conditions for their protein of interest.</w:t>
      </w:r>
    </w:p>
    <w:p w14:paraId="2B08985F" w14:textId="77777777" w:rsidR="00A94398" w:rsidRPr="00F3394A" w:rsidRDefault="00A94398" w:rsidP="00E10F2B">
      <w:pPr>
        <w:contextualSpacing/>
      </w:pPr>
    </w:p>
    <w:p w14:paraId="384991CB" w14:textId="1FD9C672" w:rsidR="009611DD" w:rsidRDefault="009611DD" w:rsidP="00E10F2B">
      <w:pPr>
        <w:contextualSpacing/>
        <w:rPr>
          <w:color w:val="000000" w:themeColor="text1"/>
        </w:rPr>
      </w:pPr>
      <w:r>
        <w:t xml:space="preserve">The purification of IgG-fusions includes few steps that might need modifications if </w:t>
      </w:r>
      <w:r w:rsidR="00B52EBD">
        <w:t>low</w:t>
      </w:r>
      <w:r>
        <w:t xml:space="preserve"> protein yield is obtained. Analyzing the sample aliquots collected during the entire process by SDS-PAGE and Western will help to identify the fault of the methods. For example, if the flowthro</w:t>
      </w:r>
      <w:r w:rsidR="00EA30A8">
        <w:t>u</w:t>
      </w:r>
      <w:r w:rsidR="00EE2DC8">
        <w:t>g</w:t>
      </w:r>
      <w:r>
        <w:t>h contains a substantial amount of protein, then the binding of the protein can be facilitated by changing the pH of the buffer. Using high concentrations of detergents during the extraction process might affect the binding property of the resin, especially if the resin is reused several times. Proper storage of the resin, as described in the methods, is vital for the resin</w:t>
      </w:r>
      <w:r w:rsidR="00F6433E">
        <w:t>'</w:t>
      </w:r>
      <w:r>
        <w:t xml:space="preserve">s lifespan. </w:t>
      </w:r>
      <w:r>
        <w:lastRenderedPageBreak/>
        <w:t xml:space="preserve">Moreover, if the washing step removes the protein of interest from the resin, the buffers might need to be remade to solve this problem. Other issues with protein purification might be due to misfolded or degraded proteins, which might require further analysis of the overall protein design. </w:t>
      </w:r>
      <w:r w:rsidRPr="00AC4C40">
        <w:rPr>
          <w:color w:val="000000" w:themeColor="text1"/>
        </w:rPr>
        <w:t xml:space="preserve">Referencing the described troubleshooting may increase the efficiency of </w:t>
      </w:r>
      <w:r w:rsidR="00A94398">
        <w:rPr>
          <w:color w:val="000000" w:themeColor="text1"/>
        </w:rPr>
        <w:t>the</w:t>
      </w:r>
      <w:r w:rsidRPr="00AC4C40">
        <w:rPr>
          <w:color w:val="000000" w:themeColor="text1"/>
        </w:rPr>
        <w:t xml:space="preserve"> purification using this protocol.</w:t>
      </w:r>
    </w:p>
    <w:p w14:paraId="0FB46054" w14:textId="77777777" w:rsidR="00A94398" w:rsidRDefault="00A94398" w:rsidP="00E10F2B">
      <w:pPr>
        <w:contextualSpacing/>
      </w:pPr>
    </w:p>
    <w:p w14:paraId="796AF8E0" w14:textId="75C41D15" w:rsidR="009611DD" w:rsidRDefault="017CCAD0" w:rsidP="00E10F2B">
      <w:pPr>
        <w:contextualSpacing/>
      </w:pPr>
      <w:r>
        <w:t xml:space="preserve">The described GFP-IgG fusion purification is helpful in a teaching environment. Visualization is fundamental to science education because it allows learners to comprehend concepts </w:t>
      </w:r>
      <w:r w:rsidR="00F50DC9">
        <w:t>more easily</w:t>
      </w:r>
      <w:r w:rsidR="00170527">
        <w:fldChar w:fldCharType="begin" w:fldLock="1"/>
      </w:r>
      <w:r w:rsidR="00170527">
        <w:instrText>ADDIN CSL_CITATION {"citationItems":[{"id":"ITEM-1","itemData":{"DOI":"10.1186/2193-1801-3-184","ISSN":"21931801","abstract":"The use of visual models such as pictures, diagrams and animations in science education is increasing. This is because of the complex nature associated with the concepts in the field. Students, especially entrant students, often report misconceptions and learning difficulties associated with various concepts especially those that exist at a microscopic level, such as DNA, the gene and meiosis as well as those that exist in relatively large time scales such as evolution. However the role of visual literacy in the construction of knowledge in science education has not been investigated much. This article explores the theoretical process of visualization answering the question \"how can visual literacy be understood based on the theoretical cognitive process of visualization in order to inform the understanding, teaching and studying of visual literacy in science education?\" Based on various theories on cognitive processes during learning for science and general education the author argues that the theoretical process of visualization consists of three stages, namely, Internalization of Visual Models, Conceptualization of Visual Models and Externalization of Visual Models. The application of this theoretical cognitive process of visualization and the stages of visualization in science education are discussed. © 2014 Mnguni; licensee Springer.","author":[{"dropping-particle":"","family":"Mnguni","given":"Lindelani E.","non-dropping-particle":"","parse-names":false,"suffix":""}],"container-title":"SpringerPlus","id":"ITEM-1","issue":"1","issued":{"date-parts":[["2014","4","10"]]},"page":"1-9","publisher":"SpringerOpen","title":"The theoretical cognitive process of visualization for science education","type":"article","volume":"3"},"uris":["http://www.mendeley.com/documents/?uuid=fb737269-0ee5-3dec-8d82-e51e6e52fa02"]}],"mendeley":{"formattedCitation":"&lt;sup&gt;39&lt;/sup&gt;","plainTextFormattedCitation":"39"},"properties":{"noteIndex":0},"schema":"https://github.com/citation-style-language/schema/raw/master/csl-citation.json"}</w:instrText>
      </w:r>
      <w:r w:rsidR="00170527">
        <w:fldChar w:fldCharType="separate"/>
      </w:r>
      <w:r w:rsidR="00170527" w:rsidRPr="00170527">
        <w:rPr>
          <w:noProof/>
          <w:vertAlign w:val="superscript"/>
        </w:rPr>
        <w:t>39</w:t>
      </w:r>
      <w:r w:rsidR="00170527">
        <w:fldChar w:fldCharType="end"/>
      </w:r>
      <w:r>
        <w:t>. Students often report misunderstandings in addition to difficulty understanding concepts at the molecular level</w:t>
      </w:r>
      <w:r w:rsidR="009611DD">
        <w:fldChar w:fldCharType="begin" w:fldLock="1"/>
      </w:r>
      <w:r w:rsidR="009611DD">
        <w:instrText>ADDIN CSL_CITATION {"citationItems":[{"id":"ITEM-1","itemData":{"DOI":"10.1186/2193-1801-3-184","ISSN":"21931801","abstract":"The use of visual models such as pictures, diagrams and animations in science education is increasing. This is because of the complex nature associated with the concepts in the field. Students, especially entrant students, often report misconceptions and learning difficulties associated with various concepts especially those that exist at a microscopic level, such as DNA, the gene and meiosis as well as those that exist in relatively large time scales such as evolution. However the role of visual literacy in the construction of knowledge in science education has not been investigated much. This article explores the theoretical process of visualization answering the question \"how can visual literacy be understood based on the theoretical cognitive process of visualization in order to inform the understanding, teaching and studying of visual literacy in science education?\" Based on various theories on cognitive processes during learning for science and general education the author argues that the theoretical process of visualization consists of three stages, namely, Internalization of Visual Models, Conceptualization of Visual Models and Externalization of Visual Models. The application of this theoretical cognitive process of visualization and the stages of visualization in science education are discussed. © 2014 Mnguni; licensee Springer.","author":[{"dropping-particle":"","family":"Mnguni","given":"Lindelani E.","non-dropping-particle":"","parse-names":false,"suffix":""}],"container-title":"SpringerPlus","id":"ITEM-1","issue":"1","issued":{"date-parts":[["2014","4","10"]]},"page":"1-9","publisher":"SpringerOpen","title":"The theoretical cognitive process of visualization for science education","type":"article","volume":"3"},"uris":["http://www.mendeley.com/documents/?uuid=fb737269-0ee5-3dec-8d82-e51e6e52fa02"]}],"mendeley":{"formattedCitation":"&lt;sup&gt;39&lt;/sup&gt;","plainTextFormattedCitation":"39","previouslyFormattedCitation":"&lt;sup&gt;39&lt;/sup&gt;"},"properties":{"noteIndex":0},"schema":"https://github.com/citation-style-language/schema/raw/master/csl-citation.json"}</w:instrText>
      </w:r>
      <w:r w:rsidR="009611DD">
        <w:fldChar w:fldCharType="separate"/>
      </w:r>
      <w:r w:rsidRPr="017CCAD0">
        <w:rPr>
          <w:noProof/>
          <w:vertAlign w:val="superscript"/>
        </w:rPr>
        <w:t>39</w:t>
      </w:r>
      <w:r w:rsidR="009611DD">
        <w:fldChar w:fldCharType="end"/>
      </w:r>
      <w:r>
        <w:t xml:space="preserve">. In particular, the experiments that require an understanding of the specific protein location at each step can be modified by tagging protein of interest with fluorescent molecules. Therefore, GFP or </w:t>
      </w:r>
      <w:proofErr w:type="spellStart"/>
      <w:r>
        <w:t>asGFP</w:t>
      </w:r>
      <w:proofErr w:type="spellEnd"/>
      <w:r>
        <w:t xml:space="preserve">, depending on the pH environment used, can be utilized to harness their fluorescence to facilitate elucidation of the protein purification technique for students. </w:t>
      </w:r>
    </w:p>
    <w:p w14:paraId="7F9CA10A" w14:textId="77777777" w:rsidR="00A94398" w:rsidRPr="00796AAD" w:rsidRDefault="00A94398" w:rsidP="00E10F2B">
      <w:pPr>
        <w:contextualSpacing/>
        <w:rPr>
          <w:rFonts w:ascii="Times New Roman" w:hAnsi="Times New Roman" w:cs="Times New Roman"/>
        </w:rPr>
      </w:pPr>
    </w:p>
    <w:p w14:paraId="17DAAB4E" w14:textId="19881AAB" w:rsidR="009611DD" w:rsidRDefault="009611DD" w:rsidP="00E10F2B">
      <w:pPr>
        <w:contextualSpacing/>
        <w:rPr>
          <w:rFonts w:asciiTheme="minorHAnsi" w:hAnsiTheme="minorHAnsi" w:cstheme="minorHAnsi"/>
        </w:rPr>
      </w:pPr>
      <w:r w:rsidRPr="00796AAD">
        <w:t xml:space="preserve">In summary, we </w:t>
      </w:r>
      <w:r w:rsidRPr="00C776A2">
        <w:rPr>
          <w:rFonts w:asciiTheme="minorHAnsi" w:hAnsiTheme="minorHAnsi" w:cstheme="minorHAnsi"/>
        </w:rPr>
        <w:t xml:space="preserve">describe a simple method for expression and purification of a recombinant </w:t>
      </w:r>
      <w:r w:rsidR="006D1BFF">
        <w:rPr>
          <w:rFonts w:asciiTheme="minorHAnsi" w:hAnsiTheme="minorHAnsi" w:cstheme="minorHAnsi"/>
        </w:rPr>
        <w:t>Ab</w:t>
      </w:r>
      <w:r w:rsidRPr="00C776A2">
        <w:rPr>
          <w:rFonts w:asciiTheme="minorHAnsi" w:hAnsiTheme="minorHAnsi" w:cstheme="minorHAnsi"/>
        </w:rPr>
        <w:t xml:space="preserve"> fused to a GFP in </w:t>
      </w:r>
      <w:r w:rsidRPr="00C776A2">
        <w:rPr>
          <w:rFonts w:asciiTheme="minorHAnsi" w:hAnsiTheme="minorHAnsi" w:cstheme="minorHAnsi"/>
          <w:i/>
          <w:iCs/>
        </w:rPr>
        <w:t>N. benthamiana</w:t>
      </w:r>
      <w:r w:rsidRPr="00C776A2">
        <w:rPr>
          <w:rFonts w:asciiTheme="minorHAnsi" w:hAnsiTheme="minorHAnsi" w:cstheme="minorHAnsi"/>
        </w:rPr>
        <w:t xml:space="preserve"> plants. This protocol can be used for</w:t>
      </w:r>
      <w:r w:rsidR="001448B0">
        <w:rPr>
          <w:rFonts w:asciiTheme="minorHAnsi" w:hAnsiTheme="minorHAnsi" w:cstheme="minorHAnsi"/>
        </w:rPr>
        <w:t xml:space="preserve"> the</w:t>
      </w:r>
      <w:r w:rsidRPr="00C776A2">
        <w:rPr>
          <w:rFonts w:asciiTheme="minorHAnsi" w:hAnsiTheme="minorHAnsi" w:cstheme="minorHAnsi"/>
        </w:rPr>
        <w:t xml:space="preserve"> purification of an </w:t>
      </w:r>
      <w:r w:rsidR="006D1BFF">
        <w:rPr>
          <w:rFonts w:asciiTheme="minorHAnsi" w:hAnsiTheme="minorHAnsi" w:cstheme="minorHAnsi"/>
        </w:rPr>
        <w:t>Ab</w:t>
      </w:r>
      <w:r w:rsidRPr="00C776A2">
        <w:rPr>
          <w:rFonts w:asciiTheme="minorHAnsi" w:hAnsiTheme="minorHAnsi" w:cstheme="minorHAnsi"/>
        </w:rPr>
        <w:t xml:space="preserve"> fused to any desired target protein.</w:t>
      </w:r>
      <w:r w:rsidR="00E10F2B">
        <w:rPr>
          <w:rFonts w:asciiTheme="minorHAnsi" w:hAnsiTheme="minorHAnsi" w:cstheme="minorHAnsi"/>
        </w:rPr>
        <w:t xml:space="preserve"> </w:t>
      </w:r>
      <w:r w:rsidRPr="00C776A2">
        <w:rPr>
          <w:rFonts w:asciiTheme="minorHAnsi" w:hAnsiTheme="minorHAnsi" w:cstheme="minorHAnsi"/>
        </w:rPr>
        <w:t>The process can be edited to accommodate various amounts of leaf material and allows for visual determination of protein presence before, during, and after the conclusion of the protein extraction and purification process. These methods can be useful as controls and can be purposed for teaching techniques.</w:t>
      </w:r>
    </w:p>
    <w:p w14:paraId="1573DB54" w14:textId="77777777" w:rsidR="00A94398" w:rsidRPr="00C776A2" w:rsidRDefault="00A94398" w:rsidP="00E10F2B">
      <w:pPr>
        <w:contextualSpacing/>
        <w:rPr>
          <w:rFonts w:asciiTheme="minorHAnsi" w:hAnsiTheme="minorHAnsi" w:cstheme="minorHAnsi"/>
        </w:rPr>
      </w:pPr>
    </w:p>
    <w:p w14:paraId="3AEA819D" w14:textId="77777777" w:rsidR="009611DD" w:rsidRPr="00C776A2" w:rsidRDefault="009611DD" w:rsidP="00E10F2B">
      <w:pPr>
        <w:contextualSpacing/>
        <w:rPr>
          <w:rFonts w:asciiTheme="minorHAnsi" w:hAnsiTheme="minorHAnsi" w:cstheme="minorHAnsi"/>
        </w:rPr>
      </w:pPr>
      <w:r w:rsidRPr="00C776A2">
        <w:rPr>
          <w:rFonts w:asciiTheme="minorHAnsi" w:hAnsiTheme="minorHAnsi" w:cstheme="minorHAnsi"/>
          <w:b/>
          <w:bCs/>
        </w:rPr>
        <w:t>Acknowledgments</w:t>
      </w:r>
    </w:p>
    <w:p w14:paraId="730C72A4" w14:textId="190F1BC0" w:rsidR="00210E8B" w:rsidRDefault="009611DD" w:rsidP="00E10F2B">
      <w:pPr>
        <w:contextualSpacing/>
        <w:rPr>
          <w:rFonts w:asciiTheme="minorHAnsi" w:hAnsiTheme="minorHAnsi" w:cstheme="minorHAnsi"/>
        </w:rPr>
      </w:pPr>
      <w:r w:rsidRPr="00C776A2">
        <w:rPr>
          <w:rFonts w:asciiTheme="minorHAnsi" w:hAnsiTheme="minorHAnsi" w:cstheme="minorHAnsi"/>
        </w:rPr>
        <w:t xml:space="preserve">We thank Maria Pia </w:t>
      </w:r>
      <w:proofErr w:type="spellStart"/>
      <w:r w:rsidRPr="00C776A2">
        <w:rPr>
          <w:rFonts w:asciiTheme="minorHAnsi" w:hAnsiTheme="minorHAnsi" w:cstheme="minorHAnsi"/>
        </w:rPr>
        <w:t>DiPalma</w:t>
      </w:r>
      <w:proofErr w:type="spellEnd"/>
      <w:r w:rsidRPr="00C776A2">
        <w:rPr>
          <w:rFonts w:asciiTheme="minorHAnsi" w:hAnsiTheme="minorHAnsi" w:cstheme="minorHAnsi"/>
        </w:rPr>
        <w:t xml:space="preserve"> for editing the video. We also thank the Office of Educational Outreach and Student Services at Arizona State University for their generous publication fee assistance. Research for this protocol was supported by the School of Life Sciences, Arizona State Univer</w:t>
      </w:r>
      <w:r w:rsidR="00210E8B">
        <w:rPr>
          <w:rFonts w:asciiTheme="minorHAnsi" w:hAnsiTheme="minorHAnsi" w:cstheme="minorHAnsi"/>
        </w:rPr>
        <w:t>sity.</w:t>
      </w:r>
    </w:p>
    <w:p w14:paraId="73A8491F" w14:textId="77777777" w:rsidR="00210E8B" w:rsidRPr="00C776A2" w:rsidRDefault="00210E8B" w:rsidP="00E10F2B">
      <w:pPr>
        <w:contextualSpacing/>
        <w:rPr>
          <w:rFonts w:asciiTheme="minorHAnsi" w:hAnsiTheme="minorHAnsi" w:cstheme="minorHAnsi"/>
        </w:rPr>
      </w:pPr>
    </w:p>
    <w:p w14:paraId="0F9F466C" w14:textId="77777777" w:rsidR="009611DD" w:rsidRPr="00C776A2" w:rsidRDefault="009611DD" w:rsidP="00E10F2B">
      <w:pPr>
        <w:contextualSpacing/>
        <w:rPr>
          <w:rFonts w:asciiTheme="minorHAnsi" w:hAnsiTheme="minorHAnsi" w:cstheme="minorHAnsi"/>
        </w:rPr>
      </w:pPr>
      <w:r w:rsidRPr="00C776A2">
        <w:rPr>
          <w:rFonts w:asciiTheme="minorHAnsi" w:hAnsiTheme="minorHAnsi" w:cstheme="minorHAnsi"/>
          <w:b/>
          <w:bCs/>
        </w:rPr>
        <w:t>Disclosures:</w:t>
      </w:r>
    </w:p>
    <w:p w14:paraId="47229623" w14:textId="670E156D" w:rsidR="00BE6CE4" w:rsidRDefault="009611DD" w:rsidP="00E10F2B">
      <w:pPr>
        <w:contextualSpacing/>
        <w:rPr>
          <w:rFonts w:asciiTheme="minorHAnsi" w:hAnsiTheme="minorHAnsi" w:cstheme="minorHAnsi"/>
        </w:rPr>
      </w:pPr>
      <w:r w:rsidRPr="00C776A2">
        <w:rPr>
          <w:rFonts w:asciiTheme="minorHAnsi" w:hAnsiTheme="minorHAnsi" w:cstheme="minorHAnsi"/>
        </w:rPr>
        <w:t>The authors have nothing to disclose.</w:t>
      </w:r>
    </w:p>
    <w:p w14:paraId="2258F587" w14:textId="77777777" w:rsidR="00BE6CE4" w:rsidRPr="00BE6CE4" w:rsidRDefault="00BE6CE4" w:rsidP="00E10F2B">
      <w:pPr>
        <w:contextualSpacing/>
        <w:rPr>
          <w:rFonts w:asciiTheme="minorHAnsi" w:hAnsiTheme="minorHAnsi" w:cstheme="minorHAnsi"/>
        </w:rPr>
      </w:pPr>
    </w:p>
    <w:p w14:paraId="4976CDE1" w14:textId="77777777" w:rsidR="009611DD" w:rsidRPr="00796AAD" w:rsidRDefault="009611DD" w:rsidP="00E10F2B">
      <w:pPr>
        <w:contextualSpacing/>
        <w:rPr>
          <w:rFonts w:ascii="Times New Roman" w:hAnsi="Times New Roman" w:cs="Times New Roman"/>
        </w:rPr>
      </w:pPr>
      <w:r w:rsidRPr="00796AAD">
        <w:rPr>
          <w:b/>
          <w:bCs/>
        </w:rPr>
        <w:t>References:</w:t>
      </w:r>
    </w:p>
    <w:p w14:paraId="04FD595C" w14:textId="3E37E143" w:rsidR="00170527" w:rsidRPr="00170527" w:rsidRDefault="009611DD" w:rsidP="00E10F2B">
      <w:pPr>
        <w:ind w:left="640" w:hanging="640"/>
        <w:contextualSpacing/>
        <w:rPr>
          <w:noProof/>
        </w:rPr>
      </w:pPr>
      <w:r>
        <w:fldChar w:fldCharType="begin" w:fldLock="1"/>
      </w:r>
      <w:r>
        <w:instrText xml:space="preserve">ADDIN Mendeley Bibliography CSL_BIBLIOGRAPHY </w:instrText>
      </w:r>
      <w:r>
        <w:fldChar w:fldCharType="separate"/>
      </w:r>
      <w:r w:rsidR="00170527" w:rsidRPr="00170527">
        <w:rPr>
          <w:noProof/>
        </w:rPr>
        <w:t>1.</w:t>
      </w:r>
      <w:r w:rsidR="00170527" w:rsidRPr="00170527">
        <w:rPr>
          <w:noProof/>
        </w:rPr>
        <w:tab/>
        <w:t xml:space="preserve">Lu, R.M. </w:t>
      </w:r>
      <w:r w:rsidR="00A94398" w:rsidRPr="00A94398">
        <w:rPr>
          <w:noProof/>
        </w:rPr>
        <w:t>et al.</w:t>
      </w:r>
      <w:r w:rsidR="00170527" w:rsidRPr="00170527">
        <w:rPr>
          <w:noProof/>
        </w:rPr>
        <w:t xml:space="preserve"> Development of therapeutic antibodies for the treatment of diseases. </w:t>
      </w:r>
      <w:r w:rsidR="00170527" w:rsidRPr="00170527">
        <w:rPr>
          <w:i/>
          <w:iCs/>
          <w:noProof/>
        </w:rPr>
        <w:t>Journal of Biomedical Science</w:t>
      </w:r>
      <w:r w:rsidR="00170527" w:rsidRPr="00170527">
        <w:rPr>
          <w:noProof/>
        </w:rPr>
        <w:t xml:space="preserve">. </w:t>
      </w:r>
      <w:r w:rsidR="00170527" w:rsidRPr="00170527">
        <w:rPr>
          <w:b/>
          <w:bCs/>
          <w:noProof/>
        </w:rPr>
        <w:t>27</w:t>
      </w:r>
      <w:r w:rsidR="00170527" w:rsidRPr="00170527">
        <w:rPr>
          <w:noProof/>
        </w:rPr>
        <w:t xml:space="preserve"> (1), doi: 10.1186/s12929-019-0592-z (2020).</w:t>
      </w:r>
    </w:p>
    <w:p w14:paraId="0659D50C" w14:textId="77777777" w:rsidR="00170527" w:rsidRPr="00170527" w:rsidRDefault="00170527" w:rsidP="00E10F2B">
      <w:pPr>
        <w:ind w:left="640" w:hanging="640"/>
        <w:contextualSpacing/>
        <w:rPr>
          <w:noProof/>
        </w:rPr>
      </w:pPr>
      <w:r w:rsidRPr="00170527">
        <w:rPr>
          <w:noProof/>
        </w:rPr>
        <w:t>2.</w:t>
      </w:r>
      <w:r w:rsidRPr="00170527">
        <w:rPr>
          <w:noProof/>
        </w:rPr>
        <w:tab/>
        <w:t xml:space="preserve">Kaplon, H., Reichert, J.M. Antibodies to watch in 2019. </w:t>
      </w:r>
      <w:r w:rsidRPr="00170527">
        <w:rPr>
          <w:i/>
          <w:iCs/>
          <w:noProof/>
        </w:rPr>
        <w:t>mAbs</w:t>
      </w:r>
      <w:r w:rsidRPr="00170527">
        <w:rPr>
          <w:noProof/>
        </w:rPr>
        <w:t xml:space="preserve">. </w:t>
      </w:r>
      <w:r w:rsidRPr="00170527">
        <w:rPr>
          <w:b/>
          <w:bCs/>
          <w:noProof/>
        </w:rPr>
        <w:t>11</w:t>
      </w:r>
      <w:r w:rsidRPr="00170527">
        <w:rPr>
          <w:noProof/>
        </w:rPr>
        <w:t xml:space="preserve"> (2), 219–238, doi: 10.1080/19420862.2018.1556465 (2019).</w:t>
      </w:r>
    </w:p>
    <w:p w14:paraId="3F4EF0CC" w14:textId="77777777" w:rsidR="00170527" w:rsidRPr="00170527" w:rsidRDefault="00170527" w:rsidP="00E10F2B">
      <w:pPr>
        <w:ind w:left="640" w:hanging="640"/>
        <w:contextualSpacing/>
        <w:rPr>
          <w:noProof/>
        </w:rPr>
      </w:pPr>
      <w:r w:rsidRPr="00170527">
        <w:rPr>
          <w:noProof/>
        </w:rPr>
        <w:t>3.</w:t>
      </w:r>
      <w:r w:rsidRPr="00170527">
        <w:rPr>
          <w:noProof/>
        </w:rPr>
        <w:tab/>
        <w:t>The top 20 drugs by 2018 U.S. sales | FiercePharma. at &lt;https://www.fiercepharma.com/special-report/top-20-drugs-by-2018-u-s-sales&gt;.</w:t>
      </w:r>
    </w:p>
    <w:p w14:paraId="527887DE" w14:textId="77777777" w:rsidR="00170527" w:rsidRPr="00170527" w:rsidRDefault="00170527" w:rsidP="00E10F2B">
      <w:pPr>
        <w:ind w:left="640" w:hanging="640"/>
        <w:contextualSpacing/>
        <w:rPr>
          <w:noProof/>
        </w:rPr>
      </w:pPr>
      <w:r w:rsidRPr="00170527">
        <w:rPr>
          <w:noProof/>
        </w:rPr>
        <w:t>4.</w:t>
      </w:r>
      <w:r w:rsidRPr="00170527">
        <w:rPr>
          <w:noProof/>
        </w:rPr>
        <w:tab/>
        <w:t xml:space="preserve">Grilo, A.L., Mantalaris, A. The Increasingly Human and Profitable Monoclonal Antibody Market. </w:t>
      </w:r>
      <w:r w:rsidRPr="00170527">
        <w:rPr>
          <w:i/>
          <w:iCs/>
          <w:noProof/>
        </w:rPr>
        <w:t>Trends in Biotechnology</w:t>
      </w:r>
      <w:r w:rsidRPr="00170527">
        <w:rPr>
          <w:noProof/>
        </w:rPr>
        <w:t xml:space="preserve">. </w:t>
      </w:r>
      <w:r w:rsidRPr="00170527">
        <w:rPr>
          <w:b/>
          <w:bCs/>
          <w:noProof/>
        </w:rPr>
        <w:t>37</w:t>
      </w:r>
      <w:r w:rsidRPr="00170527">
        <w:rPr>
          <w:noProof/>
        </w:rPr>
        <w:t xml:space="preserve"> (1), 9–16, doi: 10.1016/j.tibtech.2018.05.014 (2019).</w:t>
      </w:r>
    </w:p>
    <w:p w14:paraId="75012D9B" w14:textId="5258D1F6" w:rsidR="00170527" w:rsidRPr="00170527" w:rsidRDefault="00170527" w:rsidP="00E10F2B">
      <w:pPr>
        <w:ind w:left="640" w:hanging="640"/>
        <w:contextualSpacing/>
        <w:rPr>
          <w:noProof/>
        </w:rPr>
      </w:pPr>
      <w:r w:rsidRPr="00170527">
        <w:rPr>
          <w:noProof/>
        </w:rPr>
        <w:t>5.</w:t>
      </w:r>
      <w:r w:rsidRPr="00170527">
        <w:rPr>
          <w:noProof/>
        </w:rPr>
        <w:tab/>
        <w:t xml:space="preserve">Kim, M.-Y. </w:t>
      </w:r>
      <w:r w:rsidR="00A94398" w:rsidRPr="00A94398">
        <w:rPr>
          <w:noProof/>
        </w:rPr>
        <w:t>et al.</w:t>
      </w:r>
      <w:r w:rsidRPr="00170527">
        <w:rPr>
          <w:noProof/>
        </w:rPr>
        <w:t xml:space="preserve"> Novel vaccination approach for dengue infection based on recombinant immune complex universal platform. </w:t>
      </w:r>
      <w:r w:rsidRPr="00170527">
        <w:rPr>
          <w:i/>
          <w:iCs/>
          <w:noProof/>
        </w:rPr>
        <w:t>Vaccine</w:t>
      </w:r>
      <w:r w:rsidRPr="00170527">
        <w:rPr>
          <w:noProof/>
        </w:rPr>
        <w:t xml:space="preserve">. </w:t>
      </w:r>
      <w:r w:rsidRPr="00170527">
        <w:rPr>
          <w:b/>
          <w:bCs/>
          <w:noProof/>
        </w:rPr>
        <w:t>33</w:t>
      </w:r>
      <w:r w:rsidRPr="00170527">
        <w:rPr>
          <w:noProof/>
        </w:rPr>
        <w:t xml:space="preserve"> (15), 1830–1838, doi: 10.1016/J.VACCINE.2015.02.036 (2015).</w:t>
      </w:r>
    </w:p>
    <w:p w14:paraId="493F8AF8" w14:textId="77777777" w:rsidR="00170527" w:rsidRPr="00170527" w:rsidRDefault="00170527" w:rsidP="00E10F2B">
      <w:pPr>
        <w:ind w:left="640" w:hanging="640"/>
        <w:contextualSpacing/>
        <w:rPr>
          <w:noProof/>
        </w:rPr>
      </w:pPr>
      <w:r w:rsidRPr="00170527">
        <w:rPr>
          <w:noProof/>
        </w:rPr>
        <w:t>6.</w:t>
      </w:r>
      <w:r w:rsidRPr="00170527">
        <w:rPr>
          <w:noProof/>
        </w:rPr>
        <w:tab/>
        <w:t xml:space="preserve">Twyman, R.M., Schillberg, S., Fischer, R. Transgenic plants in the biopharmaceutical </w:t>
      </w:r>
      <w:r w:rsidRPr="00170527">
        <w:rPr>
          <w:noProof/>
        </w:rPr>
        <w:lastRenderedPageBreak/>
        <w:t xml:space="preserve">market. </w:t>
      </w:r>
      <w:r w:rsidRPr="00170527">
        <w:rPr>
          <w:i/>
          <w:iCs/>
          <w:noProof/>
        </w:rPr>
        <w:t>Expert Opinion on Emerging Drugs</w:t>
      </w:r>
      <w:r w:rsidRPr="00170527">
        <w:rPr>
          <w:noProof/>
        </w:rPr>
        <w:t xml:space="preserve">. </w:t>
      </w:r>
      <w:r w:rsidRPr="00170527">
        <w:rPr>
          <w:b/>
          <w:bCs/>
          <w:noProof/>
        </w:rPr>
        <w:t>10</w:t>
      </w:r>
      <w:r w:rsidRPr="00170527">
        <w:rPr>
          <w:noProof/>
        </w:rPr>
        <w:t xml:space="preserve"> (1), 185–218, doi: 10.1517/14728214.10.1.185 (2005).</w:t>
      </w:r>
    </w:p>
    <w:p w14:paraId="25C32915" w14:textId="77777777" w:rsidR="00170527" w:rsidRPr="00170527" w:rsidRDefault="00170527" w:rsidP="00E10F2B">
      <w:pPr>
        <w:ind w:left="640" w:hanging="640"/>
        <w:contextualSpacing/>
        <w:rPr>
          <w:noProof/>
        </w:rPr>
      </w:pPr>
      <w:r w:rsidRPr="00170527">
        <w:rPr>
          <w:noProof/>
        </w:rPr>
        <w:t>7.</w:t>
      </w:r>
      <w:r w:rsidRPr="00170527">
        <w:rPr>
          <w:noProof/>
        </w:rPr>
        <w:tab/>
        <w:t xml:space="preserve">Stoger, E., Fischer, R., Moloney, M., Ma, J.K.-C. Plant Molecular Pharming for the Treatment of Chronic and Infectious Diseases. </w:t>
      </w:r>
      <w:r w:rsidRPr="00170527">
        <w:rPr>
          <w:i/>
          <w:iCs/>
          <w:noProof/>
        </w:rPr>
        <w:t>Annual Review of Plant Biology</w:t>
      </w:r>
      <w:r w:rsidRPr="00170527">
        <w:rPr>
          <w:noProof/>
        </w:rPr>
        <w:t xml:space="preserve">. </w:t>
      </w:r>
      <w:r w:rsidRPr="00170527">
        <w:rPr>
          <w:b/>
          <w:bCs/>
          <w:noProof/>
        </w:rPr>
        <w:t>65</w:t>
      </w:r>
      <w:r w:rsidRPr="00170527">
        <w:rPr>
          <w:noProof/>
        </w:rPr>
        <w:t xml:space="preserve"> (1), 743–768, doi: 10.1146/annurev-arplant-050213-035850 (2014).</w:t>
      </w:r>
    </w:p>
    <w:p w14:paraId="4B0BCE10" w14:textId="77777777" w:rsidR="00170527" w:rsidRPr="00170527" w:rsidRDefault="00170527" w:rsidP="00E10F2B">
      <w:pPr>
        <w:ind w:left="640" w:hanging="640"/>
        <w:contextualSpacing/>
        <w:rPr>
          <w:noProof/>
        </w:rPr>
      </w:pPr>
      <w:r w:rsidRPr="00170527">
        <w:rPr>
          <w:noProof/>
        </w:rPr>
        <w:t>8.</w:t>
      </w:r>
      <w:r w:rsidRPr="00170527">
        <w:rPr>
          <w:noProof/>
        </w:rPr>
        <w:tab/>
        <w:t xml:space="preserve">Buyel, J.F., Fischer, R. Predictive models for transient protein expression in tobacco (Nicotiana tabacum L.) can optimize process time, yield, and downstream costs. </w:t>
      </w:r>
      <w:r w:rsidRPr="00170527">
        <w:rPr>
          <w:i/>
          <w:iCs/>
          <w:noProof/>
        </w:rPr>
        <w:t>Biotechnology and Bioengineering</w:t>
      </w:r>
      <w:r w:rsidRPr="00170527">
        <w:rPr>
          <w:noProof/>
        </w:rPr>
        <w:t xml:space="preserve">. </w:t>
      </w:r>
      <w:r w:rsidRPr="00170527">
        <w:rPr>
          <w:b/>
          <w:bCs/>
          <w:noProof/>
        </w:rPr>
        <w:t>109</w:t>
      </w:r>
      <w:r w:rsidRPr="00170527">
        <w:rPr>
          <w:noProof/>
        </w:rPr>
        <w:t xml:space="preserve"> (10), 2575–2588, doi: 10.1002/bit.24523 (2012).</w:t>
      </w:r>
    </w:p>
    <w:p w14:paraId="1EED27F0" w14:textId="77777777" w:rsidR="00170527" w:rsidRPr="00170527" w:rsidRDefault="00170527" w:rsidP="00E10F2B">
      <w:pPr>
        <w:ind w:left="640" w:hanging="640"/>
        <w:contextualSpacing/>
        <w:rPr>
          <w:noProof/>
        </w:rPr>
      </w:pPr>
      <w:r w:rsidRPr="00170527">
        <w:rPr>
          <w:noProof/>
        </w:rPr>
        <w:t>9.</w:t>
      </w:r>
      <w:r w:rsidRPr="00170527">
        <w:rPr>
          <w:noProof/>
        </w:rPr>
        <w:tab/>
        <w:t xml:space="preserve">Yao, J., Weng, Y., Dickey, A., Wang, K.Y. Plants as factories for human pharmaceuticals: Applications and challenges. </w:t>
      </w:r>
      <w:r w:rsidRPr="00170527">
        <w:rPr>
          <w:i/>
          <w:iCs/>
          <w:noProof/>
        </w:rPr>
        <w:t>International Journal of Molecular Sciences</w:t>
      </w:r>
      <w:r w:rsidRPr="00170527">
        <w:rPr>
          <w:noProof/>
        </w:rPr>
        <w:t xml:space="preserve">. </w:t>
      </w:r>
      <w:r w:rsidRPr="00170527">
        <w:rPr>
          <w:b/>
          <w:bCs/>
          <w:noProof/>
        </w:rPr>
        <w:t>16</w:t>
      </w:r>
      <w:r w:rsidRPr="00170527">
        <w:rPr>
          <w:noProof/>
        </w:rPr>
        <w:t xml:space="preserve"> (12), 28549–28565, doi: 10.3390/ijms161226122 (2015).</w:t>
      </w:r>
    </w:p>
    <w:p w14:paraId="0B21D9CA" w14:textId="77777777" w:rsidR="00170527" w:rsidRPr="00170527" w:rsidRDefault="00170527" w:rsidP="00E10F2B">
      <w:pPr>
        <w:ind w:left="640" w:hanging="640"/>
        <w:contextualSpacing/>
        <w:rPr>
          <w:noProof/>
        </w:rPr>
      </w:pPr>
      <w:r w:rsidRPr="00170527">
        <w:rPr>
          <w:noProof/>
        </w:rPr>
        <w:t>10.</w:t>
      </w:r>
      <w:r w:rsidRPr="00170527">
        <w:rPr>
          <w:noProof/>
        </w:rPr>
        <w:tab/>
        <w:t xml:space="preserve">Mor, T.S., Moon, Y.-S., Palmer, K.E., Mason, H.S. Geminivirus vectors for high-level expression of foreign proteins in plant cells. </w:t>
      </w:r>
      <w:r w:rsidRPr="00170527">
        <w:rPr>
          <w:i/>
          <w:iCs/>
          <w:noProof/>
        </w:rPr>
        <w:t>Biotechnology and Bioengineering</w:t>
      </w:r>
      <w:r w:rsidRPr="00170527">
        <w:rPr>
          <w:noProof/>
        </w:rPr>
        <w:t xml:space="preserve">. </w:t>
      </w:r>
      <w:r w:rsidRPr="00170527">
        <w:rPr>
          <w:b/>
          <w:bCs/>
          <w:noProof/>
        </w:rPr>
        <w:t>81</w:t>
      </w:r>
      <w:r w:rsidRPr="00170527">
        <w:rPr>
          <w:noProof/>
        </w:rPr>
        <w:t xml:space="preserve"> (4), 430–437, doi: 10.1002/bit.10483 (2003).</w:t>
      </w:r>
    </w:p>
    <w:p w14:paraId="2CACC551" w14:textId="77777777" w:rsidR="00170527" w:rsidRPr="00170527" w:rsidRDefault="00170527" w:rsidP="00E10F2B">
      <w:pPr>
        <w:ind w:left="640" w:hanging="640"/>
        <w:contextualSpacing/>
        <w:rPr>
          <w:noProof/>
        </w:rPr>
      </w:pPr>
      <w:r w:rsidRPr="00170527">
        <w:rPr>
          <w:noProof/>
        </w:rPr>
        <w:t>11.</w:t>
      </w:r>
      <w:r w:rsidRPr="00170527">
        <w:rPr>
          <w:noProof/>
        </w:rPr>
        <w:tab/>
        <w:t xml:space="preserve">Hefferon, K.L. Plant virus expression vectors set the stage as production platforms for biopharmaceutical proteins. </w:t>
      </w:r>
      <w:r w:rsidRPr="00170527">
        <w:rPr>
          <w:i/>
          <w:iCs/>
          <w:noProof/>
        </w:rPr>
        <w:t>Virology</w:t>
      </w:r>
      <w:r w:rsidRPr="00170527">
        <w:rPr>
          <w:noProof/>
        </w:rPr>
        <w:t xml:space="preserve">. </w:t>
      </w:r>
      <w:r w:rsidRPr="00170527">
        <w:rPr>
          <w:b/>
          <w:bCs/>
          <w:noProof/>
        </w:rPr>
        <w:t>433</w:t>
      </w:r>
      <w:r w:rsidRPr="00170527">
        <w:rPr>
          <w:noProof/>
        </w:rPr>
        <w:t xml:space="preserve"> (1), 1–6, doi: 10.1016/j.virol.2012.06.012 (2012).</w:t>
      </w:r>
    </w:p>
    <w:p w14:paraId="7B1A9155" w14:textId="053ACF32" w:rsidR="00170527" w:rsidRPr="00170527" w:rsidRDefault="00170527" w:rsidP="00E10F2B">
      <w:pPr>
        <w:ind w:left="640" w:hanging="640"/>
        <w:contextualSpacing/>
        <w:rPr>
          <w:noProof/>
        </w:rPr>
      </w:pPr>
      <w:r w:rsidRPr="00170527">
        <w:rPr>
          <w:noProof/>
        </w:rPr>
        <w:t>12.</w:t>
      </w:r>
      <w:r w:rsidRPr="00170527">
        <w:rPr>
          <w:noProof/>
        </w:rPr>
        <w:tab/>
        <w:t xml:space="preserve">Yamamoto, T. </w:t>
      </w:r>
      <w:r w:rsidR="00A94398" w:rsidRPr="00A94398">
        <w:rPr>
          <w:noProof/>
        </w:rPr>
        <w:t>et al.</w:t>
      </w:r>
      <w:r w:rsidRPr="00170527">
        <w:rPr>
          <w:noProof/>
        </w:rPr>
        <w:t xml:space="preserve"> Improvement of the transient expression system for production of recombinant proteins in plants. </w:t>
      </w:r>
      <w:r w:rsidRPr="00170527">
        <w:rPr>
          <w:i/>
          <w:iCs/>
          <w:noProof/>
        </w:rPr>
        <w:t>Scientific Reports</w:t>
      </w:r>
      <w:r w:rsidRPr="00170527">
        <w:rPr>
          <w:noProof/>
        </w:rPr>
        <w:t xml:space="preserve">. </w:t>
      </w:r>
      <w:r w:rsidRPr="00170527">
        <w:rPr>
          <w:b/>
          <w:bCs/>
          <w:noProof/>
        </w:rPr>
        <w:t>8</w:t>
      </w:r>
      <w:r w:rsidRPr="00170527">
        <w:rPr>
          <w:noProof/>
        </w:rPr>
        <w:t xml:space="preserve"> (1), 4755, doi: 10.1038/s41598-018-23024-y (2018).</w:t>
      </w:r>
    </w:p>
    <w:p w14:paraId="45467313" w14:textId="6A221DD5" w:rsidR="00170527" w:rsidRPr="00170527" w:rsidRDefault="00170527" w:rsidP="00E10F2B">
      <w:pPr>
        <w:ind w:left="640" w:hanging="640"/>
        <w:contextualSpacing/>
        <w:rPr>
          <w:noProof/>
        </w:rPr>
      </w:pPr>
      <w:r w:rsidRPr="00170527">
        <w:rPr>
          <w:noProof/>
        </w:rPr>
        <w:t>13.</w:t>
      </w:r>
      <w:r w:rsidRPr="00170527">
        <w:rPr>
          <w:noProof/>
        </w:rPr>
        <w:tab/>
        <w:t xml:space="preserve">Zhong, G.Y. </w:t>
      </w:r>
      <w:r w:rsidR="00A94398" w:rsidRPr="00A94398">
        <w:rPr>
          <w:noProof/>
        </w:rPr>
        <w:t>et al.</w:t>
      </w:r>
      <w:r w:rsidRPr="00170527">
        <w:rPr>
          <w:noProof/>
        </w:rPr>
        <w:t xml:space="preserve"> Commercial production of aprotinin in transgenic maize seeds. </w:t>
      </w:r>
      <w:r w:rsidRPr="00170527">
        <w:rPr>
          <w:i/>
          <w:iCs/>
          <w:noProof/>
        </w:rPr>
        <w:t>Molecular Breeding</w:t>
      </w:r>
      <w:r w:rsidRPr="00170527">
        <w:rPr>
          <w:noProof/>
        </w:rPr>
        <w:t xml:space="preserve">. </w:t>
      </w:r>
      <w:r w:rsidRPr="00170527">
        <w:rPr>
          <w:b/>
          <w:bCs/>
          <w:noProof/>
        </w:rPr>
        <w:t>5</w:t>
      </w:r>
      <w:r w:rsidRPr="00170527">
        <w:rPr>
          <w:noProof/>
        </w:rPr>
        <w:t xml:space="preserve"> (4), 345–356, doi: 10.1023/A:1009677809492 (1999).</w:t>
      </w:r>
    </w:p>
    <w:p w14:paraId="3AB969DB" w14:textId="77777777" w:rsidR="00170527" w:rsidRPr="00170527" w:rsidRDefault="00170527" w:rsidP="00E10F2B">
      <w:pPr>
        <w:ind w:left="640" w:hanging="640"/>
        <w:contextualSpacing/>
        <w:rPr>
          <w:noProof/>
        </w:rPr>
      </w:pPr>
      <w:r w:rsidRPr="00170527">
        <w:rPr>
          <w:noProof/>
        </w:rPr>
        <w:t>14.</w:t>
      </w:r>
      <w:r w:rsidRPr="00170527">
        <w:rPr>
          <w:noProof/>
        </w:rPr>
        <w:tab/>
        <w:t xml:space="preserve">Giddings, G., Allison, G., Brooks, D., Carter, A. Transgenic plants as factories for biopharmaceuticals. </w:t>
      </w:r>
      <w:r w:rsidRPr="00170527">
        <w:rPr>
          <w:i/>
          <w:iCs/>
          <w:noProof/>
        </w:rPr>
        <w:t>Nature Biotechnology</w:t>
      </w:r>
      <w:r w:rsidRPr="00170527">
        <w:rPr>
          <w:noProof/>
        </w:rPr>
        <w:t xml:space="preserve">. </w:t>
      </w:r>
      <w:r w:rsidRPr="00170527">
        <w:rPr>
          <w:b/>
          <w:bCs/>
          <w:noProof/>
        </w:rPr>
        <w:t>18</w:t>
      </w:r>
      <w:r w:rsidRPr="00170527">
        <w:rPr>
          <w:noProof/>
        </w:rPr>
        <w:t xml:space="preserve"> (11), 1151–1155, doi: 10.1038/81132 (2000).</w:t>
      </w:r>
    </w:p>
    <w:p w14:paraId="761EDB1C" w14:textId="77777777" w:rsidR="00170527" w:rsidRPr="00170527" w:rsidRDefault="00170527" w:rsidP="00E10F2B">
      <w:pPr>
        <w:ind w:left="640" w:hanging="640"/>
        <w:contextualSpacing/>
        <w:rPr>
          <w:noProof/>
        </w:rPr>
      </w:pPr>
      <w:r w:rsidRPr="00170527">
        <w:rPr>
          <w:noProof/>
        </w:rPr>
        <w:t>15.</w:t>
      </w:r>
      <w:r w:rsidRPr="00170527">
        <w:rPr>
          <w:noProof/>
        </w:rPr>
        <w:tab/>
        <w:t xml:space="preserve">Fulton, A., Lai, H., Chen, Q., Zhang, C. Purification of monoclonal antibody against Ebola GP1 protein expressed in Nicotiana benthamiana. </w:t>
      </w:r>
      <w:r w:rsidRPr="00170527">
        <w:rPr>
          <w:i/>
          <w:iCs/>
          <w:noProof/>
        </w:rPr>
        <w:t>Journal of Chromatography A</w:t>
      </w:r>
      <w:r w:rsidRPr="00170527">
        <w:rPr>
          <w:noProof/>
        </w:rPr>
        <w:t xml:space="preserve">. </w:t>
      </w:r>
      <w:r w:rsidRPr="00170527">
        <w:rPr>
          <w:b/>
          <w:bCs/>
          <w:noProof/>
        </w:rPr>
        <w:t>1389</w:t>
      </w:r>
      <w:r w:rsidRPr="00170527">
        <w:rPr>
          <w:noProof/>
        </w:rPr>
        <w:t>, 128–132, doi: 10.1016/j.chroma.2015.02.013 (2015).</w:t>
      </w:r>
    </w:p>
    <w:p w14:paraId="18C8B83C" w14:textId="4804BDCA" w:rsidR="00170527" w:rsidRPr="00170527" w:rsidRDefault="00170527" w:rsidP="00E10F2B">
      <w:pPr>
        <w:ind w:left="640" w:hanging="640"/>
        <w:contextualSpacing/>
        <w:rPr>
          <w:noProof/>
        </w:rPr>
      </w:pPr>
      <w:r w:rsidRPr="00170527">
        <w:rPr>
          <w:noProof/>
        </w:rPr>
        <w:t>16.</w:t>
      </w:r>
      <w:r w:rsidRPr="00170527">
        <w:rPr>
          <w:noProof/>
        </w:rPr>
        <w:tab/>
        <w:t xml:space="preserve">Diamos, A. </w:t>
      </w:r>
      <w:r w:rsidR="00A94398" w:rsidRPr="00A94398">
        <w:rPr>
          <w:noProof/>
        </w:rPr>
        <w:t>et al.</w:t>
      </w:r>
      <w:r w:rsidRPr="00170527">
        <w:rPr>
          <w:noProof/>
        </w:rPr>
        <w:t xml:space="preserve"> A highly expressing, soluble, and stable plant-made IgG fusion carrying Zika virus envelope domain III elicits potent immunogenic responses in mice without adjuvant. </w:t>
      </w:r>
      <w:r w:rsidRPr="00170527">
        <w:rPr>
          <w:i/>
          <w:iCs/>
          <w:noProof/>
        </w:rPr>
        <w:t>bioRxiv</w:t>
      </w:r>
      <w:r w:rsidRPr="00170527">
        <w:rPr>
          <w:noProof/>
        </w:rPr>
        <w:t>. 2020.07.13.199703, doi: 10.1101/2020.07.13.199703 (2020).</w:t>
      </w:r>
    </w:p>
    <w:p w14:paraId="6750A166" w14:textId="6F97F8FF" w:rsidR="00170527" w:rsidRPr="00170527" w:rsidRDefault="00170527" w:rsidP="00E10F2B">
      <w:pPr>
        <w:ind w:left="640" w:hanging="640"/>
        <w:contextualSpacing/>
        <w:rPr>
          <w:noProof/>
        </w:rPr>
      </w:pPr>
      <w:r w:rsidRPr="00170527">
        <w:rPr>
          <w:noProof/>
        </w:rPr>
        <w:t>17.</w:t>
      </w:r>
      <w:r w:rsidRPr="00170527">
        <w:rPr>
          <w:noProof/>
        </w:rPr>
        <w:tab/>
        <w:t xml:space="preserve">Hunter, J.G.L. </w:t>
      </w:r>
      <w:r w:rsidR="00A94398" w:rsidRPr="00A94398">
        <w:rPr>
          <w:noProof/>
        </w:rPr>
        <w:t>et al.</w:t>
      </w:r>
      <w:r w:rsidRPr="00170527">
        <w:rPr>
          <w:noProof/>
        </w:rPr>
        <w:t xml:space="preserve"> Evaluation of a toxoid fusion protein vaccine produced in plants to protect poultry against necrotic enteritis. </w:t>
      </w:r>
      <w:r w:rsidRPr="00170527">
        <w:rPr>
          <w:i/>
          <w:iCs/>
          <w:noProof/>
        </w:rPr>
        <w:t>PeerJ</w:t>
      </w:r>
      <w:r w:rsidRPr="00170527">
        <w:rPr>
          <w:noProof/>
        </w:rPr>
        <w:t xml:space="preserve">. </w:t>
      </w:r>
      <w:r w:rsidRPr="00170527">
        <w:rPr>
          <w:b/>
          <w:bCs/>
          <w:noProof/>
        </w:rPr>
        <w:t>2019</w:t>
      </w:r>
      <w:r w:rsidRPr="00170527">
        <w:rPr>
          <w:noProof/>
        </w:rPr>
        <w:t xml:space="preserve"> (3), e6600, doi: 10.7717/peerj.6600 (2019).</w:t>
      </w:r>
    </w:p>
    <w:p w14:paraId="1B4CAA76" w14:textId="6C8EFE5F" w:rsidR="00170527" w:rsidRPr="00170527" w:rsidRDefault="00170527" w:rsidP="00E10F2B">
      <w:pPr>
        <w:ind w:left="640" w:hanging="640"/>
        <w:contextualSpacing/>
        <w:rPr>
          <w:noProof/>
        </w:rPr>
      </w:pPr>
      <w:r w:rsidRPr="00170527">
        <w:rPr>
          <w:noProof/>
        </w:rPr>
        <w:t>18.</w:t>
      </w:r>
      <w:r w:rsidRPr="00170527">
        <w:rPr>
          <w:noProof/>
        </w:rPr>
        <w:tab/>
        <w:t xml:space="preserve">Dent, M. </w:t>
      </w:r>
      <w:r w:rsidR="00A94398" w:rsidRPr="00A94398">
        <w:rPr>
          <w:noProof/>
        </w:rPr>
        <w:t>et al.</w:t>
      </w:r>
      <w:r w:rsidRPr="00170527">
        <w:rPr>
          <w:noProof/>
        </w:rPr>
        <w:t xml:space="preserve"> Plant-produced anti-dengue virus monoclonal antibodies exhibit reduced antibody-dependent enhancement of infection activity. </w:t>
      </w:r>
      <w:r w:rsidRPr="00170527">
        <w:rPr>
          <w:i/>
          <w:iCs/>
          <w:noProof/>
        </w:rPr>
        <w:t>Journal of General Virology</w:t>
      </w:r>
      <w:r w:rsidRPr="00170527">
        <w:rPr>
          <w:noProof/>
        </w:rPr>
        <w:t xml:space="preserve">. </w:t>
      </w:r>
      <w:r w:rsidRPr="00170527">
        <w:rPr>
          <w:b/>
          <w:bCs/>
          <w:noProof/>
        </w:rPr>
        <w:t>97</w:t>
      </w:r>
      <w:r w:rsidRPr="00170527">
        <w:rPr>
          <w:noProof/>
        </w:rPr>
        <w:t xml:space="preserve"> (12), 3280–3290, doi: 10.1099/jgv.0.000635 (2016).</w:t>
      </w:r>
    </w:p>
    <w:p w14:paraId="673433A0" w14:textId="4C0037FD" w:rsidR="00170527" w:rsidRPr="00170527" w:rsidRDefault="00170527" w:rsidP="00E10F2B">
      <w:pPr>
        <w:ind w:left="640" w:hanging="640"/>
        <w:contextualSpacing/>
        <w:rPr>
          <w:noProof/>
        </w:rPr>
      </w:pPr>
      <w:r w:rsidRPr="00170527">
        <w:rPr>
          <w:noProof/>
        </w:rPr>
        <w:t>19.</w:t>
      </w:r>
      <w:r w:rsidRPr="00170527">
        <w:rPr>
          <w:noProof/>
        </w:rPr>
        <w:tab/>
        <w:t xml:space="preserve">Diamos, A.G. </w:t>
      </w:r>
      <w:r w:rsidR="00A94398" w:rsidRPr="00A94398">
        <w:rPr>
          <w:noProof/>
        </w:rPr>
        <w:t>et al.</w:t>
      </w:r>
      <w:r w:rsidRPr="00170527">
        <w:rPr>
          <w:noProof/>
        </w:rPr>
        <w:t xml:space="preserve"> High Level Production of Monoclonal Antibodies Using an Optimized Plant Expression System. </w:t>
      </w:r>
      <w:r w:rsidRPr="00170527">
        <w:rPr>
          <w:i/>
          <w:iCs/>
          <w:noProof/>
        </w:rPr>
        <w:t>Frontiers in Bioengineering and Biotechnology</w:t>
      </w:r>
      <w:r w:rsidRPr="00170527">
        <w:rPr>
          <w:noProof/>
        </w:rPr>
        <w:t xml:space="preserve">. </w:t>
      </w:r>
      <w:r w:rsidRPr="00170527">
        <w:rPr>
          <w:b/>
          <w:bCs/>
          <w:noProof/>
        </w:rPr>
        <w:t>7</w:t>
      </w:r>
      <w:r w:rsidRPr="00170527">
        <w:rPr>
          <w:noProof/>
        </w:rPr>
        <w:t>, 472, doi: 10.3389/fbioe.2019.00472 (2020).</w:t>
      </w:r>
    </w:p>
    <w:p w14:paraId="58AD7B42" w14:textId="616CD347" w:rsidR="00170527" w:rsidRPr="00170527" w:rsidRDefault="00170527" w:rsidP="00E10F2B">
      <w:pPr>
        <w:ind w:left="640" w:hanging="640"/>
        <w:contextualSpacing/>
        <w:rPr>
          <w:noProof/>
        </w:rPr>
      </w:pPr>
      <w:r w:rsidRPr="00170527">
        <w:rPr>
          <w:noProof/>
        </w:rPr>
        <w:t>20.</w:t>
      </w:r>
      <w:r w:rsidRPr="00170527">
        <w:rPr>
          <w:noProof/>
        </w:rPr>
        <w:tab/>
        <w:t xml:space="preserve">Olinger, G.G. </w:t>
      </w:r>
      <w:r w:rsidR="00A94398" w:rsidRPr="00A94398">
        <w:rPr>
          <w:noProof/>
        </w:rPr>
        <w:t>et al.</w:t>
      </w:r>
      <w:r w:rsidRPr="00170527">
        <w:rPr>
          <w:noProof/>
        </w:rPr>
        <w:t xml:space="preserve"> Delayed treatment of Ebola virus infection with plant-derived monoclonal antibodies provides protection in rhesus macaques. </w:t>
      </w:r>
      <w:r w:rsidRPr="00170527">
        <w:rPr>
          <w:i/>
          <w:iCs/>
          <w:noProof/>
        </w:rPr>
        <w:t>Proceedings of the National Academy of Sciences of the United States of America</w:t>
      </w:r>
      <w:r w:rsidRPr="00170527">
        <w:rPr>
          <w:noProof/>
        </w:rPr>
        <w:t xml:space="preserve">. </w:t>
      </w:r>
      <w:r w:rsidRPr="00170527">
        <w:rPr>
          <w:b/>
          <w:bCs/>
          <w:noProof/>
        </w:rPr>
        <w:t>109</w:t>
      </w:r>
      <w:r w:rsidRPr="00170527">
        <w:rPr>
          <w:noProof/>
        </w:rPr>
        <w:t xml:space="preserve"> (44), 18030–18035, doi: 10.1073/pnas.1213709109 (2012).</w:t>
      </w:r>
    </w:p>
    <w:p w14:paraId="125E6FAA" w14:textId="77777777" w:rsidR="00170527" w:rsidRPr="00170527" w:rsidRDefault="00170527" w:rsidP="00E10F2B">
      <w:pPr>
        <w:ind w:left="640" w:hanging="640"/>
        <w:contextualSpacing/>
        <w:rPr>
          <w:noProof/>
        </w:rPr>
      </w:pPr>
      <w:r w:rsidRPr="00170527">
        <w:rPr>
          <w:noProof/>
        </w:rPr>
        <w:lastRenderedPageBreak/>
        <w:t>21.</w:t>
      </w:r>
      <w:r w:rsidRPr="00170527">
        <w:rPr>
          <w:noProof/>
        </w:rPr>
        <w:tab/>
        <w:t xml:space="preserve">Mastrangeli, R., Palinsky, W., Bierau, H. Glycoengineered antibodies: towards the next-generation of immunotherapeutics. </w:t>
      </w:r>
      <w:r w:rsidRPr="00170527">
        <w:rPr>
          <w:i/>
          <w:iCs/>
          <w:noProof/>
        </w:rPr>
        <w:t>Glycobiology</w:t>
      </w:r>
      <w:r w:rsidRPr="00170527">
        <w:rPr>
          <w:noProof/>
        </w:rPr>
        <w:t xml:space="preserve">. </w:t>
      </w:r>
      <w:r w:rsidRPr="00170527">
        <w:rPr>
          <w:b/>
          <w:bCs/>
          <w:noProof/>
        </w:rPr>
        <w:t>29</w:t>
      </w:r>
      <w:r w:rsidRPr="00170527">
        <w:rPr>
          <w:noProof/>
        </w:rPr>
        <w:t xml:space="preserve"> (3), 199–210, doi: 10.1093/glycob/cwy092 (2019).</w:t>
      </w:r>
    </w:p>
    <w:p w14:paraId="4BEE9AAF" w14:textId="77777777" w:rsidR="00170527" w:rsidRPr="00170527" w:rsidRDefault="00170527" w:rsidP="00E10F2B">
      <w:pPr>
        <w:ind w:left="640" w:hanging="640"/>
        <w:contextualSpacing/>
        <w:rPr>
          <w:noProof/>
        </w:rPr>
      </w:pPr>
      <w:r w:rsidRPr="00170527">
        <w:rPr>
          <w:noProof/>
        </w:rPr>
        <w:t>22.</w:t>
      </w:r>
      <w:r w:rsidRPr="00170527">
        <w:rPr>
          <w:noProof/>
        </w:rPr>
        <w:tab/>
        <w:t xml:space="preserve">Montero-Morales, L., Steinkellner, H. Advanced Plant-Based Glycan Engineering. </w:t>
      </w:r>
      <w:r w:rsidRPr="00170527">
        <w:rPr>
          <w:i/>
          <w:iCs/>
          <w:noProof/>
        </w:rPr>
        <w:t>Frontiers in Bioengineering and Biotechnology</w:t>
      </w:r>
      <w:r w:rsidRPr="00170527">
        <w:rPr>
          <w:noProof/>
        </w:rPr>
        <w:t xml:space="preserve">. </w:t>
      </w:r>
      <w:r w:rsidRPr="00170527">
        <w:rPr>
          <w:b/>
          <w:bCs/>
          <w:noProof/>
        </w:rPr>
        <w:t>6</w:t>
      </w:r>
      <w:r w:rsidRPr="00170527">
        <w:rPr>
          <w:noProof/>
        </w:rPr>
        <w:t xml:space="preserve"> (JUN), 81, doi: 10.3389/fbioe.2018.00081 (2018).</w:t>
      </w:r>
    </w:p>
    <w:p w14:paraId="1BB101D2" w14:textId="77777777" w:rsidR="00170527" w:rsidRPr="00170527" w:rsidRDefault="00170527" w:rsidP="00E10F2B">
      <w:pPr>
        <w:ind w:left="640" w:hanging="640"/>
        <w:contextualSpacing/>
        <w:rPr>
          <w:noProof/>
        </w:rPr>
      </w:pPr>
      <w:r w:rsidRPr="00170527">
        <w:rPr>
          <w:noProof/>
        </w:rPr>
        <w:t>23.</w:t>
      </w:r>
      <w:r w:rsidRPr="00170527">
        <w:rPr>
          <w:noProof/>
        </w:rPr>
        <w:tab/>
        <w:t xml:space="preserve">Joosten, V., Lokman, C., van den Hondel, C.A.M.J.J., Punt, P.J. The production of antibody fragments and antibody fusion proteins by yeasts and filamentous fungi. </w:t>
      </w:r>
      <w:r w:rsidRPr="00170527">
        <w:rPr>
          <w:i/>
          <w:iCs/>
          <w:noProof/>
        </w:rPr>
        <w:t>Microbial Cell Factories</w:t>
      </w:r>
      <w:r w:rsidRPr="00170527">
        <w:rPr>
          <w:noProof/>
        </w:rPr>
        <w:t xml:space="preserve">. </w:t>
      </w:r>
      <w:r w:rsidRPr="00170527">
        <w:rPr>
          <w:b/>
          <w:bCs/>
          <w:noProof/>
        </w:rPr>
        <w:t>2</w:t>
      </w:r>
      <w:r w:rsidRPr="00170527">
        <w:rPr>
          <w:noProof/>
        </w:rPr>
        <w:t xml:space="preserve"> (1), 1–15, doi: 10.1186/1475-2859-2-1 (2003).</w:t>
      </w:r>
    </w:p>
    <w:p w14:paraId="709F8B62" w14:textId="77777777" w:rsidR="00170527" w:rsidRPr="00170527" w:rsidRDefault="00170527" w:rsidP="00E10F2B">
      <w:pPr>
        <w:ind w:left="640" w:hanging="640"/>
        <w:contextualSpacing/>
        <w:rPr>
          <w:noProof/>
        </w:rPr>
      </w:pPr>
      <w:r w:rsidRPr="00170527">
        <w:rPr>
          <w:noProof/>
        </w:rPr>
        <w:t>24.</w:t>
      </w:r>
      <w:r w:rsidRPr="00170527">
        <w:rPr>
          <w:noProof/>
        </w:rPr>
        <w:tab/>
        <w:t xml:space="preserve">Müller, D. Antibody fusions with immunomodulatory proteins for cancer therapy. </w:t>
      </w:r>
      <w:r w:rsidRPr="00170527">
        <w:rPr>
          <w:i/>
          <w:iCs/>
          <w:noProof/>
        </w:rPr>
        <w:t>Pharmacology and Therapeutics</w:t>
      </w:r>
      <w:r w:rsidRPr="00170527">
        <w:rPr>
          <w:noProof/>
        </w:rPr>
        <w:t xml:space="preserve">. </w:t>
      </w:r>
      <w:r w:rsidRPr="00170527">
        <w:rPr>
          <w:b/>
          <w:bCs/>
          <w:noProof/>
        </w:rPr>
        <w:t>154</w:t>
      </w:r>
      <w:r w:rsidRPr="00170527">
        <w:rPr>
          <w:noProof/>
        </w:rPr>
        <w:t>, 57–66, doi: 10.1016/j.pharmthera.2015.07.001 (2015).</w:t>
      </w:r>
    </w:p>
    <w:p w14:paraId="33B3345A" w14:textId="77777777" w:rsidR="00170527" w:rsidRPr="00170527" w:rsidRDefault="00170527" w:rsidP="00E10F2B">
      <w:pPr>
        <w:ind w:left="640" w:hanging="640"/>
        <w:contextualSpacing/>
        <w:rPr>
          <w:noProof/>
        </w:rPr>
      </w:pPr>
      <w:r w:rsidRPr="00170527">
        <w:rPr>
          <w:noProof/>
        </w:rPr>
        <w:t>25.</w:t>
      </w:r>
      <w:r w:rsidRPr="00170527">
        <w:rPr>
          <w:noProof/>
        </w:rPr>
        <w:tab/>
        <w:t xml:space="preserve">Bootz, F., Neri, D. Immunocytokines: A novel class of products for the treatment of chronic inflammation and autoimmune conditions. </w:t>
      </w:r>
      <w:r w:rsidRPr="00170527">
        <w:rPr>
          <w:i/>
          <w:iCs/>
          <w:noProof/>
        </w:rPr>
        <w:t>Drug Discovery Today</w:t>
      </w:r>
      <w:r w:rsidRPr="00170527">
        <w:rPr>
          <w:noProof/>
        </w:rPr>
        <w:t xml:space="preserve">. </w:t>
      </w:r>
      <w:r w:rsidRPr="00170527">
        <w:rPr>
          <w:b/>
          <w:bCs/>
          <w:noProof/>
        </w:rPr>
        <w:t>21</w:t>
      </w:r>
      <w:r w:rsidRPr="00170527">
        <w:rPr>
          <w:noProof/>
        </w:rPr>
        <w:t xml:space="preserve"> (1), 180–189, doi: 10.1016/j.drudis.2015.10.012 (2016).</w:t>
      </w:r>
    </w:p>
    <w:p w14:paraId="7CEC1D02" w14:textId="77777777" w:rsidR="00170527" w:rsidRPr="00170527" w:rsidRDefault="00170527" w:rsidP="00E10F2B">
      <w:pPr>
        <w:ind w:left="640" w:hanging="640"/>
        <w:contextualSpacing/>
        <w:rPr>
          <w:noProof/>
        </w:rPr>
      </w:pPr>
      <w:r w:rsidRPr="00170527">
        <w:rPr>
          <w:noProof/>
        </w:rPr>
        <w:t>26.</w:t>
      </w:r>
      <w:r w:rsidRPr="00170527">
        <w:rPr>
          <w:noProof/>
        </w:rPr>
        <w:tab/>
        <w:t xml:space="preserve">Jafari, R., Zolbanin, N.M., Rafatpanah, H., Majidi, J., Kazemi, T. Fc-fusion Proteins in Therapy: An Updated View. </w:t>
      </w:r>
      <w:r w:rsidRPr="00170527">
        <w:rPr>
          <w:i/>
          <w:iCs/>
          <w:noProof/>
        </w:rPr>
        <w:t>Current Medicinal Chemistry</w:t>
      </w:r>
      <w:r w:rsidRPr="00170527">
        <w:rPr>
          <w:noProof/>
        </w:rPr>
        <w:t xml:space="preserve">. </w:t>
      </w:r>
      <w:r w:rsidRPr="00170527">
        <w:rPr>
          <w:b/>
          <w:bCs/>
          <w:noProof/>
        </w:rPr>
        <w:t>24</w:t>
      </w:r>
      <w:r w:rsidRPr="00170527">
        <w:rPr>
          <w:noProof/>
        </w:rPr>
        <w:t xml:space="preserve"> (12), doi: 10.2174/0929867324666170113112759 (2017).</w:t>
      </w:r>
    </w:p>
    <w:p w14:paraId="0921DE66" w14:textId="77777777" w:rsidR="00170527" w:rsidRPr="00170527" w:rsidRDefault="00170527" w:rsidP="00E10F2B">
      <w:pPr>
        <w:ind w:left="640" w:hanging="640"/>
        <w:contextualSpacing/>
        <w:rPr>
          <w:noProof/>
        </w:rPr>
      </w:pPr>
      <w:r w:rsidRPr="00170527">
        <w:rPr>
          <w:noProof/>
        </w:rPr>
        <w:t>27.</w:t>
      </w:r>
      <w:r w:rsidRPr="00170527">
        <w:rPr>
          <w:noProof/>
        </w:rPr>
        <w:tab/>
        <w:t xml:space="preserve">Brinkmann, U., Kontermann, R.E. The making of bispecific antibodies. </w:t>
      </w:r>
      <w:r w:rsidRPr="00170527">
        <w:rPr>
          <w:i/>
          <w:iCs/>
          <w:noProof/>
        </w:rPr>
        <w:t>mAbs</w:t>
      </w:r>
      <w:r w:rsidRPr="00170527">
        <w:rPr>
          <w:noProof/>
        </w:rPr>
        <w:t xml:space="preserve">. </w:t>
      </w:r>
      <w:r w:rsidRPr="00170527">
        <w:rPr>
          <w:b/>
          <w:bCs/>
          <w:noProof/>
        </w:rPr>
        <w:t>9</w:t>
      </w:r>
      <w:r w:rsidRPr="00170527">
        <w:rPr>
          <w:noProof/>
        </w:rPr>
        <w:t xml:space="preserve"> (2), 182–212, doi: 10.1080/19420862.2016.1268307 (2017).</w:t>
      </w:r>
    </w:p>
    <w:p w14:paraId="735DAE84" w14:textId="77777777" w:rsidR="00170527" w:rsidRPr="00170527" w:rsidRDefault="00170527" w:rsidP="00E10F2B">
      <w:pPr>
        <w:ind w:left="640" w:hanging="640"/>
        <w:contextualSpacing/>
        <w:rPr>
          <w:noProof/>
        </w:rPr>
      </w:pPr>
      <w:r w:rsidRPr="00170527">
        <w:rPr>
          <w:noProof/>
        </w:rPr>
        <w:t>28.</w:t>
      </w:r>
      <w:r w:rsidRPr="00170527">
        <w:rPr>
          <w:noProof/>
        </w:rPr>
        <w:tab/>
        <w:t xml:space="preserve">Mason, H.S. Recombinant immune complexes as versatile and potent vaccines. </w:t>
      </w:r>
      <w:r w:rsidRPr="00170527">
        <w:rPr>
          <w:i/>
          <w:iCs/>
          <w:noProof/>
        </w:rPr>
        <w:t>Human Vaccines &amp; Immunotherapeutics</w:t>
      </w:r>
      <w:r w:rsidRPr="00170527">
        <w:rPr>
          <w:noProof/>
        </w:rPr>
        <w:t xml:space="preserve">. </w:t>
      </w:r>
      <w:r w:rsidRPr="00170527">
        <w:rPr>
          <w:b/>
          <w:bCs/>
          <w:noProof/>
        </w:rPr>
        <w:t>12</w:t>
      </w:r>
      <w:r w:rsidRPr="00170527">
        <w:rPr>
          <w:noProof/>
        </w:rPr>
        <w:t xml:space="preserve"> (4), 988–989, doi: 10.1080/21645515.2015.1116655 (2016).</w:t>
      </w:r>
    </w:p>
    <w:p w14:paraId="6BFCF862" w14:textId="77777777" w:rsidR="00170527" w:rsidRPr="00170527" w:rsidRDefault="00170527" w:rsidP="00E10F2B">
      <w:pPr>
        <w:ind w:left="640" w:hanging="640"/>
        <w:contextualSpacing/>
        <w:rPr>
          <w:noProof/>
        </w:rPr>
      </w:pPr>
      <w:r w:rsidRPr="00170527">
        <w:rPr>
          <w:noProof/>
        </w:rPr>
        <w:t>29.</w:t>
      </w:r>
      <w:r w:rsidRPr="00170527">
        <w:rPr>
          <w:noProof/>
        </w:rPr>
        <w:tab/>
        <w:t xml:space="preserve">Mason, H.S. Recombinant immune complexes as versatile and potent vaccines. </w:t>
      </w:r>
      <w:r w:rsidRPr="00170527">
        <w:rPr>
          <w:i/>
          <w:iCs/>
          <w:noProof/>
        </w:rPr>
        <w:t>Human Vaccines and Immunotherapeutics</w:t>
      </w:r>
      <w:r w:rsidRPr="00170527">
        <w:rPr>
          <w:noProof/>
        </w:rPr>
        <w:t xml:space="preserve">. </w:t>
      </w:r>
      <w:r w:rsidRPr="00170527">
        <w:rPr>
          <w:b/>
          <w:bCs/>
          <w:noProof/>
        </w:rPr>
        <w:t>12</w:t>
      </w:r>
      <w:r w:rsidRPr="00170527">
        <w:rPr>
          <w:noProof/>
        </w:rPr>
        <w:t xml:space="preserve"> (4), 988–989, doi: 10.1080/21645515.2015.1116655 (2016).</w:t>
      </w:r>
    </w:p>
    <w:p w14:paraId="62D1C04F" w14:textId="33460315" w:rsidR="00170527" w:rsidRPr="00170527" w:rsidRDefault="00170527" w:rsidP="00E10F2B">
      <w:pPr>
        <w:ind w:left="640" w:hanging="640"/>
        <w:contextualSpacing/>
        <w:rPr>
          <w:noProof/>
        </w:rPr>
      </w:pPr>
      <w:r w:rsidRPr="00170527">
        <w:rPr>
          <w:noProof/>
        </w:rPr>
        <w:t>30.</w:t>
      </w:r>
      <w:r w:rsidRPr="00170527">
        <w:rPr>
          <w:noProof/>
        </w:rPr>
        <w:tab/>
        <w:t xml:space="preserve">Diamos, A.G. </w:t>
      </w:r>
      <w:r w:rsidR="00A94398" w:rsidRPr="00A94398">
        <w:rPr>
          <w:noProof/>
        </w:rPr>
        <w:t>et al.</w:t>
      </w:r>
      <w:r w:rsidRPr="00170527">
        <w:rPr>
          <w:noProof/>
        </w:rPr>
        <w:t xml:space="preserve"> Vaccine synergy with virus-like particle and immune complex platforms for delivery of human papillomavirus L2 antigen. </w:t>
      </w:r>
      <w:r w:rsidRPr="00170527">
        <w:rPr>
          <w:i/>
          <w:iCs/>
          <w:noProof/>
        </w:rPr>
        <w:t>Vaccine</w:t>
      </w:r>
      <w:r w:rsidRPr="00170527">
        <w:rPr>
          <w:noProof/>
        </w:rPr>
        <w:t xml:space="preserve">. </w:t>
      </w:r>
      <w:r w:rsidRPr="00170527">
        <w:rPr>
          <w:b/>
          <w:bCs/>
          <w:noProof/>
        </w:rPr>
        <w:t>37</w:t>
      </w:r>
      <w:r w:rsidRPr="00170527">
        <w:rPr>
          <w:noProof/>
        </w:rPr>
        <w:t xml:space="preserve"> (1), 137–144, doi: 10.1016/j.vaccine.2018.11.021 (2019).</w:t>
      </w:r>
    </w:p>
    <w:p w14:paraId="23CB8884" w14:textId="7FCF6190" w:rsidR="00170527" w:rsidRPr="00170527" w:rsidRDefault="00170527" w:rsidP="00E10F2B">
      <w:pPr>
        <w:ind w:left="640" w:hanging="640"/>
        <w:contextualSpacing/>
        <w:rPr>
          <w:noProof/>
        </w:rPr>
      </w:pPr>
      <w:r w:rsidRPr="00170527">
        <w:rPr>
          <w:noProof/>
        </w:rPr>
        <w:t>31.</w:t>
      </w:r>
      <w:r w:rsidRPr="00170527">
        <w:rPr>
          <w:noProof/>
        </w:rPr>
        <w:tab/>
        <w:t xml:space="preserve">Diamos, A.G. </w:t>
      </w:r>
      <w:r w:rsidR="00A94398" w:rsidRPr="00A94398">
        <w:rPr>
          <w:noProof/>
        </w:rPr>
        <w:t>et al.</w:t>
      </w:r>
      <w:r w:rsidRPr="00170527">
        <w:rPr>
          <w:noProof/>
        </w:rPr>
        <w:t xml:space="preserve"> Codelivery of improved immune complex and virus-like particle vaccines containing Zika virus envelope domain III synergistically enhances immunogenicity. </w:t>
      </w:r>
      <w:r w:rsidRPr="00170527">
        <w:rPr>
          <w:i/>
          <w:iCs/>
          <w:noProof/>
        </w:rPr>
        <w:t>Vaccine</w:t>
      </w:r>
      <w:r w:rsidRPr="00170527">
        <w:rPr>
          <w:noProof/>
        </w:rPr>
        <w:t xml:space="preserve">. </w:t>
      </w:r>
      <w:r w:rsidRPr="00170527">
        <w:rPr>
          <w:b/>
          <w:bCs/>
          <w:noProof/>
        </w:rPr>
        <w:t>38</w:t>
      </w:r>
      <w:r w:rsidRPr="00170527">
        <w:rPr>
          <w:noProof/>
        </w:rPr>
        <w:t xml:space="preserve"> (18), 3455–3463, doi: 10.1016/j.vaccine.2020.02.089 (2020).</w:t>
      </w:r>
    </w:p>
    <w:p w14:paraId="5241066B" w14:textId="77777777" w:rsidR="00170527" w:rsidRPr="00170527" w:rsidRDefault="00170527" w:rsidP="00E10F2B">
      <w:pPr>
        <w:ind w:left="640" w:hanging="640"/>
        <w:contextualSpacing/>
        <w:rPr>
          <w:noProof/>
        </w:rPr>
      </w:pPr>
      <w:r w:rsidRPr="00170527">
        <w:rPr>
          <w:noProof/>
        </w:rPr>
        <w:t>32.</w:t>
      </w:r>
      <w:r w:rsidRPr="00170527">
        <w:rPr>
          <w:noProof/>
        </w:rPr>
        <w:tab/>
        <w:t xml:space="preserve">Prasher, D.C., Eckenrode, V.K., Ward, W.W., Prendergast, F.G., Cormier, M.J. Primary structure of the Aequorea victoria green-fluorescent protein. </w:t>
      </w:r>
      <w:r w:rsidRPr="00170527">
        <w:rPr>
          <w:i/>
          <w:iCs/>
          <w:noProof/>
        </w:rPr>
        <w:t>Gene</w:t>
      </w:r>
      <w:r w:rsidRPr="00170527">
        <w:rPr>
          <w:noProof/>
        </w:rPr>
        <w:t xml:space="preserve">. </w:t>
      </w:r>
      <w:r w:rsidRPr="00170527">
        <w:rPr>
          <w:b/>
          <w:bCs/>
          <w:noProof/>
        </w:rPr>
        <w:t>111</w:t>
      </w:r>
      <w:r w:rsidRPr="00170527">
        <w:rPr>
          <w:noProof/>
        </w:rPr>
        <w:t xml:space="preserve"> (2), 229–233, doi: 10.1016/0378-1119(92)90691-H (1992).</w:t>
      </w:r>
    </w:p>
    <w:p w14:paraId="23A0283D" w14:textId="77777777" w:rsidR="00170527" w:rsidRPr="00170527" w:rsidRDefault="00170527" w:rsidP="00E10F2B">
      <w:pPr>
        <w:ind w:left="640" w:hanging="640"/>
        <w:contextualSpacing/>
        <w:rPr>
          <w:noProof/>
        </w:rPr>
      </w:pPr>
      <w:r w:rsidRPr="00170527">
        <w:rPr>
          <w:noProof/>
        </w:rPr>
        <w:t>33.</w:t>
      </w:r>
      <w:r w:rsidRPr="00170527">
        <w:rPr>
          <w:noProof/>
        </w:rPr>
        <w:tab/>
        <w:t xml:space="preserve">Chalfie, M., Tu, Y., Euskirchen, G., Ward, W.W., Prasher, D.C. Green fluorescent protein as a marker for gene expression. </w:t>
      </w:r>
      <w:r w:rsidRPr="00170527">
        <w:rPr>
          <w:i/>
          <w:iCs/>
          <w:noProof/>
        </w:rPr>
        <w:t>Science</w:t>
      </w:r>
      <w:r w:rsidRPr="00170527">
        <w:rPr>
          <w:noProof/>
        </w:rPr>
        <w:t xml:space="preserve">. </w:t>
      </w:r>
      <w:r w:rsidRPr="00170527">
        <w:rPr>
          <w:b/>
          <w:bCs/>
          <w:noProof/>
        </w:rPr>
        <w:t>263</w:t>
      </w:r>
      <w:r w:rsidRPr="00170527">
        <w:rPr>
          <w:noProof/>
        </w:rPr>
        <w:t xml:space="preserve"> (5148), 802–805, doi: 10.1126/science.8303295 (1994).</w:t>
      </w:r>
    </w:p>
    <w:p w14:paraId="52347F2E" w14:textId="77777777" w:rsidR="00170527" w:rsidRPr="00170527" w:rsidRDefault="00170527" w:rsidP="00E10F2B">
      <w:pPr>
        <w:ind w:left="640" w:hanging="640"/>
        <w:contextualSpacing/>
        <w:rPr>
          <w:noProof/>
        </w:rPr>
      </w:pPr>
      <w:r w:rsidRPr="00170527">
        <w:rPr>
          <w:noProof/>
        </w:rPr>
        <w:t>34.</w:t>
      </w:r>
      <w:r w:rsidRPr="00170527">
        <w:rPr>
          <w:noProof/>
        </w:rPr>
        <w:tab/>
        <w:t xml:space="preserve">Palm, M., Baumstark-Khan, C., Horneck, G. Green Fluorescent Protein (GFP) Expression in Mammalian Cells After UV-Irradiation. </w:t>
      </w:r>
      <w:r w:rsidRPr="00170527">
        <w:rPr>
          <w:i/>
          <w:iCs/>
          <w:noProof/>
        </w:rPr>
        <w:t>Fundamentals for the Assessment of Risks from Environmental Radiation</w:t>
      </w:r>
      <w:r w:rsidRPr="00170527">
        <w:rPr>
          <w:noProof/>
        </w:rPr>
        <w:t>. 311–316, doi: 10.1007/978-94-011-4585-5_40 (1999).</w:t>
      </w:r>
    </w:p>
    <w:p w14:paraId="42FFEB71" w14:textId="6BB3EB26" w:rsidR="00170527" w:rsidRPr="00170527" w:rsidRDefault="00170527" w:rsidP="00E10F2B">
      <w:pPr>
        <w:ind w:left="640" w:hanging="640"/>
        <w:contextualSpacing/>
        <w:rPr>
          <w:noProof/>
        </w:rPr>
      </w:pPr>
      <w:r w:rsidRPr="00170527">
        <w:rPr>
          <w:noProof/>
        </w:rPr>
        <w:t>35.</w:t>
      </w:r>
      <w:r w:rsidRPr="00170527">
        <w:rPr>
          <w:noProof/>
        </w:rPr>
        <w:tab/>
        <w:t xml:space="preserve">Paemeleire, K. </w:t>
      </w:r>
      <w:r w:rsidR="00A94398" w:rsidRPr="00A94398">
        <w:rPr>
          <w:noProof/>
        </w:rPr>
        <w:t>et al.</w:t>
      </w:r>
      <w:r w:rsidRPr="00170527">
        <w:rPr>
          <w:noProof/>
        </w:rPr>
        <w:t xml:space="preserve"> Intercellular calcium waves in HeLa cells expressing GFP-labeled connexin 43, 32, or 26. </w:t>
      </w:r>
      <w:r w:rsidRPr="00170527">
        <w:rPr>
          <w:i/>
          <w:iCs/>
          <w:noProof/>
        </w:rPr>
        <w:t>Molecular Biology of the Cell</w:t>
      </w:r>
      <w:r w:rsidRPr="00170527">
        <w:rPr>
          <w:noProof/>
        </w:rPr>
        <w:t xml:space="preserve">. </w:t>
      </w:r>
      <w:r w:rsidRPr="00170527">
        <w:rPr>
          <w:b/>
          <w:bCs/>
          <w:noProof/>
        </w:rPr>
        <w:t>11</w:t>
      </w:r>
      <w:r w:rsidRPr="00170527">
        <w:rPr>
          <w:noProof/>
        </w:rPr>
        <w:t xml:space="preserve"> (5), 1815–1827, doi: 10.1091/mbc.11.5.1815 (2000).</w:t>
      </w:r>
    </w:p>
    <w:p w14:paraId="6EF81ED2" w14:textId="77777777" w:rsidR="00170527" w:rsidRPr="00170527" w:rsidRDefault="00170527" w:rsidP="00E10F2B">
      <w:pPr>
        <w:ind w:left="640" w:hanging="640"/>
        <w:contextualSpacing/>
        <w:rPr>
          <w:noProof/>
        </w:rPr>
      </w:pPr>
      <w:r w:rsidRPr="00170527">
        <w:rPr>
          <w:noProof/>
        </w:rPr>
        <w:t>36.</w:t>
      </w:r>
      <w:r w:rsidRPr="00170527">
        <w:rPr>
          <w:noProof/>
        </w:rPr>
        <w:tab/>
        <w:t xml:space="preserve">Harper, B.K., Stewart, C.N. Patterns of Green Fluorescent Protein Expression in Transgenic </w:t>
      </w:r>
      <w:r w:rsidRPr="00170527">
        <w:rPr>
          <w:noProof/>
        </w:rPr>
        <w:lastRenderedPageBreak/>
        <w:t xml:space="preserve">Plants. </w:t>
      </w:r>
      <w:r w:rsidRPr="00170527">
        <w:rPr>
          <w:i/>
          <w:iCs/>
          <w:noProof/>
        </w:rPr>
        <w:t>Plant Molecular Biology Reporter</w:t>
      </w:r>
      <w:r w:rsidRPr="00170527">
        <w:rPr>
          <w:noProof/>
        </w:rPr>
        <w:t xml:space="preserve">. </w:t>
      </w:r>
      <w:r w:rsidRPr="00170527">
        <w:rPr>
          <w:b/>
          <w:bCs/>
          <w:noProof/>
        </w:rPr>
        <w:t>18</w:t>
      </w:r>
      <w:r w:rsidRPr="00170527">
        <w:rPr>
          <w:noProof/>
        </w:rPr>
        <w:t xml:space="preserve"> (2), 141–141, doi: 10.1007/BF02824023 (2000).</w:t>
      </w:r>
    </w:p>
    <w:p w14:paraId="3FC35726" w14:textId="77777777" w:rsidR="00170527" w:rsidRPr="00170527" w:rsidRDefault="00170527" w:rsidP="00E10F2B">
      <w:pPr>
        <w:ind w:left="640" w:hanging="640"/>
        <w:contextualSpacing/>
        <w:rPr>
          <w:noProof/>
        </w:rPr>
      </w:pPr>
      <w:r w:rsidRPr="00170527">
        <w:rPr>
          <w:noProof/>
        </w:rPr>
        <w:t>37.</w:t>
      </w:r>
      <w:r w:rsidRPr="00170527">
        <w:rPr>
          <w:noProof/>
        </w:rPr>
        <w:tab/>
        <w:t xml:space="preserve">Kaishima, M., Ishii, J., Matsuno, T., Fukuda, N., Kondo, A. Expression of varied GFPs in Saccharomyces cerevisiae: Codon optimization yields stronger than expected expression and fluorescence intensity. </w:t>
      </w:r>
      <w:r w:rsidRPr="00170527">
        <w:rPr>
          <w:i/>
          <w:iCs/>
          <w:noProof/>
        </w:rPr>
        <w:t>Scientific Reports</w:t>
      </w:r>
      <w:r w:rsidRPr="00170527">
        <w:rPr>
          <w:noProof/>
        </w:rPr>
        <w:t xml:space="preserve">. </w:t>
      </w:r>
      <w:r w:rsidRPr="00170527">
        <w:rPr>
          <w:b/>
          <w:bCs/>
          <w:noProof/>
        </w:rPr>
        <w:t>6</w:t>
      </w:r>
      <w:r w:rsidRPr="00170527">
        <w:rPr>
          <w:noProof/>
        </w:rPr>
        <w:t>, doi: 10.1038/srep35932 (2016).</w:t>
      </w:r>
    </w:p>
    <w:p w14:paraId="43F32632" w14:textId="77777777" w:rsidR="00170527" w:rsidRPr="00170527" w:rsidRDefault="00170527" w:rsidP="00E10F2B">
      <w:pPr>
        <w:ind w:left="640" w:hanging="640"/>
        <w:contextualSpacing/>
        <w:rPr>
          <w:noProof/>
        </w:rPr>
      </w:pPr>
      <w:r w:rsidRPr="00170527">
        <w:rPr>
          <w:noProof/>
        </w:rPr>
        <w:t>38.</w:t>
      </w:r>
      <w:r w:rsidRPr="00170527">
        <w:rPr>
          <w:noProof/>
        </w:rPr>
        <w:tab/>
        <w:t>Glow in the Dark: Fluorescent Proteins as Cell and Tissue-Specific Markers in Plants - PubMed. at &lt;https://pubmed.ncbi.nlm.nih.gov/21772029/&gt;.</w:t>
      </w:r>
    </w:p>
    <w:p w14:paraId="620D1A63" w14:textId="77777777" w:rsidR="00170527" w:rsidRPr="00170527" w:rsidRDefault="00170527" w:rsidP="00E10F2B">
      <w:pPr>
        <w:ind w:left="640" w:hanging="640"/>
        <w:contextualSpacing/>
        <w:rPr>
          <w:noProof/>
        </w:rPr>
      </w:pPr>
      <w:r w:rsidRPr="00170527">
        <w:rPr>
          <w:noProof/>
        </w:rPr>
        <w:t>39.</w:t>
      </w:r>
      <w:r w:rsidRPr="00170527">
        <w:rPr>
          <w:noProof/>
        </w:rPr>
        <w:tab/>
        <w:t xml:space="preserve">Mnguni, L.E. The theoretical cognitive process of visualization for science education. </w:t>
      </w:r>
      <w:r w:rsidRPr="00170527">
        <w:rPr>
          <w:i/>
          <w:iCs/>
          <w:noProof/>
        </w:rPr>
        <w:t>SpringerPlus</w:t>
      </w:r>
      <w:r w:rsidRPr="00170527">
        <w:rPr>
          <w:noProof/>
        </w:rPr>
        <w:t xml:space="preserve">. </w:t>
      </w:r>
      <w:r w:rsidRPr="00170527">
        <w:rPr>
          <w:b/>
          <w:bCs/>
          <w:noProof/>
        </w:rPr>
        <w:t>3</w:t>
      </w:r>
      <w:r w:rsidRPr="00170527">
        <w:rPr>
          <w:noProof/>
        </w:rPr>
        <w:t xml:space="preserve"> (1), 1–9, doi: 10.1186/2193-1801-3-184 (2014).</w:t>
      </w:r>
    </w:p>
    <w:p w14:paraId="2BBA3A15" w14:textId="77777777" w:rsidR="00170527" w:rsidRPr="00170527" w:rsidRDefault="00170527" w:rsidP="00E10F2B">
      <w:pPr>
        <w:ind w:left="640" w:hanging="640"/>
        <w:contextualSpacing/>
        <w:rPr>
          <w:noProof/>
        </w:rPr>
      </w:pPr>
      <w:r w:rsidRPr="00170527">
        <w:rPr>
          <w:noProof/>
        </w:rPr>
        <w:t>40.</w:t>
      </w:r>
      <w:r w:rsidRPr="00170527">
        <w:rPr>
          <w:noProof/>
        </w:rPr>
        <w:tab/>
        <w:t xml:space="preserve">Shaner, N.C., Patterson, G.H., Davidson, M.W. Advances in fluorescent protein technology. </w:t>
      </w:r>
      <w:r w:rsidRPr="00170527">
        <w:rPr>
          <w:i/>
          <w:iCs/>
          <w:noProof/>
        </w:rPr>
        <w:t>Journal of Cell Science</w:t>
      </w:r>
      <w:r w:rsidRPr="00170527">
        <w:rPr>
          <w:noProof/>
        </w:rPr>
        <w:t xml:space="preserve">. </w:t>
      </w:r>
      <w:r w:rsidRPr="00170527">
        <w:rPr>
          <w:b/>
          <w:bCs/>
          <w:noProof/>
        </w:rPr>
        <w:t>120</w:t>
      </w:r>
      <w:r w:rsidRPr="00170527">
        <w:rPr>
          <w:noProof/>
        </w:rPr>
        <w:t xml:space="preserve"> (24), 4247–4260, doi: 10.1242/jcs.005801 (2007).</w:t>
      </w:r>
    </w:p>
    <w:p w14:paraId="2253039C" w14:textId="6618D2C6" w:rsidR="00170527" w:rsidRPr="00170527" w:rsidRDefault="00170527" w:rsidP="00E10F2B">
      <w:pPr>
        <w:ind w:left="640" w:hanging="640"/>
        <w:contextualSpacing/>
        <w:rPr>
          <w:noProof/>
        </w:rPr>
      </w:pPr>
      <w:r w:rsidRPr="00170527">
        <w:rPr>
          <w:noProof/>
        </w:rPr>
        <w:t>41.</w:t>
      </w:r>
      <w:r w:rsidRPr="00170527">
        <w:rPr>
          <w:noProof/>
        </w:rPr>
        <w:tab/>
        <w:t xml:space="preserve">Bjorck2, L., Kronvall, G. </w:t>
      </w:r>
      <w:r w:rsidR="00144C80" w:rsidRPr="00144C80">
        <w:rPr>
          <w:noProof/>
        </w:rPr>
        <w:t>Purification and some properties of streptococcal protein G, a novel IgG-Binding reagent</w:t>
      </w:r>
      <w:r w:rsidRPr="00144C80">
        <w:rPr>
          <w:noProof/>
        </w:rPr>
        <w:t>.</w:t>
      </w:r>
      <w:r w:rsidRPr="00170527">
        <w:rPr>
          <w:noProof/>
        </w:rPr>
        <w:t xml:space="preserve"> </w:t>
      </w:r>
      <w:r w:rsidR="00144C80" w:rsidRPr="00204D47">
        <w:rPr>
          <w:i/>
          <w:iCs/>
          <w:noProof/>
        </w:rPr>
        <w:t>The Journal of Immunology.</w:t>
      </w:r>
      <w:r w:rsidR="00144C80">
        <w:rPr>
          <w:i/>
          <w:iCs/>
          <w:noProof/>
        </w:rPr>
        <w:t xml:space="preserve"> </w:t>
      </w:r>
      <w:r w:rsidRPr="00170527">
        <w:rPr>
          <w:b/>
          <w:bCs/>
          <w:noProof/>
        </w:rPr>
        <w:t>133</w:t>
      </w:r>
      <w:r w:rsidRPr="00170527">
        <w:rPr>
          <w:noProof/>
        </w:rPr>
        <w:t xml:space="preserve"> (2), at &lt;http://www.jimmunol.org/&gt;. (1984).</w:t>
      </w:r>
    </w:p>
    <w:p w14:paraId="65BE3230" w14:textId="77777777" w:rsidR="00170527" w:rsidRPr="00170527" w:rsidRDefault="00170527" w:rsidP="00E10F2B">
      <w:pPr>
        <w:ind w:left="640" w:hanging="640"/>
        <w:contextualSpacing/>
        <w:rPr>
          <w:noProof/>
        </w:rPr>
      </w:pPr>
      <w:r w:rsidRPr="00170527">
        <w:rPr>
          <w:noProof/>
        </w:rPr>
        <w:t>42.</w:t>
      </w:r>
      <w:r w:rsidRPr="00170527">
        <w:rPr>
          <w:noProof/>
        </w:rPr>
        <w:tab/>
        <w:t xml:space="preserve">Andrew, S.M., Titus, J.A. Purification of Immunoglobulin G. </w:t>
      </w:r>
      <w:r w:rsidRPr="00170527">
        <w:rPr>
          <w:i/>
          <w:iCs/>
          <w:noProof/>
        </w:rPr>
        <w:t>Current Protocols in Immunology</w:t>
      </w:r>
      <w:r w:rsidRPr="00170527">
        <w:rPr>
          <w:noProof/>
        </w:rPr>
        <w:t xml:space="preserve">. </w:t>
      </w:r>
      <w:r w:rsidRPr="00170527">
        <w:rPr>
          <w:b/>
          <w:bCs/>
          <w:noProof/>
        </w:rPr>
        <w:t>21</w:t>
      </w:r>
      <w:r w:rsidRPr="00170527">
        <w:rPr>
          <w:noProof/>
        </w:rPr>
        <w:t xml:space="preserve"> (1), 2.7.1-2.7.12, doi: 10.1002/0471142735.im0207s21 (2001).</w:t>
      </w:r>
    </w:p>
    <w:p w14:paraId="4C985652" w14:textId="77777777" w:rsidR="00170527" w:rsidRPr="00170527" w:rsidRDefault="00170527" w:rsidP="00E10F2B">
      <w:pPr>
        <w:ind w:left="640" w:hanging="640"/>
        <w:contextualSpacing/>
        <w:rPr>
          <w:noProof/>
        </w:rPr>
      </w:pPr>
      <w:r w:rsidRPr="00170527">
        <w:rPr>
          <w:noProof/>
        </w:rPr>
        <w:t>43.</w:t>
      </w:r>
      <w:r w:rsidRPr="00170527">
        <w:rPr>
          <w:noProof/>
        </w:rPr>
        <w:tab/>
        <w:t xml:space="preserve">Hober, S., Nord, K., Linhult, M. Protein A chromatography for antibody purification. </w:t>
      </w:r>
      <w:r w:rsidRPr="00170527">
        <w:rPr>
          <w:i/>
          <w:iCs/>
          <w:noProof/>
        </w:rPr>
        <w:t>Journal of Chromatography B: Analytical Technologies in the Biomedical and Life Sciences</w:t>
      </w:r>
      <w:r w:rsidRPr="00170527">
        <w:rPr>
          <w:noProof/>
        </w:rPr>
        <w:t xml:space="preserve">. </w:t>
      </w:r>
      <w:r w:rsidRPr="00170527">
        <w:rPr>
          <w:b/>
          <w:bCs/>
          <w:noProof/>
        </w:rPr>
        <w:t>848</w:t>
      </w:r>
      <w:r w:rsidRPr="00170527">
        <w:rPr>
          <w:noProof/>
        </w:rPr>
        <w:t xml:space="preserve"> (1), 40–47, doi: 10.1016/j.jchromb.2006.09.030 (2007).</w:t>
      </w:r>
    </w:p>
    <w:p w14:paraId="0B345D70" w14:textId="77777777" w:rsidR="00170527" w:rsidRPr="00170527" w:rsidRDefault="00170527" w:rsidP="00E10F2B">
      <w:pPr>
        <w:ind w:left="640" w:hanging="640"/>
        <w:contextualSpacing/>
        <w:rPr>
          <w:noProof/>
        </w:rPr>
      </w:pPr>
      <w:r w:rsidRPr="00170527">
        <w:rPr>
          <w:noProof/>
        </w:rPr>
        <w:t>44.</w:t>
      </w:r>
      <w:r w:rsidRPr="00170527">
        <w:rPr>
          <w:noProof/>
        </w:rPr>
        <w:tab/>
        <w:t xml:space="preserve">Vola, R., Lombardi, A., Tarditi, L., Björck, L., Mariani, M. Recombinant proteins L and LG: efficient tools for purification of murine immunoglobulin G fragments. </w:t>
      </w:r>
      <w:r w:rsidRPr="00170527">
        <w:rPr>
          <w:i/>
          <w:iCs/>
          <w:noProof/>
        </w:rPr>
        <w:t>Journal of Chromatography B: Biomedical Sciences and Applications</w:t>
      </w:r>
      <w:r w:rsidRPr="00170527">
        <w:rPr>
          <w:noProof/>
        </w:rPr>
        <w:t xml:space="preserve">. </w:t>
      </w:r>
      <w:r w:rsidRPr="00170527">
        <w:rPr>
          <w:b/>
          <w:bCs/>
          <w:noProof/>
        </w:rPr>
        <w:t>668</w:t>
      </w:r>
      <w:r w:rsidRPr="00170527">
        <w:rPr>
          <w:noProof/>
        </w:rPr>
        <w:t xml:space="preserve"> (2), 209–218, doi: 10.1016/0378-4347(95)00091-V (1995).</w:t>
      </w:r>
    </w:p>
    <w:p w14:paraId="72F13666" w14:textId="77777777" w:rsidR="00170527" w:rsidRPr="00170527" w:rsidRDefault="00170527" w:rsidP="00E10F2B">
      <w:pPr>
        <w:ind w:left="640" w:hanging="640"/>
        <w:contextualSpacing/>
        <w:rPr>
          <w:noProof/>
        </w:rPr>
      </w:pPr>
      <w:r w:rsidRPr="00170527">
        <w:rPr>
          <w:noProof/>
        </w:rPr>
        <w:t>45.</w:t>
      </w:r>
      <w:r w:rsidRPr="00170527">
        <w:rPr>
          <w:noProof/>
        </w:rPr>
        <w:tab/>
        <w:t xml:space="preserve">Shinoda, H., Ma, Y., Nakashima, R., Sakurai, K., Matsuda, T., Nagai, T. Acid-Tolerant Monomeric GFP from Olindias formosa. </w:t>
      </w:r>
      <w:r w:rsidRPr="00170527">
        <w:rPr>
          <w:i/>
          <w:iCs/>
          <w:noProof/>
        </w:rPr>
        <w:t>Cell Chemical Biology</w:t>
      </w:r>
      <w:r w:rsidRPr="00170527">
        <w:rPr>
          <w:noProof/>
        </w:rPr>
        <w:t xml:space="preserve">. </w:t>
      </w:r>
      <w:r w:rsidRPr="00170527">
        <w:rPr>
          <w:b/>
          <w:bCs/>
          <w:noProof/>
        </w:rPr>
        <w:t>25</w:t>
      </w:r>
      <w:r w:rsidRPr="00170527">
        <w:rPr>
          <w:noProof/>
        </w:rPr>
        <w:t xml:space="preserve"> (3), 330-338.e7, doi: 10.1016/j.chembiol.2017.12.005 (2018).</w:t>
      </w:r>
    </w:p>
    <w:p w14:paraId="2AC0E769" w14:textId="6F937C3B" w:rsidR="00170527" w:rsidRPr="00170527" w:rsidRDefault="00170527" w:rsidP="00E10F2B">
      <w:pPr>
        <w:ind w:left="640" w:hanging="640"/>
        <w:contextualSpacing/>
        <w:rPr>
          <w:noProof/>
        </w:rPr>
      </w:pPr>
      <w:r w:rsidRPr="00170527">
        <w:rPr>
          <w:noProof/>
        </w:rPr>
        <w:t>46.</w:t>
      </w:r>
      <w:r w:rsidRPr="00170527">
        <w:rPr>
          <w:noProof/>
        </w:rPr>
        <w:tab/>
        <w:t xml:space="preserve">Roberts, T.M. </w:t>
      </w:r>
      <w:r w:rsidR="00A94398" w:rsidRPr="00A94398">
        <w:rPr>
          <w:noProof/>
        </w:rPr>
        <w:t>et al.</w:t>
      </w:r>
      <w:r w:rsidRPr="00170527">
        <w:rPr>
          <w:noProof/>
        </w:rPr>
        <w:t xml:space="preserve"> Identification and Characterisation of a pH-stable GFP. </w:t>
      </w:r>
      <w:r w:rsidRPr="00170527">
        <w:rPr>
          <w:i/>
          <w:iCs/>
          <w:noProof/>
        </w:rPr>
        <w:t>Scientific Reports</w:t>
      </w:r>
      <w:r w:rsidRPr="00170527">
        <w:rPr>
          <w:noProof/>
        </w:rPr>
        <w:t xml:space="preserve">. </w:t>
      </w:r>
      <w:r w:rsidRPr="00170527">
        <w:rPr>
          <w:b/>
          <w:bCs/>
          <w:noProof/>
        </w:rPr>
        <w:t>6</w:t>
      </w:r>
      <w:r w:rsidRPr="00170527">
        <w:rPr>
          <w:noProof/>
        </w:rPr>
        <w:t xml:space="preserve"> (1), 1–9, doi: 10.1038/srep28166 (2016).</w:t>
      </w:r>
    </w:p>
    <w:p w14:paraId="457A6077" w14:textId="77777777" w:rsidR="00170527" w:rsidRPr="00170527" w:rsidRDefault="00170527" w:rsidP="00E10F2B">
      <w:pPr>
        <w:ind w:left="640" w:hanging="640"/>
        <w:contextualSpacing/>
        <w:rPr>
          <w:noProof/>
        </w:rPr>
      </w:pPr>
      <w:r w:rsidRPr="00170527">
        <w:rPr>
          <w:noProof/>
        </w:rPr>
        <w:t>47.</w:t>
      </w:r>
      <w:r w:rsidRPr="00170527">
        <w:rPr>
          <w:noProof/>
        </w:rPr>
        <w:tab/>
        <w:t xml:space="preserve">Brunelle, J.L., Green, R. Coomassie blue staining. </w:t>
      </w:r>
      <w:r w:rsidRPr="00170527">
        <w:rPr>
          <w:i/>
          <w:iCs/>
          <w:noProof/>
        </w:rPr>
        <w:t>Methods in Enzymology</w:t>
      </w:r>
      <w:r w:rsidRPr="00170527">
        <w:rPr>
          <w:noProof/>
        </w:rPr>
        <w:t xml:space="preserve">. </w:t>
      </w:r>
      <w:r w:rsidRPr="00170527">
        <w:rPr>
          <w:b/>
          <w:bCs/>
          <w:noProof/>
        </w:rPr>
        <w:t>541</w:t>
      </w:r>
      <w:r w:rsidRPr="00170527">
        <w:rPr>
          <w:noProof/>
        </w:rPr>
        <w:t>, 161–167, doi: 10.1016/B978-0-12-420119-4.00013-6 (2014).</w:t>
      </w:r>
    </w:p>
    <w:p w14:paraId="02D38D5A" w14:textId="77777777" w:rsidR="00170527" w:rsidRPr="00170527" w:rsidRDefault="00170527" w:rsidP="00E10F2B">
      <w:pPr>
        <w:ind w:left="640" w:hanging="640"/>
        <w:contextualSpacing/>
        <w:rPr>
          <w:noProof/>
        </w:rPr>
      </w:pPr>
      <w:r w:rsidRPr="00170527">
        <w:rPr>
          <w:noProof/>
        </w:rPr>
        <w:t>48.</w:t>
      </w:r>
      <w:r w:rsidRPr="00170527">
        <w:rPr>
          <w:noProof/>
        </w:rPr>
        <w:tab/>
        <w:t xml:space="preserve">Mahmood, T., Yang, P.C. Western blot: Technique, theory, and trouble shooting. </w:t>
      </w:r>
      <w:r w:rsidRPr="00170527">
        <w:rPr>
          <w:i/>
          <w:iCs/>
          <w:noProof/>
        </w:rPr>
        <w:t>North American Journal of Medical Sciences</w:t>
      </w:r>
      <w:r w:rsidRPr="00170527">
        <w:rPr>
          <w:noProof/>
        </w:rPr>
        <w:t xml:space="preserve">. </w:t>
      </w:r>
      <w:r w:rsidRPr="00170527">
        <w:rPr>
          <w:b/>
          <w:bCs/>
          <w:noProof/>
        </w:rPr>
        <w:t>4</w:t>
      </w:r>
      <w:r w:rsidRPr="00170527">
        <w:rPr>
          <w:noProof/>
        </w:rPr>
        <w:t xml:space="preserve"> (9), 429–434, doi: 10.4103/1947-2714.100998 (2012).</w:t>
      </w:r>
    </w:p>
    <w:p w14:paraId="08E25A30" w14:textId="77777777" w:rsidR="00170527" w:rsidRPr="00170527" w:rsidRDefault="00170527" w:rsidP="00E10F2B">
      <w:pPr>
        <w:ind w:left="640" w:hanging="640"/>
        <w:contextualSpacing/>
        <w:rPr>
          <w:noProof/>
        </w:rPr>
      </w:pPr>
      <w:r w:rsidRPr="00170527">
        <w:rPr>
          <w:noProof/>
        </w:rPr>
        <w:t>49.</w:t>
      </w:r>
      <w:r w:rsidRPr="00170527">
        <w:rPr>
          <w:noProof/>
        </w:rPr>
        <w:tab/>
        <w:t xml:space="preserve">Vessoni Penna, T.C., Ishii, M., Cholewa, O., de Souza, L.C. Thermal characteristics of recombinant green fluorescent protein (GFPuv) extracted from Escherichia coli. </w:t>
      </w:r>
      <w:r w:rsidRPr="00170527">
        <w:rPr>
          <w:i/>
          <w:iCs/>
          <w:noProof/>
        </w:rPr>
        <w:t>Letters in Applied Microbiology</w:t>
      </w:r>
      <w:r w:rsidRPr="00170527">
        <w:rPr>
          <w:noProof/>
        </w:rPr>
        <w:t xml:space="preserve">. </w:t>
      </w:r>
      <w:r w:rsidRPr="00170527">
        <w:rPr>
          <w:b/>
          <w:bCs/>
          <w:noProof/>
        </w:rPr>
        <w:t>38</w:t>
      </w:r>
      <w:r w:rsidRPr="00170527">
        <w:rPr>
          <w:noProof/>
        </w:rPr>
        <w:t xml:space="preserve"> (2), 135–139, doi: 10.1111/j.1472-765X.2003.01460.x (2004).</w:t>
      </w:r>
    </w:p>
    <w:p w14:paraId="6EAAA885" w14:textId="77777777" w:rsidR="00170527" w:rsidRPr="00170527" w:rsidRDefault="00170527" w:rsidP="00E10F2B">
      <w:pPr>
        <w:ind w:left="640" w:hanging="640"/>
        <w:contextualSpacing/>
        <w:rPr>
          <w:noProof/>
        </w:rPr>
      </w:pPr>
      <w:r w:rsidRPr="00170527">
        <w:rPr>
          <w:noProof/>
        </w:rPr>
        <w:t>50.</w:t>
      </w:r>
      <w:r w:rsidRPr="00170527">
        <w:rPr>
          <w:noProof/>
        </w:rPr>
        <w:tab/>
        <w:t xml:space="preserve">Kang, S.J., Park, E.A., Lee, D.H., Hong, K.W. Comparison of the stability of eGFP displayed on the Bacillus subtilis spore surface using CotB and C-terminally truncated CotB proteins as an anchoring motif under extreme conditions. </w:t>
      </w:r>
      <w:r w:rsidRPr="00170527">
        <w:rPr>
          <w:i/>
          <w:iCs/>
          <w:noProof/>
        </w:rPr>
        <w:t>Applied Biological Chemistry</w:t>
      </w:r>
      <w:r w:rsidRPr="00170527">
        <w:rPr>
          <w:noProof/>
        </w:rPr>
        <w:t xml:space="preserve">. </w:t>
      </w:r>
      <w:r w:rsidRPr="00170527">
        <w:rPr>
          <w:b/>
          <w:bCs/>
          <w:noProof/>
        </w:rPr>
        <w:t>62</w:t>
      </w:r>
      <w:r w:rsidRPr="00170527">
        <w:rPr>
          <w:noProof/>
        </w:rPr>
        <w:t xml:space="preserve"> (1), 41, doi: 10.1186/s13765-019-0448-y (2019).</w:t>
      </w:r>
    </w:p>
    <w:p w14:paraId="240FF949" w14:textId="77777777" w:rsidR="00170527" w:rsidRPr="00170527" w:rsidRDefault="00170527" w:rsidP="00E10F2B">
      <w:pPr>
        <w:ind w:left="640" w:hanging="640"/>
        <w:contextualSpacing/>
        <w:rPr>
          <w:noProof/>
        </w:rPr>
      </w:pPr>
      <w:r w:rsidRPr="00170527">
        <w:rPr>
          <w:noProof/>
        </w:rPr>
        <w:t>51.</w:t>
      </w:r>
      <w:r w:rsidRPr="00170527">
        <w:rPr>
          <w:noProof/>
        </w:rPr>
        <w:tab/>
        <w:t xml:space="preserve">Kuta, D.D., Tripathi, L. </w:t>
      </w:r>
      <w:r w:rsidRPr="00170527">
        <w:rPr>
          <w:i/>
          <w:iCs/>
          <w:noProof/>
        </w:rPr>
        <w:t>Agrobacterium</w:t>
      </w:r>
      <w:r w:rsidRPr="00170527">
        <w:rPr>
          <w:noProof/>
        </w:rPr>
        <w:t xml:space="preserve">-induced hypersensitive necrotic reaction in plant cells: a resistance response against </w:t>
      </w:r>
      <w:r w:rsidRPr="00170527">
        <w:rPr>
          <w:i/>
          <w:iCs/>
          <w:noProof/>
        </w:rPr>
        <w:t>Agrobacterium</w:t>
      </w:r>
      <w:r w:rsidRPr="00170527">
        <w:rPr>
          <w:noProof/>
        </w:rPr>
        <w:t xml:space="preserve">-mediated DNA transfer. </w:t>
      </w:r>
      <w:r w:rsidRPr="00170527">
        <w:rPr>
          <w:i/>
          <w:iCs/>
          <w:noProof/>
        </w:rPr>
        <w:t>African Journal of Biotechnology</w:t>
      </w:r>
      <w:r w:rsidRPr="00170527">
        <w:rPr>
          <w:noProof/>
        </w:rPr>
        <w:t xml:space="preserve">. </w:t>
      </w:r>
      <w:r w:rsidRPr="00170527">
        <w:rPr>
          <w:b/>
          <w:bCs/>
          <w:noProof/>
        </w:rPr>
        <w:t>4</w:t>
      </w:r>
      <w:r w:rsidRPr="00170527">
        <w:rPr>
          <w:noProof/>
        </w:rPr>
        <w:t xml:space="preserve"> (8), 752–757, doi: 10.4314/AJB.V4I8.15199 (2005).</w:t>
      </w:r>
    </w:p>
    <w:p w14:paraId="13DB1D58" w14:textId="77777777" w:rsidR="00170527" w:rsidRPr="00170527" w:rsidRDefault="00170527" w:rsidP="00E10F2B">
      <w:pPr>
        <w:ind w:left="640" w:hanging="640"/>
        <w:contextualSpacing/>
        <w:rPr>
          <w:noProof/>
        </w:rPr>
      </w:pPr>
      <w:r w:rsidRPr="00170527">
        <w:rPr>
          <w:noProof/>
        </w:rPr>
        <w:t>52.</w:t>
      </w:r>
      <w:r w:rsidRPr="00170527">
        <w:rPr>
          <w:noProof/>
        </w:rPr>
        <w:tab/>
        <w:t xml:space="preserve">Qiusheng, Z., Bao, J., Likun, L., Xianhua, X. Effects of antioxidants on the plant regeneration </w:t>
      </w:r>
      <w:r w:rsidRPr="00170527">
        <w:rPr>
          <w:noProof/>
        </w:rPr>
        <w:lastRenderedPageBreak/>
        <w:t xml:space="preserve">and GUS expressive frequency of peanut (Arachis hypogaea) explants by Agrobacterium tumefaciens. </w:t>
      </w:r>
      <w:r w:rsidRPr="00170527">
        <w:rPr>
          <w:i/>
          <w:iCs/>
          <w:noProof/>
        </w:rPr>
        <w:t>Plant Cell, Tissue and Organ Culture</w:t>
      </w:r>
      <w:r w:rsidRPr="00170527">
        <w:rPr>
          <w:noProof/>
        </w:rPr>
        <w:t xml:space="preserve">. </w:t>
      </w:r>
      <w:r w:rsidRPr="00170527">
        <w:rPr>
          <w:b/>
          <w:bCs/>
          <w:noProof/>
        </w:rPr>
        <w:t>81</w:t>
      </w:r>
      <w:r w:rsidRPr="00170527">
        <w:rPr>
          <w:noProof/>
        </w:rPr>
        <w:t xml:space="preserve"> (1), 83–90, doi: 10.1007/s11240-004-3176-9 (2005).</w:t>
      </w:r>
    </w:p>
    <w:p w14:paraId="580178CE" w14:textId="77777777" w:rsidR="00170527" w:rsidRPr="00170527" w:rsidRDefault="00170527" w:rsidP="00E10F2B">
      <w:pPr>
        <w:ind w:left="640" w:hanging="640"/>
        <w:contextualSpacing/>
        <w:rPr>
          <w:noProof/>
        </w:rPr>
      </w:pPr>
      <w:r w:rsidRPr="00170527">
        <w:rPr>
          <w:noProof/>
        </w:rPr>
        <w:t>53.</w:t>
      </w:r>
      <w:r w:rsidRPr="00170527">
        <w:rPr>
          <w:noProof/>
        </w:rPr>
        <w:tab/>
        <w:t xml:space="preserve">Diamos, A.G., Rosenthal, S.H., Mason, H.S. 5′ and 3′ Untranslated Regions Strongly Enhance Performance of Geminiviral Replicons in Nicotiana benthamiana Leaves. </w:t>
      </w:r>
      <w:r w:rsidRPr="00170527">
        <w:rPr>
          <w:i/>
          <w:iCs/>
          <w:noProof/>
        </w:rPr>
        <w:t>Frontiers in Plant Science</w:t>
      </w:r>
      <w:r w:rsidRPr="00170527">
        <w:rPr>
          <w:noProof/>
        </w:rPr>
        <w:t xml:space="preserve">. </w:t>
      </w:r>
      <w:r w:rsidRPr="00170527">
        <w:rPr>
          <w:b/>
          <w:bCs/>
          <w:noProof/>
        </w:rPr>
        <w:t>7</w:t>
      </w:r>
      <w:r w:rsidRPr="00170527">
        <w:rPr>
          <w:noProof/>
        </w:rPr>
        <w:t xml:space="preserve"> (FEB2016), 200, doi: 10.3389/fpls.2016.00200 (2016).</w:t>
      </w:r>
    </w:p>
    <w:p w14:paraId="4B846DBF" w14:textId="77777777" w:rsidR="00170527" w:rsidRPr="00170527" w:rsidRDefault="00170527" w:rsidP="00E10F2B">
      <w:pPr>
        <w:ind w:left="640" w:hanging="640"/>
        <w:contextualSpacing/>
        <w:rPr>
          <w:noProof/>
        </w:rPr>
      </w:pPr>
      <w:r w:rsidRPr="00170527">
        <w:rPr>
          <w:noProof/>
        </w:rPr>
        <w:t>54.</w:t>
      </w:r>
      <w:r w:rsidRPr="00170527">
        <w:rPr>
          <w:noProof/>
        </w:rPr>
        <w:tab/>
        <w:t xml:space="preserve">Huang, Z., Chen, Q., Hjelm, B., Arntzen, C., Mason, H. A DNA replicon system for rapid high-level production of virus-like particles in plants. </w:t>
      </w:r>
      <w:r w:rsidRPr="00170527">
        <w:rPr>
          <w:i/>
          <w:iCs/>
          <w:noProof/>
        </w:rPr>
        <w:t>Biotechnology and Bioengineering</w:t>
      </w:r>
      <w:r w:rsidRPr="00170527">
        <w:rPr>
          <w:noProof/>
        </w:rPr>
        <w:t xml:space="preserve">. </w:t>
      </w:r>
      <w:r w:rsidRPr="00170527">
        <w:rPr>
          <w:b/>
          <w:bCs/>
          <w:noProof/>
        </w:rPr>
        <w:t>103</w:t>
      </w:r>
      <w:r w:rsidRPr="00170527">
        <w:rPr>
          <w:noProof/>
        </w:rPr>
        <w:t xml:space="preserve"> (4), 706–714, doi: 10.1002/bit.22299 (2009).</w:t>
      </w:r>
    </w:p>
    <w:p w14:paraId="32731C58" w14:textId="77777777" w:rsidR="00170527" w:rsidRPr="00170527" w:rsidRDefault="00170527" w:rsidP="00E10F2B">
      <w:pPr>
        <w:ind w:left="640" w:hanging="640"/>
        <w:contextualSpacing/>
        <w:rPr>
          <w:noProof/>
        </w:rPr>
      </w:pPr>
      <w:r w:rsidRPr="00170527">
        <w:rPr>
          <w:noProof/>
        </w:rPr>
        <w:t>55.</w:t>
      </w:r>
      <w:r w:rsidRPr="00170527">
        <w:rPr>
          <w:noProof/>
        </w:rPr>
        <w:tab/>
        <w:t xml:space="preserve">Diamos, A.G., Mason, H.S. Modifying the Replication of Geminiviral Vectors Reduces Cell Death and Enhances Expression of Biopharmaceutical Proteins in Nicotiana benthamiana Leaves. </w:t>
      </w:r>
      <w:r w:rsidRPr="00170527">
        <w:rPr>
          <w:i/>
          <w:iCs/>
          <w:noProof/>
        </w:rPr>
        <w:t>Frontiers in Plant Science</w:t>
      </w:r>
      <w:r w:rsidRPr="00170527">
        <w:rPr>
          <w:noProof/>
        </w:rPr>
        <w:t xml:space="preserve">. </w:t>
      </w:r>
      <w:r w:rsidRPr="00170527">
        <w:rPr>
          <w:b/>
          <w:bCs/>
          <w:noProof/>
        </w:rPr>
        <w:t>9</w:t>
      </w:r>
      <w:r w:rsidRPr="00170527">
        <w:rPr>
          <w:noProof/>
        </w:rPr>
        <w:t>, 1974, doi: 10.3389/fpls.2018.01974 (2019).</w:t>
      </w:r>
    </w:p>
    <w:p w14:paraId="05131B49" w14:textId="2CCD6A36" w:rsidR="00170527" w:rsidRPr="00170527" w:rsidRDefault="00170527" w:rsidP="00E10F2B">
      <w:pPr>
        <w:ind w:left="640" w:hanging="640"/>
        <w:contextualSpacing/>
        <w:rPr>
          <w:noProof/>
        </w:rPr>
      </w:pPr>
      <w:r w:rsidRPr="00170527">
        <w:rPr>
          <w:noProof/>
        </w:rPr>
        <w:t>56.</w:t>
      </w:r>
      <w:r w:rsidRPr="00170527">
        <w:rPr>
          <w:noProof/>
        </w:rPr>
        <w:tab/>
        <w:t xml:space="preserve">Gordon-Kamm, W. </w:t>
      </w:r>
      <w:r w:rsidR="00A94398" w:rsidRPr="00A94398">
        <w:rPr>
          <w:noProof/>
        </w:rPr>
        <w:t>et al.</w:t>
      </w:r>
      <w:r w:rsidRPr="00170527">
        <w:rPr>
          <w:noProof/>
        </w:rPr>
        <w:t xml:space="preserve"> Stimulation of the cell cycle and maize transformation by disruption of the plant retinoblastoma pathway. </w:t>
      </w:r>
      <w:r w:rsidRPr="00170527">
        <w:rPr>
          <w:i/>
          <w:iCs/>
          <w:noProof/>
        </w:rPr>
        <w:t>Proceedings of the National Academy of Sciences of the United States of America</w:t>
      </w:r>
      <w:r w:rsidRPr="00170527">
        <w:rPr>
          <w:noProof/>
        </w:rPr>
        <w:t xml:space="preserve">. </w:t>
      </w:r>
      <w:r w:rsidRPr="00170527">
        <w:rPr>
          <w:b/>
          <w:bCs/>
          <w:noProof/>
        </w:rPr>
        <w:t>99</w:t>
      </w:r>
      <w:r w:rsidRPr="00170527">
        <w:rPr>
          <w:noProof/>
        </w:rPr>
        <w:t xml:space="preserve"> (18), 11975–11980, doi: 10.1073/pnas.142409899 (2002).</w:t>
      </w:r>
    </w:p>
    <w:p w14:paraId="490A85A7" w14:textId="77777777" w:rsidR="00170527" w:rsidRPr="00170527" w:rsidRDefault="00170527" w:rsidP="00E10F2B">
      <w:pPr>
        <w:ind w:left="640" w:hanging="640"/>
        <w:contextualSpacing/>
        <w:rPr>
          <w:noProof/>
        </w:rPr>
      </w:pPr>
      <w:r w:rsidRPr="00170527">
        <w:rPr>
          <w:noProof/>
        </w:rPr>
        <w:t>57.</w:t>
      </w:r>
      <w:r w:rsidRPr="00170527">
        <w:rPr>
          <w:noProof/>
        </w:rPr>
        <w:tab/>
        <w:t xml:space="preserve">Villemont, E., Dubois, F., Sangwan, R.S., Vasseur, G., Bourgeois, Y., Sangwan-Norreel, B.S. Role of the host cell cycle in the Agrobacterium-mediated genetic transformation of Petunia: Evidence of an S-phase control mechanism for T-DNA transfer. </w:t>
      </w:r>
      <w:r w:rsidRPr="00170527">
        <w:rPr>
          <w:i/>
          <w:iCs/>
          <w:noProof/>
        </w:rPr>
        <w:t>Planta</w:t>
      </w:r>
      <w:r w:rsidRPr="00170527">
        <w:rPr>
          <w:noProof/>
        </w:rPr>
        <w:t xml:space="preserve">. </w:t>
      </w:r>
      <w:r w:rsidRPr="00170527">
        <w:rPr>
          <w:b/>
          <w:bCs/>
          <w:noProof/>
        </w:rPr>
        <w:t>201</w:t>
      </w:r>
      <w:r w:rsidRPr="00170527">
        <w:rPr>
          <w:noProof/>
        </w:rPr>
        <w:t xml:space="preserve"> (2), 160–172, doi: 10.1007/BF01007700 (1997).</w:t>
      </w:r>
    </w:p>
    <w:p w14:paraId="33B6321C" w14:textId="77777777" w:rsidR="00170527" w:rsidRPr="00170527" w:rsidRDefault="00170527" w:rsidP="00E10F2B">
      <w:pPr>
        <w:ind w:left="640" w:hanging="640"/>
        <w:contextualSpacing/>
        <w:rPr>
          <w:noProof/>
        </w:rPr>
      </w:pPr>
      <w:r w:rsidRPr="00170527">
        <w:rPr>
          <w:noProof/>
        </w:rPr>
        <w:t>58.</w:t>
      </w:r>
      <w:r w:rsidRPr="00170527">
        <w:rPr>
          <w:noProof/>
        </w:rPr>
        <w:tab/>
        <w:t xml:space="preserve">Regnard, G.L., Halley-Stott, R.P., Tanzer, F.L., Hitzeroth, I.I., Rybicki, E.P. High level protein expression in plants through the use of a novel autonomously replicating geminivirus shuttle vector. </w:t>
      </w:r>
      <w:r w:rsidRPr="00170527">
        <w:rPr>
          <w:i/>
          <w:iCs/>
          <w:noProof/>
        </w:rPr>
        <w:t>Plant Biotechnology Journal</w:t>
      </w:r>
      <w:r w:rsidRPr="00170527">
        <w:rPr>
          <w:noProof/>
        </w:rPr>
        <w:t xml:space="preserve">. </w:t>
      </w:r>
      <w:r w:rsidRPr="00170527">
        <w:rPr>
          <w:b/>
          <w:bCs/>
          <w:noProof/>
        </w:rPr>
        <w:t>8</w:t>
      </w:r>
      <w:r w:rsidRPr="00170527">
        <w:rPr>
          <w:noProof/>
        </w:rPr>
        <w:t xml:space="preserve"> (1), 38–46, doi: 10.1111/j.1467-7652.2009.00462.x (2010).</w:t>
      </w:r>
    </w:p>
    <w:p w14:paraId="6FAD18DC" w14:textId="77777777" w:rsidR="00170527" w:rsidRPr="00170527" w:rsidRDefault="00170527" w:rsidP="00E10F2B">
      <w:pPr>
        <w:ind w:left="640" w:hanging="640"/>
        <w:contextualSpacing/>
        <w:rPr>
          <w:noProof/>
        </w:rPr>
      </w:pPr>
      <w:r w:rsidRPr="00170527">
        <w:rPr>
          <w:noProof/>
        </w:rPr>
        <w:t>59.</w:t>
      </w:r>
      <w:r w:rsidRPr="00170527">
        <w:rPr>
          <w:noProof/>
        </w:rPr>
        <w:tab/>
        <w:t xml:space="preserve">Chen, Q., He, J., Phoolcharoen, W., Mason, H.S. Geminiviral vectors based on bean yellow dwarf virus for production of vaccine antigens and monoclonal antibodies in plants. </w:t>
      </w:r>
      <w:r w:rsidRPr="00170527">
        <w:rPr>
          <w:i/>
          <w:iCs/>
          <w:noProof/>
        </w:rPr>
        <w:t>Human Vaccines</w:t>
      </w:r>
      <w:r w:rsidRPr="00170527">
        <w:rPr>
          <w:noProof/>
        </w:rPr>
        <w:t xml:space="preserve">. </w:t>
      </w:r>
      <w:r w:rsidRPr="00170527">
        <w:rPr>
          <w:b/>
          <w:bCs/>
          <w:noProof/>
        </w:rPr>
        <w:t>7</w:t>
      </w:r>
      <w:r w:rsidRPr="00170527">
        <w:rPr>
          <w:noProof/>
        </w:rPr>
        <w:t xml:space="preserve"> (3), 331–338, doi: 10.4161/hv.7.3.14262 (2011).</w:t>
      </w:r>
    </w:p>
    <w:p w14:paraId="5E9FB511" w14:textId="77777777" w:rsidR="00170527" w:rsidRPr="00170527" w:rsidRDefault="00170527" w:rsidP="00E10F2B">
      <w:pPr>
        <w:ind w:left="640" w:hanging="640"/>
        <w:contextualSpacing/>
        <w:rPr>
          <w:noProof/>
        </w:rPr>
      </w:pPr>
      <w:r w:rsidRPr="00170527">
        <w:rPr>
          <w:noProof/>
        </w:rPr>
        <w:t>60.</w:t>
      </w:r>
      <w:r w:rsidRPr="00170527">
        <w:rPr>
          <w:noProof/>
        </w:rPr>
        <w:tab/>
        <w:t xml:space="preserve">Morton, T.G., Gold, A.J., Sullivan, W.M. Influence of Overwatering and Fertilization on Nitrogen Losses from Home Lawns. </w:t>
      </w:r>
      <w:r w:rsidRPr="00170527">
        <w:rPr>
          <w:i/>
          <w:iCs/>
          <w:noProof/>
        </w:rPr>
        <w:t>Journal of Environmental Quality</w:t>
      </w:r>
      <w:r w:rsidRPr="00170527">
        <w:rPr>
          <w:noProof/>
        </w:rPr>
        <w:t xml:space="preserve">. </w:t>
      </w:r>
      <w:r w:rsidRPr="00170527">
        <w:rPr>
          <w:b/>
          <w:bCs/>
          <w:noProof/>
        </w:rPr>
        <w:t>17</w:t>
      </w:r>
      <w:r w:rsidRPr="00170527">
        <w:rPr>
          <w:noProof/>
        </w:rPr>
        <w:t xml:space="preserve"> (1), 124–130, doi: 10.2134/jeq1988.00472425001700010019x (1988).</w:t>
      </w:r>
    </w:p>
    <w:p w14:paraId="2FF244D6" w14:textId="77777777" w:rsidR="00170527" w:rsidRPr="00170527" w:rsidRDefault="00170527" w:rsidP="00E10F2B">
      <w:pPr>
        <w:ind w:left="640" w:hanging="640"/>
        <w:contextualSpacing/>
        <w:rPr>
          <w:noProof/>
        </w:rPr>
      </w:pPr>
      <w:r w:rsidRPr="00170527">
        <w:rPr>
          <w:noProof/>
        </w:rPr>
        <w:t>61.</w:t>
      </w:r>
      <w:r w:rsidRPr="00170527">
        <w:rPr>
          <w:noProof/>
        </w:rPr>
        <w:tab/>
        <w:t xml:space="preserve">Brown, J.C. Iron Chlorosis in Plants. </w:t>
      </w:r>
      <w:r w:rsidRPr="00170527">
        <w:rPr>
          <w:i/>
          <w:iCs/>
          <w:noProof/>
        </w:rPr>
        <w:t>Advances in Agronomy</w:t>
      </w:r>
      <w:r w:rsidRPr="00170527">
        <w:rPr>
          <w:noProof/>
        </w:rPr>
        <w:t xml:space="preserve">. </w:t>
      </w:r>
      <w:r w:rsidRPr="00170527">
        <w:rPr>
          <w:b/>
          <w:bCs/>
          <w:noProof/>
        </w:rPr>
        <w:t>13</w:t>
      </w:r>
      <w:r w:rsidRPr="00170527">
        <w:rPr>
          <w:noProof/>
        </w:rPr>
        <w:t xml:space="preserve"> (C), 329–369, doi: 10.1016/S0065-2113(08)60963-3 (1961).</w:t>
      </w:r>
    </w:p>
    <w:p w14:paraId="7C47A2A6" w14:textId="6E75EC29" w:rsidR="00170527" w:rsidRPr="00170527" w:rsidRDefault="00170527" w:rsidP="00E10F2B">
      <w:pPr>
        <w:ind w:left="640" w:hanging="640"/>
        <w:contextualSpacing/>
        <w:rPr>
          <w:noProof/>
        </w:rPr>
      </w:pPr>
      <w:r w:rsidRPr="00170527">
        <w:rPr>
          <w:noProof/>
        </w:rPr>
        <w:t>62.</w:t>
      </w:r>
      <w:r w:rsidRPr="00170527">
        <w:rPr>
          <w:noProof/>
        </w:rPr>
        <w:tab/>
        <w:t>Morton, E.R., Fuqua, C.</w:t>
      </w:r>
      <w:r w:rsidR="00E10F2B">
        <w:rPr>
          <w:noProof/>
        </w:rPr>
        <w:t xml:space="preserve"> </w:t>
      </w:r>
      <w:r w:rsidRPr="00170527">
        <w:rPr>
          <w:noProof/>
        </w:rPr>
        <w:t xml:space="preserve">Laboratory Maintenance of Agrobacterium . </w:t>
      </w:r>
      <w:r w:rsidRPr="00170527">
        <w:rPr>
          <w:i/>
          <w:iCs/>
          <w:noProof/>
        </w:rPr>
        <w:t>Current Protocols in Microbiology</w:t>
      </w:r>
      <w:r w:rsidRPr="00170527">
        <w:rPr>
          <w:noProof/>
        </w:rPr>
        <w:t xml:space="preserve">. </w:t>
      </w:r>
      <w:r w:rsidRPr="00170527">
        <w:rPr>
          <w:b/>
          <w:bCs/>
          <w:noProof/>
        </w:rPr>
        <w:t>CHAPTER</w:t>
      </w:r>
      <w:r w:rsidRPr="00170527">
        <w:rPr>
          <w:noProof/>
        </w:rPr>
        <w:t>, Unit3D.1, doi: 10.1002/9780471729259.mc03d01s24 (2012).</w:t>
      </w:r>
    </w:p>
    <w:p w14:paraId="626A41AB" w14:textId="434A79B2" w:rsidR="00C17BFF" w:rsidRPr="00A514D4" w:rsidRDefault="009611DD" w:rsidP="00E10F2B">
      <w:pPr>
        <w:ind w:left="640" w:hanging="640"/>
        <w:contextualSpacing/>
        <w:rPr>
          <w:noProof/>
        </w:rPr>
      </w:pPr>
      <w:r>
        <w:fldChar w:fldCharType="end"/>
      </w:r>
    </w:p>
    <w:sectPr w:rsidR="00C17BFF" w:rsidRPr="00A514D4"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49894" w14:textId="77777777" w:rsidR="00D249FD" w:rsidRDefault="00D249FD" w:rsidP="00621C4E">
      <w:r>
        <w:separator/>
      </w:r>
    </w:p>
  </w:endnote>
  <w:endnote w:type="continuationSeparator" w:id="0">
    <w:p w14:paraId="0A1A04E1" w14:textId="77777777" w:rsidR="00D249FD" w:rsidRDefault="00D249FD" w:rsidP="00621C4E">
      <w:r>
        <w:continuationSeparator/>
      </w:r>
    </w:p>
  </w:endnote>
  <w:endnote w:type="continuationNotice" w:id="1">
    <w:p w14:paraId="00B8F5B0" w14:textId="77777777" w:rsidR="00D249FD" w:rsidRDefault="00D24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20867B5E" w:rsidR="00015DCB" w:rsidRDefault="00015DCB">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18</w:t>
        </w:r>
        <w:r>
          <w:rPr>
            <w:noProof/>
          </w:rPr>
          <w:tab/>
        </w:r>
        <w:r>
          <w:rPr>
            <w:noProof/>
          </w:rPr>
          <w:tab/>
        </w:r>
      </w:p>
    </w:sdtContent>
  </w:sdt>
  <w:p w14:paraId="39947363" w14:textId="71AB2B06" w:rsidR="00015DCB" w:rsidRPr="00494F77" w:rsidRDefault="00015DC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15DCB" w:rsidRDefault="00015DC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F11E9" w14:textId="77777777" w:rsidR="00D249FD" w:rsidRDefault="00D249FD" w:rsidP="00621C4E">
      <w:r>
        <w:separator/>
      </w:r>
    </w:p>
  </w:footnote>
  <w:footnote w:type="continuationSeparator" w:id="0">
    <w:p w14:paraId="72B13E44" w14:textId="77777777" w:rsidR="00D249FD" w:rsidRDefault="00D249FD" w:rsidP="00621C4E">
      <w:r>
        <w:continuationSeparator/>
      </w:r>
    </w:p>
  </w:footnote>
  <w:footnote w:type="continuationNotice" w:id="1">
    <w:p w14:paraId="09D1C051" w14:textId="77777777" w:rsidR="00D249FD" w:rsidRDefault="00D24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15DCB" w:rsidRPr="006F06E4" w:rsidRDefault="00015DC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83E5CBB" w:rsidR="00015DCB" w:rsidRPr="006F06E4" w:rsidRDefault="00015DCB" w:rsidP="006F06E4">
    <w:pPr>
      <w:pStyle w:val="Header"/>
      <w:jc w:val="right"/>
      <w:rPr>
        <w:b/>
        <w:color w:val="1F497D"/>
        <w:sz w:val="32"/>
        <w:szCs w:val="32"/>
      </w:rPr>
    </w:pPr>
    <w:r>
      <w:rPr>
        <w:b/>
        <w:noProof/>
        <w:color w:val="1F497D"/>
        <w:sz w:val="32"/>
        <w:szCs w:val="32"/>
      </w:rPr>
      <w:drawing>
        <wp:anchor distT="0" distB="0" distL="114300" distR="114300" simplePos="0" relativeHeight="251658240"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E0090"/>
    <w:multiLevelType w:val="multilevel"/>
    <w:tmpl w:val="51D48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4FD864A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43ACAF5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2F3C7D9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F744C4E"/>
    <w:multiLevelType w:val="multilevel"/>
    <w:tmpl w:val="4A448F2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hybridMultilevel"/>
    <w:tmpl w:val="9EDE2F82"/>
    <w:lvl w:ilvl="0" w:tplc="07BABD72">
      <w:start w:val="1"/>
      <w:numFmt w:val="decimal"/>
      <w:suff w:val="space"/>
      <w:lvlText w:val="%1."/>
      <w:lvlJc w:val="left"/>
      <w:pPr>
        <w:ind w:left="0" w:firstLine="0"/>
      </w:pPr>
      <w:rPr>
        <w:rFonts w:hint="default"/>
      </w:rPr>
    </w:lvl>
    <w:lvl w:ilvl="1" w:tplc="5F826D1C">
      <w:start w:val="1"/>
      <w:numFmt w:val="decimal"/>
      <w:lvlText w:val="%2."/>
      <w:lvlJc w:val="left"/>
      <w:pPr>
        <w:tabs>
          <w:tab w:val="num" w:pos="1440"/>
        </w:tabs>
        <w:ind w:left="1440" w:hanging="360"/>
      </w:pPr>
      <w:rPr>
        <w:rFonts w:hint="default"/>
      </w:rPr>
    </w:lvl>
    <w:lvl w:ilvl="2" w:tplc="6746644A">
      <w:start w:val="1"/>
      <w:numFmt w:val="decimal"/>
      <w:lvlText w:val="%3."/>
      <w:lvlJc w:val="left"/>
      <w:pPr>
        <w:tabs>
          <w:tab w:val="num" w:pos="2160"/>
        </w:tabs>
        <w:ind w:left="2160" w:hanging="360"/>
      </w:pPr>
      <w:rPr>
        <w:rFonts w:hint="default"/>
      </w:rPr>
    </w:lvl>
    <w:lvl w:ilvl="3" w:tplc="D696B152">
      <w:start w:val="1"/>
      <w:numFmt w:val="decimal"/>
      <w:lvlText w:val="%4."/>
      <w:lvlJc w:val="left"/>
      <w:pPr>
        <w:tabs>
          <w:tab w:val="num" w:pos="2880"/>
        </w:tabs>
        <w:ind w:left="2880" w:hanging="360"/>
      </w:pPr>
      <w:rPr>
        <w:rFonts w:hint="default"/>
      </w:rPr>
    </w:lvl>
    <w:lvl w:ilvl="4" w:tplc="1E0C1D26">
      <w:start w:val="1"/>
      <w:numFmt w:val="decimal"/>
      <w:lvlText w:val="%5."/>
      <w:lvlJc w:val="left"/>
      <w:pPr>
        <w:tabs>
          <w:tab w:val="num" w:pos="3600"/>
        </w:tabs>
        <w:ind w:left="3600" w:hanging="360"/>
      </w:pPr>
      <w:rPr>
        <w:rFonts w:hint="default"/>
      </w:rPr>
    </w:lvl>
    <w:lvl w:ilvl="5" w:tplc="87043118">
      <w:start w:val="1"/>
      <w:numFmt w:val="decimal"/>
      <w:lvlText w:val="%6."/>
      <w:lvlJc w:val="left"/>
      <w:pPr>
        <w:tabs>
          <w:tab w:val="num" w:pos="4320"/>
        </w:tabs>
        <w:ind w:left="4320" w:hanging="360"/>
      </w:pPr>
      <w:rPr>
        <w:rFonts w:hint="default"/>
      </w:rPr>
    </w:lvl>
    <w:lvl w:ilvl="6" w:tplc="B69E50E4">
      <w:start w:val="1"/>
      <w:numFmt w:val="decimal"/>
      <w:lvlText w:val="%7."/>
      <w:lvlJc w:val="left"/>
      <w:pPr>
        <w:tabs>
          <w:tab w:val="num" w:pos="5040"/>
        </w:tabs>
        <w:ind w:left="5040" w:hanging="360"/>
      </w:pPr>
      <w:rPr>
        <w:rFonts w:hint="default"/>
      </w:rPr>
    </w:lvl>
    <w:lvl w:ilvl="7" w:tplc="A3C8DB16">
      <w:start w:val="1"/>
      <w:numFmt w:val="decimal"/>
      <w:lvlText w:val="%8."/>
      <w:lvlJc w:val="left"/>
      <w:pPr>
        <w:tabs>
          <w:tab w:val="num" w:pos="5760"/>
        </w:tabs>
        <w:ind w:left="5760" w:hanging="360"/>
      </w:pPr>
      <w:rPr>
        <w:rFonts w:hint="default"/>
      </w:rPr>
    </w:lvl>
    <w:lvl w:ilvl="8" w:tplc="6EAE8332">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D46271B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8"/>
  </w:num>
  <w:num w:numId="26">
    <w:abstractNumId w:val="1"/>
  </w:num>
  <w:num w:numId="27">
    <w:abstractNumId w:val="7"/>
  </w:num>
  <w:num w:numId="28">
    <w:abstractNumId w:val="29"/>
  </w:num>
  <w:num w:numId="29">
    <w:abstractNumId w:val="16"/>
  </w:num>
  <w:num w:numId="3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s7AwtjQ1NTE1NTdS0lEKTi0uzszPAykwNK4FAESnq4YtAAAA"/>
  </w:docVars>
  <w:rsids>
    <w:rsidRoot w:val="00EE705F"/>
    <w:rsid w:val="00001169"/>
    <w:rsid w:val="00001806"/>
    <w:rsid w:val="00001D5D"/>
    <w:rsid w:val="0000234E"/>
    <w:rsid w:val="00003E01"/>
    <w:rsid w:val="00005265"/>
    <w:rsid w:val="0000532E"/>
    <w:rsid w:val="000054B8"/>
    <w:rsid w:val="00005815"/>
    <w:rsid w:val="00006E68"/>
    <w:rsid w:val="00007DBC"/>
    <w:rsid w:val="00007EA1"/>
    <w:rsid w:val="000100F0"/>
    <w:rsid w:val="00010F66"/>
    <w:rsid w:val="00012281"/>
    <w:rsid w:val="000129B2"/>
    <w:rsid w:val="00012FF9"/>
    <w:rsid w:val="0001389C"/>
    <w:rsid w:val="00014314"/>
    <w:rsid w:val="00014F86"/>
    <w:rsid w:val="00015A1E"/>
    <w:rsid w:val="00015DCB"/>
    <w:rsid w:val="000212AE"/>
    <w:rsid w:val="00021434"/>
    <w:rsid w:val="00021774"/>
    <w:rsid w:val="00021DF3"/>
    <w:rsid w:val="00023869"/>
    <w:rsid w:val="00023965"/>
    <w:rsid w:val="00024598"/>
    <w:rsid w:val="000256E5"/>
    <w:rsid w:val="00025AD3"/>
    <w:rsid w:val="0002726E"/>
    <w:rsid w:val="000279B0"/>
    <w:rsid w:val="00030FD2"/>
    <w:rsid w:val="0003187C"/>
    <w:rsid w:val="00032769"/>
    <w:rsid w:val="0003311E"/>
    <w:rsid w:val="00033184"/>
    <w:rsid w:val="000338C5"/>
    <w:rsid w:val="00034C95"/>
    <w:rsid w:val="00036DE0"/>
    <w:rsid w:val="00037B58"/>
    <w:rsid w:val="00041570"/>
    <w:rsid w:val="00041818"/>
    <w:rsid w:val="00045264"/>
    <w:rsid w:val="00045E38"/>
    <w:rsid w:val="00046591"/>
    <w:rsid w:val="00051B73"/>
    <w:rsid w:val="00053339"/>
    <w:rsid w:val="00053DFC"/>
    <w:rsid w:val="00055030"/>
    <w:rsid w:val="000575CF"/>
    <w:rsid w:val="000579A1"/>
    <w:rsid w:val="00060A25"/>
    <w:rsid w:val="00060ABE"/>
    <w:rsid w:val="00061A50"/>
    <w:rsid w:val="0006361B"/>
    <w:rsid w:val="0006366B"/>
    <w:rsid w:val="00063C81"/>
    <w:rsid w:val="00064055"/>
    <w:rsid w:val="00064104"/>
    <w:rsid w:val="00064F32"/>
    <w:rsid w:val="000652E3"/>
    <w:rsid w:val="00065671"/>
    <w:rsid w:val="00066025"/>
    <w:rsid w:val="00066074"/>
    <w:rsid w:val="00066A81"/>
    <w:rsid w:val="0006722F"/>
    <w:rsid w:val="00067A8F"/>
    <w:rsid w:val="000701D1"/>
    <w:rsid w:val="0007052E"/>
    <w:rsid w:val="00071872"/>
    <w:rsid w:val="0007308E"/>
    <w:rsid w:val="00077324"/>
    <w:rsid w:val="00080A20"/>
    <w:rsid w:val="00082796"/>
    <w:rsid w:val="00082AD1"/>
    <w:rsid w:val="00082DF4"/>
    <w:rsid w:val="0008482D"/>
    <w:rsid w:val="00086FF5"/>
    <w:rsid w:val="00087C0A"/>
    <w:rsid w:val="00090E45"/>
    <w:rsid w:val="0009107D"/>
    <w:rsid w:val="00091788"/>
    <w:rsid w:val="0009189B"/>
    <w:rsid w:val="0009216D"/>
    <w:rsid w:val="00092ABB"/>
    <w:rsid w:val="00092C59"/>
    <w:rsid w:val="000931A7"/>
    <w:rsid w:val="000937DE"/>
    <w:rsid w:val="00093BC4"/>
    <w:rsid w:val="00093F4C"/>
    <w:rsid w:val="000943E6"/>
    <w:rsid w:val="000948C3"/>
    <w:rsid w:val="00097698"/>
    <w:rsid w:val="00097929"/>
    <w:rsid w:val="000A0F2D"/>
    <w:rsid w:val="000A1E80"/>
    <w:rsid w:val="000A3B70"/>
    <w:rsid w:val="000A3EFE"/>
    <w:rsid w:val="000A5153"/>
    <w:rsid w:val="000A52A1"/>
    <w:rsid w:val="000A7C8D"/>
    <w:rsid w:val="000B10AE"/>
    <w:rsid w:val="000B30BF"/>
    <w:rsid w:val="000B4039"/>
    <w:rsid w:val="000B566B"/>
    <w:rsid w:val="000B595C"/>
    <w:rsid w:val="000B60D5"/>
    <w:rsid w:val="000B662E"/>
    <w:rsid w:val="000B7294"/>
    <w:rsid w:val="000B75D0"/>
    <w:rsid w:val="000C0308"/>
    <w:rsid w:val="000C0B1F"/>
    <w:rsid w:val="000C1127"/>
    <w:rsid w:val="000C1CF8"/>
    <w:rsid w:val="000C355D"/>
    <w:rsid w:val="000C3B45"/>
    <w:rsid w:val="000C49CF"/>
    <w:rsid w:val="000C52E9"/>
    <w:rsid w:val="000C5B8B"/>
    <w:rsid w:val="000C5CDC"/>
    <w:rsid w:val="000C65DC"/>
    <w:rsid w:val="000C661C"/>
    <w:rsid w:val="000C66F3"/>
    <w:rsid w:val="000C6900"/>
    <w:rsid w:val="000D07C7"/>
    <w:rsid w:val="000D1FE7"/>
    <w:rsid w:val="000D28BF"/>
    <w:rsid w:val="000D31E8"/>
    <w:rsid w:val="000D76E4"/>
    <w:rsid w:val="000D7743"/>
    <w:rsid w:val="000E0D64"/>
    <w:rsid w:val="000E0F3F"/>
    <w:rsid w:val="000E116C"/>
    <w:rsid w:val="000E3272"/>
    <w:rsid w:val="000E3816"/>
    <w:rsid w:val="000E427E"/>
    <w:rsid w:val="000E4F77"/>
    <w:rsid w:val="000E6059"/>
    <w:rsid w:val="000E6B88"/>
    <w:rsid w:val="000E6F60"/>
    <w:rsid w:val="000F10CB"/>
    <w:rsid w:val="000F1DCF"/>
    <w:rsid w:val="000F265C"/>
    <w:rsid w:val="000F3833"/>
    <w:rsid w:val="000F3AFA"/>
    <w:rsid w:val="000F5712"/>
    <w:rsid w:val="000F6611"/>
    <w:rsid w:val="000F7E22"/>
    <w:rsid w:val="00104047"/>
    <w:rsid w:val="00107554"/>
    <w:rsid w:val="001075E9"/>
    <w:rsid w:val="001079B3"/>
    <w:rsid w:val="00107CFD"/>
    <w:rsid w:val="001104F3"/>
    <w:rsid w:val="00110D81"/>
    <w:rsid w:val="00112EEB"/>
    <w:rsid w:val="001156A0"/>
    <w:rsid w:val="00115E38"/>
    <w:rsid w:val="00116C09"/>
    <w:rsid w:val="001173FF"/>
    <w:rsid w:val="00121EDF"/>
    <w:rsid w:val="001226E2"/>
    <w:rsid w:val="0012563A"/>
    <w:rsid w:val="001264DE"/>
    <w:rsid w:val="001313A7"/>
    <w:rsid w:val="001317AD"/>
    <w:rsid w:val="00131FBF"/>
    <w:rsid w:val="0013276F"/>
    <w:rsid w:val="0013332D"/>
    <w:rsid w:val="001342B5"/>
    <w:rsid w:val="0013621E"/>
    <w:rsid w:val="0013642E"/>
    <w:rsid w:val="0013782B"/>
    <w:rsid w:val="00137D70"/>
    <w:rsid w:val="001404D3"/>
    <w:rsid w:val="00142951"/>
    <w:rsid w:val="00142EFE"/>
    <w:rsid w:val="001448B0"/>
    <w:rsid w:val="00144B36"/>
    <w:rsid w:val="00144C80"/>
    <w:rsid w:val="00146744"/>
    <w:rsid w:val="00146FE8"/>
    <w:rsid w:val="0015001B"/>
    <w:rsid w:val="00150AB7"/>
    <w:rsid w:val="00152441"/>
    <w:rsid w:val="00152776"/>
    <w:rsid w:val="00152A23"/>
    <w:rsid w:val="00155982"/>
    <w:rsid w:val="00156B11"/>
    <w:rsid w:val="00156CBA"/>
    <w:rsid w:val="00157474"/>
    <w:rsid w:val="00157866"/>
    <w:rsid w:val="00157C11"/>
    <w:rsid w:val="00162CB7"/>
    <w:rsid w:val="001631F5"/>
    <w:rsid w:val="00163D7F"/>
    <w:rsid w:val="00164D68"/>
    <w:rsid w:val="00165D81"/>
    <w:rsid w:val="001665C9"/>
    <w:rsid w:val="00166F32"/>
    <w:rsid w:val="00170527"/>
    <w:rsid w:val="001712CD"/>
    <w:rsid w:val="001718C0"/>
    <w:rsid w:val="00171E5B"/>
    <w:rsid w:val="00171F94"/>
    <w:rsid w:val="00172233"/>
    <w:rsid w:val="00173C87"/>
    <w:rsid w:val="00175D4E"/>
    <w:rsid w:val="001764A4"/>
    <w:rsid w:val="0017668A"/>
    <w:rsid w:val="001766FE"/>
    <w:rsid w:val="001767AE"/>
    <w:rsid w:val="001771E7"/>
    <w:rsid w:val="00181D63"/>
    <w:rsid w:val="00182D7A"/>
    <w:rsid w:val="0018372D"/>
    <w:rsid w:val="0018389B"/>
    <w:rsid w:val="00183BFC"/>
    <w:rsid w:val="00184374"/>
    <w:rsid w:val="001848A8"/>
    <w:rsid w:val="001855E0"/>
    <w:rsid w:val="001861E7"/>
    <w:rsid w:val="00186604"/>
    <w:rsid w:val="001866E8"/>
    <w:rsid w:val="00187599"/>
    <w:rsid w:val="00187608"/>
    <w:rsid w:val="001904BD"/>
    <w:rsid w:val="001911FF"/>
    <w:rsid w:val="00191C0B"/>
    <w:rsid w:val="00192006"/>
    <w:rsid w:val="00193180"/>
    <w:rsid w:val="0019530C"/>
    <w:rsid w:val="00196792"/>
    <w:rsid w:val="00196DCC"/>
    <w:rsid w:val="00197659"/>
    <w:rsid w:val="001A0B4F"/>
    <w:rsid w:val="001A1162"/>
    <w:rsid w:val="001A2961"/>
    <w:rsid w:val="001A3837"/>
    <w:rsid w:val="001A3AE1"/>
    <w:rsid w:val="001A41E2"/>
    <w:rsid w:val="001A572E"/>
    <w:rsid w:val="001A70A6"/>
    <w:rsid w:val="001B1110"/>
    <w:rsid w:val="001B148E"/>
    <w:rsid w:val="001B1519"/>
    <w:rsid w:val="001B2BC4"/>
    <w:rsid w:val="001B2E2D"/>
    <w:rsid w:val="001B3E89"/>
    <w:rsid w:val="001B454B"/>
    <w:rsid w:val="001B5CD2"/>
    <w:rsid w:val="001B6096"/>
    <w:rsid w:val="001B66D8"/>
    <w:rsid w:val="001B7BB2"/>
    <w:rsid w:val="001C01F7"/>
    <w:rsid w:val="001C0BEE"/>
    <w:rsid w:val="001C1B87"/>
    <w:rsid w:val="001C1E49"/>
    <w:rsid w:val="001C27C1"/>
    <w:rsid w:val="001C2A98"/>
    <w:rsid w:val="001C2FA3"/>
    <w:rsid w:val="001C3B86"/>
    <w:rsid w:val="001C4D95"/>
    <w:rsid w:val="001C68E2"/>
    <w:rsid w:val="001C774B"/>
    <w:rsid w:val="001C774C"/>
    <w:rsid w:val="001C7F52"/>
    <w:rsid w:val="001D03AB"/>
    <w:rsid w:val="001D2D6C"/>
    <w:rsid w:val="001D3D7D"/>
    <w:rsid w:val="001D3FFF"/>
    <w:rsid w:val="001D4997"/>
    <w:rsid w:val="001D5019"/>
    <w:rsid w:val="001D505B"/>
    <w:rsid w:val="001D625F"/>
    <w:rsid w:val="001D68A4"/>
    <w:rsid w:val="001D7576"/>
    <w:rsid w:val="001E0E3F"/>
    <w:rsid w:val="001E1228"/>
    <w:rsid w:val="001E12C6"/>
    <w:rsid w:val="001E14A0"/>
    <w:rsid w:val="001E22D6"/>
    <w:rsid w:val="001E3304"/>
    <w:rsid w:val="001E42CB"/>
    <w:rsid w:val="001E5C5A"/>
    <w:rsid w:val="001E7376"/>
    <w:rsid w:val="001F0D21"/>
    <w:rsid w:val="001F225C"/>
    <w:rsid w:val="001F2784"/>
    <w:rsid w:val="001F5323"/>
    <w:rsid w:val="001F53F3"/>
    <w:rsid w:val="001F5A87"/>
    <w:rsid w:val="001F6C57"/>
    <w:rsid w:val="001F7BD2"/>
    <w:rsid w:val="00200792"/>
    <w:rsid w:val="00201576"/>
    <w:rsid w:val="00201CFA"/>
    <w:rsid w:val="0020220D"/>
    <w:rsid w:val="00202448"/>
    <w:rsid w:val="00202D15"/>
    <w:rsid w:val="00202FC6"/>
    <w:rsid w:val="00203F87"/>
    <w:rsid w:val="002044C4"/>
    <w:rsid w:val="00204ADB"/>
    <w:rsid w:val="00204D47"/>
    <w:rsid w:val="00205B3F"/>
    <w:rsid w:val="00206359"/>
    <w:rsid w:val="00206D79"/>
    <w:rsid w:val="00210947"/>
    <w:rsid w:val="00210D09"/>
    <w:rsid w:val="00210E8B"/>
    <w:rsid w:val="00212EAE"/>
    <w:rsid w:val="00213371"/>
    <w:rsid w:val="00214AC7"/>
    <w:rsid w:val="00214BEE"/>
    <w:rsid w:val="002205B8"/>
    <w:rsid w:val="0022482A"/>
    <w:rsid w:val="002253B6"/>
    <w:rsid w:val="00225720"/>
    <w:rsid w:val="002259E5"/>
    <w:rsid w:val="00226140"/>
    <w:rsid w:val="002274F3"/>
    <w:rsid w:val="0023094C"/>
    <w:rsid w:val="00232430"/>
    <w:rsid w:val="00233484"/>
    <w:rsid w:val="00233CFA"/>
    <w:rsid w:val="00234303"/>
    <w:rsid w:val="00234458"/>
    <w:rsid w:val="00234BE3"/>
    <w:rsid w:val="00235A90"/>
    <w:rsid w:val="0023624F"/>
    <w:rsid w:val="00240739"/>
    <w:rsid w:val="00241E48"/>
    <w:rsid w:val="0024214E"/>
    <w:rsid w:val="00242623"/>
    <w:rsid w:val="0024511B"/>
    <w:rsid w:val="00245E62"/>
    <w:rsid w:val="00246F10"/>
    <w:rsid w:val="002473DE"/>
    <w:rsid w:val="00250558"/>
    <w:rsid w:val="0025247A"/>
    <w:rsid w:val="00252B11"/>
    <w:rsid w:val="00252BF2"/>
    <w:rsid w:val="0025357C"/>
    <w:rsid w:val="002538A7"/>
    <w:rsid w:val="00253B5C"/>
    <w:rsid w:val="00254452"/>
    <w:rsid w:val="002549B7"/>
    <w:rsid w:val="00257425"/>
    <w:rsid w:val="00257940"/>
    <w:rsid w:val="002605D1"/>
    <w:rsid w:val="00260652"/>
    <w:rsid w:val="0026076D"/>
    <w:rsid w:val="00261F25"/>
    <w:rsid w:val="00262399"/>
    <w:rsid w:val="002634AC"/>
    <w:rsid w:val="002643FC"/>
    <w:rsid w:val="002648A9"/>
    <w:rsid w:val="0026536F"/>
    <w:rsid w:val="0026553C"/>
    <w:rsid w:val="002661A0"/>
    <w:rsid w:val="00266A8C"/>
    <w:rsid w:val="0026790A"/>
    <w:rsid w:val="00267DD5"/>
    <w:rsid w:val="00270872"/>
    <w:rsid w:val="00270B0C"/>
    <w:rsid w:val="002729B2"/>
    <w:rsid w:val="00274A0A"/>
    <w:rsid w:val="002762A1"/>
    <w:rsid w:val="00277593"/>
    <w:rsid w:val="0028049E"/>
    <w:rsid w:val="00280909"/>
    <w:rsid w:val="00280918"/>
    <w:rsid w:val="00280D83"/>
    <w:rsid w:val="00282AF6"/>
    <w:rsid w:val="00285191"/>
    <w:rsid w:val="0028596A"/>
    <w:rsid w:val="00285ADE"/>
    <w:rsid w:val="00287085"/>
    <w:rsid w:val="002872F2"/>
    <w:rsid w:val="00287DC0"/>
    <w:rsid w:val="00290AF9"/>
    <w:rsid w:val="00291131"/>
    <w:rsid w:val="00291452"/>
    <w:rsid w:val="00291704"/>
    <w:rsid w:val="002940C2"/>
    <w:rsid w:val="00294E05"/>
    <w:rsid w:val="00295263"/>
    <w:rsid w:val="00295729"/>
    <w:rsid w:val="00295909"/>
    <w:rsid w:val="00295A3A"/>
    <w:rsid w:val="00296152"/>
    <w:rsid w:val="002967CF"/>
    <w:rsid w:val="00297788"/>
    <w:rsid w:val="002A04B8"/>
    <w:rsid w:val="002A20DB"/>
    <w:rsid w:val="002A3285"/>
    <w:rsid w:val="002A34F9"/>
    <w:rsid w:val="002A4369"/>
    <w:rsid w:val="002A484B"/>
    <w:rsid w:val="002A4A92"/>
    <w:rsid w:val="002A64A6"/>
    <w:rsid w:val="002A66A2"/>
    <w:rsid w:val="002B0BEF"/>
    <w:rsid w:val="002B1FE3"/>
    <w:rsid w:val="002B3301"/>
    <w:rsid w:val="002B4DFA"/>
    <w:rsid w:val="002B54CF"/>
    <w:rsid w:val="002B5850"/>
    <w:rsid w:val="002B5ECC"/>
    <w:rsid w:val="002B66B2"/>
    <w:rsid w:val="002C1445"/>
    <w:rsid w:val="002C3B74"/>
    <w:rsid w:val="002C426D"/>
    <w:rsid w:val="002C47D4"/>
    <w:rsid w:val="002C73FD"/>
    <w:rsid w:val="002D0B61"/>
    <w:rsid w:val="002D0F38"/>
    <w:rsid w:val="002D1EB8"/>
    <w:rsid w:val="002D2FD4"/>
    <w:rsid w:val="002D3725"/>
    <w:rsid w:val="002D414E"/>
    <w:rsid w:val="002D4564"/>
    <w:rsid w:val="002D4951"/>
    <w:rsid w:val="002D7330"/>
    <w:rsid w:val="002D7509"/>
    <w:rsid w:val="002D77E3"/>
    <w:rsid w:val="002E04F8"/>
    <w:rsid w:val="002E0616"/>
    <w:rsid w:val="002E3907"/>
    <w:rsid w:val="002E4503"/>
    <w:rsid w:val="002E73D4"/>
    <w:rsid w:val="002F21E0"/>
    <w:rsid w:val="002F2859"/>
    <w:rsid w:val="002F2B52"/>
    <w:rsid w:val="002F2E7F"/>
    <w:rsid w:val="002F34E2"/>
    <w:rsid w:val="002F455D"/>
    <w:rsid w:val="002F4827"/>
    <w:rsid w:val="002F56C0"/>
    <w:rsid w:val="002F6E3C"/>
    <w:rsid w:val="003003DA"/>
    <w:rsid w:val="00300A0E"/>
    <w:rsid w:val="0030117D"/>
    <w:rsid w:val="003012A3"/>
    <w:rsid w:val="003014FB"/>
    <w:rsid w:val="00301F30"/>
    <w:rsid w:val="00302E96"/>
    <w:rsid w:val="003038FD"/>
    <w:rsid w:val="00303C87"/>
    <w:rsid w:val="003043E2"/>
    <w:rsid w:val="00305B1D"/>
    <w:rsid w:val="00305EA7"/>
    <w:rsid w:val="00306461"/>
    <w:rsid w:val="003108E5"/>
    <w:rsid w:val="003115A8"/>
    <w:rsid w:val="00311F92"/>
    <w:rsid w:val="003120CB"/>
    <w:rsid w:val="00313B70"/>
    <w:rsid w:val="00313E21"/>
    <w:rsid w:val="00314685"/>
    <w:rsid w:val="003170D1"/>
    <w:rsid w:val="003176B9"/>
    <w:rsid w:val="00317C61"/>
    <w:rsid w:val="00320153"/>
    <w:rsid w:val="00320367"/>
    <w:rsid w:val="00321C9F"/>
    <w:rsid w:val="003226C8"/>
    <w:rsid w:val="00322871"/>
    <w:rsid w:val="00323285"/>
    <w:rsid w:val="00325829"/>
    <w:rsid w:val="00326787"/>
    <w:rsid w:val="00326BAB"/>
    <w:rsid w:val="00326FB3"/>
    <w:rsid w:val="003316D4"/>
    <w:rsid w:val="003321B2"/>
    <w:rsid w:val="00332BBE"/>
    <w:rsid w:val="00333822"/>
    <w:rsid w:val="00334D7E"/>
    <w:rsid w:val="0033552C"/>
    <w:rsid w:val="00335CF3"/>
    <w:rsid w:val="00336715"/>
    <w:rsid w:val="00336787"/>
    <w:rsid w:val="003369B4"/>
    <w:rsid w:val="00337021"/>
    <w:rsid w:val="003401EC"/>
    <w:rsid w:val="00340DFD"/>
    <w:rsid w:val="00341DE1"/>
    <w:rsid w:val="0034475D"/>
    <w:rsid w:val="00344834"/>
    <w:rsid w:val="00344954"/>
    <w:rsid w:val="003454D2"/>
    <w:rsid w:val="00345DE8"/>
    <w:rsid w:val="0034650E"/>
    <w:rsid w:val="00346841"/>
    <w:rsid w:val="00350122"/>
    <w:rsid w:val="00350CD7"/>
    <w:rsid w:val="00354DEC"/>
    <w:rsid w:val="00355F2B"/>
    <w:rsid w:val="003565D2"/>
    <w:rsid w:val="003565D6"/>
    <w:rsid w:val="00356996"/>
    <w:rsid w:val="00356B53"/>
    <w:rsid w:val="00360C17"/>
    <w:rsid w:val="00360F78"/>
    <w:rsid w:val="0036180C"/>
    <w:rsid w:val="003621C6"/>
    <w:rsid w:val="003622B8"/>
    <w:rsid w:val="00362EE8"/>
    <w:rsid w:val="003633A6"/>
    <w:rsid w:val="00365167"/>
    <w:rsid w:val="00365906"/>
    <w:rsid w:val="00365FA8"/>
    <w:rsid w:val="00366B76"/>
    <w:rsid w:val="00366EB5"/>
    <w:rsid w:val="00371735"/>
    <w:rsid w:val="003725F7"/>
    <w:rsid w:val="00373051"/>
    <w:rsid w:val="00373B8F"/>
    <w:rsid w:val="00375506"/>
    <w:rsid w:val="00376698"/>
    <w:rsid w:val="00376800"/>
    <w:rsid w:val="00376D95"/>
    <w:rsid w:val="00377CA6"/>
    <w:rsid w:val="00377FBB"/>
    <w:rsid w:val="0038321D"/>
    <w:rsid w:val="0038494E"/>
    <w:rsid w:val="00385140"/>
    <w:rsid w:val="00390702"/>
    <w:rsid w:val="00391357"/>
    <w:rsid w:val="00393A7C"/>
    <w:rsid w:val="00393CC7"/>
    <w:rsid w:val="00394B72"/>
    <w:rsid w:val="00396302"/>
    <w:rsid w:val="003971F7"/>
    <w:rsid w:val="003A16FC"/>
    <w:rsid w:val="003A1CCD"/>
    <w:rsid w:val="003A251B"/>
    <w:rsid w:val="003A25E2"/>
    <w:rsid w:val="003A2C8A"/>
    <w:rsid w:val="003A3EA7"/>
    <w:rsid w:val="003A4FCD"/>
    <w:rsid w:val="003A579A"/>
    <w:rsid w:val="003B0944"/>
    <w:rsid w:val="003B1593"/>
    <w:rsid w:val="003B2EB7"/>
    <w:rsid w:val="003B3617"/>
    <w:rsid w:val="003B4279"/>
    <w:rsid w:val="003B4381"/>
    <w:rsid w:val="003B4AD2"/>
    <w:rsid w:val="003B63C4"/>
    <w:rsid w:val="003B6C32"/>
    <w:rsid w:val="003C1043"/>
    <w:rsid w:val="003C1983"/>
    <w:rsid w:val="003C1A30"/>
    <w:rsid w:val="003C3495"/>
    <w:rsid w:val="003C5505"/>
    <w:rsid w:val="003C5715"/>
    <w:rsid w:val="003C6779"/>
    <w:rsid w:val="003C71BE"/>
    <w:rsid w:val="003D033C"/>
    <w:rsid w:val="003D1139"/>
    <w:rsid w:val="003D1812"/>
    <w:rsid w:val="003D2998"/>
    <w:rsid w:val="003D2F0A"/>
    <w:rsid w:val="003D3891"/>
    <w:rsid w:val="003D3FE9"/>
    <w:rsid w:val="003D456A"/>
    <w:rsid w:val="003D54A6"/>
    <w:rsid w:val="003D5D84"/>
    <w:rsid w:val="003E0F4F"/>
    <w:rsid w:val="003E18AC"/>
    <w:rsid w:val="003E20FC"/>
    <w:rsid w:val="003E210B"/>
    <w:rsid w:val="003E2A12"/>
    <w:rsid w:val="003E3384"/>
    <w:rsid w:val="003E3CA4"/>
    <w:rsid w:val="003E5445"/>
    <w:rsid w:val="003E548E"/>
    <w:rsid w:val="003E5EF4"/>
    <w:rsid w:val="003E760D"/>
    <w:rsid w:val="003F1DFA"/>
    <w:rsid w:val="003F35B9"/>
    <w:rsid w:val="003F4731"/>
    <w:rsid w:val="003F7A2F"/>
    <w:rsid w:val="004011E4"/>
    <w:rsid w:val="00401BF3"/>
    <w:rsid w:val="0040275D"/>
    <w:rsid w:val="0040299F"/>
    <w:rsid w:val="00403C6E"/>
    <w:rsid w:val="004042AA"/>
    <w:rsid w:val="00404F8C"/>
    <w:rsid w:val="0040571F"/>
    <w:rsid w:val="00406C68"/>
    <w:rsid w:val="00407EC8"/>
    <w:rsid w:val="0041110A"/>
    <w:rsid w:val="00411624"/>
    <w:rsid w:val="00413000"/>
    <w:rsid w:val="004148E1"/>
    <w:rsid w:val="00414CFA"/>
    <w:rsid w:val="00415EC0"/>
    <w:rsid w:val="00415EEA"/>
    <w:rsid w:val="00416498"/>
    <w:rsid w:val="00420A8A"/>
    <w:rsid w:val="00420BE9"/>
    <w:rsid w:val="00423AD8"/>
    <w:rsid w:val="00423FDD"/>
    <w:rsid w:val="004242E3"/>
    <w:rsid w:val="00424A9D"/>
    <w:rsid w:val="00424C85"/>
    <w:rsid w:val="00424F89"/>
    <w:rsid w:val="004260BD"/>
    <w:rsid w:val="0043012F"/>
    <w:rsid w:val="00430F1F"/>
    <w:rsid w:val="0043180E"/>
    <w:rsid w:val="004326EA"/>
    <w:rsid w:val="00434045"/>
    <w:rsid w:val="00437A27"/>
    <w:rsid w:val="004400E8"/>
    <w:rsid w:val="00440338"/>
    <w:rsid w:val="00442E28"/>
    <w:rsid w:val="0044434C"/>
    <w:rsid w:val="0044456B"/>
    <w:rsid w:val="00445925"/>
    <w:rsid w:val="004463D3"/>
    <w:rsid w:val="00446C5A"/>
    <w:rsid w:val="00447BD1"/>
    <w:rsid w:val="004507F3"/>
    <w:rsid w:val="00450AF4"/>
    <w:rsid w:val="00456A57"/>
    <w:rsid w:val="00460093"/>
    <w:rsid w:val="00460377"/>
    <w:rsid w:val="004607DE"/>
    <w:rsid w:val="0046116C"/>
    <w:rsid w:val="004619F9"/>
    <w:rsid w:val="00462D66"/>
    <w:rsid w:val="004655B2"/>
    <w:rsid w:val="0046631C"/>
    <w:rsid w:val="004671C7"/>
    <w:rsid w:val="00470545"/>
    <w:rsid w:val="0047074C"/>
    <w:rsid w:val="004720D1"/>
    <w:rsid w:val="0047224C"/>
    <w:rsid w:val="00472F4D"/>
    <w:rsid w:val="004730BF"/>
    <w:rsid w:val="004749D7"/>
    <w:rsid w:val="00474B03"/>
    <w:rsid w:val="00474CEA"/>
    <w:rsid w:val="00474DCB"/>
    <w:rsid w:val="0047535C"/>
    <w:rsid w:val="00475D03"/>
    <w:rsid w:val="004762F6"/>
    <w:rsid w:val="00480A66"/>
    <w:rsid w:val="00480AD9"/>
    <w:rsid w:val="00482384"/>
    <w:rsid w:val="00484025"/>
    <w:rsid w:val="00484352"/>
    <w:rsid w:val="0048488D"/>
    <w:rsid w:val="00485870"/>
    <w:rsid w:val="00485ABA"/>
    <w:rsid w:val="00485D87"/>
    <w:rsid w:val="00485FE8"/>
    <w:rsid w:val="00492473"/>
    <w:rsid w:val="00492EB5"/>
    <w:rsid w:val="00494F77"/>
    <w:rsid w:val="00495B3C"/>
    <w:rsid w:val="00497721"/>
    <w:rsid w:val="004A0229"/>
    <w:rsid w:val="004A04AA"/>
    <w:rsid w:val="004A2825"/>
    <w:rsid w:val="004A317C"/>
    <w:rsid w:val="004A35D2"/>
    <w:rsid w:val="004A5D8E"/>
    <w:rsid w:val="004A6743"/>
    <w:rsid w:val="004A71E4"/>
    <w:rsid w:val="004A7C91"/>
    <w:rsid w:val="004B072D"/>
    <w:rsid w:val="004B1228"/>
    <w:rsid w:val="004B29B0"/>
    <w:rsid w:val="004B2F00"/>
    <w:rsid w:val="004B4471"/>
    <w:rsid w:val="004B48EC"/>
    <w:rsid w:val="004B4A51"/>
    <w:rsid w:val="004B57D2"/>
    <w:rsid w:val="004B5D7C"/>
    <w:rsid w:val="004B667A"/>
    <w:rsid w:val="004B6E31"/>
    <w:rsid w:val="004C0275"/>
    <w:rsid w:val="004C0AB4"/>
    <w:rsid w:val="004C0BEA"/>
    <w:rsid w:val="004C1D66"/>
    <w:rsid w:val="004C31D7"/>
    <w:rsid w:val="004C4AD2"/>
    <w:rsid w:val="004C50A6"/>
    <w:rsid w:val="004C6981"/>
    <w:rsid w:val="004C69D8"/>
    <w:rsid w:val="004D04D3"/>
    <w:rsid w:val="004D1C70"/>
    <w:rsid w:val="004D1F21"/>
    <w:rsid w:val="004D20B2"/>
    <w:rsid w:val="004D268C"/>
    <w:rsid w:val="004D3314"/>
    <w:rsid w:val="004D448F"/>
    <w:rsid w:val="004D59D8"/>
    <w:rsid w:val="004D5DA1"/>
    <w:rsid w:val="004D65FE"/>
    <w:rsid w:val="004D7910"/>
    <w:rsid w:val="004E150F"/>
    <w:rsid w:val="004E1DCA"/>
    <w:rsid w:val="004E23A1"/>
    <w:rsid w:val="004E3489"/>
    <w:rsid w:val="004E358A"/>
    <w:rsid w:val="004E3AFA"/>
    <w:rsid w:val="004E6588"/>
    <w:rsid w:val="004E7240"/>
    <w:rsid w:val="004F0BEB"/>
    <w:rsid w:val="004F2742"/>
    <w:rsid w:val="004F3D91"/>
    <w:rsid w:val="004F4653"/>
    <w:rsid w:val="004F64E8"/>
    <w:rsid w:val="005001B9"/>
    <w:rsid w:val="005012CF"/>
    <w:rsid w:val="00501501"/>
    <w:rsid w:val="00501995"/>
    <w:rsid w:val="00502A0A"/>
    <w:rsid w:val="005048FA"/>
    <w:rsid w:val="00507C50"/>
    <w:rsid w:val="00510EEC"/>
    <w:rsid w:val="00512632"/>
    <w:rsid w:val="00512B47"/>
    <w:rsid w:val="00514568"/>
    <w:rsid w:val="00514D40"/>
    <w:rsid w:val="00516391"/>
    <w:rsid w:val="00517C3A"/>
    <w:rsid w:val="00521994"/>
    <w:rsid w:val="00522282"/>
    <w:rsid w:val="0052550C"/>
    <w:rsid w:val="00525B60"/>
    <w:rsid w:val="00527AA2"/>
    <w:rsid w:val="00527BF4"/>
    <w:rsid w:val="005308AE"/>
    <w:rsid w:val="005324BE"/>
    <w:rsid w:val="00532C5F"/>
    <w:rsid w:val="0053354F"/>
    <w:rsid w:val="00534590"/>
    <w:rsid w:val="005346BA"/>
    <w:rsid w:val="00534F6C"/>
    <w:rsid w:val="00535994"/>
    <w:rsid w:val="0053646D"/>
    <w:rsid w:val="00536D67"/>
    <w:rsid w:val="00540AAD"/>
    <w:rsid w:val="00542021"/>
    <w:rsid w:val="00543EC1"/>
    <w:rsid w:val="0054615E"/>
    <w:rsid w:val="00546458"/>
    <w:rsid w:val="0054767B"/>
    <w:rsid w:val="0055087C"/>
    <w:rsid w:val="00551544"/>
    <w:rsid w:val="00551CAB"/>
    <w:rsid w:val="00553413"/>
    <w:rsid w:val="00555983"/>
    <w:rsid w:val="00556DFF"/>
    <w:rsid w:val="00557F35"/>
    <w:rsid w:val="00560E31"/>
    <w:rsid w:val="00561636"/>
    <w:rsid w:val="005618F0"/>
    <w:rsid w:val="00561BDA"/>
    <w:rsid w:val="00561EB6"/>
    <w:rsid w:val="005633FF"/>
    <w:rsid w:val="0056489C"/>
    <w:rsid w:val="00564C03"/>
    <w:rsid w:val="00565174"/>
    <w:rsid w:val="00565332"/>
    <w:rsid w:val="00565571"/>
    <w:rsid w:val="00565F26"/>
    <w:rsid w:val="00566FCE"/>
    <w:rsid w:val="00567DBF"/>
    <w:rsid w:val="00570364"/>
    <w:rsid w:val="00570898"/>
    <w:rsid w:val="00575565"/>
    <w:rsid w:val="00580888"/>
    <w:rsid w:val="00581B23"/>
    <w:rsid w:val="0058219C"/>
    <w:rsid w:val="005824E0"/>
    <w:rsid w:val="005838B0"/>
    <w:rsid w:val="0058707F"/>
    <w:rsid w:val="00587CD4"/>
    <w:rsid w:val="005912E2"/>
    <w:rsid w:val="0059155E"/>
    <w:rsid w:val="00591738"/>
    <w:rsid w:val="00591DBD"/>
    <w:rsid w:val="005931FE"/>
    <w:rsid w:val="00593B99"/>
    <w:rsid w:val="005A0028"/>
    <w:rsid w:val="005A0147"/>
    <w:rsid w:val="005A0300"/>
    <w:rsid w:val="005A0ACC"/>
    <w:rsid w:val="005A193B"/>
    <w:rsid w:val="005A2F7A"/>
    <w:rsid w:val="005A3DF2"/>
    <w:rsid w:val="005A3E0B"/>
    <w:rsid w:val="005A3E84"/>
    <w:rsid w:val="005A5F3A"/>
    <w:rsid w:val="005A6164"/>
    <w:rsid w:val="005B0072"/>
    <w:rsid w:val="005B0732"/>
    <w:rsid w:val="005B0877"/>
    <w:rsid w:val="005B1036"/>
    <w:rsid w:val="005B38A0"/>
    <w:rsid w:val="005B491C"/>
    <w:rsid w:val="005B4DBF"/>
    <w:rsid w:val="005B5DE2"/>
    <w:rsid w:val="005B674C"/>
    <w:rsid w:val="005B7305"/>
    <w:rsid w:val="005B79AF"/>
    <w:rsid w:val="005C24F2"/>
    <w:rsid w:val="005C4564"/>
    <w:rsid w:val="005C52F7"/>
    <w:rsid w:val="005C62C3"/>
    <w:rsid w:val="005C70DC"/>
    <w:rsid w:val="005C7561"/>
    <w:rsid w:val="005C7CE3"/>
    <w:rsid w:val="005D1E57"/>
    <w:rsid w:val="005D235F"/>
    <w:rsid w:val="005D2F57"/>
    <w:rsid w:val="005D34F6"/>
    <w:rsid w:val="005D4F1A"/>
    <w:rsid w:val="005D58D1"/>
    <w:rsid w:val="005D66BD"/>
    <w:rsid w:val="005D7CB1"/>
    <w:rsid w:val="005D7F9A"/>
    <w:rsid w:val="005E018A"/>
    <w:rsid w:val="005E1884"/>
    <w:rsid w:val="005E1C25"/>
    <w:rsid w:val="005E1E0F"/>
    <w:rsid w:val="005E2BD8"/>
    <w:rsid w:val="005E3AE0"/>
    <w:rsid w:val="005E792C"/>
    <w:rsid w:val="005F211C"/>
    <w:rsid w:val="005F336C"/>
    <w:rsid w:val="005F373A"/>
    <w:rsid w:val="005F3B89"/>
    <w:rsid w:val="005F46F2"/>
    <w:rsid w:val="005F4F87"/>
    <w:rsid w:val="005F6016"/>
    <w:rsid w:val="005F6B0E"/>
    <w:rsid w:val="005F760E"/>
    <w:rsid w:val="005F7B1D"/>
    <w:rsid w:val="0060222A"/>
    <w:rsid w:val="00603F1D"/>
    <w:rsid w:val="006057F7"/>
    <w:rsid w:val="0060706A"/>
    <w:rsid w:val="006070C4"/>
    <w:rsid w:val="00607954"/>
    <w:rsid w:val="00610149"/>
    <w:rsid w:val="006107DA"/>
    <w:rsid w:val="00610C21"/>
    <w:rsid w:val="00610E25"/>
    <w:rsid w:val="00611907"/>
    <w:rsid w:val="00612443"/>
    <w:rsid w:val="00613116"/>
    <w:rsid w:val="006160D0"/>
    <w:rsid w:val="006175C6"/>
    <w:rsid w:val="006202A6"/>
    <w:rsid w:val="0062054B"/>
    <w:rsid w:val="00620926"/>
    <w:rsid w:val="006216E8"/>
    <w:rsid w:val="00621C4E"/>
    <w:rsid w:val="00621D24"/>
    <w:rsid w:val="006238C7"/>
    <w:rsid w:val="006240A4"/>
    <w:rsid w:val="00624EAE"/>
    <w:rsid w:val="00625D5B"/>
    <w:rsid w:val="00626962"/>
    <w:rsid w:val="00626C40"/>
    <w:rsid w:val="00627154"/>
    <w:rsid w:val="006305D7"/>
    <w:rsid w:val="00632F63"/>
    <w:rsid w:val="00633A01"/>
    <w:rsid w:val="00633B97"/>
    <w:rsid w:val="006341F7"/>
    <w:rsid w:val="00634585"/>
    <w:rsid w:val="00635014"/>
    <w:rsid w:val="00635150"/>
    <w:rsid w:val="006351F9"/>
    <w:rsid w:val="006369CE"/>
    <w:rsid w:val="0063796F"/>
    <w:rsid w:val="006411CA"/>
    <w:rsid w:val="00641391"/>
    <w:rsid w:val="00641CAE"/>
    <w:rsid w:val="00642290"/>
    <w:rsid w:val="00643B40"/>
    <w:rsid w:val="006450C9"/>
    <w:rsid w:val="006454FC"/>
    <w:rsid w:val="006455F6"/>
    <w:rsid w:val="00645AF1"/>
    <w:rsid w:val="0064605E"/>
    <w:rsid w:val="0064738A"/>
    <w:rsid w:val="00651689"/>
    <w:rsid w:val="00651E86"/>
    <w:rsid w:val="006534E1"/>
    <w:rsid w:val="00653830"/>
    <w:rsid w:val="00653C56"/>
    <w:rsid w:val="00654528"/>
    <w:rsid w:val="00656680"/>
    <w:rsid w:val="00656B66"/>
    <w:rsid w:val="00657BC4"/>
    <w:rsid w:val="0065CAFF"/>
    <w:rsid w:val="00660EAB"/>
    <w:rsid w:val="006610D3"/>
    <w:rsid w:val="0066151E"/>
    <w:rsid w:val="006619C8"/>
    <w:rsid w:val="00662D3A"/>
    <w:rsid w:val="00663C69"/>
    <w:rsid w:val="0066480E"/>
    <w:rsid w:val="00664965"/>
    <w:rsid w:val="00666365"/>
    <w:rsid w:val="006711F6"/>
    <w:rsid w:val="00671710"/>
    <w:rsid w:val="00671766"/>
    <w:rsid w:val="00671D41"/>
    <w:rsid w:val="0067327C"/>
    <w:rsid w:val="00673414"/>
    <w:rsid w:val="00673EB0"/>
    <w:rsid w:val="006759DC"/>
    <w:rsid w:val="00675D82"/>
    <w:rsid w:val="00676079"/>
    <w:rsid w:val="00676697"/>
    <w:rsid w:val="00676ECD"/>
    <w:rsid w:val="00677D0A"/>
    <w:rsid w:val="0068185F"/>
    <w:rsid w:val="00686056"/>
    <w:rsid w:val="00691F47"/>
    <w:rsid w:val="00692C3E"/>
    <w:rsid w:val="00693223"/>
    <w:rsid w:val="0069406F"/>
    <w:rsid w:val="00694A6C"/>
    <w:rsid w:val="006956AF"/>
    <w:rsid w:val="006956B9"/>
    <w:rsid w:val="00696C8A"/>
    <w:rsid w:val="006A01CF"/>
    <w:rsid w:val="006A109F"/>
    <w:rsid w:val="006A2908"/>
    <w:rsid w:val="006A33B4"/>
    <w:rsid w:val="006A46AA"/>
    <w:rsid w:val="006A60DD"/>
    <w:rsid w:val="006A61B2"/>
    <w:rsid w:val="006A6585"/>
    <w:rsid w:val="006A65D8"/>
    <w:rsid w:val="006A709B"/>
    <w:rsid w:val="006B038A"/>
    <w:rsid w:val="006B03CE"/>
    <w:rsid w:val="006B0679"/>
    <w:rsid w:val="006B074C"/>
    <w:rsid w:val="006B2FA4"/>
    <w:rsid w:val="006B3B84"/>
    <w:rsid w:val="006B4E7C"/>
    <w:rsid w:val="006B5D8C"/>
    <w:rsid w:val="006B62FE"/>
    <w:rsid w:val="006B6C35"/>
    <w:rsid w:val="006B72D4"/>
    <w:rsid w:val="006C11CC"/>
    <w:rsid w:val="006C1AEB"/>
    <w:rsid w:val="006C57FE"/>
    <w:rsid w:val="006C668E"/>
    <w:rsid w:val="006C7413"/>
    <w:rsid w:val="006D1820"/>
    <w:rsid w:val="006D1BFF"/>
    <w:rsid w:val="006D31A7"/>
    <w:rsid w:val="006D60C0"/>
    <w:rsid w:val="006E4B63"/>
    <w:rsid w:val="006E588C"/>
    <w:rsid w:val="006E7D4B"/>
    <w:rsid w:val="006E7F98"/>
    <w:rsid w:val="006F06E4"/>
    <w:rsid w:val="006F2438"/>
    <w:rsid w:val="006F29DE"/>
    <w:rsid w:val="006F365C"/>
    <w:rsid w:val="006F4DD2"/>
    <w:rsid w:val="006F709B"/>
    <w:rsid w:val="006F7B41"/>
    <w:rsid w:val="006F7F53"/>
    <w:rsid w:val="006F9365"/>
    <w:rsid w:val="00700045"/>
    <w:rsid w:val="007015BB"/>
    <w:rsid w:val="00702635"/>
    <w:rsid w:val="00702B5D"/>
    <w:rsid w:val="0070388A"/>
    <w:rsid w:val="00703AE7"/>
    <w:rsid w:val="00703ED2"/>
    <w:rsid w:val="007053DC"/>
    <w:rsid w:val="00706E68"/>
    <w:rsid w:val="00707B8D"/>
    <w:rsid w:val="00712096"/>
    <w:rsid w:val="00713636"/>
    <w:rsid w:val="00714B8C"/>
    <w:rsid w:val="0071675D"/>
    <w:rsid w:val="0071700F"/>
    <w:rsid w:val="00717736"/>
    <w:rsid w:val="007212AE"/>
    <w:rsid w:val="007226B2"/>
    <w:rsid w:val="00722B84"/>
    <w:rsid w:val="0072365A"/>
    <w:rsid w:val="00723883"/>
    <w:rsid w:val="00726F72"/>
    <w:rsid w:val="00727233"/>
    <w:rsid w:val="007275EF"/>
    <w:rsid w:val="00730CFF"/>
    <w:rsid w:val="00732B47"/>
    <w:rsid w:val="007346EF"/>
    <w:rsid w:val="007349F1"/>
    <w:rsid w:val="00735199"/>
    <w:rsid w:val="007357C2"/>
    <w:rsid w:val="0073590D"/>
    <w:rsid w:val="00735CF5"/>
    <w:rsid w:val="00737D0F"/>
    <w:rsid w:val="007404E6"/>
    <w:rsid w:val="0074063A"/>
    <w:rsid w:val="00742539"/>
    <w:rsid w:val="00742AA4"/>
    <w:rsid w:val="00742B42"/>
    <w:rsid w:val="00743BA1"/>
    <w:rsid w:val="00745F1E"/>
    <w:rsid w:val="007515FE"/>
    <w:rsid w:val="007547BC"/>
    <w:rsid w:val="007551F2"/>
    <w:rsid w:val="007552C5"/>
    <w:rsid w:val="00756C75"/>
    <w:rsid w:val="00757336"/>
    <w:rsid w:val="007601D0"/>
    <w:rsid w:val="007603BB"/>
    <w:rsid w:val="007609FC"/>
    <w:rsid w:val="0076109D"/>
    <w:rsid w:val="00762E72"/>
    <w:rsid w:val="007650AA"/>
    <w:rsid w:val="00767107"/>
    <w:rsid w:val="00770A76"/>
    <w:rsid w:val="007723BF"/>
    <w:rsid w:val="00773617"/>
    <w:rsid w:val="00773BFD"/>
    <w:rsid w:val="007743B3"/>
    <w:rsid w:val="00774490"/>
    <w:rsid w:val="00775743"/>
    <w:rsid w:val="0077581E"/>
    <w:rsid w:val="00775BA6"/>
    <w:rsid w:val="0077741E"/>
    <w:rsid w:val="0078057C"/>
    <w:rsid w:val="00780C82"/>
    <w:rsid w:val="007819FF"/>
    <w:rsid w:val="007827EF"/>
    <w:rsid w:val="0078360C"/>
    <w:rsid w:val="00783FFA"/>
    <w:rsid w:val="00784A4C"/>
    <w:rsid w:val="00784BC6"/>
    <w:rsid w:val="00784D98"/>
    <w:rsid w:val="00784FB6"/>
    <w:rsid w:val="0078523D"/>
    <w:rsid w:val="00785DBD"/>
    <w:rsid w:val="00785DD5"/>
    <w:rsid w:val="007860E2"/>
    <w:rsid w:val="007879FD"/>
    <w:rsid w:val="007905C2"/>
    <w:rsid w:val="00790823"/>
    <w:rsid w:val="00792DAC"/>
    <w:rsid w:val="007931DF"/>
    <w:rsid w:val="00793A81"/>
    <w:rsid w:val="00794A04"/>
    <w:rsid w:val="007966FB"/>
    <w:rsid w:val="00796856"/>
    <w:rsid w:val="007973A4"/>
    <w:rsid w:val="00797CC5"/>
    <w:rsid w:val="007A0172"/>
    <w:rsid w:val="007A1804"/>
    <w:rsid w:val="007A1C25"/>
    <w:rsid w:val="007A1E9E"/>
    <w:rsid w:val="007A215A"/>
    <w:rsid w:val="007A2511"/>
    <w:rsid w:val="007A260E"/>
    <w:rsid w:val="007A3638"/>
    <w:rsid w:val="007A3A44"/>
    <w:rsid w:val="007A4523"/>
    <w:rsid w:val="007A4D4C"/>
    <w:rsid w:val="007A4DD6"/>
    <w:rsid w:val="007A5C33"/>
    <w:rsid w:val="007A5CB9"/>
    <w:rsid w:val="007A782E"/>
    <w:rsid w:val="007A78A1"/>
    <w:rsid w:val="007B15D1"/>
    <w:rsid w:val="007B1DCB"/>
    <w:rsid w:val="007B20AE"/>
    <w:rsid w:val="007B2710"/>
    <w:rsid w:val="007B4D47"/>
    <w:rsid w:val="007B4D85"/>
    <w:rsid w:val="007B6B07"/>
    <w:rsid w:val="007B6D43"/>
    <w:rsid w:val="007B749A"/>
    <w:rsid w:val="007B7C6E"/>
    <w:rsid w:val="007C0AE3"/>
    <w:rsid w:val="007C13E2"/>
    <w:rsid w:val="007C2EF7"/>
    <w:rsid w:val="007C64D8"/>
    <w:rsid w:val="007D0204"/>
    <w:rsid w:val="007D2C31"/>
    <w:rsid w:val="007D2C89"/>
    <w:rsid w:val="007D32FA"/>
    <w:rsid w:val="007D39FE"/>
    <w:rsid w:val="007D44D7"/>
    <w:rsid w:val="007D4ADF"/>
    <w:rsid w:val="007D621A"/>
    <w:rsid w:val="007D7482"/>
    <w:rsid w:val="007E058A"/>
    <w:rsid w:val="007E1887"/>
    <w:rsid w:val="007E1F8A"/>
    <w:rsid w:val="007E2107"/>
    <w:rsid w:val="007E2887"/>
    <w:rsid w:val="007E2B73"/>
    <w:rsid w:val="007E3227"/>
    <w:rsid w:val="007E3281"/>
    <w:rsid w:val="007E4812"/>
    <w:rsid w:val="007E506F"/>
    <w:rsid w:val="007E5278"/>
    <w:rsid w:val="007E749C"/>
    <w:rsid w:val="007F15CF"/>
    <w:rsid w:val="007F1B5C"/>
    <w:rsid w:val="007F2554"/>
    <w:rsid w:val="007F4178"/>
    <w:rsid w:val="007F5098"/>
    <w:rsid w:val="007F65F0"/>
    <w:rsid w:val="00801257"/>
    <w:rsid w:val="00802691"/>
    <w:rsid w:val="00803B0A"/>
    <w:rsid w:val="00803B97"/>
    <w:rsid w:val="00804DED"/>
    <w:rsid w:val="00805B92"/>
    <w:rsid w:val="00805B96"/>
    <w:rsid w:val="008067F5"/>
    <w:rsid w:val="00806AB1"/>
    <w:rsid w:val="008105BE"/>
    <w:rsid w:val="008115A5"/>
    <w:rsid w:val="00811BC6"/>
    <w:rsid w:val="00811D46"/>
    <w:rsid w:val="00813780"/>
    <w:rsid w:val="0081415D"/>
    <w:rsid w:val="008156D4"/>
    <w:rsid w:val="00816A75"/>
    <w:rsid w:val="00820101"/>
    <w:rsid w:val="00820229"/>
    <w:rsid w:val="00820CC4"/>
    <w:rsid w:val="0082187B"/>
    <w:rsid w:val="008218BA"/>
    <w:rsid w:val="00822448"/>
    <w:rsid w:val="00822ABE"/>
    <w:rsid w:val="00822C3F"/>
    <w:rsid w:val="008244D1"/>
    <w:rsid w:val="0082567E"/>
    <w:rsid w:val="00827F51"/>
    <w:rsid w:val="008304A4"/>
    <w:rsid w:val="0083104E"/>
    <w:rsid w:val="00831A79"/>
    <w:rsid w:val="00833A8F"/>
    <w:rsid w:val="008343BE"/>
    <w:rsid w:val="0083490F"/>
    <w:rsid w:val="008356B5"/>
    <w:rsid w:val="00836535"/>
    <w:rsid w:val="00837866"/>
    <w:rsid w:val="00837A51"/>
    <w:rsid w:val="00840698"/>
    <w:rsid w:val="00840FB4"/>
    <w:rsid w:val="008410B2"/>
    <w:rsid w:val="00841780"/>
    <w:rsid w:val="008429B6"/>
    <w:rsid w:val="008448CA"/>
    <w:rsid w:val="00847B36"/>
    <w:rsid w:val="00847C4F"/>
    <w:rsid w:val="00847FB1"/>
    <w:rsid w:val="008500A0"/>
    <w:rsid w:val="008524E5"/>
    <w:rsid w:val="0085351C"/>
    <w:rsid w:val="0085435A"/>
    <w:rsid w:val="008549CA"/>
    <w:rsid w:val="008556C3"/>
    <w:rsid w:val="008558A6"/>
    <w:rsid w:val="0085687C"/>
    <w:rsid w:val="00857CB0"/>
    <w:rsid w:val="00860F06"/>
    <w:rsid w:val="008611C1"/>
    <w:rsid w:val="00862CEE"/>
    <w:rsid w:val="008644EF"/>
    <w:rsid w:val="00870368"/>
    <w:rsid w:val="008706C5"/>
    <w:rsid w:val="008727BD"/>
    <w:rsid w:val="008734A7"/>
    <w:rsid w:val="00873707"/>
    <w:rsid w:val="00873B78"/>
    <w:rsid w:val="00873B7A"/>
    <w:rsid w:val="00874701"/>
    <w:rsid w:val="00874AAD"/>
    <w:rsid w:val="00874B20"/>
    <w:rsid w:val="00875462"/>
    <w:rsid w:val="008757C6"/>
    <w:rsid w:val="008763E1"/>
    <w:rsid w:val="0087775C"/>
    <w:rsid w:val="00877EC8"/>
    <w:rsid w:val="00880F36"/>
    <w:rsid w:val="008822FB"/>
    <w:rsid w:val="008831D2"/>
    <w:rsid w:val="00885530"/>
    <w:rsid w:val="00885F6E"/>
    <w:rsid w:val="008872B2"/>
    <w:rsid w:val="00890FF6"/>
    <w:rsid w:val="008910D1"/>
    <w:rsid w:val="0089296C"/>
    <w:rsid w:val="00896540"/>
    <w:rsid w:val="00896ABD"/>
    <w:rsid w:val="00897AB6"/>
    <w:rsid w:val="00897DA8"/>
    <w:rsid w:val="008A1BC1"/>
    <w:rsid w:val="008A1D00"/>
    <w:rsid w:val="008A2D43"/>
    <w:rsid w:val="008A3380"/>
    <w:rsid w:val="008A3741"/>
    <w:rsid w:val="008A39FA"/>
    <w:rsid w:val="008A4C8C"/>
    <w:rsid w:val="008A7A9C"/>
    <w:rsid w:val="008B136A"/>
    <w:rsid w:val="008B3645"/>
    <w:rsid w:val="008B4300"/>
    <w:rsid w:val="008B5218"/>
    <w:rsid w:val="008B7102"/>
    <w:rsid w:val="008C2451"/>
    <w:rsid w:val="008C3B7D"/>
    <w:rsid w:val="008C762E"/>
    <w:rsid w:val="008C7BA1"/>
    <w:rsid w:val="008C7BAF"/>
    <w:rsid w:val="008D0068"/>
    <w:rsid w:val="008D0F90"/>
    <w:rsid w:val="008D3715"/>
    <w:rsid w:val="008D5465"/>
    <w:rsid w:val="008D576E"/>
    <w:rsid w:val="008D5E61"/>
    <w:rsid w:val="008D7EB7"/>
    <w:rsid w:val="008D7EC5"/>
    <w:rsid w:val="008E0144"/>
    <w:rsid w:val="008E24B9"/>
    <w:rsid w:val="008E3670"/>
    <w:rsid w:val="008E3684"/>
    <w:rsid w:val="008E51E0"/>
    <w:rsid w:val="008E57F5"/>
    <w:rsid w:val="008E633E"/>
    <w:rsid w:val="008E7606"/>
    <w:rsid w:val="008F1DAA"/>
    <w:rsid w:val="008F3A57"/>
    <w:rsid w:val="008F3EBD"/>
    <w:rsid w:val="008F4D97"/>
    <w:rsid w:val="008F60B2"/>
    <w:rsid w:val="008F6EBB"/>
    <w:rsid w:val="008F7C41"/>
    <w:rsid w:val="00901C70"/>
    <w:rsid w:val="00902043"/>
    <w:rsid w:val="009031E2"/>
    <w:rsid w:val="00903675"/>
    <w:rsid w:val="009040FA"/>
    <w:rsid w:val="00905329"/>
    <w:rsid w:val="00905402"/>
    <w:rsid w:val="009112B9"/>
    <w:rsid w:val="00912165"/>
    <w:rsid w:val="0091276C"/>
    <w:rsid w:val="0091278C"/>
    <w:rsid w:val="009145BE"/>
    <w:rsid w:val="00914DD0"/>
    <w:rsid w:val="00914E5B"/>
    <w:rsid w:val="00915F76"/>
    <w:rsid w:val="00916178"/>
    <w:rsid w:val="009165AC"/>
    <w:rsid w:val="00916FFC"/>
    <w:rsid w:val="0092053F"/>
    <w:rsid w:val="00920D41"/>
    <w:rsid w:val="0092340A"/>
    <w:rsid w:val="009237F5"/>
    <w:rsid w:val="0092584A"/>
    <w:rsid w:val="0092702E"/>
    <w:rsid w:val="00927DD6"/>
    <w:rsid w:val="009313D9"/>
    <w:rsid w:val="009338E8"/>
    <w:rsid w:val="00934227"/>
    <w:rsid w:val="00935B7F"/>
    <w:rsid w:val="0093664B"/>
    <w:rsid w:val="009378F4"/>
    <w:rsid w:val="00940BF8"/>
    <w:rsid w:val="00941293"/>
    <w:rsid w:val="00941F4C"/>
    <w:rsid w:val="00946372"/>
    <w:rsid w:val="009478BC"/>
    <w:rsid w:val="009502BD"/>
    <w:rsid w:val="009502C1"/>
    <w:rsid w:val="0095032B"/>
    <w:rsid w:val="00950B13"/>
    <w:rsid w:val="00950C17"/>
    <w:rsid w:val="00951FAF"/>
    <w:rsid w:val="00954361"/>
    <w:rsid w:val="00954532"/>
    <w:rsid w:val="00954740"/>
    <w:rsid w:val="0095491E"/>
    <w:rsid w:val="009557BC"/>
    <w:rsid w:val="00955AE5"/>
    <w:rsid w:val="00956AC5"/>
    <w:rsid w:val="00956C66"/>
    <w:rsid w:val="00957005"/>
    <w:rsid w:val="009611DD"/>
    <w:rsid w:val="00962125"/>
    <w:rsid w:val="00962E71"/>
    <w:rsid w:val="009638C2"/>
    <w:rsid w:val="00963ABC"/>
    <w:rsid w:val="00965D21"/>
    <w:rsid w:val="00967764"/>
    <w:rsid w:val="00970B0E"/>
    <w:rsid w:val="00970BB9"/>
    <w:rsid w:val="00970BCF"/>
    <w:rsid w:val="009726EE"/>
    <w:rsid w:val="00972CDE"/>
    <w:rsid w:val="009733DD"/>
    <w:rsid w:val="00974A5B"/>
    <w:rsid w:val="00975573"/>
    <w:rsid w:val="00976D03"/>
    <w:rsid w:val="00977B30"/>
    <w:rsid w:val="00980937"/>
    <w:rsid w:val="00980DFD"/>
    <w:rsid w:val="009813B1"/>
    <w:rsid w:val="00982F41"/>
    <w:rsid w:val="00983DCC"/>
    <w:rsid w:val="00985090"/>
    <w:rsid w:val="00987710"/>
    <w:rsid w:val="009904AB"/>
    <w:rsid w:val="0099160F"/>
    <w:rsid w:val="0099268A"/>
    <w:rsid w:val="00992C12"/>
    <w:rsid w:val="00993768"/>
    <w:rsid w:val="00993F66"/>
    <w:rsid w:val="00995688"/>
    <w:rsid w:val="009958A6"/>
    <w:rsid w:val="00996456"/>
    <w:rsid w:val="009A028C"/>
    <w:rsid w:val="009A04F5"/>
    <w:rsid w:val="009A15EF"/>
    <w:rsid w:val="009A1CD1"/>
    <w:rsid w:val="009A38A5"/>
    <w:rsid w:val="009A4A96"/>
    <w:rsid w:val="009A5B73"/>
    <w:rsid w:val="009A6AAF"/>
    <w:rsid w:val="009A71BA"/>
    <w:rsid w:val="009A7B9B"/>
    <w:rsid w:val="009B0613"/>
    <w:rsid w:val="009B077B"/>
    <w:rsid w:val="009B0CE0"/>
    <w:rsid w:val="009B118B"/>
    <w:rsid w:val="009B1737"/>
    <w:rsid w:val="009B1916"/>
    <w:rsid w:val="009B1BD9"/>
    <w:rsid w:val="009B30FD"/>
    <w:rsid w:val="009B3D4B"/>
    <w:rsid w:val="009B4E63"/>
    <w:rsid w:val="009B5B99"/>
    <w:rsid w:val="009B6956"/>
    <w:rsid w:val="009B6E0B"/>
    <w:rsid w:val="009B6EFC"/>
    <w:rsid w:val="009C0B39"/>
    <w:rsid w:val="009C1884"/>
    <w:rsid w:val="009C1FD0"/>
    <w:rsid w:val="009C2981"/>
    <w:rsid w:val="009C2DF8"/>
    <w:rsid w:val="009C31BF"/>
    <w:rsid w:val="009C5C6B"/>
    <w:rsid w:val="009C68B7"/>
    <w:rsid w:val="009D0834"/>
    <w:rsid w:val="009D095A"/>
    <w:rsid w:val="009D0A1E"/>
    <w:rsid w:val="009D29BB"/>
    <w:rsid w:val="009D2AE3"/>
    <w:rsid w:val="009D3710"/>
    <w:rsid w:val="009D52BC"/>
    <w:rsid w:val="009D7D0A"/>
    <w:rsid w:val="009E09D9"/>
    <w:rsid w:val="009E0E2C"/>
    <w:rsid w:val="009E164F"/>
    <w:rsid w:val="009E22D1"/>
    <w:rsid w:val="009E5602"/>
    <w:rsid w:val="009E5869"/>
    <w:rsid w:val="009E7237"/>
    <w:rsid w:val="009E78B6"/>
    <w:rsid w:val="009F01B1"/>
    <w:rsid w:val="009F0374"/>
    <w:rsid w:val="009F0DBB"/>
    <w:rsid w:val="009F3887"/>
    <w:rsid w:val="009F40DC"/>
    <w:rsid w:val="009F5A99"/>
    <w:rsid w:val="009F659A"/>
    <w:rsid w:val="009F65F7"/>
    <w:rsid w:val="009F732B"/>
    <w:rsid w:val="00A00DBC"/>
    <w:rsid w:val="00A00FE0"/>
    <w:rsid w:val="00A01FE0"/>
    <w:rsid w:val="00A02262"/>
    <w:rsid w:val="00A03C43"/>
    <w:rsid w:val="00A047B5"/>
    <w:rsid w:val="00A055C5"/>
    <w:rsid w:val="00A05B45"/>
    <w:rsid w:val="00A0693F"/>
    <w:rsid w:val="00A06945"/>
    <w:rsid w:val="00A07055"/>
    <w:rsid w:val="00A070DF"/>
    <w:rsid w:val="00A10656"/>
    <w:rsid w:val="00A1138F"/>
    <w:rsid w:val="00A113C0"/>
    <w:rsid w:val="00A11F46"/>
    <w:rsid w:val="00A12CF1"/>
    <w:rsid w:val="00A12FA6"/>
    <w:rsid w:val="00A1339B"/>
    <w:rsid w:val="00A14ABA"/>
    <w:rsid w:val="00A15A35"/>
    <w:rsid w:val="00A1759E"/>
    <w:rsid w:val="00A20698"/>
    <w:rsid w:val="00A22F98"/>
    <w:rsid w:val="00A2319E"/>
    <w:rsid w:val="00A24CB6"/>
    <w:rsid w:val="00A250FF"/>
    <w:rsid w:val="00A257C9"/>
    <w:rsid w:val="00A25865"/>
    <w:rsid w:val="00A25EEC"/>
    <w:rsid w:val="00A26CD2"/>
    <w:rsid w:val="00A272F1"/>
    <w:rsid w:val="00A27667"/>
    <w:rsid w:val="00A32979"/>
    <w:rsid w:val="00A32D4B"/>
    <w:rsid w:val="00A34A67"/>
    <w:rsid w:val="00A34BEF"/>
    <w:rsid w:val="00A36163"/>
    <w:rsid w:val="00A37462"/>
    <w:rsid w:val="00A37746"/>
    <w:rsid w:val="00A459E1"/>
    <w:rsid w:val="00A46095"/>
    <w:rsid w:val="00A46AC4"/>
    <w:rsid w:val="00A478A5"/>
    <w:rsid w:val="00A514D4"/>
    <w:rsid w:val="00A51A03"/>
    <w:rsid w:val="00A51BC7"/>
    <w:rsid w:val="00A51CB4"/>
    <w:rsid w:val="00A52296"/>
    <w:rsid w:val="00A5350C"/>
    <w:rsid w:val="00A54711"/>
    <w:rsid w:val="00A54F69"/>
    <w:rsid w:val="00A55661"/>
    <w:rsid w:val="00A55D1E"/>
    <w:rsid w:val="00A56E70"/>
    <w:rsid w:val="00A60570"/>
    <w:rsid w:val="00A60BD5"/>
    <w:rsid w:val="00A61B70"/>
    <w:rsid w:val="00A61DA5"/>
    <w:rsid w:val="00A61FA8"/>
    <w:rsid w:val="00A62DCE"/>
    <w:rsid w:val="00A637F4"/>
    <w:rsid w:val="00A642BC"/>
    <w:rsid w:val="00A64DF2"/>
    <w:rsid w:val="00A65485"/>
    <w:rsid w:val="00A66E05"/>
    <w:rsid w:val="00A67655"/>
    <w:rsid w:val="00A70753"/>
    <w:rsid w:val="00A712D2"/>
    <w:rsid w:val="00A72441"/>
    <w:rsid w:val="00A7260F"/>
    <w:rsid w:val="00A753F8"/>
    <w:rsid w:val="00A75A64"/>
    <w:rsid w:val="00A763AC"/>
    <w:rsid w:val="00A764FD"/>
    <w:rsid w:val="00A805BA"/>
    <w:rsid w:val="00A8279D"/>
    <w:rsid w:val="00A82C8A"/>
    <w:rsid w:val="00A8346B"/>
    <w:rsid w:val="00A84DA7"/>
    <w:rsid w:val="00A852FF"/>
    <w:rsid w:val="00A871D8"/>
    <w:rsid w:val="00A87337"/>
    <w:rsid w:val="00A907DB"/>
    <w:rsid w:val="00A90C97"/>
    <w:rsid w:val="00A91456"/>
    <w:rsid w:val="00A92DDC"/>
    <w:rsid w:val="00A94398"/>
    <w:rsid w:val="00A9451D"/>
    <w:rsid w:val="00A9456B"/>
    <w:rsid w:val="00A94A53"/>
    <w:rsid w:val="00A960C8"/>
    <w:rsid w:val="00A96604"/>
    <w:rsid w:val="00A97879"/>
    <w:rsid w:val="00AA03DF"/>
    <w:rsid w:val="00AA0B29"/>
    <w:rsid w:val="00AA0C0F"/>
    <w:rsid w:val="00AA1B4F"/>
    <w:rsid w:val="00AA21D8"/>
    <w:rsid w:val="00AA271A"/>
    <w:rsid w:val="00AA29A1"/>
    <w:rsid w:val="00AA2FA4"/>
    <w:rsid w:val="00AA3270"/>
    <w:rsid w:val="00AA375A"/>
    <w:rsid w:val="00AA3B20"/>
    <w:rsid w:val="00AA3D07"/>
    <w:rsid w:val="00AA52E6"/>
    <w:rsid w:val="00AA54F3"/>
    <w:rsid w:val="00AA6B43"/>
    <w:rsid w:val="00AA720D"/>
    <w:rsid w:val="00AA7B1F"/>
    <w:rsid w:val="00AB23E1"/>
    <w:rsid w:val="00AB2EED"/>
    <w:rsid w:val="00AB3145"/>
    <w:rsid w:val="00AB367A"/>
    <w:rsid w:val="00AB3693"/>
    <w:rsid w:val="00AB783F"/>
    <w:rsid w:val="00AB7BF8"/>
    <w:rsid w:val="00AB7C3E"/>
    <w:rsid w:val="00AC0171"/>
    <w:rsid w:val="00AC01D1"/>
    <w:rsid w:val="00AC0AB2"/>
    <w:rsid w:val="00AC0E9F"/>
    <w:rsid w:val="00AC1698"/>
    <w:rsid w:val="00AC1C8C"/>
    <w:rsid w:val="00AC3596"/>
    <w:rsid w:val="00AC3647"/>
    <w:rsid w:val="00AC3CD1"/>
    <w:rsid w:val="00AC3F17"/>
    <w:rsid w:val="00AC52A5"/>
    <w:rsid w:val="00AC6EFD"/>
    <w:rsid w:val="00AC7077"/>
    <w:rsid w:val="00AC7151"/>
    <w:rsid w:val="00AC7F5F"/>
    <w:rsid w:val="00AD0CD0"/>
    <w:rsid w:val="00AD3DA7"/>
    <w:rsid w:val="00AD4025"/>
    <w:rsid w:val="00AD4544"/>
    <w:rsid w:val="00AD460A"/>
    <w:rsid w:val="00AD6A05"/>
    <w:rsid w:val="00AD7195"/>
    <w:rsid w:val="00AD7DC2"/>
    <w:rsid w:val="00AE0792"/>
    <w:rsid w:val="00AE118B"/>
    <w:rsid w:val="00AE272B"/>
    <w:rsid w:val="00AE27B8"/>
    <w:rsid w:val="00AE3BA2"/>
    <w:rsid w:val="00AE3E3A"/>
    <w:rsid w:val="00AE49C2"/>
    <w:rsid w:val="00AE4B50"/>
    <w:rsid w:val="00AE6756"/>
    <w:rsid w:val="00AE6B32"/>
    <w:rsid w:val="00AE77B4"/>
    <w:rsid w:val="00AE7C1A"/>
    <w:rsid w:val="00AE7DF8"/>
    <w:rsid w:val="00AE7E11"/>
    <w:rsid w:val="00AF0D9C"/>
    <w:rsid w:val="00AF13AB"/>
    <w:rsid w:val="00AF1D36"/>
    <w:rsid w:val="00AF280B"/>
    <w:rsid w:val="00AF4CCD"/>
    <w:rsid w:val="00AF59E1"/>
    <w:rsid w:val="00AF5F75"/>
    <w:rsid w:val="00AF6001"/>
    <w:rsid w:val="00AF609C"/>
    <w:rsid w:val="00AF617D"/>
    <w:rsid w:val="00AF70E1"/>
    <w:rsid w:val="00AF7179"/>
    <w:rsid w:val="00B0085B"/>
    <w:rsid w:val="00B01A16"/>
    <w:rsid w:val="00B06989"/>
    <w:rsid w:val="00B06EE0"/>
    <w:rsid w:val="00B079FE"/>
    <w:rsid w:val="00B07EB3"/>
    <w:rsid w:val="00B07F45"/>
    <w:rsid w:val="00B1021A"/>
    <w:rsid w:val="00B10271"/>
    <w:rsid w:val="00B1072F"/>
    <w:rsid w:val="00B1205B"/>
    <w:rsid w:val="00B13D00"/>
    <w:rsid w:val="00B140D9"/>
    <w:rsid w:val="00B14256"/>
    <w:rsid w:val="00B1481A"/>
    <w:rsid w:val="00B15A1F"/>
    <w:rsid w:val="00B15D36"/>
    <w:rsid w:val="00B15FE9"/>
    <w:rsid w:val="00B16D8D"/>
    <w:rsid w:val="00B205EE"/>
    <w:rsid w:val="00B2148A"/>
    <w:rsid w:val="00B220C2"/>
    <w:rsid w:val="00B2276E"/>
    <w:rsid w:val="00B22973"/>
    <w:rsid w:val="00B229B1"/>
    <w:rsid w:val="00B24577"/>
    <w:rsid w:val="00B24932"/>
    <w:rsid w:val="00B25B32"/>
    <w:rsid w:val="00B261BA"/>
    <w:rsid w:val="00B3019E"/>
    <w:rsid w:val="00B30E41"/>
    <w:rsid w:val="00B32616"/>
    <w:rsid w:val="00B327C7"/>
    <w:rsid w:val="00B32CDE"/>
    <w:rsid w:val="00B348CF"/>
    <w:rsid w:val="00B34B21"/>
    <w:rsid w:val="00B36418"/>
    <w:rsid w:val="00B36AF0"/>
    <w:rsid w:val="00B36C42"/>
    <w:rsid w:val="00B41C78"/>
    <w:rsid w:val="00B424B4"/>
    <w:rsid w:val="00B42EA7"/>
    <w:rsid w:val="00B432D5"/>
    <w:rsid w:val="00B4374E"/>
    <w:rsid w:val="00B4438F"/>
    <w:rsid w:val="00B445D9"/>
    <w:rsid w:val="00B44A09"/>
    <w:rsid w:val="00B458B3"/>
    <w:rsid w:val="00B5019D"/>
    <w:rsid w:val="00B50CFF"/>
    <w:rsid w:val="00B51239"/>
    <w:rsid w:val="00B51845"/>
    <w:rsid w:val="00B51923"/>
    <w:rsid w:val="00B52CA1"/>
    <w:rsid w:val="00B52EBD"/>
    <w:rsid w:val="00B5337C"/>
    <w:rsid w:val="00B53FDE"/>
    <w:rsid w:val="00B54675"/>
    <w:rsid w:val="00B56397"/>
    <w:rsid w:val="00B571DA"/>
    <w:rsid w:val="00B57BCD"/>
    <w:rsid w:val="00B6027B"/>
    <w:rsid w:val="00B6070F"/>
    <w:rsid w:val="00B60D85"/>
    <w:rsid w:val="00B617AE"/>
    <w:rsid w:val="00B623DA"/>
    <w:rsid w:val="00B636C8"/>
    <w:rsid w:val="00B64228"/>
    <w:rsid w:val="00B65570"/>
    <w:rsid w:val="00B65EDB"/>
    <w:rsid w:val="00B65EF3"/>
    <w:rsid w:val="00B66112"/>
    <w:rsid w:val="00B67AFF"/>
    <w:rsid w:val="00B67C41"/>
    <w:rsid w:val="00B70B59"/>
    <w:rsid w:val="00B7251C"/>
    <w:rsid w:val="00B73657"/>
    <w:rsid w:val="00B739B3"/>
    <w:rsid w:val="00B74A78"/>
    <w:rsid w:val="00B75E7B"/>
    <w:rsid w:val="00B76361"/>
    <w:rsid w:val="00B77B67"/>
    <w:rsid w:val="00B8008D"/>
    <w:rsid w:val="00B81B15"/>
    <w:rsid w:val="00B8310F"/>
    <w:rsid w:val="00B83CB4"/>
    <w:rsid w:val="00B915AE"/>
    <w:rsid w:val="00B92721"/>
    <w:rsid w:val="00B94545"/>
    <w:rsid w:val="00B95722"/>
    <w:rsid w:val="00B957A7"/>
    <w:rsid w:val="00B96468"/>
    <w:rsid w:val="00BA01CB"/>
    <w:rsid w:val="00BA1237"/>
    <w:rsid w:val="00BA1735"/>
    <w:rsid w:val="00BA19FA"/>
    <w:rsid w:val="00BA297F"/>
    <w:rsid w:val="00BA3240"/>
    <w:rsid w:val="00BA4288"/>
    <w:rsid w:val="00BA679A"/>
    <w:rsid w:val="00BA7B6B"/>
    <w:rsid w:val="00BB0902"/>
    <w:rsid w:val="00BB12B6"/>
    <w:rsid w:val="00BB1F9C"/>
    <w:rsid w:val="00BB48E5"/>
    <w:rsid w:val="00BB5517"/>
    <w:rsid w:val="00BB5607"/>
    <w:rsid w:val="00BB5ACA"/>
    <w:rsid w:val="00BB5F11"/>
    <w:rsid w:val="00BB627F"/>
    <w:rsid w:val="00BC0C17"/>
    <w:rsid w:val="00BC0CBA"/>
    <w:rsid w:val="00BC1694"/>
    <w:rsid w:val="00BC1C75"/>
    <w:rsid w:val="00BC28B6"/>
    <w:rsid w:val="00BC3636"/>
    <w:rsid w:val="00BC3823"/>
    <w:rsid w:val="00BC5841"/>
    <w:rsid w:val="00BC5E38"/>
    <w:rsid w:val="00BC6AD7"/>
    <w:rsid w:val="00BC74E8"/>
    <w:rsid w:val="00BD0979"/>
    <w:rsid w:val="00BD1292"/>
    <w:rsid w:val="00BD201A"/>
    <w:rsid w:val="00BD2CA5"/>
    <w:rsid w:val="00BD2DC4"/>
    <w:rsid w:val="00BD2EF0"/>
    <w:rsid w:val="00BD3048"/>
    <w:rsid w:val="00BD60B4"/>
    <w:rsid w:val="00BD781C"/>
    <w:rsid w:val="00BD796B"/>
    <w:rsid w:val="00BD7E92"/>
    <w:rsid w:val="00BE010A"/>
    <w:rsid w:val="00BE1ADA"/>
    <w:rsid w:val="00BE1CB1"/>
    <w:rsid w:val="00BE40C0"/>
    <w:rsid w:val="00BE445C"/>
    <w:rsid w:val="00BE484A"/>
    <w:rsid w:val="00BE5F4A"/>
    <w:rsid w:val="00BE6CE4"/>
    <w:rsid w:val="00BE6CF8"/>
    <w:rsid w:val="00BE7ABA"/>
    <w:rsid w:val="00BE7AEF"/>
    <w:rsid w:val="00BF09B0"/>
    <w:rsid w:val="00BF142E"/>
    <w:rsid w:val="00BF1544"/>
    <w:rsid w:val="00BF1B53"/>
    <w:rsid w:val="00BF246D"/>
    <w:rsid w:val="00BF2682"/>
    <w:rsid w:val="00BF36FE"/>
    <w:rsid w:val="00BF48B2"/>
    <w:rsid w:val="00BF53D5"/>
    <w:rsid w:val="00BF7037"/>
    <w:rsid w:val="00C01D48"/>
    <w:rsid w:val="00C01FD5"/>
    <w:rsid w:val="00C042DB"/>
    <w:rsid w:val="00C06F06"/>
    <w:rsid w:val="00C108B3"/>
    <w:rsid w:val="00C10C4A"/>
    <w:rsid w:val="00C11B42"/>
    <w:rsid w:val="00C1339C"/>
    <w:rsid w:val="00C14970"/>
    <w:rsid w:val="00C14B8E"/>
    <w:rsid w:val="00C14C92"/>
    <w:rsid w:val="00C14D1F"/>
    <w:rsid w:val="00C14F25"/>
    <w:rsid w:val="00C17BFF"/>
    <w:rsid w:val="00C20FAD"/>
    <w:rsid w:val="00C216FC"/>
    <w:rsid w:val="00C21DD0"/>
    <w:rsid w:val="00C2200F"/>
    <w:rsid w:val="00C2375F"/>
    <w:rsid w:val="00C23B5B"/>
    <w:rsid w:val="00C247CB"/>
    <w:rsid w:val="00C26B36"/>
    <w:rsid w:val="00C32A7B"/>
    <w:rsid w:val="00C32E66"/>
    <w:rsid w:val="00C3355F"/>
    <w:rsid w:val="00C33A04"/>
    <w:rsid w:val="00C34F79"/>
    <w:rsid w:val="00C3569A"/>
    <w:rsid w:val="00C36F00"/>
    <w:rsid w:val="00C373DD"/>
    <w:rsid w:val="00C37AF7"/>
    <w:rsid w:val="00C4002B"/>
    <w:rsid w:val="00C427BD"/>
    <w:rsid w:val="00C4309B"/>
    <w:rsid w:val="00C434EB"/>
    <w:rsid w:val="00C437AF"/>
    <w:rsid w:val="00C43F48"/>
    <w:rsid w:val="00C448FF"/>
    <w:rsid w:val="00C44DFF"/>
    <w:rsid w:val="00C455BF"/>
    <w:rsid w:val="00C45A64"/>
    <w:rsid w:val="00C45B61"/>
    <w:rsid w:val="00C45C9E"/>
    <w:rsid w:val="00C45E57"/>
    <w:rsid w:val="00C467DD"/>
    <w:rsid w:val="00C470B4"/>
    <w:rsid w:val="00C47FF5"/>
    <w:rsid w:val="00C50A53"/>
    <w:rsid w:val="00C52768"/>
    <w:rsid w:val="00C52F29"/>
    <w:rsid w:val="00C55B93"/>
    <w:rsid w:val="00C56487"/>
    <w:rsid w:val="00C56CE6"/>
    <w:rsid w:val="00C5745F"/>
    <w:rsid w:val="00C576A1"/>
    <w:rsid w:val="00C60005"/>
    <w:rsid w:val="00C606F1"/>
    <w:rsid w:val="00C60BFF"/>
    <w:rsid w:val="00C61A98"/>
    <w:rsid w:val="00C61D60"/>
    <w:rsid w:val="00C6293C"/>
    <w:rsid w:val="00C63201"/>
    <w:rsid w:val="00C64109"/>
    <w:rsid w:val="00C64E62"/>
    <w:rsid w:val="00C651D5"/>
    <w:rsid w:val="00C65CCC"/>
    <w:rsid w:val="00C65DA9"/>
    <w:rsid w:val="00C66012"/>
    <w:rsid w:val="00C6662C"/>
    <w:rsid w:val="00C70999"/>
    <w:rsid w:val="00C71176"/>
    <w:rsid w:val="00C71FBB"/>
    <w:rsid w:val="00C7358D"/>
    <w:rsid w:val="00C73BE5"/>
    <w:rsid w:val="00C74A4B"/>
    <w:rsid w:val="00C74B3C"/>
    <w:rsid w:val="00C7618F"/>
    <w:rsid w:val="00C765A9"/>
    <w:rsid w:val="00C76D72"/>
    <w:rsid w:val="00C81157"/>
    <w:rsid w:val="00C8162D"/>
    <w:rsid w:val="00C830BB"/>
    <w:rsid w:val="00C83865"/>
    <w:rsid w:val="00C83A0B"/>
    <w:rsid w:val="00C842D0"/>
    <w:rsid w:val="00C84ED1"/>
    <w:rsid w:val="00C863CC"/>
    <w:rsid w:val="00C8640B"/>
    <w:rsid w:val="00C86BCC"/>
    <w:rsid w:val="00C86C8B"/>
    <w:rsid w:val="00C872A3"/>
    <w:rsid w:val="00C9038F"/>
    <w:rsid w:val="00C92AAB"/>
    <w:rsid w:val="00C95D4C"/>
    <w:rsid w:val="00C9637F"/>
    <w:rsid w:val="00C96941"/>
    <w:rsid w:val="00C96A54"/>
    <w:rsid w:val="00C9708A"/>
    <w:rsid w:val="00CA0B61"/>
    <w:rsid w:val="00CA1E80"/>
    <w:rsid w:val="00CA2435"/>
    <w:rsid w:val="00CA269A"/>
    <w:rsid w:val="00CA27A0"/>
    <w:rsid w:val="00CA4068"/>
    <w:rsid w:val="00CA4E30"/>
    <w:rsid w:val="00CA67F4"/>
    <w:rsid w:val="00CA6B15"/>
    <w:rsid w:val="00CA72B5"/>
    <w:rsid w:val="00CB082C"/>
    <w:rsid w:val="00CB2ADE"/>
    <w:rsid w:val="00CB2F3A"/>
    <w:rsid w:val="00CB32AD"/>
    <w:rsid w:val="00CB3465"/>
    <w:rsid w:val="00CB37F8"/>
    <w:rsid w:val="00CB4A61"/>
    <w:rsid w:val="00CB6722"/>
    <w:rsid w:val="00CB67B0"/>
    <w:rsid w:val="00CB7DC3"/>
    <w:rsid w:val="00CC0252"/>
    <w:rsid w:val="00CC071A"/>
    <w:rsid w:val="00CC13B5"/>
    <w:rsid w:val="00CC2832"/>
    <w:rsid w:val="00CC2FA8"/>
    <w:rsid w:val="00CC3044"/>
    <w:rsid w:val="00CC5B0C"/>
    <w:rsid w:val="00CC5BE1"/>
    <w:rsid w:val="00CC75A2"/>
    <w:rsid w:val="00CC7A18"/>
    <w:rsid w:val="00CD0E2F"/>
    <w:rsid w:val="00CD1D49"/>
    <w:rsid w:val="00CD2F20"/>
    <w:rsid w:val="00CD3F4A"/>
    <w:rsid w:val="00CD6873"/>
    <w:rsid w:val="00CD6B20"/>
    <w:rsid w:val="00CD6C11"/>
    <w:rsid w:val="00CE1339"/>
    <w:rsid w:val="00CE4CE8"/>
    <w:rsid w:val="00CE61CC"/>
    <w:rsid w:val="00CE6E06"/>
    <w:rsid w:val="00CE6E42"/>
    <w:rsid w:val="00CE744E"/>
    <w:rsid w:val="00CE7ED9"/>
    <w:rsid w:val="00CF1C8D"/>
    <w:rsid w:val="00CF20B7"/>
    <w:rsid w:val="00CF219F"/>
    <w:rsid w:val="00CF283B"/>
    <w:rsid w:val="00CF3AEE"/>
    <w:rsid w:val="00CF4D6A"/>
    <w:rsid w:val="00CF61DC"/>
    <w:rsid w:val="00CF6692"/>
    <w:rsid w:val="00CF7441"/>
    <w:rsid w:val="00D00D16"/>
    <w:rsid w:val="00D00DFF"/>
    <w:rsid w:val="00D016FB"/>
    <w:rsid w:val="00D02AA9"/>
    <w:rsid w:val="00D03AB7"/>
    <w:rsid w:val="00D03C6C"/>
    <w:rsid w:val="00D04760"/>
    <w:rsid w:val="00D04A95"/>
    <w:rsid w:val="00D0581A"/>
    <w:rsid w:val="00D059B9"/>
    <w:rsid w:val="00D06288"/>
    <w:rsid w:val="00D06289"/>
    <w:rsid w:val="00D068C7"/>
    <w:rsid w:val="00D12883"/>
    <w:rsid w:val="00D128A4"/>
    <w:rsid w:val="00D12D22"/>
    <w:rsid w:val="00D13C3A"/>
    <w:rsid w:val="00D147C8"/>
    <w:rsid w:val="00D14803"/>
    <w:rsid w:val="00D15131"/>
    <w:rsid w:val="00D16EBD"/>
    <w:rsid w:val="00D16FA2"/>
    <w:rsid w:val="00D17F59"/>
    <w:rsid w:val="00D20664"/>
    <w:rsid w:val="00D2070D"/>
    <w:rsid w:val="00D20954"/>
    <w:rsid w:val="00D20F08"/>
    <w:rsid w:val="00D21C39"/>
    <w:rsid w:val="00D21FC6"/>
    <w:rsid w:val="00D2243A"/>
    <w:rsid w:val="00D23613"/>
    <w:rsid w:val="00D23E06"/>
    <w:rsid w:val="00D249FD"/>
    <w:rsid w:val="00D24CBF"/>
    <w:rsid w:val="00D30352"/>
    <w:rsid w:val="00D308E0"/>
    <w:rsid w:val="00D33393"/>
    <w:rsid w:val="00D3350D"/>
    <w:rsid w:val="00D33D36"/>
    <w:rsid w:val="00D349AA"/>
    <w:rsid w:val="00D34D94"/>
    <w:rsid w:val="00D35988"/>
    <w:rsid w:val="00D37481"/>
    <w:rsid w:val="00D409E2"/>
    <w:rsid w:val="00D41A3C"/>
    <w:rsid w:val="00D427D7"/>
    <w:rsid w:val="00D42E58"/>
    <w:rsid w:val="00D43081"/>
    <w:rsid w:val="00D4317C"/>
    <w:rsid w:val="00D43438"/>
    <w:rsid w:val="00D438F1"/>
    <w:rsid w:val="00D44E62"/>
    <w:rsid w:val="00D47077"/>
    <w:rsid w:val="00D51175"/>
    <w:rsid w:val="00D51570"/>
    <w:rsid w:val="00D527A3"/>
    <w:rsid w:val="00D53346"/>
    <w:rsid w:val="00D54E32"/>
    <w:rsid w:val="00D54FAE"/>
    <w:rsid w:val="00D556AD"/>
    <w:rsid w:val="00D55CD9"/>
    <w:rsid w:val="00D57137"/>
    <w:rsid w:val="00D57F33"/>
    <w:rsid w:val="00D60381"/>
    <w:rsid w:val="00D60752"/>
    <w:rsid w:val="00D616DE"/>
    <w:rsid w:val="00D617A2"/>
    <w:rsid w:val="00D62201"/>
    <w:rsid w:val="00D651D1"/>
    <w:rsid w:val="00D652A2"/>
    <w:rsid w:val="00D6547D"/>
    <w:rsid w:val="00D65C94"/>
    <w:rsid w:val="00D70188"/>
    <w:rsid w:val="00D717BB"/>
    <w:rsid w:val="00D71FAE"/>
    <w:rsid w:val="00D7226B"/>
    <w:rsid w:val="00D72707"/>
    <w:rsid w:val="00D74529"/>
    <w:rsid w:val="00D75A9C"/>
    <w:rsid w:val="00D760D2"/>
    <w:rsid w:val="00D7734B"/>
    <w:rsid w:val="00D779B0"/>
    <w:rsid w:val="00D812F8"/>
    <w:rsid w:val="00D829C8"/>
    <w:rsid w:val="00D842A2"/>
    <w:rsid w:val="00D85C67"/>
    <w:rsid w:val="00D8679A"/>
    <w:rsid w:val="00D86E47"/>
    <w:rsid w:val="00D87917"/>
    <w:rsid w:val="00D90871"/>
    <w:rsid w:val="00D909D7"/>
    <w:rsid w:val="00D9155F"/>
    <w:rsid w:val="00D915B5"/>
    <w:rsid w:val="00D9401B"/>
    <w:rsid w:val="00D9403F"/>
    <w:rsid w:val="00D959B4"/>
    <w:rsid w:val="00D962F4"/>
    <w:rsid w:val="00D96ED9"/>
    <w:rsid w:val="00D97DDF"/>
    <w:rsid w:val="00DA07B7"/>
    <w:rsid w:val="00DA1189"/>
    <w:rsid w:val="00DA44DE"/>
    <w:rsid w:val="00DA4CC4"/>
    <w:rsid w:val="00DA5B2F"/>
    <w:rsid w:val="00DA611D"/>
    <w:rsid w:val="00DA61A8"/>
    <w:rsid w:val="00DA750B"/>
    <w:rsid w:val="00DB1D5A"/>
    <w:rsid w:val="00DB2DEF"/>
    <w:rsid w:val="00DB329B"/>
    <w:rsid w:val="00DB3B80"/>
    <w:rsid w:val="00DB4FB3"/>
    <w:rsid w:val="00DB620A"/>
    <w:rsid w:val="00DC0350"/>
    <w:rsid w:val="00DC3832"/>
    <w:rsid w:val="00DC638C"/>
    <w:rsid w:val="00DC7A51"/>
    <w:rsid w:val="00DD3B1E"/>
    <w:rsid w:val="00DD4450"/>
    <w:rsid w:val="00DD694D"/>
    <w:rsid w:val="00DE06B2"/>
    <w:rsid w:val="00DE250D"/>
    <w:rsid w:val="00DE35EF"/>
    <w:rsid w:val="00DE3CF6"/>
    <w:rsid w:val="00DE478A"/>
    <w:rsid w:val="00DE54C0"/>
    <w:rsid w:val="00DE5B5F"/>
    <w:rsid w:val="00DE6818"/>
    <w:rsid w:val="00DF07AF"/>
    <w:rsid w:val="00DF3ACE"/>
    <w:rsid w:val="00DF4942"/>
    <w:rsid w:val="00DF614E"/>
    <w:rsid w:val="00DF74F0"/>
    <w:rsid w:val="00DF7FBB"/>
    <w:rsid w:val="00E00461"/>
    <w:rsid w:val="00E00696"/>
    <w:rsid w:val="00E00F29"/>
    <w:rsid w:val="00E02B97"/>
    <w:rsid w:val="00E02EC1"/>
    <w:rsid w:val="00E03651"/>
    <w:rsid w:val="00E03700"/>
    <w:rsid w:val="00E03808"/>
    <w:rsid w:val="00E060C2"/>
    <w:rsid w:val="00E06324"/>
    <w:rsid w:val="00E068D3"/>
    <w:rsid w:val="00E075F3"/>
    <w:rsid w:val="00E07B81"/>
    <w:rsid w:val="00E10AFD"/>
    <w:rsid w:val="00E10F2B"/>
    <w:rsid w:val="00E11A3F"/>
    <w:rsid w:val="00E12441"/>
    <w:rsid w:val="00E12B11"/>
    <w:rsid w:val="00E12FB0"/>
    <w:rsid w:val="00E14814"/>
    <w:rsid w:val="00E1591B"/>
    <w:rsid w:val="00E16A50"/>
    <w:rsid w:val="00E228D6"/>
    <w:rsid w:val="00E2444B"/>
    <w:rsid w:val="00E249D5"/>
    <w:rsid w:val="00E25017"/>
    <w:rsid w:val="00E25EB3"/>
    <w:rsid w:val="00E26F73"/>
    <w:rsid w:val="00E277E9"/>
    <w:rsid w:val="00E30543"/>
    <w:rsid w:val="00E30A34"/>
    <w:rsid w:val="00E336BA"/>
    <w:rsid w:val="00E33C68"/>
    <w:rsid w:val="00E34EEB"/>
    <w:rsid w:val="00E351E7"/>
    <w:rsid w:val="00E3687C"/>
    <w:rsid w:val="00E36E28"/>
    <w:rsid w:val="00E404CF"/>
    <w:rsid w:val="00E40AB7"/>
    <w:rsid w:val="00E4162E"/>
    <w:rsid w:val="00E41D6F"/>
    <w:rsid w:val="00E42C27"/>
    <w:rsid w:val="00E43A50"/>
    <w:rsid w:val="00E445BD"/>
    <w:rsid w:val="00E44EB9"/>
    <w:rsid w:val="00E45BDC"/>
    <w:rsid w:val="00E460B7"/>
    <w:rsid w:val="00E46358"/>
    <w:rsid w:val="00E471DC"/>
    <w:rsid w:val="00E478D3"/>
    <w:rsid w:val="00E47F42"/>
    <w:rsid w:val="00E50425"/>
    <w:rsid w:val="00E50EB4"/>
    <w:rsid w:val="00E5239B"/>
    <w:rsid w:val="00E532FC"/>
    <w:rsid w:val="00E54ECE"/>
    <w:rsid w:val="00E559B4"/>
    <w:rsid w:val="00E55BB0"/>
    <w:rsid w:val="00E55C6F"/>
    <w:rsid w:val="00E55C8A"/>
    <w:rsid w:val="00E55E08"/>
    <w:rsid w:val="00E56A1F"/>
    <w:rsid w:val="00E56DCF"/>
    <w:rsid w:val="00E5768E"/>
    <w:rsid w:val="00E57F12"/>
    <w:rsid w:val="00E609E5"/>
    <w:rsid w:val="00E60A68"/>
    <w:rsid w:val="00E60F27"/>
    <w:rsid w:val="00E62653"/>
    <w:rsid w:val="00E62A55"/>
    <w:rsid w:val="00E64D93"/>
    <w:rsid w:val="00E65EDB"/>
    <w:rsid w:val="00E66927"/>
    <w:rsid w:val="00E677B8"/>
    <w:rsid w:val="00E67E9E"/>
    <w:rsid w:val="00E67FA1"/>
    <w:rsid w:val="00E7115E"/>
    <w:rsid w:val="00E719E3"/>
    <w:rsid w:val="00E7387D"/>
    <w:rsid w:val="00E73D53"/>
    <w:rsid w:val="00E74538"/>
    <w:rsid w:val="00E75111"/>
    <w:rsid w:val="00E769A5"/>
    <w:rsid w:val="00E77296"/>
    <w:rsid w:val="00E77BBE"/>
    <w:rsid w:val="00E821A8"/>
    <w:rsid w:val="00E85D96"/>
    <w:rsid w:val="00E861CF"/>
    <w:rsid w:val="00E87527"/>
    <w:rsid w:val="00E87EF7"/>
    <w:rsid w:val="00E90F65"/>
    <w:rsid w:val="00E933B4"/>
    <w:rsid w:val="00E93763"/>
    <w:rsid w:val="00E945A4"/>
    <w:rsid w:val="00E95093"/>
    <w:rsid w:val="00E9513C"/>
    <w:rsid w:val="00E95162"/>
    <w:rsid w:val="00E963DF"/>
    <w:rsid w:val="00E969B1"/>
    <w:rsid w:val="00E96C4C"/>
    <w:rsid w:val="00EA1A0A"/>
    <w:rsid w:val="00EA1E92"/>
    <w:rsid w:val="00EA2126"/>
    <w:rsid w:val="00EA2AAE"/>
    <w:rsid w:val="00EA2EC0"/>
    <w:rsid w:val="00EA30A8"/>
    <w:rsid w:val="00EA386D"/>
    <w:rsid w:val="00EA427A"/>
    <w:rsid w:val="00EA5CC6"/>
    <w:rsid w:val="00EA5D83"/>
    <w:rsid w:val="00EA60D2"/>
    <w:rsid w:val="00EA65D2"/>
    <w:rsid w:val="00EA723B"/>
    <w:rsid w:val="00EB0020"/>
    <w:rsid w:val="00EB0235"/>
    <w:rsid w:val="00EB228F"/>
    <w:rsid w:val="00EB2B89"/>
    <w:rsid w:val="00EB3FB0"/>
    <w:rsid w:val="00EB50E7"/>
    <w:rsid w:val="00EB6350"/>
    <w:rsid w:val="00EB687A"/>
    <w:rsid w:val="00EC1357"/>
    <w:rsid w:val="00EC2F62"/>
    <w:rsid w:val="00EC62EB"/>
    <w:rsid w:val="00EC6E9F"/>
    <w:rsid w:val="00EC7E9A"/>
    <w:rsid w:val="00ED0DC4"/>
    <w:rsid w:val="00ED0F18"/>
    <w:rsid w:val="00ED2375"/>
    <w:rsid w:val="00ED29CB"/>
    <w:rsid w:val="00ED3A6C"/>
    <w:rsid w:val="00ED44F0"/>
    <w:rsid w:val="00ED4B33"/>
    <w:rsid w:val="00ED56A4"/>
    <w:rsid w:val="00ED5993"/>
    <w:rsid w:val="00ED7DD6"/>
    <w:rsid w:val="00EE060B"/>
    <w:rsid w:val="00EE15A1"/>
    <w:rsid w:val="00EE2A53"/>
    <w:rsid w:val="00EE2A7C"/>
    <w:rsid w:val="00EE2C42"/>
    <w:rsid w:val="00EE2DC8"/>
    <w:rsid w:val="00EE341B"/>
    <w:rsid w:val="00EE3C80"/>
    <w:rsid w:val="00EE4453"/>
    <w:rsid w:val="00EE5FCE"/>
    <w:rsid w:val="00EE6BBD"/>
    <w:rsid w:val="00EE6E1E"/>
    <w:rsid w:val="00EE705F"/>
    <w:rsid w:val="00EE785F"/>
    <w:rsid w:val="00EE7EA8"/>
    <w:rsid w:val="00EF1462"/>
    <w:rsid w:val="00EF1E14"/>
    <w:rsid w:val="00EF33D0"/>
    <w:rsid w:val="00EF4E2F"/>
    <w:rsid w:val="00EF54FD"/>
    <w:rsid w:val="00EF5CEC"/>
    <w:rsid w:val="00EF64FC"/>
    <w:rsid w:val="00EF6A16"/>
    <w:rsid w:val="00EF6C1C"/>
    <w:rsid w:val="00F001C6"/>
    <w:rsid w:val="00F00D69"/>
    <w:rsid w:val="00F0262B"/>
    <w:rsid w:val="00F02864"/>
    <w:rsid w:val="00F0349A"/>
    <w:rsid w:val="00F04D47"/>
    <w:rsid w:val="00F06036"/>
    <w:rsid w:val="00F07BF5"/>
    <w:rsid w:val="00F07D1C"/>
    <w:rsid w:val="00F07F0D"/>
    <w:rsid w:val="00F11AFD"/>
    <w:rsid w:val="00F13112"/>
    <w:rsid w:val="00F13212"/>
    <w:rsid w:val="00F13D03"/>
    <w:rsid w:val="00F15E86"/>
    <w:rsid w:val="00F16FE6"/>
    <w:rsid w:val="00F219B7"/>
    <w:rsid w:val="00F21B76"/>
    <w:rsid w:val="00F238BD"/>
    <w:rsid w:val="00F23A8B"/>
    <w:rsid w:val="00F24992"/>
    <w:rsid w:val="00F25068"/>
    <w:rsid w:val="00F30055"/>
    <w:rsid w:val="00F30914"/>
    <w:rsid w:val="00F31506"/>
    <w:rsid w:val="00F32F2F"/>
    <w:rsid w:val="00F33F3F"/>
    <w:rsid w:val="00F34D65"/>
    <w:rsid w:val="00F34F21"/>
    <w:rsid w:val="00F35BDD"/>
    <w:rsid w:val="00F35EF0"/>
    <w:rsid w:val="00F3781F"/>
    <w:rsid w:val="00F403FD"/>
    <w:rsid w:val="00F404AC"/>
    <w:rsid w:val="00F41E72"/>
    <w:rsid w:val="00F42673"/>
    <w:rsid w:val="00F426B7"/>
    <w:rsid w:val="00F43B1E"/>
    <w:rsid w:val="00F45BDF"/>
    <w:rsid w:val="00F45D8C"/>
    <w:rsid w:val="00F45F47"/>
    <w:rsid w:val="00F50300"/>
    <w:rsid w:val="00F50DC9"/>
    <w:rsid w:val="00F53520"/>
    <w:rsid w:val="00F54043"/>
    <w:rsid w:val="00F5414B"/>
    <w:rsid w:val="00F55666"/>
    <w:rsid w:val="00F56E39"/>
    <w:rsid w:val="00F60BF7"/>
    <w:rsid w:val="00F623E9"/>
    <w:rsid w:val="00F62BC2"/>
    <w:rsid w:val="00F63032"/>
    <w:rsid w:val="00F6340B"/>
    <w:rsid w:val="00F63472"/>
    <w:rsid w:val="00F63951"/>
    <w:rsid w:val="00F63C86"/>
    <w:rsid w:val="00F6433E"/>
    <w:rsid w:val="00F65B21"/>
    <w:rsid w:val="00F675C1"/>
    <w:rsid w:val="00F70440"/>
    <w:rsid w:val="00F71431"/>
    <w:rsid w:val="00F74F32"/>
    <w:rsid w:val="00F757AA"/>
    <w:rsid w:val="00F75E91"/>
    <w:rsid w:val="00F75ED1"/>
    <w:rsid w:val="00F766BE"/>
    <w:rsid w:val="00F77EB9"/>
    <w:rsid w:val="00F80635"/>
    <w:rsid w:val="00F80A47"/>
    <w:rsid w:val="00F8115F"/>
    <w:rsid w:val="00F8126D"/>
    <w:rsid w:val="00F815A4"/>
    <w:rsid w:val="00F815D1"/>
    <w:rsid w:val="00F81E7E"/>
    <w:rsid w:val="00F81F0F"/>
    <w:rsid w:val="00F825F4"/>
    <w:rsid w:val="00F8337C"/>
    <w:rsid w:val="00F838DF"/>
    <w:rsid w:val="00F83E3C"/>
    <w:rsid w:val="00F8675A"/>
    <w:rsid w:val="00F90B6D"/>
    <w:rsid w:val="00F92AA1"/>
    <w:rsid w:val="00F932DE"/>
    <w:rsid w:val="00F93F30"/>
    <w:rsid w:val="00F93FC1"/>
    <w:rsid w:val="00F941BE"/>
    <w:rsid w:val="00F950CB"/>
    <w:rsid w:val="00F963DD"/>
    <w:rsid w:val="00F9641A"/>
    <w:rsid w:val="00F97004"/>
    <w:rsid w:val="00F97B56"/>
    <w:rsid w:val="00FA067D"/>
    <w:rsid w:val="00FA10B0"/>
    <w:rsid w:val="00FA1415"/>
    <w:rsid w:val="00FA2045"/>
    <w:rsid w:val="00FA3138"/>
    <w:rsid w:val="00FA496F"/>
    <w:rsid w:val="00FA5919"/>
    <w:rsid w:val="00FA7A66"/>
    <w:rsid w:val="00FB1AA9"/>
    <w:rsid w:val="00FB23BD"/>
    <w:rsid w:val="00FB2BDF"/>
    <w:rsid w:val="00FB4467"/>
    <w:rsid w:val="00FB4B5A"/>
    <w:rsid w:val="00FB4BF9"/>
    <w:rsid w:val="00FB4DF0"/>
    <w:rsid w:val="00FB5128"/>
    <w:rsid w:val="00FB5963"/>
    <w:rsid w:val="00FB5DAA"/>
    <w:rsid w:val="00FB69E9"/>
    <w:rsid w:val="00FC04B9"/>
    <w:rsid w:val="00FC094A"/>
    <w:rsid w:val="00FC161A"/>
    <w:rsid w:val="00FC23D5"/>
    <w:rsid w:val="00FC28D8"/>
    <w:rsid w:val="00FC393A"/>
    <w:rsid w:val="00FC4337"/>
    <w:rsid w:val="00FC4B24"/>
    <w:rsid w:val="00FC4C1A"/>
    <w:rsid w:val="00FC5067"/>
    <w:rsid w:val="00FC556F"/>
    <w:rsid w:val="00FC628F"/>
    <w:rsid w:val="00FC6468"/>
    <w:rsid w:val="00FC6D49"/>
    <w:rsid w:val="00FC7FFE"/>
    <w:rsid w:val="00FD20A0"/>
    <w:rsid w:val="00FD3BE4"/>
    <w:rsid w:val="00FD4922"/>
    <w:rsid w:val="00FD6155"/>
    <w:rsid w:val="00FD6461"/>
    <w:rsid w:val="00FD6ED3"/>
    <w:rsid w:val="00FD7B06"/>
    <w:rsid w:val="00FE023E"/>
    <w:rsid w:val="00FE0281"/>
    <w:rsid w:val="00FE072C"/>
    <w:rsid w:val="00FE13B1"/>
    <w:rsid w:val="00FE1567"/>
    <w:rsid w:val="00FE20E9"/>
    <w:rsid w:val="00FE302B"/>
    <w:rsid w:val="00FE3A54"/>
    <w:rsid w:val="00FE3FCB"/>
    <w:rsid w:val="00FE4652"/>
    <w:rsid w:val="00FE4784"/>
    <w:rsid w:val="00FE5861"/>
    <w:rsid w:val="00FE6372"/>
    <w:rsid w:val="00FE7083"/>
    <w:rsid w:val="00FE7B64"/>
    <w:rsid w:val="00FF019F"/>
    <w:rsid w:val="00FF119A"/>
    <w:rsid w:val="00FF1ACE"/>
    <w:rsid w:val="00FF1B2A"/>
    <w:rsid w:val="00FF2160"/>
    <w:rsid w:val="00FF2840"/>
    <w:rsid w:val="00FF2E31"/>
    <w:rsid w:val="00FF30DE"/>
    <w:rsid w:val="00FF644B"/>
    <w:rsid w:val="00FF68DF"/>
    <w:rsid w:val="012F4C90"/>
    <w:rsid w:val="01553937"/>
    <w:rsid w:val="017CCAD0"/>
    <w:rsid w:val="01FDF1EA"/>
    <w:rsid w:val="023C5910"/>
    <w:rsid w:val="03422C55"/>
    <w:rsid w:val="034E9AB5"/>
    <w:rsid w:val="035A9AC9"/>
    <w:rsid w:val="046F3C52"/>
    <w:rsid w:val="04B3406E"/>
    <w:rsid w:val="057128C0"/>
    <w:rsid w:val="0574F836"/>
    <w:rsid w:val="06107CB9"/>
    <w:rsid w:val="067A72D4"/>
    <w:rsid w:val="0690E63F"/>
    <w:rsid w:val="08131D56"/>
    <w:rsid w:val="0C35F3EC"/>
    <w:rsid w:val="0C4F0B2E"/>
    <w:rsid w:val="0CD9876B"/>
    <w:rsid w:val="0CF5DC49"/>
    <w:rsid w:val="0D04BF94"/>
    <w:rsid w:val="0F79BE1E"/>
    <w:rsid w:val="0F8B0B30"/>
    <w:rsid w:val="119B0A4C"/>
    <w:rsid w:val="11DF18E6"/>
    <w:rsid w:val="12438741"/>
    <w:rsid w:val="13ADD07E"/>
    <w:rsid w:val="14766AB3"/>
    <w:rsid w:val="159D1996"/>
    <w:rsid w:val="17E273DE"/>
    <w:rsid w:val="1A4FB784"/>
    <w:rsid w:val="1B1679CE"/>
    <w:rsid w:val="1B74E687"/>
    <w:rsid w:val="1BC35452"/>
    <w:rsid w:val="1D6480D2"/>
    <w:rsid w:val="1DB282C3"/>
    <w:rsid w:val="1E18FA45"/>
    <w:rsid w:val="1F5F5E40"/>
    <w:rsid w:val="2297BD75"/>
    <w:rsid w:val="22C49E7E"/>
    <w:rsid w:val="2547AFBB"/>
    <w:rsid w:val="2672256B"/>
    <w:rsid w:val="2697E366"/>
    <w:rsid w:val="26F37F7D"/>
    <w:rsid w:val="271F369A"/>
    <w:rsid w:val="280245F5"/>
    <w:rsid w:val="285C834B"/>
    <w:rsid w:val="2886537D"/>
    <w:rsid w:val="2ABBC248"/>
    <w:rsid w:val="2C0064A8"/>
    <w:rsid w:val="2C2312AC"/>
    <w:rsid w:val="2DC9F35F"/>
    <w:rsid w:val="2F4CA3A2"/>
    <w:rsid w:val="3014C1F6"/>
    <w:rsid w:val="31116C73"/>
    <w:rsid w:val="332136D5"/>
    <w:rsid w:val="3376840A"/>
    <w:rsid w:val="33AAF4F0"/>
    <w:rsid w:val="33BCE253"/>
    <w:rsid w:val="346EFDA5"/>
    <w:rsid w:val="34D022CE"/>
    <w:rsid w:val="35806CDD"/>
    <w:rsid w:val="365F9158"/>
    <w:rsid w:val="37C40E25"/>
    <w:rsid w:val="38405E84"/>
    <w:rsid w:val="38EF9DD0"/>
    <w:rsid w:val="3ACB2DCA"/>
    <w:rsid w:val="3B0291D7"/>
    <w:rsid w:val="3C7E4D8C"/>
    <w:rsid w:val="3C95AF57"/>
    <w:rsid w:val="3DBCE15A"/>
    <w:rsid w:val="3FD914B0"/>
    <w:rsid w:val="40AB9F6A"/>
    <w:rsid w:val="40C88968"/>
    <w:rsid w:val="41E8EF88"/>
    <w:rsid w:val="4340D4B3"/>
    <w:rsid w:val="438110DD"/>
    <w:rsid w:val="43F2D2D9"/>
    <w:rsid w:val="461B9419"/>
    <w:rsid w:val="492A4B95"/>
    <w:rsid w:val="4A9E0EFF"/>
    <w:rsid w:val="4B57D906"/>
    <w:rsid w:val="4D31C501"/>
    <w:rsid w:val="4D502E9C"/>
    <w:rsid w:val="4DA32AEC"/>
    <w:rsid w:val="4E3811F8"/>
    <w:rsid w:val="51096FCB"/>
    <w:rsid w:val="51549800"/>
    <w:rsid w:val="52021DB3"/>
    <w:rsid w:val="52FCFDE9"/>
    <w:rsid w:val="56041488"/>
    <w:rsid w:val="56D080EA"/>
    <w:rsid w:val="57B7C24F"/>
    <w:rsid w:val="58E5C768"/>
    <w:rsid w:val="59E69C5D"/>
    <w:rsid w:val="5AEBEE6E"/>
    <w:rsid w:val="5CD31E7B"/>
    <w:rsid w:val="5D300B94"/>
    <w:rsid w:val="5D901DDF"/>
    <w:rsid w:val="5DC935EA"/>
    <w:rsid w:val="5EC5E62F"/>
    <w:rsid w:val="60111F08"/>
    <w:rsid w:val="60813CB1"/>
    <w:rsid w:val="60FC95DC"/>
    <w:rsid w:val="637E94E0"/>
    <w:rsid w:val="6494CA1A"/>
    <w:rsid w:val="650EAEC3"/>
    <w:rsid w:val="65A6BB81"/>
    <w:rsid w:val="6683B3F7"/>
    <w:rsid w:val="677452CD"/>
    <w:rsid w:val="6860E072"/>
    <w:rsid w:val="688C5660"/>
    <w:rsid w:val="68BA0A5E"/>
    <w:rsid w:val="695FD4EC"/>
    <w:rsid w:val="6A645788"/>
    <w:rsid w:val="6A6CE963"/>
    <w:rsid w:val="6AD21A67"/>
    <w:rsid w:val="6B8D0E2D"/>
    <w:rsid w:val="6BADC21B"/>
    <w:rsid w:val="6BFC6E42"/>
    <w:rsid w:val="6CE71AA3"/>
    <w:rsid w:val="6DEF86A3"/>
    <w:rsid w:val="6F3B922C"/>
    <w:rsid w:val="7091C2A3"/>
    <w:rsid w:val="729B08B4"/>
    <w:rsid w:val="72CB0273"/>
    <w:rsid w:val="733DA821"/>
    <w:rsid w:val="738C3074"/>
    <w:rsid w:val="74D97E4A"/>
    <w:rsid w:val="751A90CE"/>
    <w:rsid w:val="7583C1A2"/>
    <w:rsid w:val="760037AC"/>
    <w:rsid w:val="76E991D2"/>
    <w:rsid w:val="76FF404A"/>
    <w:rsid w:val="775FCD3A"/>
    <w:rsid w:val="7914BB15"/>
    <w:rsid w:val="79EB3776"/>
    <w:rsid w:val="7A6E9A29"/>
    <w:rsid w:val="7AC9766A"/>
    <w:rsid w:val="7C7D0326"/>
    <w:rsid w:val="7D13C480"/>
    <w:rsid w:val="7D25FB9D"/>
    <w:rsid w:val="7FEF15A1"/>
    <w:rsid w:val="7FFDE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uiPriority w:val="99"/>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msonormal0">
    <w:name w:val="msonormal"/>
    <w:basedOn w:val="Normal"/>
    <w:rsid w:val="009611DD"/>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apple-tab-span">
    <w:name w:val="apple-tab-span"/>
    <w:basedOn w:val="DefaultParagraphFont"/>
    <w:rsid w:val="00961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8129692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amos@asu.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eb.expasy.org/translate/" TargetMode="External"/><Relationship Id="rId4" Type="http://schemas.openxmlformats.org/officeDocument/2006/relationships/settings" Target="settings.xml"/><Relationship Id="rId9" Type="http://schemas.openxmlformats.org/officeDocument/2006/relationships/hyperlink" Target="mailto:jghunte1@asu.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B8DB4-5EC7-4646-ADA8-485E445CD3DA}">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10.xml><?xml version="1.0" encoding="utf-8"?>
<clbl:labelList xmlns:clbl="http://schemas.microsoft.com/office/2020/mipLabelMetadata"/>
</file>

<file path=docMetadata/LabelInfo11.xml><?xml version="1.0" encoding="utf-8"?>
<clbl:labelList xmlns:clbl="http://schemas.microsoft.com/office/2020/mipLabelMetadata"/>
</file>

<file path=docMetadata/LabelInfo12.xml><?xml version="1.0" encoding="utf-8"?>
<clbl:labelList xmlns:clbl="http://schemas.microsoft.com/office/2020/mipLabelMetadata"/>
</file>

<file path=docMetadata/LabelInfo13.xml><?xml version="1.0" encoding="utf-8"?>
<clbl:labelList xmlns:clbl="http://schemas.microsoft.com/office/2020/mipLabelMetadata"/>
</file>

<file path=docMetadata/LabelInfo14.xml><?xml version="1.0" encoding="utf-8"?>
<clbl:labelList xmlns:clbl="http://schemas.microsoft.com/office/2020/mipLabelMetadata"/>
</file>

<file path=docMetadata/LabelInfo15.xml><?xml version="1.0" encoding="utf-8"?>
<clbl:labelList xmlns:clbl="http://schemas.microsoft.com/office/2020/mipLabelMetadata"/>
</file>

<file path=docMetadata/LabelInfo16.xml><?xml version="1.0" encoding="utf-8"?>
<clbl:labelList xmlns:clbl="http://schemas.microsoft.com/office/2020/mipLabelMetadata"/>
</file>

<file path=docMetadata/LabelInfo17.xml><?xml version="1.0" encoding="utf-8"?>
<clbl:labelList xmlns:clbl="http://schemas.microsoft.com/office/2020/mipLabelMetadata"/>
</file>

<file path=docMetadata/LabelInfo18.xml><?xml version="1.0" encoding="utf-8"?>
<clbl:labelList xmlns:clbl="http://schemas.microsoft.com/office/2020/mipLabelMetadata"/>
</file>

<file path=docMetadata/LabelInfo19.xml><?xml version="1.0" encoding="utf-8"?>
<clbl:labelList xmlns:clbl="http://schemas.microsoft.com/office/2020/mipLabelMetadata"/>
</file>

<file path=docMetadata/LabelInfo2.xml><?xml version="1.0" encoding="utf-8"?>
<clbl:labelList xmlns:clbl="http://schemas.microsoft.com/office/2020/mipLabelMetadata"/>
</file>

<file path=docMetadata/LabelInfo20.xml><?xml version="1.0" encoding="utf-8"?>
<clbl:labelList xmlns:clbl="http://schemas.microsoft.com/office/2020/mipLabelMetadata"/>
</file>

<file path=docMetadata/LabelInfo21.xml><?xml version="1.0" encoding="utf-8"?>
<clbl:labelList xmlns:clbl="http://schemas.microsoft.com/office/2020/mipLabelMetadata"/>
</file>

<file path=docMetadata/LabelInfo3.xml><?xml version="1.0" encoding="utf-8"?>
<clbl:labelList xmlns:clbl="http://schemas.microsoft.com/office/2020/mipLabelMetadata"/>
</file>

<file path=docMetadata/LabelInfo4.xml><?xml version="1.0" encoding="utf-8"?>
<clbl:labelList xmlns:clbl="http://schemas.microsoft.com/office/2020/mipLabelMetadata"/>
</file>

<file path=docMetadata/LabelInfo5.xml><?xml version="1.0" encoding="utf-8"?>
<clbl:labelList xmlns:clbl="http://schemas.microsoft.com/office/2020/mipLabelMetadata"/>
</file>

<file path=docMetadata/LabelInfo6.xml><?xml version="1.0" encoding="utf-8"?>
<clbl:labelList xmlns:clbl="http://schemas.microsoft.com/office/2020/mipLabelMetadata"/>
</file>

<file path=docMetadata/LabelInfo7.xml><?xml version="1.0" encoding="utf-8"?>
<clbl:labelList xmlns:clbl="http://schemas.microsoft.com/office/2020/mipLabelMetadata"/>
</file>

<file path=docMetadata/LabelInfo8.xml><?xml version="1.0" encoding="utf-8"?>
<clbl:labelList xmlns:clbl="http://schemas.microsoft.com/office/2020/mipLabelMetadata"/>
</file>

<file path=docMetadata/LabelInfo9.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18</Pages>
  <Words>39053</Words>
  <Characters>222605</Characters>
  <Application>Microsoft Office Word</Application>
  <DocSecurity>0</DocSecurity>
  <Lines>1855</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261136</CharactersWithSpaces>
  <SharedDoc>false</SharedDoc>
  <HLinks>
    <vt:vector size="12" baseType="variant">
      <vt:variant>
        <vt:i4>5242948</vt:i4>
      </vt:variant>
      <vt:variant>
        <vt:i4>90</vt:i4>
      </vt:variant>
      <vt:variant>
        <vt:i4>0</vt:i4>
      </vt:variant>
      <vt:variant>
        <vt:i4>5</vt:i4>
      </vt:variant>
      <vt:variant>
        <vt:lpwstr>https://web.expasy.org/translate/</vt:lpwstr>
      </vt:variant>
      <vt:variant>
        <vt:lpwstr/>
      </vt:variant>
      <vt:variant>
        <vt:i4>7340121</vt:i4>
      </vt:variant>
      <vt:variant>
        <vt:i4>0</vt:i4>
      </vt:variant>
      <vt:variant>
        <vt:i4>0</vt:i4>
      </vt:variant>
      <vt:variant>
        <vt:i4>5</vt:i4>
      </vt:variant>
      <vt:variant>
        <vt:lpwstr>mailto:adiamos@asu.edu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2020-11-08T17:42:00Z</dcterms:created>
  <dcterms:modified xsi:type="dcterms:W3CDTF">2020-11-20T15:49:00Z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http://www.zotero.org/styles/journal-of-clinical-virology</vt:lpwstr>
  </property>
  <property fmtid="{D5CDD505-2E9C-101B-9397-08002B2CF9AE}" pid="17" name="Mendeley Recent Style Name 7_1">
    <vt:lpwstr>Journal of Clinical Virology</vt:lpwstr>
  </property>
  <property fmtid="{D5CDD505-2E9C-101B-9397-08002B2CF9AE}" pid="18" name="Mendeley Recent Style Id 8_1">
    <vt:lpwstr>http://www.zotero.org/styles/journal-of-visualized-experiments</vt:lpwstr>
  </property>
  <property fmtid="{D5CDD505-2E9C-101B-9397-08002B2CF9AE}" pid="19" name="Mendeley Recent Style Name 8_1">
    <vt:lpwstr>Journal of Visualized Experiments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ffaecec4-6b0b-3804-b060-4b8363338152</vt:lpwstr>
  </property>
  <property fmtid="{D5CDD505-2E9C-101B-9397-08002B2CF9AE}" pid="24" name="Mendeley Citation Style_1">
    <vt:lpwstr>http://www.zotero.org/styles/journal-of-visualized-experiments</vt:lpwstr>
  </property>
</Properties>
</file>