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F1731" w14:textId="77777777" w:rsidR="005D671D" w:rsidRPr="005D671D" w:rsidRDefault="005D671D" w:rsidP="00E85400">
      <w:pPr>
        <w:pStyle w:val="NormalWeb"/>
        <w:rPr>
          <w:b/>
          <w:bCs/>
        </w:rPr>
      </w:pPr>
      <w:r w:rsidRPr="005D671D">
        <w:rPr>
          <w:b/>
          <w:bCs/>
        </w:rPr>
        <w:t>RESPONSE TO REVIEWERS: JoVE61767R1</w:t>
      </w:r>
    </w:p>
    <w:p w14:paraId="2124D882" w14:textId="77777777" w:rsidR="005D671D" w:rsidRDefault="005D671D" w:rsidP="00E85400">
      <w:pPr>
        <w:pStyle w:val="NormalWeb"/>
      </w:pPr>
      <w:proofErr w:type="spellStart"/>
      <w:r>
        <w:t>Lokwani</w:t>
      </w:r>
      <w:proofErr w:type="spellEnd"/>
      <w:r>
        <w:t xml:space="preserve"> &amp; Sadtler</w:t>
      </w:r>
    </w:p>
    <w:p w14:paraId="5095E165" w14:textId="36CE3DC7" w:rsidR="0092696F" w:rsidRDefault="00E85400" w:rsidP="00E85400">
      <w:pPr>
        <w:pStyle w:val="NormalWeb"/>
      </w:pPr>
      <w:r>
        <w:br/>
      </w:r>
      <w:r>
        <w:br/>
      </w:r>
      <w:r>
        <w:rPr>
          <w:rStyle w:val="Strong"/>
          <w:color w:val="FF0000"/>
          <w:u w:val="single"/>
        </w:rPr>
        <w:t>Editorial comments:</w:t>
      </w:r>
      <w:r>
        <w:br/>
        <w:t>Changes to be made by the Author(s):</w:t>
      </w:r>
      <w:r>
        <w:br/>
        <w:t>1. Please take this opportunity to thoroughly proofread the manuscript to ensure that there are no spelling and grammar.</w:t>
      </w:r>
    </w:p>
    <w:p w14:paraId="06FD95F6" w14:textId="66D7B4DF" w:rsidR="000550EA" w:rsidRPr="00AA6C6E" w:rsidRDefault="000550EA" w:rsidP="00E85400">
      <w:pPr>
        <w:pStyle w:val="NormalWeb"/>
        <w:rPr>
          <w:color w:val="FF0000"/>
        </w:rPr>
      </w:pPr>
      <w:r w:rsidRPr="00AA6C6E">
        <w:rPr>
          <w:color w:val="FF0000"/>
        </w:rPr>
        <w:t xml:space="preserve">Response: </w:t>
      </w:r>
      <w:r w:rsidR="00AA6C6E">
        <w:rPr>
          <w:color w:val="FF0000"/>
        </w:rPr>
        <w:t>We would like to t</w:t>
      </w:r>
      <w:r w:rsidRPr="00AA6C6E">
        <w:rPr>
          <w:color w:val="FF0000"/>
        </w:rPr>
        <w:t>hank</w:t>
      </w:r>
      <w:r w:rsidR="00AA6C6E">
        <w:rPr>
          <w:color w:val="FF0000"/>
        </w:rPr>
        <w:t xml:space="preserve"> the editor</w:t>
      </w:r>
      <w:r w:rsidRPr="00AA6C6E">
        <w:rPr>
          <w:color w:val="FF0000"/>
        </w:rPr>
        <w:t xml:space="preserve"> for pointing our attention</w:t>
      </w:r>
      <w:r w:rsidR="00AA6C6E" w:rsidRPr="00AA6C6E">
        <w:rPr>
          <w:color w:val="FF0000"/>
        </w:rPr>
        <w:t xml:space="preserve">, we have thoroughly </w:t>
      </w:r>
      <w:proofErr w:type="gramStart"/>
      <w:r w:rsidR="00AA6C6E" w:rsidRPr="00AA6C6E">
        <w:rPr>
          <w:color w:val="FF0000"/>
        </w:rPr>
        <w:t>proof read</w:t>
      </w:r>
      <w:proofErr w:type="gramEnd"/>
      <w:r w:rsidR="00AA6C6E" w:rsidRPr="00AA6C6E">
        <w:rPr>
          <w:color w:val="FF0000"/>
        </w:rPr>
        <w:t xml:space="preserve"> the manuscript again and tried to address previous shortcomings. </w:t>
      </w:r>
    </w:p>
    <w:p w14:paraId="4E71FD11" w14:textId="397174AD" w:rsidR="00D24CA9" w:rsidRDefault="00E85400" w:rsidP="00E85400">
      <w:pPr>
        <w:pStyle w:val="NormalWeb"/>
      </w:pPr>
      <w:r>
        <w:br/>
        <w:t xml:space="preserve">2.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or dashes.</w:t>
      </w:r>
    </w:p>
    <w:p w14:paraId="587873BF" w14:textId="597ADB36" w:rsidR="00F30C4E" w:rsidRDefault="00F30C4E" w:rsidP="00E85400">
      <w:pPr>
        <w:pStyle w:val="NormalWeb"/>
        <w:rPr>
          <w:color w:val="FF0000"/>
        </w:rPr>
      </w:pPr>
      <w:bookmarkStart w:id="0" w:name="_Hlk56349687"/>
      <w:r>
        <w:rPr>
          <w:color w:val="FF0000"/>
        </w:rPr>
        <w:t>Response: We have addressed this point now</w:t>
      </w:r>
    </w:p>
    <w:bookmarkEnd w:id="0"/>
    <w:p w14:paraId="79CC0367" w14:textId="667CAFFD" w:rsidR="002A53B9" w:rsidRDefault="00E85400" w:rsidP="00E85400">
      <w:pPr>
        <w:pStyle w:val="NormalWeb"/>
      </w:pPr>
      <w:r>
        <w:br/>
        <w:t>3. Please include a one line space between each protocol step and then highlight up to 3 pages of protocol text for inclusion in the protocol section of the video.</w:t>
      </w:r>
    </w:p>
    <w:p w14:paraId="748C0319" w14:textId="240481E6" w:rsidR="00F30C4E" w:rsidRPr="00F30C4E" w:rsidRDefault="00F30C4E" w:rsidP="00E85400">
      <w:pPr>
        <w:pStyle w:val="NormalWeb"/>
        <w:rPr>
          <w:color w:val="FF0000"/>
        </w:rPr>
      </w:pPr>
      <w:r>
        <w:rPr>
          <w:color w:val="FF0000"/>
        </w:rPr>
        <w:t>Response: We have addressed this point now</w:t>
      </w:r>
    </w:p>
    <w:p w14:paraId="2A526855" w14:textId="00B1E8A3" w:rsidR="002A53B9" w:rsidRPr="00C37AF8" w:rsidRDefault="00E85400" w:rsidP="00E85400">
      <w:pPr>
        <w:pStyle w:val="NormalWeb"/>
        <w:rPr>
          <w:color w:val="4472C4" w:themeColor="accent1"/>
        </w:rPr>
      </w:pPr>
      <w:r>
        <w:t xml:space="preserve">4. </w:t>
      </w:r>
      <w:r w:rsidRPr="00AA6C6E">
        <w:t xml:space="preserve">As you mention using implants/tissue, please specify the source and include an ethics statement before the numbered protocol steps, indicating that the protocol follows the guidelines of your institution’s human/animal research ethics committee. If patients/healthy human subjects are involved, please specify selection criteria. As you state in the representative results that you have used a murine spleen, please specify age, strain, sex </w:t>
      </w:r>
      <w:proofErr w:type="spellStart"/>
      <w:r w:rsidRPr="00AA6C6E">
        <w:t>etc</w:t>
      </w:r>
      <w:proofErr w:type="spellEnd"/>
      <w:r w:rsidRPr="00AA6C6E">
        <w:t xml:space="preserve"> of the animals, and include the ethics statement regarding approval from your institution’s animal research ethics committee.</w:t>
      </w:r>
    </w:p>
    <w:p w14:paraId="25237B8F" w14:textId="1CC644A4" w:rsidR="00FF59B9" w:rsidRPr="00FF59B9" w:rsidRDefault="00FF59B9" w:rsidP="00E85400">
      <w:pPr>
        <w:pStyle w:val="NormalWeb"/>
        <w:rPr>
          <w:color w:val="FF0000"/>
        </w:rPr>
      </w:pPr>
      <w:r>
        <w:rPr>
          <w:color w:val="FF0000"/>
        </w:rPr>
        <w:t>As these representative results are published elsewhere and not completed as original research but reviewed, the ethics statement is in the cited article as opposed to this review article that reviews previously completed research.</w:t>
      </w:r>
    </w:p>
    <w:p w14:paraId="693C2A20" w14:textId="745875F3" w:rsidR="002A53B9" w:rsidRDefault="00E85400" w:rsidP="00E85400">
      <w:pPr>
        <w:pStyle w:val="NormalWeb"/>
      </w:pPr>
      <w:r>
        <w:t xml:space="preserve">5.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w:t>
      </w:r>
      <w:proofErr w:type="spellStart"/>
      <w:r>
        <w:t>Liberase</w:t>
      </w:r>
      <w:proofErr w:type="spellEnd"/>
      <w:r>
        <w:t xml:space="preserve"> TM (Sigma, Cat # 5401127001), DNase I (Sigma, Cat # 11284932001), </w:t>
      </w:r>
      <w:proofErr w:type="spellStart"/>
      <w:r>
        <w:t>gentleMACS</w:t>
      </w:r>
      <w:proofErr w:type="spellEnd"/>
      <w:r>
        <w:t xml:space="preserve"> (</w:t>
      </w:r>
      <w:proofErr w:type="spellStart"/>
      <w:r>
        <w:t>Miltneyi</w:t>
      </w:r>
      <w:proofErr w:type="spellEnd"/>
      <w:r>
        <w:t xml:space="preserve"> </w:t>
      </w:r>
      <w:proofErr w:type="spellStart"/>
      <w:r>
        <w:t>Biotec</w:t>
      </w:r>
      <w:proofErr w:type="spellEnd"/>
      <w:r>
        <w:t xml:space="preserve">), Eppendorf tube </w:t>
      </w:r>
      <w:proofErr w:type="spellStart"/>
      <w:r>
        <w:t>etc</w:t>
      </w:r>
      <w:proofErr w:type="spellEnd"/>
    </w:p>
    <w:p w14:paraId="25A77C30" w14:textId="24977D8C" w:rsidR="005A2551" w:rsidRPr="007169F5" w:rsidRDefault="005A2551" w:rsidP="00E85400">
      <w:pPr>
        <w:pStyle w:val="NormalWeb"/>
        <w:rPr>
          <w:color w:val="FF0000"/>
        </w:rPr>
      </w:pPr>
      <w:r w:rsidRPr="007169F5">
        <w:rPr>
          <w:color w:val="FF0000"/>
        </w:rPr>
        <w:t xml:space="preserve">Response: Table is now included for </w:t>
      </w:r>
      <w:r w:rsidR="00D916A6" w:rsidRPr="007169F5">
        <w:rPr>
          <w:color w:val="FF0000"/>
        </w:rPr>
        <w:t xml:space="preserve">material and reagents </w:t>
      </w:r>
      <w:r w:rsidRPr="007169F5">
        <w:rPr>
          <w:color w:val="FF0000"/>
        </w:rPr>
        <w:t xml:space="preserve">and all </w:t>
      </w:r>
      <w:r w:rsidR="00D916A6" w:rsidRPr="007169F5">
        <w:rPr>
          <w:color w:val="FF0000"/>
        </w:rPr>
        <w:t xml:space="preserve">company names </w:t>
      </w:r>
      <w:r w:rsidRPr="007169F5">
        <w:rPr>
          <w:color w:val="FF0000"/>
        </w:rPr>
        <w:t xml:space="preserve">trademarks signs are removed </w:t>
      </w:r>
      <w:r w:rsidR="00D916A6" w:rsidRPr="007169F5">
        <w:rPr>
          <w:color w:val="FF0000"/>
        </w:rPr>
        <w:t xml:space="preserve">and </w:t>
      </w:r>
      <w:r w:rsidR="007169F5" w:rsidRPr="007169F5">
        <w:rPr>
          <w:color w:val="FF0000"/>
        </w:rPr>
        <w:t xml:space="preserve">generic terms are used now. </w:t>
      </w:r>
    </w:p>
    <w:p w14:paraId="57DE74EB" w14:textId="77777777" w:rsidR="00685F89" w:rsidRDefault="00E85400" w:rsidP="00E85400">
      <w:pPr>
        <w:pStyle w:val="NormalWeb"/>
      </w:pPr>
      <w:r>
        <w:lastRenderedPageBreak/>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p>
    <w:p w14:paraId="130EFFAD" w14:textId="27670341" w:rsidR="002741FC" w:rsidRPr="00AD765A" w:rsidRDefault="00277735" w:rsidP="00E85400">
      <w:pPr>
        <w:pStyle w:val="NormalWeb"/>
        <w:rPr>
          <w:color w:val="FF0000"/>
        </w:rPr>
      </w:pPr>
      <w:r w:rsidRPr="00AD765A">
        <w:rPr>
          <w:color w:val="FF0000"/>
        </w:rPr>
        <w:t xml:space="preserve">Response: We have tried to address the short coming to </w:t>
      </w:r>
      <w:r w:rsidR="00F70A24" w:rsidRPr="00AD765A">
        <w:rPr>
          <w:color w:val="FF0000"/>
        </w:rPr>
        <w:t xml:space="preserve">provide </w:t>
      </w:r>
      <w:r w:rsidR="00AD765A" w:rsidRPr="00AD765A">
        <w:rPr>
          <w:color w:val="FF0000"/>
        </w:rPr>
        <w:t xml:space="preserve">detail </w:t>
      </w:r>
      <w:r w:rsidRPr="00AD765A">
        <w:rPr>
          <w:color w:val="FF0000"/>
        </w:rPr>
        <w:t xml:space="preserve">protocol and this will also </w:t>
      </w:r>
      <w:r w:rsidR="008F76A6" w:rsidRPr="00AD765A">
        <w:rPr>
          <w:color w:val="FF0000"/>
        </w:rPr>
        <w:t>be see</w:t>
      </w:r>
      <w:r w:rsidR="009A6CF1">
        <w:rPr>
          <w:color w:val="FF0000"/>
        </w:rPr>
        <w:t>n</w:t>
      </w:r>
      <w:r w:rsidR="008F76A6" w:rsidRPr="00AD765A">
        <w:rPr>
          <w:color w:val="FF0000"/>
        </w:rPr>
        <w:t xml:space="preserve"> in our video. However, we not using any special equipment apart from </w:t>
      </w:r>
      <w:r w:rsidR="00032820" w:rsidRPr="00AD765A">
        <w:rPr>
          <w:color w:val="FF0000"/>
        </w:rPr>
        <w:t xml:space="preserve">flow cytometer </w:t>
      </w:r>
      <w:r w:rsidR="001C5A5D" w:rsidRPr="00AD765A">
        <w:rPr>
          <w:color w:val="FF0000"/>
        </w:rPr>
        <w:t xml:space="preserve">which in our case is </w:t>
      </w:r>
      <w:proofErr w:type="spellStart"/>
      <w:r w:rsidR="001C5A5D" w:rsidRPr="00AD765A">
        <w:rPr>
          <w:color w:val="FF0000"/>
        </w:rPr>
        <w:t>Cytek</w:t>
      </w:r>
      <w:proofErr w:type="spellEnd"/>
      <w:r w:rsidR="001C5A5D" w:rsidRPr="00AD765A">
        <w:rPr>
          <w:color w:val="FF0000"/>
        </w:rPr>
        <w:t xml:space="preserve"> Aurora </w:t>
      </w:r>
      <w:r w:rsidR="006E2885">
        <w:rPr>
          <w:color w:val="FF0000"/>
        </w:rPr>
        <w:t>(</w:t>
      </w:r>
      <w:r w:rsidR="001C5A5D" w:rsidRPr="00AD765A">
        <w:rPr>
          <w:color w:val="FF0000"/>
        </w:rPr>
        <w:t>different from widely used flow cytometers such as BD flow cytometers</w:t>
      </w:r>
      <w:r w:rsidR="006E2885">
        <w:rPr>
          <w:color w:val="FF0000"/>
        </w:rPr>
        <w:t>).</w:t>
      </w:r>
      <w:r w:rsidR="001C5A5D" w:rsidRPr="00AD765A">
        <w:rPr>
          <w:color w:val="FF0000"/>
        </w:rPr>
        <w:t xml:space="preserve"> Therefore, we are happy to cover button clicks </w:t>
      </w:r>
      <w:r w:rsidR="00F70A24" w:rsidRPr="00AD765A">
        <w:rPr>
          <w:color w:val="FF0000"/>
        </w:rPr>
        <w:t xml:space="preserve">on flow cytometer in our video section. </w:t>
      </w:r>
    </w:p>
    <w:p w14:paraId="67A838E2" w14:textId="77777777" w:rsidR="00685F89" w:rsidRDefault="00E85400" w:rsidP="00E85400">
      <w:pPr>
        <w:pStyle w:val="NormalWeb"/>
      </w:pPr>
      <w:r>
        <w:br/>
        <w:t>7. The Protocol should be made up almost entirely of discrete steps without large paragraphs of text between sections. Please simplify the Protocol so that individual steps contain only 2-3 actions per step and a maximum of 4 sentences per step.</w:t>
      </w:r>
    </w:p>
    <w:p w14:paraId="7DE49CB2" w14:textId="68B95F92" w:rsidR="001540D4" w:rsidRPr="005E7A93" w:rsidRDefault="001540D4" w:rsidP="00E85400">
      <w:pPr>
        <w:pStyle w:val="NormalWeb"/>
        <w:rPr>
          <w:color w:val="FF0000"/>
        </w:rPr>
      </w:pPr>
      <w:r w:rsidRPr="005E7A93">
        <w:rPr>
          <w:color w:val="FF0000"/>
        </w:rPr>
        <w:t xml:space="preserve">Response: We have simplified the protocol now and each </w:t>
      </w:r>
      <w:r w:rsidR="005E7A93" w:rsidRPr="005E7A93">
        <w:rPr>
          <w:color w:val="FF0000"/>
        </w:rPr>
        <w:t xml:space="preserve">step have only </w:t>
      </w:r>
      <w:r w:rsidR="00AD765A">
        <w:rPr>
          <w:color w:val="FF0000"/>
        </w:rPr>
        <w:t>2</w:t>
      </w:r>
      <w:r w:rsidR="005E7A93" w:rsidRPr="005E7A93">
        <w:rPr>
          <w:color w:val="FF0000"/>
        </w:rPr>
        <w:t xml:space="preserve">-3 actions. </w:t>
      </w:r>
    </w:p>
    <w:p w14:paraId="4C3A231C" w14:textId="77777777" w:rsidR="00685F89" w:rsidRDefault="00E85400" w:rsidP="00E85400">
      <w:pPr>
        <w:pStyle w:val="NormalWeb"/>
      </w:pPr>
      <w:r>
        <w:br/>
        <w:t>8. Step 1: please provide some guidelines for what volume is to be used for different tissue mass/volume/type.</w:t>
      </w:r>
    </w:p>
    <w:p w14:paraId="5E7CB108" w14:textId="77777777" w:rsidR="009C1771" w:rsidRDefault="00080A28" w:rsidP="00E85400">
      <w:pPr>
        <w:pStyle w:val="NormalWeb"/>
        <w:rPr>
          <w:color w:val="FF0000"/>
        </w:rPr>
      </w:pPr>
      <w:r w:rsidRPr="009C1771">
        <w:rPr>
          <w:color w:val="FF0000"/>
        </w:rPr>
        <w:t xml:space="preserve">Response: We have added a “Note” </w:t>
      </w:r>
      <w:r w:rsidR="00A04ABE" w:rsidRPr="009C1771">
        <w:rPr>
          <w:color w:val="FF0000"/>
        </w:rPr>
        <w:t xml:space="preserve">after </w:t>
      </w:r>
      <w:r w:rsidR="009C1771" w:rsidRPr="009C1771">
        <w:rPr>
          <w:color w:val="FF0000"/>
        </w:rPr>
        <w:t>step 1.2.2</w:t>
      </w:r>
      <w:r w:rsidRPr="009C1771">
        <w:rPr>
          <w:color w:val="FF0000"/>
        </w:rPr>
        <w:t xml:space="preserve"> to address this point</w:t>
      </w:r>
      <w:r w:rsidR="009C1771" w:rsidRPr="009C1771">
        <w:rPr>
          <w:color w:val="FF0000"/>
        </w:rPr>
        <w:t xml:space="preserve">. </w:t>
      </w:r>
      <w:r w:rsidR="00A04ABE" w:rsidRPr="009C1771">
        <w:rPr>
          <w:color w:val="FF0000"/>
        </w:rPr>
        <w:t xml:space="preserve"> </w:t>
      </w:r>
    </w:p>
    <w:p w14:paraId="5DC4B641" w14:textId="03BC00F0" w:rsidR="00685F89" w:rsidRDefault="00E85400" w:rsidP="00E85400">
      <w:pPr>
        <w:pStyle w:val="NormalWeb"/>
      </w:pPr>
      <w:r>
        <w:br/>
        <w:t xml:space="preserve">9. Step 2: Please explain (notes are also permitted) the criteria for optimizing the amounts of </w:t>
      </w:r>
      <w:proofErr w:type="spellStart"/>
      <w:r>
        <w:t>Liberase</w:t>
      </w:r>
      <w:proofErr w:type="spellEnd"/>
      <w:r>
        <w:t>/collagenase and DNase I.</w:t>
      </w:r>
    </w:p>
    <w:p w14:paraId="66BBCAEF" w14:textId="1A27AEBC" w:rsidR="00653A72" w:rsidRPr="00673EED" w:rsidRDefault="0041175E" w:rsidP="00E85400">
      <w:pPr>
        <w:pStyle w:val="NormalWeb"/>
        <w:rPr>
          <w:color w:val="FF0000"/>
        </w:rPr>
      </w:pPr>
      <w:r w:rsidRPr="00DF4990">
        <w:rPr>
          <w:color w:val="FF0000"/>
        </w:rPr>
        <w:t xml:space="preserve">The </w:t>
      </w:r>
      <w:r w:rsidR="000D2699" w:rsidRPr="00DF4990">
        <w:rPr>
          <w:color w:val="FF0000"/>
        </w:rPr>
        <w:t xml:space="preserve">amount on enzyme can differ for type of tissue and we have </w:t>
      </w:r>
      <w:r w:rsidR="00DF4990" w:rsidRPr="00DF4990">
        <w:rPr>
          <w:color w:val="FF0000"/>
        </w:rPr>
        <w:t xml:space="preserve">mentioned this in a </w:t>
      </w:r>
      <w:r w:rsidR="000D2699" w:rsidRPr="00DF4990">
        <w:rPr>
          <w:color w:val="FF0000"/>
        </w:rPr>
        <w:t>“Note”</w:t>
      </w:r>
      <w:r w:rsidR="00DF4990" w:rsidRPr="00DF4990">
        <w:rPr>
          <w:color w:val="FF0000"/>
        </w:rPr>
        <w:t xml:space="preserve"> </w:t>
      </w:r>
      <w:r w:rsidR="00DF4990">
        <w:rPr>
          <w:color w:val="FF0000"/>
        </w:rPr>
        <w:t xml:space="preserve">after step </w:t>
      </w:r>
      <w:proofErr w:type="gramStart"/>
      <w:r w:rsidR="00316968">
        <w:rPr>
          <w:color w:val="FF0000"/>
        </w:rPr>
        <w:t xml:space="preserve">1.2.3, </w:t>
      </w:r>
      <w:r w:rsidR="00CA5987">
        <w:rPr>
          <w:color w:val="FF0000"/>
        </w:rPr>
        <w:t>and</w:t>
      </w:r>
      <w:proofErr w:type="gramEnd"/>
      <w:r w:rsidR="00CA5987">
        <w:rPr>
          <w:color w:val="FF0000"/>
        </w:rPr>
        <w:t xml:space="preserve"> included a reference (Sadt</w:t>
      </w:r>
      <w:r w:rsidR="00673EED">
        <w:rPr>
          <w:color w:val="FF0000"/>
        </w:rPr>
        <w:t xml:space="preserve">ler et al) that </w:t>
      </w:r>
      <w:r w:rsidR="00CA5987">
        <w:rPr>
          <w:color w:val="FF0000"/>
        </w:rPr>
        <w:t xml:space="preserve">has described criteria in much more detail. </w:t>
      </w:r>
      <w:r w:rsidR="00653A72">
        <w:tab/>
      </w:r>
      <w:r w:rsidR="00653A72">
        <w:tab/>
      </w:r>
    </w:p>
    <w:p w14:paraId="755C3D75" w14:textId="77777777" w:rsidR="00685F89" w:rsidRDefault="00E85400" w:rsidP="00E85400">
      <w:pPr>
        <w:pStyle w:val="NormalWeb"/>
      </w:pPr>
      <w:r>
        <w:br/>
        <w:t>10. Step 2: please use mL and not ml.</w:t>
      </w:r>
    </w:p>
    <w:p w14:paraId="679FF92C" w14:textId="2606898D" w:rsidR="002C45EA" w:rsidRPr="002C45EA" w:rsidRDefault="002C45EA" w:rsidP="00E85400">
      <w:pPr>
        <w:pStyle w:val="NormalWeb"/>
        <w:rPr>
          <w:color w:val="FF0000"/>
        </w:rPr>
      </w:pPr>
      <w:r w:rsidRPr="002C45EA">
        <w:rPr>
          <w:color w:val="FF0000"/>
        </w:rPr>
        <w:t xml:space="preserve">Response: Addressed as suggested. </w:t>
      </w:r>
    </w:p>
    <w:p w14:paraId="3EF57DBA" w14:textId="77777777" w:rsidR="00685F89" w:rsidRDefault="00E85400" w:rsidP="00E85400">
      <w:pPr>
        <w:pStyle w:val="NormalWeb"/>
      </w:pPr>
      <w:r>
        <w:br/>
        <w:t>11. Step 3: please change 70 µM cell strainers to 70 µm cell strainers.</w:t>
      </w:r>
    </w:p>
    <w:p w14:paraId="5DA3E090" w14:textId="1526ADF8" w:rsidR="002C45EA" w:rsidRPr="002C45EA" w:rsidRDefault="002C45EA" w:rsidP="00E85400">
      <w:pPr>
        <w:pStyle w:val="NormalWeb"/>
        <w:rPr>
          <w:color w:val="FF0000"/>
        </w:rPr>
      </w:pPr>
      <w:r w:rsidRPr="002C45EA">
        <w:rPr>
          <w:color w:val="FF0000"/>
        </w:rPr>
        <w:t>Response: Addressed as suggested</w:t>
      </w:r>
    </w:p>
    <w:p w14:paraId="70AE471C" w14:textId="77777777" w:rsidR="00685F89" w:rsidRDefault="00E85400" w:rsidP="00E85400">
      <w:pPr>
        <w:pStyle w:val="NormalWeb"/>
      </w:pPr>
      <w:r>
        <w:br/>
        <w:t>12. Please rewrite step 5; do you mean “…to use, and resuspend enzyme”?</w:t>
      </w:r>
    </w:p>
    <w:p w14:paraId="7B62EFEA" w14:textId="7F9A0508" w:rsidR="002C45EA" w:rsidRPr="000F4F3F" w:rsidRDefault="000F4F3F" w:rsidP="00E85400">
      <w:pPr>
        <w:pStyle w:val="NormalWeb"/>
        <w:rPr>
          <w:color w:val="FF0000"/>
        </w:rPr>
      </w:pPr>
      <w:r w:rsidRPr="000F4F3F">
        <w:rPr>
          <w:color w:val="FF0000"/>
        </w:rPr>
        <w:lastRenderedPageBreak/>
        <w:t xml:space="preserve">Response: This point </w:t>
      </w:r>
      <w:r w:rsidR="00753127">
        <w:rPr>
          <w:color w:val="FF0000"/>
        </w:rPr>
        <w:t xml:space="preserve">is </w:t>
      </w:r>
      <w:r w:rsidRPr="000F4F3F">
        <w:rPr>
          <w:color w:val="FF0000"/>
        </w:rPr>
        <w:t xml:space="preserve">corrected now. </w:t>
      </w:r>
    </w:p>
    <w:p w14:paraId="6DCC7D06" w14:textId="77777777" w:rsidR="000F4F3F" w:rsidRDefault="00E85400" w:rsidP="00E85400">
      <w:pPr>
        <w:pStyle w:val="NormalWeb"/>
      </w:pPr>
      <w:r>
        <w:br/>
        <w:t>13. Step 6: are the implants/tissue the samples? If so, please clarify; do you mean “place the implants/tissue in the plates, remove the plates from ice, and dice …”?</w:t>
      </w:r>
    </w:p>
    <w:p w14:paraId="2A8F2B81" w14:textId="77777777" w:rsidR="000F4F3F" w:rsidRPr="000F4F3F" w:rsidRDefault="000F4F3F" w:rsidP="00E85400">
      <w:pPr>
        <w:pStyle w:val="NormalWeb"/>
        <w:rPr>
          <w:color w:val="FF0000"/>
        </w:rPr>
      </w:pPr>
      <w:r w:rsidRPr="000F4F3F">
        <w:rPr>
          <w:color w:val="FF0000"/>
        </w:rPr>
        <w:t xml:space="preserve">Response: Addressed now. </w:t>
      </w:r>
    </w:p>
    <w:p w14:paraId="19F01EA9" w14:textId="345135F1" w:rsidR="00685F89" w:rsidRDefault="00E85400" w:rsidP="00E85400">
      <w:pPr>
        <w:pStyle w:val="NormalWeb"/>
      </w:pPr>
      <w:r>
        <w:br/>
        <w:t>14. Step 6a, how do you evaluate viability and yield of cells? Please move information in step 17 to this point and cite references for using the hemocytometer and flow cytometry to count cells. How would these data help to optimize the dissociation technique for each tissue/material?</w:t>
      </w:r>
    </w:p>
    <w:p w14:paraId="3017AE3B" w14:textId="2F618DD6" w:rsidR="00AD45F0" w:rsidRPr="005E7A93" w:rsidRDefault="00AD45F0" w:rsidP="00E85400">
      <w:pPr>
        <w:pStyle w:val="NormalWeb"/>
        <w:rPr>
          <w:color w:val="FF0000"/>
        </w:rPr>
      </w:pPr>
      <w:r w:rsidRPr="005E7A93">
        <w:rPr>
          <w:color w:val="FF0000"/>
        </w:rPr>
        <w:t xml:space="preserve">Response: This step is removed </w:t>
      </w:r>
      <w:proofErr w:type="gramStart"/>
      <w:r w:rsidRPr="005E7A93">
        <w:rPr>
          <w:color w:val="FF0000"/>
        </w:rPr>
        <w:t>now</w:t>
      </w:r>
      <w:proofErr w:type="gramEnd"/>
      <w:r w:rsidRPr="005E7A93">
        <w:rPr>
          <w:color w:val="FF0000"/>
        </w:rPr>
        <w:t xml:space="preserve"> and viability will only be </w:t>
      </w:r>
      <w:r w:rsidR="00635415" w:rsidRPr="005E7A93">
        <w:rPr>
          <w:color w:val="FF0000"/>
        </w:rPr>
        <w:t xml:space="preserve">determined by </w:t>
      </w:r>
      <w:r w:rsidR="009C1A68" w:rsidRPr="005E7A93">
        <w:rPr>
          <w:color w:val="FF0000"/>
        </w:rPr>
        <w:t xml:space="preserve">flow cytometry using Live/Blue dead reagent. But the total number of cells will be determined </w:t>
      </w:r>
      <w:r w:rsidR="00722288" w:rsidRPr="005E7A93">
        <w:rPr>
          <w:color w:val="FF0000"/>
        </w:rPr>
        <w:t>by using Invitrogen countless</w:t>
      </w:r>
      <w:r w:rsidR="0030200D" w:rsidRPr="005E7A93">
        <w:rPr>
          <w:color w:val="FF0000"/>
        </w:rPr>
        <w:t xml:space="preserve"> as mentioned in equipment table </w:t>
      </w:r>
      <w:r w:rsidR="00FE5A73" w:rsidRPr="005E7A93">
        <w:rPr>
          <w:color w:val="FF0000"/>
        </w:rPr>
        <w:t xml:space="preserve">or by conventional way </w:t>
      </w:r>
      <w:r w:rsidR="00B53269" w:rsidRPr="005E7A93">
        <w:rPr>
          <w:color w:val="FF0000"/>
        </w:rPr>
        <w:t xml:space="preserve">via </w:t>
      </w:r>
      <w:proofErr w:type="spellStart"/>
      <w:r w:rsidR="00B53269" w:rsidRPr="005E7A93">
        <w:rPr>
          <w:color w:val="FF0000"/>
        </w:rPr>
        <w:t>haemocytometer</w:t>
      </w:r>
      <w:proofErr w:type="spellEnd"/>
      <w:r w:rsidR="00B53269" w:rsidRPr="005E7A93">
        <w:rPr>
          <w:color w:val="FF0000"/>
        </w:rPr>
        <w:t xml:space="preserve">. The total number of cells will help in </w:t>
      </w:r>
      <w:r w:rsidR="005C2281" w:rsidRPr="005E7A93">
        <w:rPr>
          <w:color w:val="FF0000"/>
        </w:rPr>
        <w:t xml:space="preserve">determining the cell suspension needed for staining. </w:t>
      </w:r>
    </w:p>
    <w:p w14:paraId="22BB16BF" w14:textId="22F6C7BC" w:rsidR="00685F89" w:rsidRDefault="00E85400" w:rsidP="00E85400">
      <w:pPr>
        <w:pStyle w:val="NormalWeb"/>
      </w:pPr>
      <w:r>
        <w:br/>
        <w:t>15. Step 13: Please add a space between 1x and PBS. Please define all abbreviations at first use. Please be consistent in using only small x for this purpose (refer to step 18a in line 180).</w:t>
      </w:r>
    </w:p>
    <w:p w14:paraId="705945D2" w14:textId="0EED0335" w:rsidR="000116B7" w:rsidRPr="000116B7" w:rsidRDefault="000116B7" w:rsidP="00E85400">
      <w:pPr>
        <w:pStyle w:val="NormalWeb"/>
        <w:rPr>
          <w:color w:val="FF0000"/>
        </w:rPr>
      </w:pPr>
      <w:r w:rsidRPr="000116B7">
        <w:rPr>
          <w:color w:val="FF0000"/>
        </w:rPr>
        <w:t xml:space="preserve">Response: Addressed now </w:t>
      </w:r>
    </w:p>
    <w:p w14:paraId="25812883" w14:textId="77777777" w:rsidR="00432C01" w:rsidRDefault="00E85400" w:rsidP="00E85400">
      <w:pPr>
        <w:pStyle w:val="NormalWeb"/>
      </w:pPr>
      <w:r>
        <w:br/>
        <w:t>16. Please remove the embedded figures and tables from the manuscript.</w:t>
      </w:r>
      <w:r>
        <w:br/>
      </w:r>
      <w:proofErr w:type="spellStart"/>
      <w:r>
        <w:t>i</w:t>
      </w:r>
      <w:proofErr w:type="spellEnd"/>
      <w:r>
        <w:t>) All figures should be uploaded separately to your Editorial Manager account. Each figure must be accompanied by a title and a description after the Representative Results of the manuscript text.</w:t>
      </w:r>
    </w:p>
    <w:p w14:paraId="385AF054" w14:textId="4DFCB3B1" w:rsidR="005904FB" w:rsidRPr="005904FB" w:rsidRDefault="005904FB" w:rsidP="00E85400">
      <w:pPr>
        <w:pStyle w:val="NormalWeb"/>
        <w:rPr>
          <w:color w:val="FF0000"/>
        </w:rPr>
      </w:pPr>
      <w:r w:rsidRPr="005904FB">
        <w:rPr>
          <w:color w:val="FF0000"/>
        </w:rPr>
        <w:t xml:space="preserve">Response: Addressed as suggested </w:t>
      </w:r>
    </w:p>
    <w:p w14:paraId="69C3CB2B" w14:textId="77777777" w:rsidR="00432C01" w:rsidRDefault="00E85400" w:rsidP="00E85400">
      <w:pPr>
        <w:pStyle w:val="NormalWeb"/>
      </w:pPr>
      <w:r>
        <w:br/>
        <w:t>ii) All tables should be uploaded separately to your Editorial Manager account in the form of an .</w:t>
      </w:r>
      <w:proofErr w:type="spellStart"/>
      <w:r>
        <w:t>xls</w:t>
      </w:r>
      <w:proofErr w:type="spellEnd"/>
      <w:r>
        <w:t xml:space="preserve"> or .xlsx file. Each table must be accompanied by a title and a description after the Representative Results of the manuscript text.</w:t>
      </w:r>
    </w:p>
    <w:p w14:paraId="15AEB990" w14:textId="5E7DE8DB" w:rsidR="000550EA" w:rsidRPr="000550EA" w:rsidRDefault="000550EA" w:rsidP="00E85400">
      <w:pPr>
        <w:pStyle w:val="NormalWeb"/>
        <w:rPr>
          <w:color w:val="FF0000"/>
        </w:rPr>
      </w:pPr>
      <w:r w:rsidRPr="000550EA">
        <w:rPr>
          <w:color w:val="FF0000"/>
        </w:rPr>
        <w:t>Response: Addressed as suggested</w:t>
      </w:r>
    </w:p>
    <w:p w14:paraId="195BB97D" w14:textId="77777777" w:rsidR="005E7A93" w:rsidRDefault="00E85400" w:rsidP="00E85400">
      <w:pPr>
        <w:pStyle w:val="NormalWeb"/>
      </w:pPr>
      <w:r>
        <w:br/>
        <w:t xml:space="preserve">17. Please use µL and not </w:t>
      </w:r>
      <w:proofErr w:type="spellStart"/>
      <w:r>
        <w:t>uL</w:t>
      </w:r>
      <w:proofErr w:type="spellEnd"/>
      <w:r>
        <w:t xml:space="preserve"> throughout the manuscript.</w:t>
      </w:r>
    </w:p>
    <w:p w14:paraId="7C883CD9" w14:textId="37DB857C" w:rsidR="00F842E9" w:rsidRDefault="005E7A93" w:rsidP="00E85400">
      <w:pPr>
        <w:pStyle w:val="NormalWeb"/>
      </w:pPr>
      <w:r w:rsidRPr="005E7A93">
        <w:rPr>
          <w:color w:val="FF0000"/>
        </w:rPr>
        <w:t xml:space="preserve">Response: This point is addressed now. </w:t>
      </w:r>
      <w:r w:rsidR="00F842E9">
        <w:br/>
      </w:r>
      <w:r w:rsidR="00E85400">
        <w:br/>
        <w:t xml:space="preserve">18. Please delete step 19 </w:t>
      </w:r>
      <w:proofErr w:type="gramStart"/>
      <w:r w:rsidR="00E85400">
        <w:t>a, and</w:t>
      </w:r>
      <w:proofErr w:type="gramEnd"/>
      <w:r w:rsidR="00E85400">
        <w:t xml:space="preserve"> combine that information with that in step 22.</w:t>
      </w:r>
    </w:p>
    <w:p w14:paraId="0214F1F3" w14:textId="6167939A" w:rsidR="009F6C29" w:rsidRPr="00E7525F" w:rsidRDefault="005E75FC" w:rsidP="00E85400">
      <w:pPr>
        <w:pStyle w:val="NormalWeb"/>
        <w:rPr>
          <w:color w:val="FF0000"/>
        </w:rPr>
      </w:pPr>
      <w:r w:rsidRPr="00E7525F">
        <w:rPr>
          <w:color w:val="FF0000"/>
        </w:rPr>
        <w:t>Response: Step 19 is a separate step now (Step 4.7)</w:t>
      </w:r>
      <w:r w:rsidR="00E7525F" w:rsidRPr="00E7525F">
        <w:rPr>
          <w:color w:val="FF0000"/>
        </w:rPr>
        <w:t xml:space="preserve">. </w:t>
      </w:r>
    </w:p>
    <w:p w14:paraId="5ACC811F" w14:textId="77777777" w:rsidR="00F842E9" w:rsidRDefault="00E85400" w:rsidP="00E85400">
      <w:pPr>
        <w:pStyle w:val="NormalWeb"/>
      </w:pPr>
      <w:r>
        <w:lastRenderedPageBreak/>
        <w:br/>
        <w:t>19. In Step 22, you say “…cocktail is shown below (Table 1)…” but the table below step 22 is labelled as Figure 2 and contains material that should be moved to the Table of Materials.</w:t>
      </w:r>
    </w:p>
    <w:p w14:paraId="5CFC6C47" w14:textId="6A8F30DD" w:rsidR="00E7525F" w:rsidRPr="00A912C8" w:rsidRDefault="00716451" w:rsidP="00E85400">
      <w:pPr>
        <w:pStyle w:val="NormalWeb"/>
        <w:rPr>
          <w:color w:val="FF0000"/>
        </w:rPr>
      </w:pPr>
      <w:r w:rsidRPr="00A912C8">
        <w:rPr>
          <w:color w:val="FF0000"/>
        </w:rPr>
        <w:t xml:space="preserve">Response: Each antibody is now moved to </w:t>
      </w:r>
      <w:r w:rsidR="003E73CF" w:rsidRPr="00A912C8">
        <w:rPr>
          <w:color w:val="FF0000"/>
        </w:rPr>
        <w:t xml:space="preserve">Table of Material now and Figure 2 is changed as Table 2 </w:t>
      </w:r>
      <w:r w:rsidR="00A912C8" w:rsidRPr="00A912C8">
        <w:rPr>
          <w:color w:val="FF0000"/>
        </w:rPr>
        <w:t xml:space="preserve">and modified </w:t>
      </w:r>
      <w:r w:rsidR="003E73CF" w:rsidRPr="00A912C8">
        <w:rPr>
          <w:color w:val="FF0000"/>
        </w:rPr>
        <w:t xml:space="preserve">now. </w:t>
      </w:r>
    </w:p>
    <w:p w14:paraId="119D9A62" w14:textId="77777777" w:rsidR="00F842E9" w:rsidRDefault="00E85400" w:rsidP="00E85400">
      <w:pPr>
        <w:pStyle w:val="NormalWeb"/>
      </w:pPr>
      <w:r>
        <w:br/>
        <w:t>20. Steps 35 &amp; 40: Please specify how much of the intracellular antibody solution is to be used (dilution of the antibody, total volume of the solution), what dye is being used (how much and why), what is the volume of “one full drop”/”one drop”, and please provide a specific example for filming of the protocol.</w:t>
      </w:r>
    </w:p>
    <w:p w14:paraId="58257E14" w14:textId="3A25E206" w:rsidR="00F23F68" w:rsidRPr="00F23F68" w:rsidRDefault="00F23F68" w:rsidP="00E85400">
      <w:pPr>
        <w:pStyle w:val="NormalWeb"/>
        <w:rPr>
          <w:color w:val="FF0000"/>
        </w:rPr>
      </w:pPr>
      <w:r w:rsidRPr="00F23F68">
        <w:rPr>
          <w:color w:val="FF0000"/>
        </w:rPr>
        <w:t xml:space="preserve">The intracellular staining protocol is listed for reference and the antibody type and dye will depend upon the end user’s application. We chose here to describe a general protocol for intracellular staining that is important to put in context of the entire protocol, even if not utilized in the example dataset. We have added in text to include an example </w:t>
      </w:r>
      <w:proofErr w:type="spellStart"/>
      <w:r w:rsidRPr="00F23F68">
        <w:rPr>
          <w:color w:val="FF0000"/>
        </w:rPr>
        <w:t>intraceullar</w:t>
      </w:r>
      <w:proofErr w:type="spellEnd"/>
      <w:r w:rsidRPr="00F23F68">
        <w:rPr>
          <w:color w:val="FF0000"/>
        </w:rPr>
        <w:t xml:space="preserve"> marker and dilution</w:t>
      </w:r>
      <w:r w:rsidR="00A814D4">
        <w:rPr>
          <w:color w:val="FF0000"/>
        </w:rPr>
        <w:t>.</w:t>
      </w:r>
    </w:p>
    <w:p w14:paraId="1B04E7DA" w14:textId="798E0367" w:rsidR="00F842E9" w:rsidRDefault="00E85400" w:rsidP="00E85400">
      <w:pPr>
        <w:pStyle w:val="NormalWeb"/>
      </w:pPr>
      <w:r>
        <w:br/>
        <w:t>21. Step 42: How much of the sample do you take for flow cytometry? If you plan to film this (especially because flow cytometry is the main focus of this protocol), please provide sufficient details to help filming. If you don’t plan to film this, you can provide some details and also cite appropriate references.</w:t>
      </w:r>
    </w:p>
    <w:p w14:paraId="2566F781" w14:textId="674FFBB3" w:rsidR="000771F2" w:rsidRPr="00C81269" w:rsidRDefault="003A4CCB" w:rsidP="00E85400">
      <w:pPr>
        <w:pStyle w:val="NormalWeb"/>
        <w:rPr>
          <w:color w:val="FF0000"/>
        </w:rPr>
      </w:pPr>
      <w:r w:rsidRPr="00C81269">
        <w:rPr>
          <w:color w:val="FF0000"/>
        </w:rPr>
        <w:t xml:space="preserve">Response: We planning to take 200 µL of sample as we have stated in </w:t>
      </w:r>
      <w:r w:rsidR="00C81269" w:rsidRPr="00C81269">
        <w:rPr>
          <w:color w:val="FF0000"/>
        </w:rPr>
        <w:t xml:space="preserve">step 4.16 and step 4.22. </w:t>
      </w:r>
    </w:p>
    <w:p w14:paraId="687AF4CE" w14:textId="77777777" w:rsidR="00F842E9" w:rsidRDefault="00E85400" w:rsidP="00E85400">
      <w:pPr>
        <w:pStyle w:val="NormalWeb"/>
      </w:pPr>
      <w:r>
        <w:br/>
        <w:t>22. Briefly explain the significance of looking for CD11, CD206, CD86, and F4/F80 in the representative results.</w:t>
      </w:r>
    </w:p>
    <w:p w14:paraId="28606763" w14:textId="1245DD62" w:rsidR="00FE3584" w:rsidRPr="005B7515" w:rsidRDefault="005B7515" w:rsidP="00E85400">
      <w:pPr>
        <w:pStyle w:val="NormalWeb"/>
        <w:rPr>
          <w:color w:val="FF0000"/>
        </w:rPr>
      </w:pPr>
      <w:r w:rsidRPr="005B7515">
        <w:rPr>
          <w:color w:val="FF0000"/>
        </w:rPr>
        <w:t>We have expanded our description of these markers in the representative results.</w:t>
      </w:r>
    </w:p>
    <w:p w14:paraId="54BDCB39" w14:textId="368506BE" w:rsidR="00F842E9" w:rsidRDefault="00E85400" w:rsidP="00E85400">
      <w:pPr>
        <w:pStyle w:val="NormalWeb"/>
      </w:pPr>
      <w:r>
        <w:br/>
        <w:t>23. Lines 242-244: Please replace “was” with “what” in “Acknowledgement that was is considered a macrophage…”.</w:t>
      </w:r>
    </w:p>
    <w:p w14:paraId="77A3A14A" w14:textId="2265AFA5" w:rsidR="006A279D" w:rsidRPr="006A279D" w:rsidRDefault="006A279D" w:rsidP="00E85400">
      <w:pPr>
        <w:pStyle w:val="NormalWeb"/>
        <w:rPr>
          <w:color w:val="FF0000"/>
        </w:rPr>
      </w:pPr>
      <w:r w:rsidRPr="006A279D">
        <w:rPr>
          <w:color w:val="FF0000"/>
        </w:rPr>
        <w:t xml:space="preserve">Response: Replaced </w:t>
      </w:r>
    </w:p>
    <w:p w14:paraId="7E49B3C8" w14:textId="28B76BF7" w:rsidR="0080198E" w:rsidRDefault="00E85400" w:rsidP="00E85400">
      <w:pPr>
        <w:pStyle w:val="NormalWeb"/>
      </w:pPr>
      <w:r>
        <w:br/>
        <w:t>24. Please do not abbreviate journal names in the reference list.</w:t>
      </w:r>
      <w:r>
        <w:br/>
      </w:r>
      <w:r w:rsidR="00BB7B78" w:rsidRPr="00BB7B78">
        <w:rPr>
          <w:color w:val="FF0000"/>
        </w:rPr>
        <w:t xml:space="preserve">Response: Addressed as suggested </w:t>
      </w:r>
      <w:r>
        <w:br/>
      </w:r>
      <w:r>
        <w:br/>
        <w:t>____________________________________</w:t>
      </w:r>
      <w:r>
        <w:br/>
      </w:r>
      <w:r>
        <w:rPr>
          <w:rStyle w:val="Strong"/>
          <w:color w:val="0000FF"/>
          <w:u w:val="single"/>
        </w:rPr>
        <w:t>Reviewers' comments:</w:t>
      </w:r>
      <w:r>
        <w:br/>
      </w:r>
      <w:r>
        <w:rPr>
          <w:b/>
          <w:bCs/>
        </w:rPr>
        <w:t>Reviewer #1:</w:t>
      </w:r>
      <w:r>
        <w:br/>
        <w:t>Manuscript Summary:</w:t>
      </w:r>
      <w:r>
        <w:br/>
        <w:t xml:space="preserve">This article provides a detailed and accurate method for the flow cytometric analysis of the immune function of biological scaffold materials, which has good practicability and applicability. </w:t>
      </w:r>
      <w:proofErr w:type="gramStart"/>
      <w:r>
        <w:t>However</w:t>
      </w:r>
      <w:proofErr w:type="gramEnd"/>
      <w:r>
        <w:t xml:space="preserve"> there are still some problems needed to be solved.</w:t>
      </w:r>
      <w:r>
        <w:br/>
      </w:r>
      <w:r>
        <w:lastRenderedPageBreak/>
        <w:br/>
        <w:t>Major Concerns:</w:t>
      </w:r>
      <w:r>
        <w:br/>
        <w:t>1. It is very important to have strict and consistent standards of obtaining the tissue and biomaterial samples, which is a prerequisite for accurate and reliable results of flow cytometry analysis. Is the standard consistent for different implant sites or different scaffold materials? This article does not describe in detail these parts.</w:t>
      </w:r>
    </w:p>
    <w:p w14:paraId="0CA44942" w14:textId="30814331" w:rsidR="005B7515" w:rsidRPr="005B7515" w:rsidRDefault="00837911" w:rsidP="00E85400">
      <w:pPr>
        <w:pStyle w:val="NormalWeb"/>
        <w:rPr>
          <w:color w:val="FF0000"/>
        </w:rPr>
      </w:pPr>
      <w:r>
        <w:rPr>
          <w:color w:val="FF0000"/>
        </w:rPr>
        <w:t xml:space="preserve">The reviewer raises an important topic. </w:t>
      </w:r>
      <w:r w:rsidR="005B7515">
        <w:rPr>
          <w:color w:val="FF0000"/>
        </w:rPr>
        <w:t xml:space="preserve">Consistent standards, as with other techniques, are reliant upon the vigor imposed by the laboratory conducting the study. Here, we provide a general protocol to utilize for FACS prep that we have utilized in </w:t>
      </w:r>
      <w:r w:rsidR="00802EA1">
        <w:rPr>
          <w:color w:val="FF0000"/>
        </w:rPr>
        <w:t xml:space="preserve">intraperitoneal implantation, volumetric muscle loss, and subcutaneous implantation. We have added an additional note </w:t>
      </w:r>
      <w:r>
        <w:rPr>
          <w:color w:val="FF0000"/>
        </w:rPr>
        <w:t xml:space="preserve">after step 3.1 </w:t>
      </w:r>
      <w:r w:rsidR="00802EA1">
        <w:rPr>
          <w:color w:val="FF0000"/>
        </w:rPr>
        <w:t>regarding material variations</w:t>
      </w:r>
      <w:r>
        <w:rPr>
          <w:color w:val="FF0000"/>
        </w:rPr>
        <w:t xml:space="preserve"> and considerations for dissection.</w:t>
      </w:r>
    </w:p>
    <w:p w14:paraId="748FB68A" w14:textId="53A1E8B3" w:rsidR="004D73E9" w:rsidRDefault="00E85400" w:rsidP="00E85400">
      <w:pPr>
        <w:pStyle w:val="NormalWeb"/>
      </w:pPr>
      <w:r>
        <w:br/>
        <w:t xml:space="preserve">2. Is it appropriate to dissect the bio-scaffold material directly? Does the presence of the </w:t>
      </w:r>
      <w:proofErr w:type="gramStart"/>
      <w:r>
        <w:t>bio-material</w:t>
      </w:r>
      <w:proofErr w:type="gramEnd"/>
      <w:r>
        <w:t xml:space="preserve"> affect the preparation and staining of the single cell suspension? It is not discussed in the article.</w:t>
      </w:r>
    </w:p>
    <w:p w14:paraId="09128E4A" w14:textId="7AA16F92" w:rsidR="00AD35BC" w:rsidRPr="00AD35BC" w:rsidRDefault="00541394" w:rsidP="00E85400">
      <w:pPr>
        <w:pStyle w:val="NormalWeb"/>
        <w:rPr>
          <w:color w:val="FF0000"/>
        </w:rPr>
      </w:pPr>
      <w:r w:rsidRPr="00AD35BC">
        <w:rPr>
          <w:color w:val="FF0000"/>
        </w:rPr>
        <w:t>We have used 70</w:t>
      </w:r>
      <w:r w:rsidR="000A459F" w:rsidRPr="00AD35BC">
        <w:rPr>
          <w:color w:val="FF0000"/>
        </w:rPr>
        <w:t xml:space="preserve"> µm</w:t>
      </w:r>
      <w:r w:rsidRPr="00AD35BC">
        <w:rPr>
          <w:color w:val="FF0000"/>
        </w:rPr>
        <w:t xml:space="preserve"> </w:t>
      </w:r>
      <w:r w:rsidR="000A459F" w:rsidRPr="00AD35BC">
        <w:rPr>
          <w:color w:val="FF0000"/>
        </w:rPr>
        <w:t xml:space="preserve">cell strainer to filter cells </w:t>
      </w:r>
      <w:r w:rsidR="008264E8" w:rsidRPr="00AD35BC">
        <w:rPr>
          <w:color w:val="FF0000"/>
        </w:rPr>
        <w:t xml:space="preserve">out from biomaterial and as the biomaterial are generally large enough so </w:t>
      </w:r>
      <w:r w:rsidR="00F26B22" w:rsidRPr="00AD35BC">
        <w:rPr>
          <w:color w:val="FF0000"/>
        </w:rPr>
        <w:t xml:space="preserve">its unlikely that they will pass through the </w:t>
      </w:r>
      <w:r w:rsidR="00585FAA">
        <w:rPr>
          <w:color w:val="FF0000"/>
        </w:rPr>
        <w:t>s</w:t>
      </w:r>
      <w:r w:rsidR="00F26B22" w:rsidRPr="00AD35BC">
        <w:rPr>
          <w:color w:val="FF0000"/>
        </w:rPr>
        <w:t xml:space="preserve">trainer into the cell suspension. But if further purity is required then steps like </w:t>
      </w:r>
      <w:r w:rsidR="0073440E" w:rsidRPr="00AD35BC">
        <w:rPr>
          <w:color w:val="FF0000"/>
        </w:rPr>
        <w:t>density gradient separation can be performed. We have adde</w:t>
      </w:r>
      <w:r w:rsidR="00585FAA">
        <w:rPr>
          <w:color w:val="FF0000"/>
        </w:rPr>
        <w:t xml:space="preserve">d </w:t>
      </w:r>
      <w:r w:rsidR="0073440E" w:rsidRPr="00AD35BC">
        <w:rPr>
          <w:color w:val="FF0000"/>
        </w:rPr>
        <w:t xml:space="preserve">this point as “Note” after </w:t>
      </w:r>
      <w:r w:rsidR="00AD35BC" w:rsidRPr="00AD35BC">
        <w:rPr>
          <w:color w:val="FF0000"/>
        </w:rPr>
        <w:t xml:space="preserve">step 3.9. </w:t>
      </w:r>
    </w:p>
    <w:p w14:paraId="4F60438E" w14:textId="77777777" w:rsidR="004D73E9" w:rsidRDefault="00E85400" w:rsidP="00E85400">
      <w:pPr>
        <w:pStyle w:val="NormalWeb"/>
      </w:pPr>
      <w:r>
        <w:br/>
        <w:t>3. Splenic macrophages are different from the macrophages around the implant, and the macrophages around the implant play a vital role. Is the spleen as a control recommended in the article suitable?</w:t>
      </w:r>
    </w:p>
    <w:p w14:paraId="5BA530E7" w14:textId="58B1CF6E" w:rsidR="00C1571C" w:rsidRPr="00023014" w:rsidRDefault="00CC0314" w:rsidP="00E85400">
      <w:pPr>
        <w:pStyle w:val="NormalWeb"/>
        <w:rPr>
          <w:color w:val="FF0000"/>
        </w:rPr>
      </w:pPr>
      <w:r w:rsidRPr="00023014">
        <w:rPr>
          <w:color w:val="FF0000"/>
        </w:rPr>
        <w:t xml:space="preserve">We thank the reviewer for raising the important issue and indeed the macrophages </w:t>
      </w:r>
      <w:r w:rsidR="003961F4" w:rsidRPr="00023014">
        <w:rPr>
          <w:color w:val="FF0000"/>
        </w:rPr>
        <w:t>around impl</w:t>
      </w:r>
      <w:r w:rsidR="00885C68" w:rsidRPr="00023014">
        <w:rPr>
          <w:color w:val="FF0000"/>
        </w:rPr>
        <w:t xml:space="preserve">ants can be different from spleen but </w:t>
      </w:r>
      <w:r w:rsidR="003961F4" w:rsidRPr="00023014">
        <w:rPr>
          <w:color w:val="FF0000"/>
        </w:rPr>
        <w:t xml:space="preserve"> </w:t>
      </w:r>
      <w:r w:rsidR="00885C68" w:rsidRPr="00023014">
        <w:rPr>
          <w:color w:val="FF0000"/>
        </w:rPr>
        <w:t xml:space="preserve">the </w:t>
      </w:r>
      <w:r w:rsidR="005D6EEB" w:rsidRPr="00023014">
        <w:rPr>
          <w:color w:val="FF0000"/>
        </w:rPr>
        <w:t xml:space="preserve">purpose of </w:t>
      </w:r>
      <w:r w:rsidR="00885C68" w:rsidRPr="00023014">
        <w:rPr>
          <w:color w:val="FF0000"/>
        </w:rPr>
        <w:t xml:space="preserve">using spleen </w:t>
      </w:r>
      <w:r w:rsidR="005D6EEB" w:rsidRPr="00023014">
        <w:rPr>
          <w:color w:val="FF0000"/>
        </w:rPr>
        <w:t>is to</w:t>
      </w:r>
      <w:r w:rsidR="00885C68" w:rsidRPr="00023014">
        <w:rPr>
          <w:color w:val="FF0000"/>
        </w:rPr>
        <w:t xml:space="preserve"> obtain high number of immune cells </w:t>
      </w:r>
      <w:r w:rsidR="00193325" w:rsidRPr="00023014">
        <w:rPr>
          <w:color w:val="FF0000"/>
        </w:rPr>
        <w:t>to</w:t>
      </w:r>
      <w:r w:rsidR="005D6EEB" w:rsidRPr="00023014">
        <w:rPr>
          <w:color w:val="FF0000"/>
        </w:rPr>
        <w:t xml:space="preserve"> optimize flow cytometry setting </w:t>
      </w:r>
      <w:r w:rsidR="00FB69A2" w:rsidRPr="00023014">
        <w:rPr>
          <w:color w:val="FF0000"/>
        </w:rPr>
        <w:t xml:space="preserve">such as forward scatter and side scatter </w:t>
      </w:r>
      <w:r w:rsidR="005D6EEB" w:rsidRPr="00023014">
        <w:rPr>
          <w:color w:val="FF0000"/>
        </w:rPr>
        <w:t xml:space="preserve">and </w:t>
      </w:r>
      <w:r w:rsidR="00D62DF0" w:rsidRPr="00023014">
        <w:rPr>
          <w:color w:val="FF0000"/>
        </w:rPr>
        <w:t xml:space="preserve">also to </w:t>
      </w:r>
      <w:r w:rsidR="00842CEA" w:rsidRPr="00023014">
        <w:rPr>
          <w:color w:val="FF0000"/>
        </w:rPr>
        <w:t xml:space="preserve">understand the autofluorescence </w:t>
      </w:r>
      <w:r w:rsidR="00AD35BC" w:rsidRPr="00023014">
        <w:rPr>
          <w:color w:val="FF0000"/>
        </w:rPr>
        <w:t xml:space="preserve">of </w:t>
      </w:r>
      <w:r w:rsidR="00842CEA" w:rsidRPr="00023014">
        <w:rPr>
          <w:color w:val="FF0000"/>
        </w:rPr>
        <w:t>tissue</w:t>
      </w:r>
      <w:r w:rsidR="00D62DF0" w:rsidRPr="00023014">
        <w:rPr>
          <w:color w:val="FF0000"/>
        </w:rPr>
        <w:t xml:space="preserve"> resident</w:t>
      </w:r>
      <w:r w:rsidR="00842CEA" w:rsidRPr="00023014">
        <w:rPr>
          <w:color w:val="FF0000"/>
        </w:rPr>
        <w:t xml:space="preserve"> </w:t>
      </w:r>
      <w:r w:rsidR="00602857" w:rsidRPr="00023014">
        <w:rPr>
          <w:color w:val="FF0000"/>
        </w:rPr>
        <w:t>immune cells</w:t>
      </w:r>
      <w:r w:rsidR="00B56D83" w:rsidRPr="00023014">
        <w:rPr>
          <w:color w:val="FF0000"/>
        </w:rPr>
        <w:t xml:space="preserve"> </w:t>
      </w:r>
      <w:r w:rsidR="00DC718A" w:rsidRPr="00023014">
        <w:rPr>
          <w:color w:val="FF0000"/>
        </w:rPr>
        <w:t>such as macrophages which will feature more or less similar auto</w:t>
      </w:r>
      <w:r w:rsidR="00D3337E" w:rsidRPr="00023014">
        <w:rPr>
          <w:color w:val="FF0000"/>
        </w:rPr>
        <w:t>-</w:t>
      </w:r>
      <w:r w:rsidR="00DC718A" w:rsidRPr="00023014">
        <w:rPr>
          <w:color w:val="FF0000"/>
        </w:rPr>
        <w:t xml:space="preserve">florescence </w:t>
      </w:r>
      <w:r w:rsidR="00C1571C" w:rsidRPr="00023014">
        <w:rPr>
          <w:color w:val="FF0000"/>
        </w:rPr>
        <w:t xml:space="preserve">if isolated from any other tissue. Therefore, since our purpose is not </w:t>
      </w:r>
      <w:r w:rsidR="00D603F6" w:rsidRPr="00023014">
        <w:rPr>
          <w:color w:val="FF0000"/>
        </w:rPr>
        <w:t xml:space="preserve">measuring functional characteristics of cells, spleen provide </w:t>
      </w:r>
      <w:r w:rsidR="00451B14" w:rsidRPr="00023014">
        <w:rPr>
          <w:color w:val="FF0000"/>
        </w:rPr>
        <w:t xml:space="preserve">sufficient cells for optimization and autofluorescence comparison. </w:t>
      </w:r>
      <w:r w:rsidR="005B7515">
        <w:rPr>
          <w:color w:val="FF0000"/>
        </w:rPr>
        <w:t>During development of panels, we note that is important to test and optimize on each tissue or implant type.</w:t>
      </w:r>
    </w:p>
    <w:p w14:paraId="7F69513D" w14:textId="29D496AD" w:rsidR="00DC718A" w:rsidRDefault="00E85400" w:rsidP="00E85400">
      <w:pPr>
        <w:pStyle w:val="NormalWeb"/>
      </w:pPr>
      <w:r>
        <w:t>Minor Concerns:</w:t>
      </w:r>
    </w:p>
    <w:p w14:paraId="5E0D549C" w14:textId="2F0C2161" w:rsidR="004D73E9" w:rsidRDefault="00E85400" w:rsidP="00E85400">
      <w:pPr>
        <w:pStyle w:val="NormalWeb"/>
      </w:pPr>
      <w:r>
        <w:br/>
        <w:t>1. Fig3 lacks ④.</w:t>
      </w:r>
    </w:p>
    <w:p w14:paraId="34660D7E" w14:textId="2AA148A4" w:rsidR="004D73E9" w:rsidRPr="004D73E9" w:rsidRDefault="004D73E9" w:rsidP="00E85400">
      <w:pPr>
        <w:pStyle w:val="NormalWeb"/>
        <w:rPr>
          <w:color w:val="FF0000"/>
        </w:rPr>
      </w:pPr>
      <w:r w:rsidRPr="004D73E9">
        <w:rPr>
          <w:color w:val="FF0000"/>
        </w:rPr>
        <w:t xml:space="preserve">Response: Corrected now. </w:t>
      </w:r>
    </w:p>
    <w:p w14:paraId="15B195C0" w14:textId="664F17C0" w:rsidR="00046468" w:rsidRDefault="00E85400" w:rsidP="00E85400">
      <w:pPr>
        <w:pStyle w:val="NormalWeb"/>
      </w:pPr>
      <w:r>
        <w:br/>
      </w:r>
      <w:r>
        <w:br/>
      </w:r>
      <w:r>
        <w:rPr>
          <w:b/>
          <w:bCs/>
        </w:rPr>
        <w:t xml:space="preserve">Reviewer #2: </w:t>
      </w:r>
      <w:r>
        <w:br/>
        <w:t xml:space="preserve">This manuscript describes the steps to isolate cells from dissected implant tissues and their subsequent analysis by flow cytometry. The manuscript is well written, with concise techniques reported </w:t>
      </w:r>
      <w:r>
        <w:lastRenderedPageBreak/>
        <w:t>straightforwardly. These techniques are of the growing interest to members of the Immunology and flow cytometry community.</w:t>
      </w:r>
    </w:p>
    <w:p w14:paraId="3B97040D" w14:textId="2E733B2A" w:rsidR="00F842E9" w:rsidRDefault="00E85400" w:rsidP="00E85400">
      <w:pPr>
        <w:pStyle w:val="NormalWeb"/>
      </w:pPr>
      <w:r>
        <w:br/>
        <w:t>1. The title is very attractive but might mislead the readers on what was actually performed. The manuscript describes the cell isolation from dissected implant tissues and their subsequent analysis by flow cytometry. No scaffold (e.g., ECM) or in situ analyses were performed. Please change the title to represent the manuscript's data more accurately. Suggestion, "High-Dimensionality Flow Cytometry for Immune Function Analysis of dissected implant tissues."</w:t>
      </w:r>
    </w:p>
    <w:p w14:paraId="47BC8AD5" w14:textId="3E83F142" w:rsidR="0041686A" w:rsidRPr="0041686A" w:rsidRDefault="0041686A" w:rsidP="00E85400">
      <w:pPr>
        <w:pStyle w:val="NormalWeb"/>
        <w:rPr>
          <w:color w:val="FF0000"/>
        </w:rPr>
      </w:pPr>
      <w:r w:rsidRPr="0041686A">
        <w:rPr>
          <w:color w:val="FF0000"/>
        </w:rPr>
        <w:t xml:space="preserve">Response: Title changed as suggested. </w:t>
      </w:r>
    </w:p>
    <w:p w14:paraId="341E9833" w14:textId="77777777" w:rsidR="00055A07" w:rsidRDefault="00E85400" w:rsidP="00E85400">
      <w:pPr>
        <w:pStyle w:val="NormalWeb"/>
      </w:pPr>
      <w:r>
        <w:br/>
        <w:t>2. Please include a section for reagent preparation, including buffers for enzymatic digestion, staining, Viability eFluor780, and RPMI with 10 mM HEPES.</w:t>
      </w:r>
    </w:p>
    <w:p w14:paraId="22E91D11" w14:textId="09FA1299" w:rsidR="00AB5498" w:rsidRPr="004073FE" w:rsidRDefault="00176462" w:rsidP="00E85400">
      <w:pPr>
        <w:pStyle w:val="NormalWeb"/>
        <w:rPr>
          <w:color w:val="FF0000"/>
        </w:rPr>
      </w:pPr>
      <w:r w:rsidRPr="004073FE">
        <w:rPr>
          <w:color w:val="FF0000"/>
        </w:rPr>
        <w:t xml:space="preserve">Response: </w:t>
      </w:r>
      <w:r w:rsidR="00AB5498" w:rsidRPr="004073FE">
        <w:rPr>
          <w:color w:val="FF0000"/>
        </w:rPr>
        <w:t xml:space="preserve">Reagent preparation section added </w:t>
      </w:r>
      <w:r w:rsidR="004073FE" w:rsidRPr="004073FE">
        <w:rPr>
          <w:color w:val="FF0000"/>
        </w:rPr>
        <w:t>as section 1</w:t>
      </w:r>
    </w:p>
    <w:p w14:paraId="64619E22" w14:textId="77777777" w:rsidR="00055A07" w:rsidRDefault="00E85400" w:rsidP="00E85400">
      <w:pPr>
        <w:pStyle w:val="NormalWeb"/>
      </w:pPr>
      <w:r>
        <w:br/>
        <w:t>3. Line 82. Please add an example of how to prepare the "enzyme solution volume." For 2g of spleen, one would prepare the "x" amount of …</w:t>
      </w:r>
    </w:p>
    <w:p w14:paraId="056840D0" w14:textId="79AB5855" w:rsidR="00B86FF3" w:rsidRPr="00B86FF3" w:rsidRDefault="00B86FF3" w:rsidP="00E85400">
      <w:pPr>
        <w:pStyle w:val="NormalWeb"/>
        <w:rPr>
          <w:color w:val="FF0000"/>
        </w:rPr>
      </w:pPr>
      <w:r w:rsidRPr="00B86FF3">
        <w:rPr>
          <w:color w:val="FF0000"/>
        </w:rPr>
        <w:t xml:space="preserve">Response: Added at Step 1.2.2. </w:t>
      </w:r>
    </w:p>
    <w:p w14:paraId="7281A990" w14:textId="77777777" w:rsidR="0041686A" w:rsidRDefault="00E85400" w:rsidP="00E85400">
      <w:pPr>
        <w:pStyle w:val="NormalWeb"/>
      </w:pPr>
      <w:r>
        <w:br/>
        <w:t>4. It is a good practice to have Fc blocking prior to immunostaining. Why did the authors choose to have the Fc blocking concomitantly with the immunostaining step? Please clarify your choice in the discussion.</w:t>
      </w:r>
    </w:p>
    <w:p w14:paraId="3DDFA01A" w14:textId="51EB68A3" w:rsidR="00E85400" w:rsidRDefault="00955670" w:rsidP="00E85400">
      <w:pPr>
        <w:pStyle w:val="NormalWeb"/>
      </w:pPr>
      <w:r w:rsidRPr="00955670">
        <w:rPr>
          <w:color w:val="FF0000"/>
        </w:rPr>
        <w:t>Fc block out-competes for non-specific binding of other antibodies providing the Fc block is added at sufficient concentration. There is no difference between adding Fc concomitantly and pre-incubation</w:t>
      </w:r>
      <w:r w:rsidR="005A7BF7">
        <w:rPr>
          <w:color w:val="FF0000"/>
        </w:rPr>
        <w:t xml:space="preserve"> and decreases handling steps and processing time which is important for sample integrity.</w:t>
      </w:r>
      <w:r w:rsidR="00E85400">
        <w:br/>
      </w:r>
      <w:r w:rsidR="00E85400">
        <w:br/>
      </w:r>
      <w:r w:rsidR="00E85400">
        <w:rPr>
          <w:b/>
          <w:bCs/>
        </w:rPr>
        <w:t>Reviewer #3:</w:t>
      </w:r>
      <w:r w:rsidR="00E85400">
        <w:br/>
        <w:t>Manuscript Summary:</w:t>
      </w:r>
      <w:r w:rsidR="00E85400">
        <w:br/>
        <w:t xml:space="preserve">The manuscript provides a very straightforward methodology for cell isolation, processing and staining for immunophenotyping of myeloid and lymphoid origin present in biomaterials or scaffolds after implantation. Flow cytometry is widely used and a powerful tool to identify cell populations. Unfortunately, most existing flow cytometry protocols are designed for blood or tumoral tissues which are quite different when compared to biomaterial and engineered scaffolds. Most of us that use flow cytometry as a way to identify cell phenotypes in response to biomaterials/scaffolds had to invest significant time and resources adapting existing protocols and matching antibodies. The authors put together a </w:t>
      </w:r>
      <w:proofErr w:type="spellStart"/>
      <w:r w:rsidR="00E85400">
        <w:t>well designed</w:t>
      </w:r>
      <w:proofErr w:type="spellEnd"/>
      <w:r w:rsidR="00E85400">
        <w:t xml:space="preserve"> protocol that can be readily applied in every single lab with access to a flow cytometer and have selected a set of matching antibodies that have been reported previously.</w:t>
      </w:r>
      <w:r w:rsidR="00E85400">
        <w:br/>
      </w:r>
      <w:r w:rsidR="00E85400">
        <w:br/>
        <w:t>Major Concerns:</w:t>
      </w:r>
      <w:r w:rsidR="00E85400">
        <w:br/>
        <w:t>No major concerns. This was a R1 by then I think that most concerns were addressed.</w:t>
      </w:r>
      <w:r w:rsidR="00E85400">
        <w:br/>
      </w:r>
      <w:r w:rsidR="00E85400">
        <w:lastRenderedPageBreak/>
        <w:br/>
        <w:t>Minor Concerns:</w:t>
      </w:r>
      <w:r w:rsidR="00E85400">
        <w:br/>
        <w:t>Perhaps my only concern is that while cytometer setting and compensation set up is part of the protocol, a little more explanation can be provided. Perhaps this is part of the video. Additionally, it would be ideal that the authors provide some additional insights in respect to how to build the antibody panels and the gating strategy.</w:t>
      </w:r>
    </w:p>
    <w:p w14:paraId="139EDF10" w14:textId="54518EB2" w:rsidR="00ED041B" w:rsidRPr="006457F5" w:rsidRDefault="003F0BC8" w:rsidP="00E85400">
      <w:pPr>
        <w:pStyle w:val="NormalWeb"/>
        <w:rPr>
          <w:color w:val="FF0000"/>
        </w:rPr>
      </w:pPr>
      <w:r w:rsidRPr="006457F5">
        <w:rPr>
          <w:color w:val="FF0000"/>
        </w:rPr>
        <w:t xml:space="preserve">Response: </w:t>
      </w:r>
      <w:r w:rsidR="00F353B5" w:rsidRPr="006457F5">
        <w:rPr>
          <w:color w:val="FF0000"/>
        </w:rPr>
        <w:t xml:space="preserve">We </w:t>
      </w:r>
      <w:r w:rsidR="00F353B5">
        <w:rPr>
          <w:color w:val="FF0000"/>
        </w:rPr>
        <w:t xml:space="preserve">have briefly covered </w:t>
      </w:r>
      <w:r w:rsidR="00F353B5" w:rsidRPr="006457F5">
        <w:rPr>
          <w:color w:val="FF0000"/>
        </w:rPr>
        <w:t xml:space="preserve">gating strategy </w:t>
      </w:r>
      <w:r w:rsidR="00F353B5">
        <w:rPr>
          <w:color w:val="FF0000"/>
        </w:rPr>
        <w:t xml:space="preserve">in our representative result section and </w:t>
      </w:r>
      <w:r w:rsidR="005A7BF7">
        <w:rPr>
          <w:color w:val="FF0000"/>
        </w:rPr>
        <w:t>with reiterate these points</w:t>
      </w:r>
      <w:r w:rsidR="00F353B5">
        <w:rPr>
          <w:color w:val="FF0000"/>
        </w:rPr>
        <w:t xml:space="preserve"> </w:t>
      </w:r>
      <w:r w:rsidR="006457F5" w:rsidRPr="006457F5">
        <w:rPr>
          <w:color w:val="FF0000"/>
        </w:rPr>
        <w:t>cover</w:t>
      </w:r>
      <w:r w:rsidR="00900AB3" w:rsidRPr="006457F5">
        <w:rPr>
          <w:color w:val="FF0000"/>
        </w:rPr>
        <w:t xml:space="preserve"> </w:t>
      </w:r>
      <w:r w:rsidR="00F353B5">
        <w:rPr>
          <w:color w:val="FF0000"/>
        </w:rPr>
        <w:t xml:space="preserve">along with </w:t>
      </w:r>
      <w:r w:rsidR="006457F5" w:rsidRPr="006457F5">
        <w:rPr>
          <w:color w:val="FF0000"/>
        </w:rPr>
        <w:t>panel designing in our video</w:t>
      </w:r>
      <w:r w:rsidR="00F353B5">
        <w:rPr>
          <w:color w:val="FF0000"/>
        </w:rPr>
        <w:t xml:space="preserve">. </w:t>
      </w:r>
      <w:r w:rsidR="002E19AE">
        <w:rPr>
          <w:color w:val="FF0000"/>
        </w:rPr>
        <w:t>We have expanded a note on compensation</w:t>
      </w:r>
      <w:r w:rsidR="00D36FA2">
        <w:rPr>
          <w:color w:val="FF0000"/>
        </w:rPr>
        <w:t xml:space="preserve"> within the protocol and added in a discussion on iterative panel design. We will also discuss this in the video segment.</w:t>
      </w:r>
    </w:p>
    <w:p w14:paraId="280EBD24" w14:textId="77777777" w:rsidR="00C01A03" w:rsidRDefault="00C01A03"/>
    <w:sectPr w:rsidR="00C0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0"/>
    <w:rsid w:val="000116B7"/>
    <w:rsid w:val="00023014"/>
    <w:rsid w:val="00032820"/>
    <w:rsid w:val="00046468"/>
    <w:rsid w:val="000550EA"/>
    <w:rsid w:val="00055A07"/>
    <w:rsid w:val="000771F2"/>
    <w:rsid w:val="00080A28"/>
    <w:rsid w:val="00097764"/>
    <w:rsid w:val="000A459F"/>
    <w:rsid w:val="000A7CF1"/>
    <w:rsid w:val="000D0FD3"/>
    <w:rsid w:val="000D2699"/>
    <w:rsid w:val="000F4F3F"/>
    <w:rsid w:val="001442D0"/>
    <w:rsid w:val="001540D4"/>
    <w:rsid w:val="00176462"/>
    <w:rsid w:val="0017706B"/>
    <w:rsid w:val="00193325"/>
    <w:rsid w:val="001C5A5D"/>
    <w:rsid w:val="002741FC"/>
    <w:rsid w:val="00277735"/>
    <w:rsid w:val="002A53B9"/>
    <w:rsid w:val="002C45EA"/>
    <w:rsid w:val="002D6C75"/>
    <w:rsid w:val="002E19AE"/>
    <w:rsid w:val="0030200D"/>
    <w:rsid w:val="00316968"/>
    <w:rsid w:val="00345B12"/>
    <w:rsid w:val="00351A6A"/>
    <w:rsid w:val="003961F4"/>
    <w:rsid w:val="003A4CCB"/>
    <w:rsid w:val="003E73CF"/>
    <w:rsid w:val="003F0BC8"/>
    <w:rsid w:val="004073FE"/>
    <w:rsid w:val="0041175E"/>
    <w:rsid w:val="0041686A"/>
    <w:rsid w:val="00432C01"/>
    <w:rsid w:val="00451B14"/>
    <w:rsid w:val="00460F65"/>
    <w:rsid w:val="004A276D"/>
    <w:rsid w:val="004D73E9"/>
    <w:rsid w:val="004F5935"/>
    <w:rsid w:val="00541394"/>
    <w:rsid w:val="00585FAA"/>
    <w:rsid w:val="005904FB"/>
    <w:rsid w:val="005A2551"/>
    <w:rsid w:val="005A7BF7"/>
    <w:rsid w:val="005B7515"/>
    <w:rsid w:val="005C2281"/>
    <w:rsid w:val="005D671D"/>
    <w:rsid w:val="005D6EEB"/>
    <w:rsid w:val="005E1CB7"/>
    <w:rsid w:val="005E75FC"/>
    <w:rsid w:val="005E7A93"/>
    <w:rsid w:val="00602857"/>
    <w:rsid w:val="00612EAA"/>
    <w:rsid w:val="00616536"/>
    <w:rsid w:val="00635415"/>
    <w:rsid w:val="006457F5"/>
    <w:rsid w:val="00653A72"/>
    <w:rsid w:val="00673EED"/>
    <w:rsid w:val="00685F89"/>
    <w:rsid w:val="00687916"/>
    <w:rsid w:val="006A279D"/>
    <w:rsid w:val="006E2885"/>
    <w:rsid w:val="00716451"/>
    <w:rsid w:val="007169F5"/>
    <w:rsid w:val="00722288"/>
    <w:rsid w:val="0073440E"/>
    <w:rsid w:val="00753127"/>
    <w:rsid w:val="007A4766"/>
    <w:rsid w:val="007F56B4"/>
    <w:rsid w:val="0080198E"/>
    <w:rsid w:val="00802EA1"/>
    <w:rsid w:val="008264E8"/>
    <w:rsid w:val="00837911"/>
    <w:rsid w:val="00842CEA"/>
    <w:rsid w:val="00883219"/>
    <w:rsid w:val="00885C68"/>
    <w:rsid w:val="008F76A6"/>
    <w:rsid w:val="00900AB3"/>
    <w:rsid w:val="0091069F"/>
    <w:rsid w:val="0092696F"/>
    <w:rsid w:val="00955670"/>
    <w:rsid w:val="009A6CF1"/>
    <w:rsid w:val="009C1771"/>
    <w:rsid w:val="009C1A68"/>
    <w:rsid w:val="009C788D"/>
    <w:rsid w:val="009F6C29"/>
    <w:rsid w:val="00A04ABE"/>
    <w:rsid w:val="00A21EE6"/>
    <w:rsid w:val="00A5239F"/>
    <w:rsid w:val="00A814D4"/>
    <w:rsid w:val="00A912C8"/>
    <w:rsid w:val="00AA6C6E"/>
    <w:rsid w:val="00AB5498"/>
    <w:rsid w:val="00AD35BC"/>
    <w:rsid w:val="00AD45F0"/>
    <w:rsid w:val="00AD765A"/>
    <w:rsid w:val="00B53269"/>
    <w:rsid w:val="00B56D83"/>
    <w:rsid w:val="00B86FF3"/>
    <w:rsid w:val="00BA3C07"/>
    <w:rsid w:val="00BA3D0D"/>
    <w:rsid w:val="00BB7B78"/>
    <w:rsid w:val="00BD7688"/>
    <w:rsid w:val="00C01A03"/>
    <w:rsid w:val="00C1571C"/>
    <w:rsid w:val="00C37AF8"/>
    <w:rsid w:val="00C81269"/>
    <w:rsid w:val="00CA5987"/>
    <w:rsid w:val="00CC0314"/>
    <w:rsid w:val="00CC0894"/>
    <w:rsid w:val="00CD24E9"/>
    <w:rsid w:val="00D24CA9"/>
    <w:rsid w:val="00D3337E"/>
    <w:rsid w:val="00D36FA2"/>
    <w:rsid w:val="00D603F6"/>
    <w:rsid w:val="00D62DF0"/>
    <w:rsid w:val="00D77873"/>
    <w:rsid w:val="00D916A6"/>
    <w:rsid w:val="00DC31C5"/>
    <w:rsid w:val="00DC3DA1"/>
    <w:rsid w:val="00DC718A"/>
    <w:rsid w:val="00DD6785"/>
    <w:rsid w:val="00DF4990"/>
    <w:rsid w:val="00E343D2"/>
    <w:rsid w:val="00E62DD4"/>
    <w:rsid w:val="00E7525F"/>
    <w:rsid w:val="00E85400"/>
    <w:rsid w:val="00EC1284"/>
    <w:rsid w:val="00ED041B"/>
    <w:rsid w:val="00F23F68"/>
    <w:rsid w:val="00F26B22"/>
    <w:rsid w:val="00F30C4E"/>
    <w:rsid w:val="00F353B5"/>
    <w:rsid w:val="00F70A24"/>
    <w:rsid w:val="00F842E9"/>
    <w:rsid w:val="00FB69A2"/>
    <w:rsid w:val="00FC27D2"/>
    <w:rsid w:val="00FE3584"/>
    <w:rsid w:val="00FE5A73"/>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9AD6"/>
  <w15:chartTrackingRefBased/>
  <w15:docId w15:val="{5CE311DB-4FB1-4D9A-996D-ABCC8CC7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400"/>
    <w:rPr>
      <w:color w:val="0000FF"/>
      <w:u w:val="single"/>
    </w:rPr>
  </w:style>
  <w:style w:type="paragraph" w:styleId="NormalWeb">
    <w:name w:val="Normal (Web)"/>
    <w:basedOn w:val="Normal"/>
    <w:uiPriority w:val="99"/>
    <w:semiHidden/>
    <w:unhideWhenUsed/>
    <w:rsid w:val="00E8540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E85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08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TotalTime>
  <Pages>7</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Lokwani, Ravi (NIH/NIBIB) [F]</dc:creator>
  <cp:keywords/>
  <dc:description/>
  <cp:lastModifiedBy>Sadtler, Kaitlyn (NIH/NIBIB) [E]</cp:lastModifiedBy>
  <cp:revision>139</cp:revision>
  <dcterms:created xsi:type="dcterms:W3CDTF">2020-11-01T05:40:00Z</dcterms:created>
  <dcterms:modified xsi:type="dcterms:W3CDTF">2020-11-30T21:08:00Z</dcterms:modified>
</cp:coreProperties>
</file>