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High-dimensionality Flow Cytometry for Immune Function Analysis of Dissected Implant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Ravi Lokwani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Kaitlyn Sadtler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Section on Immuno-Engineering, National Institute of Biomedical Imaging and Bioengineering, National Institutes of Health, Bethesda MD 20892,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Ravi Lokwani (ravi.lokwani@nih.gov)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Kaitlyn Sadtler (kaitlyn.sadtler@nih.gov)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Immunology, biomaterials, flow cytometry, bioengineering, immunoengineering, medical devices, biocompatibility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cells from dissected implants and their characterization by flow cytometry can significantly contribute to understanding the pattern of immune response against implants. This paper describes a precise method for the isolation of cells from dissected implants and their staining for flow cytometric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implanting laboratory-grown tissue or a medical device in an individual is subject to the immune response of the recipient host. Considering an implant as a foreign body, a hostile and dysregulated immune response may result in the rejection of the implant, while a regulated response and regaining of homeostasis can lead to its acceptance. Analyzing the microenvironments of implants dissected out under in vivo or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settings can help in understanding the pattern of immune response, which can ultimately help in developing new generations of biomaterials. Flow cytometry is a well-known technique for characterizing immune cells and their subsets based on their cell surface markers. This review describes a protocol based on manual dicing, enzymatic digestion, and filtration through a cell strainer for the isolation of uniform cell suspensions from dissected implant tissue. Further, a multicolor flow cytometry staining protocol has been explained, along with steps for initial cytometer settings to characterize and quantify these isolated cells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the field of medicine have led to the frequent use of implanted materials for supporting the function or re-growth of damaged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include devices such as pacemakers, reconstructive cosmetic implants, and orthopedic plates used for bone fracture fixation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materials used to make these implants and the locations in which they are implanted play important roles in determining the success of these implants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As foreign bodies, these implants can generate an immune response from the host that can either lead to rejection or tolerance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factor has driven biomaterial research to generate materials that can attract the desired immune response after implantation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immune response is an essential requirement in the field of regenerative medicine, where a tissue or an organ is grown around a biomaterial skeleton (scaffold) in a laboratory for the replacement of a damaged tissue or organ</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In regenerative medicine, the goal is to replace missing or damaged tissue through the use of cells, signals, and scaffolds, each of which can be greatly modulated by immune responses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even when a lack of immune response is desired, it is very rarely an absence of immune activity rather than the presence of a regulatory profile that is desired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Techniques such as flow cytometry can play a significant role in characterizing the pattern of immune response to various biomaterials used for coating implant devices or for developing scaffolds for tissue engineering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information, in turn, will ultimately help in developing biomaterials for implants that can be well-tolerated by the immune system or in developing scaffolds that can play a constructive role in tissue engineering. Proper preparation of samples for analysis by flow cytometry is an important step for avoiding inaccurate results in immune characterization via fluorescence activated cell sorting</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Therefore, this review presents a detailed methodology that can be utilized for the isolation of cells from scaffold tissue, staining the cell suspension, and analysis by flow cytometry.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gives an overview of the flow cytometry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Reagent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media for diluting enzymes and for tissue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5 mL of </w:t>
      </w:r>
      <w:r>
        <w:rPr>
          <w:rFonts w:ascii="Calibri" w:hAnsi="Calibri" w:cs="Calibri" w:eastAsia="Calibri"/>
          <w:color w:val="auto"/>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auto" w:val="clear"/>
        </w:rPr>
        <w:t xml:space="preserve">HEPES) buffer solution into 500 mL of RPMI medium and shake well. Store the medium at 4 &amp;#176;C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Calculate the volume of the enzyme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enzyme solution is the volume of the medium containing the enzymes (collagenase and DNase I) that will be needed to digest diced tissue in 6-well plates; it depends on the number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the following equation to calculate the required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(Number of samples to be digested) &amp;#215; 5 mL of serum-free RPMI with 10 mM HEPES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for 0.1 to 0.3 g of dissected spleen, use 5 mL of medium to prepare the enzyme solution. The enzymatic digestion protocol described in this manuscript is primarily for soft tissues (ranging from 0.1 to 1 g) dissected from mice which include the brain, kidney, skin, liver, lungs, spleen, muscles, as well as capsules around subcutaneous implants made of synthetic materials or extracellular matrix proteins. Digesting hard cartilaginous tissues might require different conditions and volumes of digestive enzymes, which can only be ascertained by optimization.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Calculate the amount of collagenase and DNAase I needed for the enzyme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0.25 mg/mL of collagenase and 0.2 mg/mL of DNase I were used. The working concentrations required for collagenase and DNase can vary for different types of tissues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1:1000 viability dye solution by adding 1 &amp;#181;L of the viability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999 &amp;#181;L of phosphate-buffered saline (PBS) and vortex the solution. Store the solution in the dark at 4 &amp;#176;C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the staining buffer by adding 1 g of bovine serum albumin (BSA) to 100 mL of PBS, and vortex the solution until BSA is completely dissolved. Store the solution at 4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Setting up enzymatic digestion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a 6-well plate with 70 &amp;#181;m cell strainers in each well. Add 3 mL of the prepared medium from step 1.1.1 into each well, and incubate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Store the remaining media (2 mL/well) in an incubator or water bath at 37 &amp;#176;C for suspending the calculated amount of collagenase and DNase I (step 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Isolation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the dissected implants/tissue into plates, and dice finely using scissors. Alternatively, utilize a mechanical disruption method using a tissue dissociator or hand-held homogenizer. Owing to the high number of leukocytes, dissect out the spleen to utilize as a staining control in each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some materials induce higher levels of fibrosis, this protocol is applicable for both highly fibrotic and minimally fibrotic materials. However, each processing method should be evaluated for both cell yield and viability after digestion prior to staining. Avoid peripheral blood contamination during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collagenase and DNase I (volume calculated in step 1.2) to the remaining RPMI (2 mL) that has been warmed to 37 &amp;#176;C. Add 2 mL of the complete enzyme solution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plates in an incubated shaker for 45 min at 37 &amp;#176;C and 100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cautious when stacking plates as this can inhibit proper heat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Meanwhile, prepare a suspension-dispensing tip by chopping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from the end of a 1000 &amp;#181;L tip with scissors. After incubation, pipette the suspension in the wells up and down to mix it thoroughly using the chopped tip. Place the cell strainer on the top of a 50 mL conical tube and pass the digested solution through the cell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70 &amp;#181;m cell strainer is sufficient to separate cells from implanted biomaterial, such as alginate. If greater purity is required, use processes such as density gradient separation to obtain an enriched population of leukocytes.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Rinse the wells with 1x PBS solution, and transfer the rinse volume through the strainer, followed by adding the washes of the strainer with 1x PBS solution until the volume in the tube reaches 50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1x PBS must be at room temperature to prevent any increase in the viscosity of the digest and to allow cell pelleting during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Centrifuge the tube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Following centrifugation, aspirate the supernatant carefully using a serological pipette without disturbing the pellet. Re-suspend the pellet in 1000 &amp;#181;L of 1x PBS, and transfer the suspension to a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Mix 10 &amp;#181;L of the cell suspension with 10 &amp;#181;L of trypan blue, and load the suspension on counting chamber slides for counting cells using an automatic cell counter or on a hemocytometer to count via the conventional method under a microscope. Alternatively, use flow cytometry cell counting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Staining for flow cytometry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example plate layout for a 14-color experiment with 45 samples, fluorescence minus one (FMO) controls, compensation controls, and a fully stained lung sample control. </w:t>
      </w:r>
      <w:r>
        <w:rPr>
          <w:rFonts w:ascii="Calibri" w:hAnsi="Calibri" w:cs="Calibri" w:eastAsia="Calibri"/>
          <w:color w:val="auto"/>
          <w:spacing w:val="0"/>
          <w:position w:val="0"/>
          <w:sz w:val="24"/>
          <w:shd w:fill="FFFF00" w:val="clear"/>
        </w:rPr>
        <w:t xml:space="preserve">After estimating the total number of cells, calculate the volume of the cell suspension required for staining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each sample, and 0.5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each compensation and FMO control. Dispense the required volume of the cell suspension into the wells of a V-bottom 96-well plate, and make up the volume to 100 &amp;#181;L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if 1000 &amp;#181;L of cell suspension obtained at step 3.13 contain 40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then for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1000/40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 25 &amp;#181;L of cell suspension will be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Centrifuge the plate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the supernatant, and then resuspend the cells in the sample wells and in a compensation control well to determine viability, with 100 &amp;#181;L of a 1:1000 solution of the viability dye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For cells in the other compensation wells as well as FMO and unstained wells, resuspend them with 100 &amp;#181;L of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the cells in the dark for 30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 the meantime, prepare a surface antibody cocktail for staining the sample and FMO controls: 50 &amp;#181;L per sample or FMO.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example of the antibody cocktail.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incubation, add 100 &amp;#181;l of 1x PBS to each well,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Aspirate the supernatant and resuspend in 200 &amp;#181;L of staining buffer (1x PBS + 1% BSA);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Aspirate the supernatant, and resuspend the cells in the compensation, FMO, and unstained wells with 50 &amp;#181;L of 1x PBS. Add 50 &amp;#181;L of the antibody cocktail to the respective sample wells and FMO wells. Add the respective antibodies to the different compensation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Incubate the plate for 45 min in the dark at 4 &amp;#176;C. After incubation, add 150 &amp;#181;L of staining buffer in each well, and centrifuge the cell suspension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Aspirate the supernatant, resuspend the cells with 200 &amp;#181;L of staining buffer, and centrifuge the cell suspension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If analyzing samples without fixation, resuspend them in 200 &amp;#181;L of staining buffer, and proceed to section 6 on cytometer setup and sample analysis. If fixing the cells, aspirate the supernatant after washing, and add 100 &amp;#181;L of a fixative such as 4% paraformaldehyde. If staining for intracellular markers, proceed to section 5 on intracellular staining, and fix and permeabilize the cells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Incubate cells for 20 min in the dark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fixation can affect the fluorescence intensity of some fluorophores, evaluate each panel both with and without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After incubation, add 100 &amp;#181;L of 1x PBS, followed by centrifugation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the supernatant, resuspend in 1x PBS, and 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Re-suspend the cells in 200 &amp;#181;L of staining buffer, and store at 4 &amp;#176;C prior to flow cytometric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Intracellular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Continuing from step 4.11 for fixation and permeabilization for intracellular markers, add 100 &amp;#181;L of the appropriate buffer. Centrifuge the cells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the supernatant, and re-suspend the pellets in 200 &amp;#181;L of the fixative-permeabilizing agent solution; centrifuge the cells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the supernatant, and resuspend the pellets with intracellular antibodies diluted in the appropriate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Antibody types and dilutions will depend on the target cells. For example, one common intracellular marker is forkhead box P3 for regulatory T cells, which is frequently used at a 1:100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Incubate the cell suspension in the dark for 45 min at 4 &amp;#176;C. After incubation, add 150 &amp;#181;L of the appropriate buffer, and centrifuge the suspension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Aspirate the supernatant, and re-suspend the cells in 200 &amp;#181;L of staining buffer followed by centrifugation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and re-suspend the cells in 200 &amp;#181;L of staining buffer for flow cytometric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Cytometer and compensation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Immediately before running the samples, prepare compensation beads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if utilizing bead-based compensation as opposed to cell-based compensation.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Label separate microcentrifuge tubes for each fluorochrome-conjugated antibody, and add 100 &amp;#181;L of 1x PBS followed by one full drop of anti-mouse negative control compensation beads and one drop of positive control compensation beads to each tube. Add 1 &amp;#181;L of the appropriate antibody to each separate tube. Vortex and incubate for 5 min before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some dyes, such as BUV737, cannot be bound to beads, use a cell-based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Calibrate the flow cytometer before each experiment by running the cytometer setup with the tracking beads, and maintain the flow cytometer settings for each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Before analyzing the sample, adjust the flow cytometer by running an unstained sample to adjust the cell population on a side scatter (SSC) versus forward scatter (FSC) plot so that the cell population falls in the center of the plot and is not off-scale.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Run the stained sample briefly to adjust the voltages for FSC and SSC and for each channel to make sure that no events fall outside the logarithmic scale of each channel. Record 5,000 events for each compensation control, followed by gating of positive and negative populations. Calculate the compensation matrix and then run the samples, gathering at least 1,000 events for the populations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Compensation on larger-color panels should be verified, as automated compensation can be prone to over- or under-compensation. Each parameter should be graphed against every other parameter to monitor for signs of over- or under-compensation, and each single-color control should be evaluated. Complex compensation of larger-color experiments should be carried out with the assistance of a collaborator or a core facility with extensive flow cytometry experience. Newer types of cytometers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spectral cytometers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utilize the full spectrum of a fluorophore through a process known as spectral unmixing, which can yield a cleaner distinction of fluorescent overlap as compared to standard compensation alone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of development of flow cytometry panels for immune analysis often relies on the comparison of results to existing data and the literature in the field. Knowledge of how populations may present in flow cytometry is critical for proper interpretation of data. Regardless, populations and cell types can appear differently in different tissues, so some variability is to be expected. In the context of well-defined control tissues, such staining optimization can be evaluated against known tissue that has well-researched cell types.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results of a 14-color FACS on control mouse tissue. In this case, the spleen was used to identify all markers that were stained for, and to show that the staining was technically functional. From this point onwards, it became easier to test in unknown conditions, be confident of the fluorophore selection, and optimize the protocol for different tissue sources.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also shows populations of different cell types isolated from a murine spleen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several obvious populations, such as Ly6G+ neutrophils, and different expression levels of Ly6C on different monocyte classes could be observed. CD11c</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dendritic cells were readily apparent when gated against CD11b to rule out macrophages and other myeloid lineage cells such as neutrophils and monocytes. A subset of CD206+CD86+ dendritic cells could be found by focusing on this CD11c+ population. CD86 and CD206 were included to phenotype myeloid cells as being in a more M1-like (CD86hi) versus in a more M2-like (CD206hi) polarization state. F4/80 showed a gradient of expression, that can be commonly observed in various macrophage populations. Siglec-F was present in two populations, F4/80+ and F4/80-, most likely corresponding to a macrophage subset and eosinophils, respectively. Although these designations of cell types can be made, it is important to note that cells expressing different markers should be viewed in a functional manner as opposed to a more binary classification. Acknowledgement that what is considered a macrophage may differ in the spleen and the foreign body capsule around an implant, is important and avoids the potential misinterpretation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flow cytometry staining protocol</w:t>
      </w:r>
      <w:r>
        <w:rPr>
          <w:rFonts w:ascii="Calibri" w:hAnsi="Calibri" w:cs="Calibri" w:eastAsia="Calibri"/>
          <w:color w:val="auto"/>
          <w:spacing w:val="0"/>
          <w:position w:val="0"/>
          <w:sz w:val="24"/>
          <w:shd w:fill="auto" w:val="clear"/>
        </w:rPr>
        <w:t xml:space="preserve">. Preparation includes dissection of the tissue of interest followed by 1) manual dicing, 2) enzymatic digestion, 3) cell straining and washing, and 4) staining with fluorescently tagged antibodies followed by flow cytometric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a plate layout for flow cytometry staining. </w:t>
      </w:r>
      <w:r>
        <w:rPr>
          <w:rFonts w:ascii="Calibri" w:hAnsi="Calibri" w:cs="Calibri" w:eastAsia="Calibri"/>
          <w:color w:val="auto"/>
          <w:spacing w:val="0"/>
          <w:position w:val="0"/>
          <w:sz w:val="24"/>
          <w:shd w:fill="auto" w:val="clear"/>
        </w:rPr>
        <w:t xml:space="preserve">This layout includes the samples, fluorescence minus one (FMO) controls, compensation controls, and a control tissue sample (spleen).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from 14-color FACS staining on control mouse tissue.</w:t>
      </w:r>
      <w:r>
        <w:rPr>
          <w:rFonts w:ascii="Calibri" w:hAnsi="Calibri" w:cs="Calibri" w:eastAsia="Calibri"/>
          <w:color w:val="auto"/>
          <w:spacing w:val="0"/>
          <w:position w:val="0"/>
          <w:sz w:val="24"/>
          <w:shd w:fill="auto" w:val="clear"/>
        </w:rPr>
        <w:t xml:space="preserve"> Myeloid cell phenotyping of murine spleen cells with examples of hand-gating and automated t-stochastic neighbor-embedding (t-SNE) clustering algorithm for data display. This figure has been reproduced from Sadtler and Elisseeff</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Abbreviations: FACS = fluorescence-activated cell sorting; SSC = side scatter; CD = cluster of differentiation; PE = phycoerythrin; CCR = C-C chemokine receptor type; MHC = major histocompatibility complex; PerCP = peridinin chlorophyll protein complex.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surface antibody cocktail</w:t>
      </w:r>
      <w:r>
        <w:rPr>
          <w:rFonts w:ascii="Calibri" w:hAnsi="Calibri" w:cs="Calibri" w:eastAsia="Calibri"/>
          <w:color w:val="auto"/>
          <w:spacing w:val="0"/>
          <w:position w:val="0"/>
          <w:sz w:val="24"/>
          <w:shd w:fill="auto" w:val="clear"/>
        </w:rPr>
        <w:t xml:space="preserve">. An example antibody cocktail for myeloid phenotyping of mouse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review describes a detailed methodology for isolating cells from biomaterial implants to obtain a uniform cell suspension. In addition, a detailed protocol has been provided for staining the cell suspension for multicolor flow cytometry, along with the steps for configuring a flow cytometer for optimal results. Cell isolation methods can involve multiple steps, often utilizing manual tissue dissection followed by enzymatic digestion with proteolytic enzymes to dissociate the extracellular matrix in the tissue and disrupt the cell-cell junctions to liberate individual cells from the tissue. After digestion, further processing, such as cell straining, is needed to remove remaining debris and ensure a single-cell suspension. Some samples that have high levels of debris or other cell types (such as tumors) may require more thorough clean-up through the use of density separation media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Without proper sample clean-up, data may be skewed due to debris or other cell populations obscuring the populations of interest. Excess debris can also lead to full or partial clogging of the cytometer fluidics.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characterization of immune cells can also be performed by other methods, such as light microscopy, by performing a differential cell count on a cell cytospin preparation, flow cytometry provides a more accurate characterization of the cells based on cell surface markers. Additionally, flow cytometry data are more precise as they can characterize and quantify millions of cells in suspension and can provide accurate estimates of distinct cell subsets much faster than manual differential counting based on only 400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results shown in this paper rely on an iterative panel design with antibody selection done by the utilization of multiple online tools to compare the excitation and emission spectra and theoretical overlap depending on the cytometer configuration. When designing larger color experiments, it is best to start from a clean slate, as opposed to the addition to a smaller color panel, so as to fully consider antigen abundance, fluorophore brightness, and spectral overlap.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analyzing distinct subsets of specific immune cells require sufficient number of overall cells to perform flow cytometry, as having a smaller number of cells can pose a significant challenge in their isolation by cell sorting or obtaining accurate estimates. This challenge can be overcome by using magnetic beads for isolating and enriching specific immune cells, such as neutrophils, in shorter periods and with limited washing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Isolated cells from tissues of organs such as lungs can contain significant amounts of mucus, which can make the cell suspension “sticky” and result in an increased number of doublet events during flow cytometry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Adding chelating agents such as 2 mM ethylenediamine tetraacetic acid to the staining buffer can prevent the aggregation of cells in such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suspending cells in an increased volume of buffer can also limit doublet creation by reducing cell-cell interactions. Staining procedures should be thoroughly optimized for each different tissue, staining protocol, flow cytometer, and antibody panel. Some fluorophores can be more sensitive to fixatives, some cell types are more sensitive to different cell isolation and processing methods, and many cell types behave differently in different tissues and different locations. With proper preparation and diligent analysis, flow cytometry can yield a detailed cellular and protein-level analysis to characterize the scaffold and biomaterial immune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in part by the Intramural Research Program of the NIH, including the National Institute of Biomedical Imaging and Bioengineering. </w:t>
      </w:r>
      <w:r>
        <w:rPr>
          <w:rFonts w:ascii="Calibri" w:hAnsi="Calibri" w:cs="Calibri" w:eastAsia="Calibri"/>
          <w:color w:val="auto"/>
          <w:spacing w:val="0"/>
          <w:position w:val="0"/>
          <w:sz w:val="24"/>
          <w:u w:val="single"/>
          <w:shd w:fill="auto" w:val="clear"/>
        </w:rPr>
        <w:t xml:space="preserve">Disclaimer</w:t>
      </w:r>
      <w:r>
        <w:rPr>
          <w:rFonts w:ascii="Calibri" w:hAnsi="Calibri" w:cs="Calibri" w:eastAsia="Calibri"/>
          <w:color w:val="auto"/>
          <w:spacing w:val="0"/>
          <w:position w:val="0"/>
          <w:sz w:val="24"/>
          <w:shd w:fill="auto" w:val="clear"/>
        </w:rPr>
        <w:t xml:space="preserve">: The NIH, its officers, and employees do no recommend or endorse any company, product, or service.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Joung, Y. H. Development of implantable medical devices: from an engineering perspective. </w:t>
      </w:r>
      <w:r>
        <w:rPr>
          <w:rFonts w:ascii="Calibri" w:hAnsi="Calibri" w:cs="Calibri" w:eastAsia="Calibri"/>
          <w:i/>
          <w:color w:val="auto"/>
          <w:spacing w:val="0"/>
          <w:position w:val="0"/>
          <w:sz w:val="24"/>
          <w:shd w:fill="auto" w:val="clear"/>
        </w:rPr>
        <w:t xml:space="preserve">International Neurourology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Langer, R., Folkman, J. Polymers for the sustained release of proteins and other macromolecules.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(5580), 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Rolfe, B.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fibrotic response to implanted biomaterials: implications for tissue engineering.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i/>
          <w:color w:val="auto"/>
          <w:spacing w:val="0"/>
          <w:position w:val="0"/>
          <w:sz w:val="24"/>
          <w:shd w:fill="auto" w:val="clear"/>
        </w:rPr>
        <w:t xml:space="preserve"> Regenerative Medicine and Tissue Engineering-Cells and Biomaterials</w:t>
      </w:r>
      <w:r>
        <w:rPr>
          <w:rFonts w:ascii="Calibri" w:hAnsi="Calibri" w:cs="Calibri" w:eastAsia="Calibri"/>
          <w:color w:val="auto"/>
          <w:spacing w:val="0"/>
          <w:position w:val="0"/>
          <w:sz w:val="24"/>
          <w:shd w:fill="auto" w:val="clear"/>
        </w:rPr>
        <w:t xml:space="preserve">, Eberli, D. (Ed), IntechOpen, doi: 10.5772/837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Erdem, S., G&amp;#252;r, M., Kaman, M. O. Static and dynamic analyses of fracture fixation bone-plate systems for different plate materials and dimensions.</w:t>
      </w:r>
      <w:r>
        <w:rPr>
          <w:rFonts w:ascii="Calibri" w:hAnsi="Calibri" w:cs="Calibri" w:eastAsia="Calibri"/>
          <w:i/>
          <w:color w:val="auto"/>
          <w:spacing w:val="0"/>
          <w:position w:val="0"/>
          <w:sz w:val="24"/>
          <w:shd w:fill="auto" w:val="clear"/>
        </w:rPr>
        <w:t xml:space="preserve"> Bio-Medical Materials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Kang, C.-W., Fang, F.-Z. State of the art of bioimplants manufacturing: part I. </w:t>
      </w:r>
      <w:r>
        <w:rPr>
          <w:rFonts w:ascii="Calibri" w:hAnsi="Calibri" w:cs="Calibri" w:eastAsia="Calibri"/>
          <w:i/>
          <w:color w:val="auto"/>
          <w:spacing w:val="0"/>
          <w:position w:val="0"/>
          <w:sz w:val="24"/>
          <w:shd w:fill="auto" w:val="clear"/>
        </w:rPr>
        <w:t xml:space="preserve">Advances in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Sadtler,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Divergent immune responses to synthetic and biological scaffolds.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Sadtler,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Design, clinical translation and immunological response of biomaterials in regenerative medicine. </w:t>
      </w:r>
      <w:r>
        <w:rPr>
          <w:rFonts w:ascii="Calibri" w:hAnsi="Calibri" w:cs="Calibri" w:eastAsia="Calibri"/>
          <w:i/>
          <w:color w:val="auto"/>
          <w:spacing w:val="0"/>
          <w:position w:val="0"/>
          <w:sz w:val="24"/>
          <w:shd w:fill="auto" w:val="clear"/>
        </w:rPr>
        <w:t xml:space="preserve">Nature Reviews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16040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Hubbell, J. A., Thomas, S. N., Swartz, M. A. Materials engineering for immunomodulation.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w:t>
      </w:r>
      <w:r>
        <w:rPr>
          <w:rFonts w:ascii="Calibri" w:hAnsi="Calibri" w:cs="Calibri" w:eastAsia="Calibri"/>
          <w:color w:val="auto"/>
          <w:spacing w:val="0"/>
          <w:position w:val="0"/>
          <w:sz w:val="24"/>
          <w:shd w:fill="auto" w:val="clear"/>
        </w:rPr>
        <w:t xml:space="preserve"> (7272),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Badylak, S. F., Valentin, J. E., Ravindra, A. K., McCabe, G. P., Stewart-Akers, A. M. Macrophage phenotype as a determinant of biologic scaffold remodeling.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Wolf, M. T. et al. Polypropylene surgical mesh coated with extracellular matrix mitigates the host foreign body response. </w:t>
      </w:r>
      <w:r>
        <w:rPr>
          <w:rFonts w:ascii="Calibri" w:hAnsi="Calibri" w:cs="Calibri" w:eastAsia="Calibri"/>
          <w:i/>
          <w:color w:val="auto"/>
          <w:spacing w:val="0"/>
          <w:position w:val="0"/>
          <w:sz w:val="24"/>
          <w:shd w:fill="auto" w:val="clear"/>
        </w:rPr>
        <w:t xml:space="preserve">Journal of Biomedical Material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Zwitterionic hydrogels implanted in mice resist the foreign-body reaction.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Sussman, E. M., Halpin, M. C., Muster, J., Moon, R. T., Ratner, B. D. Porous implants modulate healing and induce shifts in local macrophage polarization in the foreign body reaction.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1508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Tan, H., Marra, K. G. Injectable, Biodegradable hydrogels for tissue engineering applications.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Lee, D. C., Lamm, R. J., Prossnitz, A. N., Boydston, A. J., Pun, S. H. Dual polymerizations: untapped potential for biomaterials. </w:t>
      </w:r>
      <w:r>
        <w:rPr>
          <w:rFonts w:ascii="Calibri" w:hAnsi="Calibri" w:cs="Calibri" w:eastAsia="Calibri"/>
          <w:i/>
          <w:color w:val="auto"/>
          <w:spacing w:val="0"/>
          <w:position w:val="0"/>
          <w:sz w:val="24"/>
          <w:shd w:fill="auto" w:val="clear"/>
        </w:rPr>
        <w:t xml:space="preserve">Advance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e1800861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Sadtler, K. et al. Developing a pro-regenerative biomaterial scaffold microenvironment requires T helper 2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(6283),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Gower,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Modulation of leukocyte infiltration and phenotype in microporous tissue engineering scaffolds via vector induced IL-10 expression.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2024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Graney, P. L., Lurier, E. B., Spiller, K. L. Biomaterials and bioactive factor delivery systems for the control of macrophage activation in regenerative medicine.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Kontos, S., Grimm, A. J., Hubbell, J. A. Engineering antigen-specific immunological tolerance. </w:t>
      </w:r>
      <w:r>
        <w:rPr>
          <w:rFonts w:ascii="Calibri" w:hAnsi="Calibri" w:cs="Calibri" w:eastAsia="Calibri"/>
          <w:i/>
          <w:color w:val="auto"/>
          <w:spacing w:val="0"/>
          <w:position w:val="0"/>
          <w:sz w:val="24"/>
          <w:shd w:fill="auto" w:val="clear"/>
        </w:rPr>
        <w:t xml:space="preserve">Current Opinion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Sadtler, K., Elisseeff, J. H. Analyzing the scaffold immune microenvironment using flow cytometry: practices, methods and considerations for immune analysis of biomaterials.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4472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Baumgarth, N., Roederer, M. A practical approach to multicolor flow cytometry for immunophenotyping.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Shapiro, H. M. </w:t>
      </w:r>
      <w:r>
        <w:rPr>
          <w:rFonts w:ascii="Calibri" w:hAnsi="Calibri" w:cs="Calibri" w:eastAsia="Calibri"/>
          <w:i/>
          <w:color w:val="auto"/>
          <w:spacing w:val="0"/>
          <w:position w:val="0"/>
          <w:sz w:val="24"/>
          <w:shd w:fill="auto" w:val="clear"/>
        </w:rPr>
        <w:t xml:space="preserve">Practical Flow Cytometry</w:t>
      </w:r>
      <w:r>
        <w:rPr>
          <w:rFonts w:ascii="Calibri" w:hAnsi="Calibri" w:cs="Calibri" w:eastAsia="Calibri"/>
          <w:color w:val="auto"/>
          <w:spacing w:val="0"/>
          <w:position w:val="0"/>
          <w:sz w:val="24"/>
          <w:shd w:fill="auto" w:val="clear"/>
        </w:rPr>
        <w:t xml:space="preserve">. Wiley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Nolan, J. P., Condello, D. Spectral flow cytometry.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w:t>
      </w:r>
      <w:r>
        <w:rPr>
          <w:rFonts w:ascii="Calibri" w:hAnsi="Calibri" w:cs="Calibri" w:eastAsia="Calibri"/>
          <w:color w:val="auto"/>
          <w:spacing w:val="0"/>
          <w:position w:val="0"/>
          <w:sz w:val="24"/>
          <w:shd w:fill="auto" w:val="clear"/>
        </w:rPr>
        <w:t xml:space="preserve">, Unit 1.27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Wolf,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biologic scaffold-associated type 2 immune microenvironment inhibits tumor formation and synergizes with checkpoint immunotherapy. </w:t>
      </w:r>
      <w:r>
        <w:rPr>
          <w:rFonts w:ascii="Calibri" w:hAnsi="Calibri" w:cs="Calibri" w:eastAsia="Calibri"/>
          <w:i/>
          <w:color w:val="auto"/>
          <w:spacing w:val="0"/>
          <w:position w:val="0"/>
          <w:sz w:val="24"/>
          <w:shd w:fill="auto" w:val="clear"/>
        </w:rPr>
        <w:t xml:space="preserve">Science Translational Medicine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(477), eaat7973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Kahng,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Flow cytometric white blood cell differential using CytoDiff is excellent for counting blasts. </w:t>
      </w:r>
      <w:r>
        <w:rPr>
          <w:rFonts w:ascii="Calibri" w:hAnsi="Calibri" w:cs="Calibri" w:eastAsia="Calibri"/>
          <w:i/>
          <w:color w:val="auto"/>
          <w:spacing w:val="0"/>
          <w:position w:val="0"/>
          <w:sz w:val="24"/>
          <w:shd w:fill="auto" w:val="clear"/>
        </w:rPr>
        <w:t xml:space="preserve">Annals of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Sionov, R.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characterization of neutrophils with anti-tumor properties.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doi: 10.3791/52933 (100), e52933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Lay, J. C., Peden, D. B., Alexis, N. E. Flow cytometry of sputum: assessing inflammation and immune response elements in the bronchial airways. </w:t>
      </w:r>
      <w:r>
        <w:rPr>
          <w:rFonts w:ascii="Calibri" w:hAnsi="Calibri" w:cs="Calibri" w:eastAsia="Calibri"/>
          <w:i/>
          <w:color w:val="auto"/>
          <w:spacing w:val="0"/>
          <w:position w:val="0"/>
          <w:sz w:val="24"/>
          <w:shd w:fill="auto" w:val="clear"/>
        </w:rPr>
        <w:t xml:space="preserve">Inhalation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Brooks, C. R., van Dalen, C. J., Hermans, I. F., Douwes, J. Identifying leukocyte populations in fresh and cryopreserved sputum using flow cytometry. </w:t>
      </w:r>
      <w:r>
        <w:rPr>
          <w:rFonts w:ascii="Calibri" w:hAnsi="Calibri" w:cs="Calibri" w:eastAsia="Calibri"/>
          <w:i/>
          <w:color w:val="auto"/>
          <w:spacing w:val="0"/>
          <w:position w:val="0"/>
          <w:sz w:val="24"/>
          <w:shd w:fill="auto" w:val="clear"/>
        </w:rPr>
        <w:t xml:space="preserve">Cytometry Part B: Clinical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84B</w:t>
      </w:r>
      <w:r>
        <w:rPr>
          <w:rFonts w:ascii="Calibri" w:hAnsi="Calibri" w:cs="Calibri" w:eastAsia="Calibri"/>
          <w:color w:val="auto"/>
          <w:spacing w:val="0"/>
          <w:position w:val="0"/>
          <w:sz w:val="24"/>
          <w:shd w:fill="auto" w:val="clear"/>
        </w:rPr>
        <w:t xml:space="preserve"> (2),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