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Evaluating the Angiogenetic Properties of Ovarian Cancer Stem-like Cells using the Three-dimensional Co-culture System, NICO-1</w:t>
      </w:r>
    </w:p>
    <w:p>
      <w:pPr>
        <w:tabs>
          <w:tab w:val="left" w:pos="784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Yuko Miyagawa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Kazunori Nagasaka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Kaoru Yamawaki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Yutaro Mori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Tatsuya Ishiguro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Kei Hashimoto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Ryoko Koike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Siho Fukui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Takeru Sugihara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Takayuki Ichinose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Haruko Hiraike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Koichiro Kido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Koji Okamoto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Takayuki Enomoto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Takuya Ayabe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Obstetrics and Gynecology, Teikyo University School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Obstetrics and Gynecology, Niigata University Graduate School of Medical and Dental Sciences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Devision of Cancer Differentiation, National Cancer Center Research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Kazunori Nagasaka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+81-3-3964-1211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Yuko Miyagawa (</w:t>
      </w:r>
      <w:r>
        <w:rPr>
          <w:rFonts w:ascii="Calibri" w:hAnsi="Calibri" w:cs="Calibri" w:eastAsia="Calibri"/>
          <w:color w:val="000000"/>
          <w:spacing w:val="0"/>
          <w:position w:val="0"/>
          <w:sz w:val="24"/>
          <w:shd w:fill="auto" w:val="clear"/>
        </w:rPr>
        <w:t xml:space="preserve">m.yuko0201@gmail.com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Kaoru Yamawaki (</w:t>
      </w:r>
      <w:r>
        <w:rPr>
          <w:rFonts w:ascii="Calibri" w:hAnsi="Calibri" w:cs="Calibri" w:eastAsia="Calibri"/>
          <w:color w:val="auto"/>
          <w:spacing w:val="0"/>
          <w:position w:val="0"/>
          <w:sz w:val="24"/>
          <w:shd w:fill="FFFFFF" w:val="clear"/>
        </w:rPr>
        <w:t xml:space="preserve">kyamawak@ncc.go.jp)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Yutaro Mori (</w:t>
      </w:r>
      <w:r>
        <w:rPr>
          <w:rFonts w:ascii="Calibri" w:hAnsi="Calibri" w:cs="Calibri" w:eastAsia="Calibri"/>
          <w:color w:val="auto"/>
          <w:spacing w:val="0"/>
          <w:position w:val="0"/>
          <w:sz w:val="24"/>
          <w:shd w:fill="FFFFFF" w:val="clear"/>
        </w:rPr>
        <w:t xml:space="preserve">yutmori@ncc.go.jp)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Tatsuya Ishiguro (</w:t>
      </w:r>
      <w:r>
        <w:rPr>
          <w:rFonts w:ascii="Calibri" w:hAnsi="Calibri" w:cs="Calibri" w:eastAsia="Calibri"/>
          <w:color w:val="auto"/>
          <w:spacing w:val="0"/>
          <w:position w:val="0"/>
          <w:sz w:val="24"/>
          <w:shd w:fill="FFFFFF" w:val="clear"/>
        </w:rPr>
        <w:t xml:space="preserve">tishigur@med.niigata-u.ac.jp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 Hashimoto (</w:t>
      </w:r>
      <w:r>
        <w:rPr>
          <w:rFonts w:ascii="Calibri" w:hAnsi="Calibri" w:cs="Calibri" w:eastAsia="Calibri"/>
          <w:color w:val="000000"/>
          <w:spacing w:val="0"/>
          <w:position w:val="0"/>
          <w:sz w:val="24"/>
          <w:shd w:fill="auto" w:val="clear"/>
        </w:rPr>
        <w:t xml:space="preserve">hshsh002000@yahoo.co.jp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Ryoko Koike (</w:t>
      </w:r>
      <w:r>
        <w:rPr>
          <w:rFonts w:ascii="Calibri" w:hAnsi="Calibri" w:cs="Calibri" w:eastAsia="Calibri"/>
          <w:color w:val="000000"/>
          <w:spacing w:val="0"/>
          <w:position w:val="0"/>
          <w:sz w:val="24"/>
          <w:shd w:fill="auto" w:val="clear"/>
        </w:rPr>
        <w:t xml:space="preserve">ryokok@med.teikyo-u.ac.jp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Shiho Fukui (</w:t>
      </w:r>
      <w:r>
        <w:rPr>
          <w:rFonts w:ascii="Calibri" w:hAnsi="Calibri" w:cs="Calibri" w:eastAsia="Calibri"/>
          <w:color w:val="000000"/>
          <w:spacing w:val="0"/>
          <w:position w:val="0"/>
          <w:sz w:val="24"/>
          <w:shd w:fill="auto" w:val="clear"/>
        </w:rPr>
        <w:t xml:space="preserve">terasiho1116@yahoo.co.jp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Takeru Sugihara (</w:t>
      </w:r>
      <w:r>
        <w:rPr>
          <w:rFonts w:ascii="Calibri" w:hAnsi="Calibri" w:cs="Calibri" w:eastAsia="Calibri"/>
          <w:color w:val="000000"/>
          <w:spacing w:val="0"/>
          <w:position w:val="0"/>
          <w:sz w:val="24"/>
          <w:shd w:fill="auto" w:val="clear"/>
        </w:rPr>
        <w:t xml:space="preserve">sugihara@med.teikyo-u.ac.jp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Takayuki Ichinose (</w:t>
      </w:r>
      <w:r>
        <w:rPr>
          <w:rFonts w:ascii="Calibri" w:hAnsi="Calibri" w:cs="Calibri" w:eastAsia="Calibri"/>
          <w:color w:val="000000"/>
          <w:spacing w:val="0"/>
          <w:position w:val="0"/>
          <w:sz w:val="24"/>
          <w:shd w:fill="auto" w:val="clear"/>
        </w:rPr>
        <w:t xml:space="preserve">ichinoseta@yahoo.co.jp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Haruko Hiraike (</w:t>
      </w:r>
      <w:r>
        <w:rPr>
          <w:rFonts w:ascii="Calibri" w:hAnsi="Calibri" w:cs="Calibri" w:eastAsia="Calibri"/>
          <w:color w:val="000000"/>
          <w:spacing w:val="0"/>
          <w:position w:val="0"/>
          <w:sz w:val="24"/>
          <w:shd w:fill="auto" w:val="clear"/>
        </w:rPr>
        <w:t xml:space="preserve">haruko.hiraike@gmail.com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Koichiro Kido (</w:t>
      </w:r>
      <w:r>
        <w:rPr>
          <w:rFonts w:ascii="Calibri" w:hAnsi="Calibri" w:cs="Calibri" w:eastAsia="Calibri"/>
          <w:color w:val="000000"/>
          <w:spacing w:val="0"/>
          <w:position w:val="0"/>
          <w:sz w:val="24"/>
          <w:shd w:fill="auto" w:val="clear"/>
        </w:rPr>
        <w:t xml:space="preserve">kidok@med.teikyo-u.ac.jp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Koji Okamoto (</w:t>
      </w:r>
      <w:r>
        <w:rPr>
          <w:rFonts w:ascii="Calibri" w:hAnsi="Calibri" w:cs="Calibri" w:eastAsia="Calibri"/>
          <w:color w:val="000000"/>
          <w:spacing w:val="0"/>
          <w:position w:val="0"/>
          <w:sz w:val="24"/>
          <w:shd w:fill="auto" w:val="clear"/>
        </w:rPr>
        <w:t xml:space="preserve">kojokamo@ncc.go.jp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Takayuki Enomoto (</w:t>
      </w:r>
      <w:r>
        <w:rPr>
          <w:rFonts w:ascii="Calibri" w:hAnsi="Calibri" w:cs="Calibri" w:eastAsia="Calibri"/>
          <w:color w:val="auto"/>
          <w:spacing w:val="0"/>
          <w:position w:val="0"/>
          <w:sz w:val="24"/>
          <w:shd w:fill="FFFFFF" w:val="clear"/>
        </w:rPr>
        <w:t xml:space="preserve">enomoto@med.niigata-u.ac.jp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Takuya Ayabe (</w:t>
      </w:r>
      <w:r>
        <w:rPr>
          <w:rFonts w:ascii="Calibri" w:hAnsi="Calibri" w:cs="Calibri" w:eastAsia="Calibri"/>
          <w:color w:val="000000"/>
          <w:spacing w:val="0"/>
          <w:position w:val="0"/>
          <w:sz w:val="24"/>
          <w:shd w:fill="auto" w:val="clear"/>
        </w:rPr>
        <w:t xml:space="preserve">tayabe@med.teikyo-u.ac.jp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ascites, cancer stem cell, vascular niche, co-culture, angiogenesis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stem cells (OCSC) are responsible for cancer initiation, recurrence, therapeutic resistance, and metastasis. The OCSC vascular niche is considered to promote self-renewal of OCSCs, leading to chemoresistance. This protocol provides the basis for establishing a reproducible OCSC vascular niche model in vitro</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stem cells (CSCs) reside in a supportive niche, constituting a microenvironment comprised of adjacent stromal cells, vessels, and extracellular matrix. The ability of CSCs to participate in the development of endothelium constitutes an important characteristic that directly contributes to the general understanding of the mechanisms of tumorigenesis and tumor metastasis. The purpose of this work is to establish a reproducible methodology to investigate the tumor-initiation capability of ovarian cancer stem cells (OCSCs). Herein, we examined the neovascularization mechanism between endothelial cells and OCSCs along with the morphological changes of endothelial cells using the in vitro co-culture model NICO-1. This protocol allows visualization of the neovascularization step surrounding the OCSCs in a time course manner. The technique can provide insight regarding the angiogenetic properties of OCSCs in tumor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is the eighth most common malignancy in women worldwide, with approximately 300,000 new diagnoses and an estimated 180,000 deaths annually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initial diagnosis, ovarian cancer often presents with severe symptoms, with about 75% of patients already at stage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Accordingly, the 5-year survival rate is &amp;lt;30% and the mortality rate is the highest among gynecological cancers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 the efficiency of treatment for ovarian cancer being highly dependent on clinical factors such as the successful accomplishment of debulking surgery, resistance to chemotherapy, and recurrence after the initial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tissues are hierarchically organized, with not all tumor components being equally capable of generating descendants. The only cells able to self-renew and produce a heterogeneous tumor cell population are considered to represent cancer stem cells (CSCs)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CSC self-renewal and tumor initiation are accompanied by the promotion of angiogenesis to remodel their tumor microenvironment for the purpose of maintaining a supportive niche. However, previous models could not be utilized for in vitro analyses because of the limited reproducibility of cultivating CSCs derived from clinical samples owing to the disruption of spheroids after multiple passaging. More recently, experimental methods to cultivate CSCs from patients have been developed for several applications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In particular, by exploiting the characteristic of CSCs to grow by forming spheroids in ultra-low attachment plates with serum-free medium, the cultivated CSCs are induced to express a stem-cell surface marker that is not expressed in normal tumor cells with multilineage differentiation potential</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data have shown that the persistence of dormant ovarian (O)CSCs visualized as dissemination at the peritoneum is associated with their regeneration as recurrent tumors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Understanding the molecular and biological features of OCSCs may thus allow for effective targeting and eradication of these cells, resulting in potential tumor remission. In particular, little is known regarding the cellular and molecular mechanistic features of CSCs roles in angiogenesis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Therefore, in the present protocol we used patient-derived OCSCs in an in vitro setting to investigate the angiogenic property of endothelial cells using the co-culture model, which may mimic the tumor microenvironment of CSCs and endothelial cells at the metastatic site in the clinical setting. Ultimately, as neovascularization constitutes a critical process necessary to support tumor growth and metastasis, a better understanding of its mechanism will allow the development of a novel targeting therapy for OCSCs at the metastatic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visualize the neovascularization step surrounding the CSCs in a time course manner. The advantage of the protocol includes allowing fully reproducible investigations using the 3D co-culture system, NICO-1, thereby permitting observation of the effects on patients of the OCSC-derived tumor-initiation capability during endothelial cell angiogenesis.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under the protocol approved by the Ethics Committee for human welfare. All patients provided written informed consent for the research use of their samples, and the collection and use of tissues for this study were approved by the Human Genome, Gene Analysis Research Ethics Committee at Teikyo University.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Isolation and culture of ovarian cancer stem cells (OCSCs) from Patients with ovarian cancer and ascites in a level 2 biosafety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 Isolate cancer stem cells from human ovarian cancer ascites obtained via paracentesis. Collect at least 100-250 mL of ascites from patients to take enough number of cancer stem cells. Additionally, evaluate the expression profiles of cancer stem cell markers (i.e., EpCAM, Calretinin, CD133, CD44, CD45, ALDH1, and Oct4) and ovarian cancer markers (pAX-8, WT-1)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Centrifuge the human ovarian cancer ascites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within 24 h after ascites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Remove the supernatant and add 2 mL of OCSC medium and 8 mL of 30% Histodenz/phosphate buffered saline (PBS, pH 7.4)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OCSC medium: StemPro hESC supplement, DMEM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F-12 with L-glutamine (GlutaMAX medium), 25% BSA, 100 &amp;#181;M 2-mercaptoethanol, 8 ng/mL FGF BASIC, 10 &amp;#181;M insulin, and 20 &amp;#181;M Y-27632.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Carefully overlay 2 mL of OCSC medium to the cell solution in step 1.1.2 in a 15 mL tube and centrifuge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room temperature in a swinging-bucket rotor without braking.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Carefully transfer the OCSC layer (undisturbed at the interphase) to a new 15 mL tube by transfer pipet.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Fill with PBS up to 15 mL.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Resuspend the cell pellet in OCSC medium and seed on an ultra-low-attachment culture dish; cultures should be maintained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Change the medium every three days. Carefully stand the culture dish for about 1 minutes, and discard part of the supernatant and add the new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Passage of CSCs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Collect OCSCs in a 15 mL tube and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Remove the supernatant, fill with PBS, and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Remove the supernatant, add 1 mL of the cell detachment solution consisting of proteolytic and collagenolytic enzymes (e.g., AccuMax), and incubate at 37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Mix well by pipetting and incubate at 37 &amp;#176;C for 5 min. Ensure cells are in a single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Mix well by pipetting, fill with PBS,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Remove the supernatant and resuspend the cell pellet in OCSC medium for subsequent seeding on ultra-low-attachment culture dishes and maintenance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HUEhT-1 endothelial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Passage of HUEhT-1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Remove medium from the HUEhT-1 culture dish and wash the cells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Add 1 mL of 0.025% </w:t>
      </w:r>
      <w:r>
        <w:rPr>
          <w:rFonts w:ascii="Times New Roman" w:hAnsi="Times New Roman" w:cs="Times New Roman" w:eastAsia="Times New Roman"/>
          <w:color w:val="auto"/>
          <w:spacing w:val="0"/>
          <w:position w:val="0"/>
          <w:sz w:val="24"/>
          <w:shd w:fill="FFFFFF" w:val="clear"/>
        </w:rPr>
        <w:t xml:space="preserve">trypsin </w:t>
      </w:r>
      <w:r>
        <w:rPr>
          <w:rFonts w:ascii="Times New Roman" w:hAnsi="Times New Roman" w:cs="Times New Roman" w:eastAsia="Times New Roman"/>
          <w:color w:val="auto"/>
          <w:spacing w:val="0"/>
          <w:position w:val="0"/>
          <w:sz w:val="24"/>
          <w:shd w:fill="auto" w:val="clear"/>
        </w:rPr>
        <w:t xml:space="preserve">and incubate for 3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Add 5 mL of Endothelial Cell Growth Medium 2, collect cells in a 15 mL tube, and centrifuge at 200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Remove the supernatant, resuspend the cell pellet in HUEhT-1 medium, and seed the cells on collagen-coated culture dishes followed by maintenance at 37 &amp;#176;C in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Change the medium every three days.</w:t>
      </w:r>
    </w:p>
    <w:p>
      <w:pPr>
        <w:tabs>
          <w:tab w:val="left" w:pos="220" w:leader="none"/>
          <w:tab w:val="left" w:pos="720" w:leader="none"/>
        </w:tabs>
        <w:spacing w:before="0" w:after="0" w:line="28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NICO-1 Coculture Plate for tube formation assay using HUEhT-1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Assemble NICO-1 and coating with the extracellular matrix-based hydrogel (Matrigel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Assemble one side of NICO-1 following the manufacturer’s instructions and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Cover the surface of NICO-1 with 300 &amp;#956;L of cold PBS and then remove the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Add 300 &amp;#956;L of chilled extracellular matrix-based hydrogel and incubate at 37 &amp;#176;C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To equilibrate, immerse the filter with 100% ethanol, then wash a 13 mm ICCP Filter (0.6 &amp;#181;m) with PBS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Assemble the NICO-1 including both main body parts A (right chamber) and B (left chamber) along with the O ring and equilibrated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Seeding HUEhT-1 Cells and CSCs onto the NICO-1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HUEhT-1 cell suspensions by trypsinizing the cell monolayers and resuspending the cells in </w:t>
      </w:r>
      <w:r>
        <w:rPr>
          <w:rFonts w:ascii="Calibri" w:hAnsi="Calibri" w:cs="Calibri" w:eastAsia="Calibri"/>
          <w:color w:val="auto"/>
          <w:spacing w:val="0"/>
          <w:position w:val="0"/>
          <w:sz w:val="24"/>
          <w:shd w:fill="FFFFFF" w:val="clear"/>
        </w:rPr>
        <w:t xml:space="preserve">endothelial cell growth medium</w:t>
      </w:r>
      <w:r>
        <w:rPr>
          <w:rFonts w:ascii="Calibri" w:hAnsi="Calibri" w:cs="Calibri" w:eastAsia="Calibri"/>
          <w:color w:val="auto"/>
          <w:spacing w:val="0"/>
          <w:position w:val="0"/>
          <w:sz w:val="24"/>
          <w:shd w:fill="auto" w:val="clear"/>
        </w:rPr>
        <w:t xml:space="preserve"> with 2% fetal calf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1.2 mL of the cell suspension (1.5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to each extracellular matrix-based hydrogel-coated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Add 1.5 mL of OCSCs cultured for five days to the other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Incubate NICO-1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tube formation can be observed under the microscope and network formation on extracellular matrix-based hydrogel measured by means of the number of branches.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collected ascites fluids obtained from patients with advanced ovarian cancer during surgery or paracentesis for the purpose of performing a long-term stable culture for spheroids. Here, we present cases of a long-term spheroid culture of ovarian CSCs termed CSC1 and CSC2. Both cell lines carry the same diagnosis and histological profiles. The mechanistic roles of OCSCs underlying the interaction with endothelial cells necessary to induce the neovascularization of endothelial cells surrounding the OCSCs remain unknown. Therefore, we aimed to clarify the processes of the CSC vascular niche development at the metastatic sites. We examined the interaction between endothelial cells (HUEhT-1) and OCSCs using the in vitro coculture model NICO-1.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comparison of tube formation activity induced by CSC1 and CSC2. The number of formed vascular tubes dramatically increased over time in the coculture with CSC2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the positive control, we present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which shows the angiogenic property of HuEhT-1 after the treatment of VEGF (10 ng/mL) without co-culture of CSC2. We are now clarifying the detailed mechanism underlying the result</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shows representative images of coculture model of OCSC with endothelial cells using the NICO-1. HUEhT-1 cells were cocultured with CSC2 for 20 hours, and the time-lapse video image was captured.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phenotype of CSC2 before and after coculture for 20 hours.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HUEhT-1 cells cocultured at the same time. It is noteworthy that HUEhT-1 cells formed vascular tubes during the coculture with CSC2 (</w:t>
      </w:r>
      <w:r>
        <w:rPr>
          <w:rFonts w:ascii="Calibri" w:hAnsi="Calibri" w:cs="Calibri" w:eastAsia="Calibri"/>
          <w:b/>
          <w:color w:val="auto"/>
          <w:spacing w:val="0"/>
          <w:position w:val="0"/>
          <w:sz w:val="24"/>
          <w:shd w:fill="auto" w:val="clear"/>
        </w:rPr>
        <w:t xml:space="preserve">Figure 3C: Video clip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8"/>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 OCSCs vascular niche model.</w:t>
      </w:r>
      <w:r>
        <w:rPr>
          <w:rFonts w:ascii="Calibri" w:hAnsi="Calibri" w:cs="Calibri" w:eastAsia="Calibri"/>
          <w:color w:val="auto"/>
          <w:spacing w:val="0"/>
          <w:position w:val="0"/>
          <w:sz w:val="24"/>
          <w:shd w:fill="FFFFFF" w:val="clear"/>
        </w:rPr>
        <w:t xml:space="preserve"> The mechanistic roles by which OCSCs induce the tube formation (vascularization) of endothelial cells remain unknown. We examined the interaction between endothelial cells (HUEhT-1) and OCSCs using an in vitro co-culture mode, NICO-1. The right compartment of this system is composed of an insert, which holds OCSCs with the cell medium. The left compartment consists of a well containing endothelial cells and HUVECs with the same medium as in the right well.</w:t>
      </w:r>
    </w:p>
    <w:p>
      <w:pPr>
        <w:spacing w:before="0" w:after="0" w:line="240"/>
        <w:ind w:right="0" w:left="0" w:firstLine="0"/>
        <w:jc w:val="both"/>
        <w:rPr>
          <w:rFonts w:ascii="Calibri" w:hAnsi="Calibri" w:cs="Calibri" w:eastAsia="Calibri"/>
          <w:color w:val="auto"/>
          <w:spacing w:val="0"/>
          <w:position w:val="0"/>
          <w:sz w:val="28"/>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 Comparison of the neovascularization activities induced by OCSCs.</w:t>
      </w:r>
      <w:r>
        <w:rPr>
          <w:rFonts w:ascii="Calibri" w:hAnsi="Calibri" w:cs="Calibri" w:eastAsia="Calibri"/>
          <w:color w:val="auto"/>
          <w:spacing w:val="0"/>
          <w:position w:val="0"/>
          <w:sz w:val="24"/>
          <w:shd w:fill="auto" w:val="clear"/>
        </w:rPr>
        <w:t xml:space="preserve"> Over time, the number of formed vascular tubes dramatically increased upon coculture with CSC2.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vascular formation of HUEhT-1 cells coculture with CSC2 using NICO-1. </w:t>
      </w:r>
      <w:r>
        <w:rPr>
          <w:rFonts w:ascii="Calibri" w:hAnsi="Calibri" w:cs="Calibri" w:eastAsia="Calibri"/>
          <w:color w:val="auto"/>
          <w:spacing w:val="0"/>
          <w:position w:val="0"/>
          <w:sz w:val="24"/>
          <w:shd w:fill="auto" w:val="clear"/>
        </w:rPr>
        <w:t xml:space="preserve">HUEhT-1 cells formed vascular tubes during the coculture with CSC2.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describes how to mimic the tumor microenvironment of OCSCs in an in vitro setting. The primary component of the method constitutes the highly reproducible coculture model obtained using the NICO-1 system, an indirect Transwell co-culture system. Many of the currently available coculture models examine the effects of direct cell-cell contact on cocultured cell populations</w:t>
      </w:r>
      <w:r>
        <w:rPr>
          <w:rFonts w:ascii="Calibri" w:hAnsi="Calibri" w:cs="Calibri" w:eastAsia="Calibri"/>
          <w:color w:val="auto"/>
          <w:spacing w:val="0"/>
          <w:position w:val="0"/>
          <w:sz w:val="24"/>
          <w:shd w:fill="auto" w:val="clear"/>
          <w:vertAlign w:val="superscript"/>
        </w:rPr>
        <w:t xml:space="preserve">12-18</w:t>
      </w:r>
      <w:r>
        <w:rPr>
          <w:rFonts w:ascii="Calibri" w:hAnsi="Calibri" w:cs="Calibri" w:eastAsia="Calibri"/>
          <w:color w:val="auto"/>
          <w:spacing w:val="0"/>
          <w:position w:val="0"/>
          <w:sz w:val="24"/>
          <w:shd w:fill="auto" w:val="clear"/>
        </w:rPr>
        <w:t xml:space="preserve">. The simplest model that can be used for examining the effects of co-culture may reproduce by the direct mixing of two cell types, and the extent of heterotypic and homotypic interactions can be examined by altering the seeding densities of each cell type and relative seeding ratio of the subpopulations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directly determining the relative contributions of OCSCs to any observed effects of coculture independently by microscopy is difficult owing to the precise invisibility of each cell; thus, these studies are often accompanied in parallel by conditioned media experiments. For example, a segregated coculture system can be utilized in studies in which the effects of paracrine signaling on tumor microenvironment are of interest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comparison, in the present method we describe a model that allows simultaneous evaluation of the effects of cell-cell contact and paracrine signaling, which mimic the architecture of the native tumor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Angiogenesis serves as a hallmark of ovarian cancer and plays a critical role in its progression, which involves interactions between cancer cells, endothelial cells, and the surrounding tumor microenvironment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Bevacizumab is a key molecular targeting drug that has been widely accepted for use in combination chemotherapy for advanced ovarian cancer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Specifically, bevacizumab constitutes a monoclonal antibody against vascular endothelial growth factor (VEGF). VEGF contributes to the </w:t>
      </w:r>
      <w:r>
        <w:rPr>
          <w:rFonts w:ascii="Calibri" w:hAnsi="Calibri" w:cs="Calibri" w:eastAsia="Calibri"/>
          <w:color w:val="auto"/>
          <w:spacing w:val="0"/>
          <w:position w:val="0"/>
          <w:sz w:val="24"/>
          <w:shd w:fill="FFFFFF" w:val="clear"/>
        </w:rPr>
        <w:t xml:space="preserve">development of peritoneal carcinomatosis, and formation of malignant ascites in </w:t>
      </w:r>
      <w:r>
        <w:rPr>
          <w:rFonts w:ascii="Calibri" w:hAnsi="Calibri" w:cs="Calibri" w:eastAsia="Calibri"/>
          <w:color w:val="auto"/>
          <w:spacing w:val="0"/>
          <w:position w:val="0"/>
          <w:sz w:val="24"/>
          <w:shd w:fill="auto" w:val="clear"/>
        </w:rPr>
        <w:t xml:space="preserve">advanced ovarian or peritoneal cancer</w:t>
      </w:r>
      <w:r>
        <w:rPr>
          <w:rFonts w:ascii="Calibri" w:hAnsi="Calibri" w:cs="Calibri" w:eastAsia="Calibri"/>
          <w:color w:val="auto"/>
          <w:spacing w:val="0"/>
          <w:position w:val="0"/>
          <w:sz w:val="24"/>
          <w:shd w:fill="FFFFFF" w:val="clear"/>
        </w:rPr>
        <w:t xml:space="preserve"> by promoting neovascularization and enhancing vascular permeability</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Therefore, VEGF inhibition has been shown to inhibit ascites production and massive tumor growth at the metastatic site. Further investigation that effectively targets VEGF-stimulated vascular endothelial cells in the tumor microenvironment level is thus warranted. </w:t>
      </w:r>
      <w:r>
        <w:rPr>
          <w:rFonts w:ascii="Calibri" w:hAnsi="Calibri" w:cs="Calibri" w:eastAsia="Calibri"/>
          <w:color w:val="auto"/>
          <w:spacing w:val="0"/>
          <w:position w:val="0"/>
          <w:sz w:val="24"/>
          <w:shd w:fill="auto" w:val="clear"/>
        </w:rPr>
        <w:t xml:space="preserve">However, it may be difficult to effectively utilize preclinical models, such as mouse models, for these studies. For example, it has been reported that the affinity of bevacizumab for human VEGF is high whereas that of the mouse protein is lower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enforces a limitation with regard to the application of bevacizumab within experiments designed to further investigate its anti-VEGF mechanism toward neovascularization in the tumor microenvironment as ascertained using mouse models. An appropriate model with well-controlled architecture is therefore needed to recapitulate the components of the in vivo tumor microenvironment. In such case, we note that our in vitro coculture model system permits the live tracking of cell behavior throughout the culture of the patient-derived OCSCs and endothelial cells and allows for the study of these individual cell subpopulations in response to coculture.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better understanding the role of OCSCs and their vascular niche could provide new insights for developing therapeutic strategies for OCSCs. As shown in the representative experiments, the strengths of the model are that it provides a study platform that appears to be partly congruent with clinical settings, enabling the development and testing of better targeted and effective novel drugs. Further studies are needed with direct clinical replication of our results involving a more significant number of patient-derived OCSCs.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Grant-in-Aid for Scienti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 Research C (grant no. 19K09834 to K.N.) from the Ministry of Education, Science, and Culture, Japan.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Bray, F. et al.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Global cancer statistics 2018: GLOBOCAN estimates of incidence and mortality worldwide for 36 cancers in 185 countries. </w:t>
      </w:r>
      <w:r>
        <w:rPr>
          <w:rFonts w:ascii="Times New Roman" w:hAnsi="Times New Roman" w:cs="Times New Roman" w:eastAsia="Times New Roman"/>
          <w:i/>
          <w:color w:val="auto"/>
          <w:spacing w:val="0"/>
          <w:position w:val="0"/>
          <w:sz w:val="24"/>
          <w:shd w:fill="auto" w:val="clear"/>
        </w:rPr>
        <w:t xml:space="preserve">CA, a Cancer Journal for Clinicians.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394-424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Lengyel, E. Ovarian cancer development and metastasis. </w:t>
      </w:r>
      <w:r>
        <w:rPr>
          <w:rFonts w:ascii="Times New Roman" w:hAnsi="Times New Roman" w:cs="Times New Roman" w:eastAsia="Times New Roman"/>
          <w:i/>
          <w:color w:val="auto"/>
          <w:spacing w:val="0"/>
          <w:position w:val="0"/>
          <w:sz w:val="24"/>
          <w:shd w:fill="auto" w:val="clear"/>
        </w:rPr>
        <w:t xml:space="preserve">American Journal of Pathology. </w:t>
      </w:r>
      <w:r>
        <w:rPr>
          <w:rFonts w:ascii="Times New Roman" w:hAnsi="Times New Roman" w:cs="Times New Roman" w:eastAsia="Times New Roman"/>
          <w:b/>
          <w:color w:val="auto"/>
          <w:spacing w:val="0"/>
          <w:position w:val="0"/>
          <w:sz w:val="24"/>
          <w:shd w:fill="auto" w:val="clear"/>
        </w:rPr>
        <w:t xml:space="preserve">177 </w:t>
      </w:r>
      <w:r>
        <w:rPr>
          <w:rFonts w:ascii="Times New Roman" w:hAnsi="Times New Roman" w:cs="Times New Roman" w:eastAsia="Times New Roman"/>
          <w:color w:val="auto"/>
          <w:spacing w:val="0"/>
          <w:position w:val="0"/>
          <w:sz w:val="24"/>
          <w:shd w:fill="auto" w:val="clear"/>
        </w:rPr>
        <w:t xml:space="preserve">(3), 1053-1064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Lytle, N.K., Barber, A.G., Reya, T. Stem cell fate in cancer growth, progression and therapy resistance. </w:t>
      </w:r>
      <w:r>
        <w:rPr>
          <w:rFonts w:ascii="Times New Roman" w:hAnsi="Times New Roman" w:cs="Times New Roman" w:eastAsia="Times New Roman"/>
          <w:i/>
          <w:color w:val="auto"/>
          <w:spacing w:val="0"/>
          <w:position w:val="0"/>
          <w:sz w:val="24"/>
          <w:shd w:fill="auto" w:val="clear"/>
        </w:rPr>
        <w:t xml:space="preserve">Nature Reviews Cancer.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(11), 669-680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Dontu, G. et al. In vitro propagation and transcriptional profiling of human mammary stem/progenitor cells. </w:t>
      </w:r>
      <w:r>
        <w:rPr>
          <w:rFonts w:ascii="Times New Roman" w:hAnsi="Times New Roman" w:cs="Times New Roman" w:eastAsia="Times New Roman"/>
          <w:i/>
          <w:color w:val="auto"/>
          <w:spacing w:val="0"/>
          <w:position w:val="0"/>
          <w:sz w:val="24"/>
          <w:shd w:fill="auto" w:val="clear"/>
        </w:rPr>
        <w:t xml:space="preserve">Genes and 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(10), 1253-1270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Lonardo, E. et al.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Nodal/Activin signaling drives selfrenewal and tumorigenicity of pancreatic cancer stem cells and provides a target for combined drug therapy. </w:t>
      </w:r>
      <w:r>
        <w:rPr>
          <w:rFonts w:ascii="Times New Roman" w:hAnsi="Times New Roman" w:cs="Times New Roman" w:eastAsia="Times New Roman"/>
          <w:i/>
          <w:color w:val="auto"/>
          <w:spacing w:val="0"/>
          <w:position w:val="0"/>
          <w:sz w:val="24"/>
          <w:shd w:fill="auto" w:val="clear"/>
        </w:rPr>
        <w:t xml:space="preserve">Cell Stem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(5), 433-446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Ricci-Vitiani, L. et al. Identification and expansion of human colon-cancer-initiating cells. Nature. </w:t>
      </w:r>
      <w:r>
        <w:rPr>
          <w:rFonts w:ascii="Times New Roman" w:hAnsi="Times New Roman" w:cs="Times New Roman" w:eastAsia="Times New Roman"/>
          <w:b/>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(7123), 111-115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Ohata, H. et al. Induction of the stem-like cell regulator CD44 by Rho kinase inhibition contributes to the maintenance of colon cancer-initiating cells. </w:t>
      </w:r>
      <w:r>
        <w:rPr>
          <w:rFonts w:ascii="Times New Roman" w:hAnsi="Times New Roman" w:cs="Times New Roman" w:eastAsia="Times New Roman"/>
          <w:i/>
          <w:color w:val="auto"/>
          <w:spacing w:val="0"/>
          <w:position w:val="0"/>
          <w:sz w:val="24"/>
          <w:shd w:fill="auto" w:val="clear"/>
        </w:rPr>
        <w:t xml:space="preserve">Cancer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(19), 5101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5110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Ishiguro, T. et al.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Establishment and characterization of an in vitro model of ovarian cancer stem-like cells with an enhanced proliferative capacity. </w:t>
      </w:r>
      <w:r>
        <w:rPr>
          <w:rFonts w:ascii="Times New Roman" w:hAnsi="Times New Roman" w:cs="Times New Roman" w:eastAsia="Times New Roman"/>
          <w:i/>
          <w:color w:val="auto"/>
          <w:spacing w:val="0"/>
          <w:position w:val="0"/>
          <w:sz w:val="24"/>
          <w:shd w:fill="auto" w:val="clear"/>
        </w:rPr>
        <w:t xml:space="preserve">Cancer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(1), 150-160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Singh, S.K. et al. Identification of a cancer stem cell in human brain tumors. </w:t>
      </w:r>
      <w:r>
        <w:rPr>
          <w:rFonts w:ascii="Times New Roman" w:hAnsi="Times New Roman" w:cs="Times New Roman" w:eastAsia="Times New Roman"/>
          <w:i/>
          <w:color w:val="auto"/>
          <w:spacing w:val="0"/>
          <w:position w:val="0"/>
          <w:sz w:val="24"/>
          <w:shd w:fill="auto" w:val="clear"/>
        </w:rPr>
        <w:t xml:space="preserve">Cancer Research. </w:t>
      </w:r>
      <w:r>
        <w:rPr>
          <w:rFonts w:ascii="Times New Roman" w:hAnsi="Times New Roman" w:cs="Times New Roman" w:eastAsia="Times New Roman"/>
          <w:b/>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(18), 5821-5828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FFFFFF" w:val="clear"/>
        </w:rPr>
        <w:t xml:space="preserve">Zong, X., Nephew, K.P. Ovarian cancer stem cells: role in metastasis and opportunity for therapeutic targeting. </w:t>
      </w:r>
      <w:r>
        <w:rPr>
          <w:rFonts w:ascii="Times New Roman" w:hAnsi="Times New Roman" w:cs="Times New Roman" w:eastAsia="Times New Roman"/>
          <w:i/>
          <w:color w:val="auto"/>
          <w:spacing w:val="0"/>
          <w:position w:val="0"/>
          <w:sz w:val="24"/>
          <w:shd w:fill="FFFFFF" w:val="clear"/>
        </w:rPr>
        <w:t xml:space="preserve">Cancers (Basel)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(7), 934 (2019).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FFFFFF" w:val="clear"/>
        </w:rPr>
        <w:t xml:space="preserve">Liz&amp;#225;rraga-Verdugo, E. et al.</w:t>
      </w:r>
      <w:r>
        <w:rPr>
          <w:rFonts w:ascii="Times New Roman" w:hAnsi="Times New Roman" w:cs="Times New Roman" w:eastAsia="Times New Roman"/>
          <w:i/>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Cancer stem cells and its role in angiogenesis and vasculogenic mimicry in gastrointestinal cancers. </w:t>
      </w:r>
      <w:r>
        <w:rPr>
          <w:rFonts w:ascii="Times New Roman" w:hAnsi="Times New Roman" w:cs="Times New Roman" w:eastAsia="Times New Roman"/>
          <w:i/>
          <w:color w:val="auto"/>
          <w:spacing w:val="0"/>
          <w:position w:val="0"/>
          <w:sz w:val="24"/>
          <w:shd w:fill="FFFFFF" w:val="clear"/>
        </w:rPr>
        <w:t xml:space="preserve">Frontiers in oncology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413 (2020).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FFFFFF" w:val="clear"/>
        </w:rPr>
        <w:t xml:space="preserve">Renaud, J., Martinoli, M.G. Development of an insert co-culture system of two cellular types in the absence of cell-cell contact. </w:t>
      </w:r>
      <w:r>
        <w:rPr>
          <w:rFonts w:ascii="Times New Roman" w:hAnsi="Times New Roman" w:cs="Times New Roman" w:eastAsia="Times New Roman"/>
          <w:i/>
          <w:color w:val="auto"/>
          <w:spacing w:val="0"/>
          <w:position w:val="0"/>
          <w:sz w:val="24"/>
          <w:shd w:fill="FFFFFF" w:val="clear"/>
        </w:rPr>
        <w:t xml:space="preserve">Journal of Visualized Experiments</w:t>
      </w:r>
      <w:r>
        <w:rPr>
          <w:rFonts w:ascii="Times New Roman" w:hAnsi="Times New Roman" w:cs="Times New Roman" w:eastAsia="Times New Roman"/>
          <w:color w:val="auto"/>
          <w:spacing w:val="0"/>
          <w:position w:val="0"/>
          <w:sz w:val="24"/>
          <w:shd w:fill="FFFFFF" w:val="clear"/>
        </w:rPr>
        <w:t xml:space="preserve">. (113), e54356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Richardson, S.M. et al.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Intervertebral disc cell-mediated mesenchymal stem cell differentiation. </w:t>
      </w:r>
      <w:r>
        <w:rPr>
          <w:rFonts w:ascii="Times New Roman" w:hAnsi="Times New Roman" w:cs="Times New Roman" w:eastAsia="Times New Roman"/>
          <w:i/>
          <w:color w:val="auto"/>
          <w:spacing w:val="0"/>
          <w:position w:val="0"/>
          <w:sz w:val="24"/>
          <w:shd w:fill="auto" w:val="clear"/>
        </w:rPr>
        <w:t xml:space="preserve">Stem Cells. </w:t>
      </w:r>
      <w:r>
        <w:rPr>
          <w:rFonts w:ascii="Times New Roman" w:hAnsi="Times New Roman" w:cs="Times New Roman" w:eastAsia="Times New Roman"/>
          <w:b/>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(3), 707-716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Plotnikov, E.Y. et al. Cell-to-cell cross-talk between mesenchymal stem cells and cardiomyocytes in co-culture.</w:t>
      </w:r>
      <w:r>
        <w:rPr>
          <w:rFonts w:ascii="Times New Roman" w:hAnsi="Times New Roman" w:cs="Times New Roman" w:eastAsia="Times New Roman"/>
          <w:i/>
          <w:color w:val="auto"/>
          <w:spacing w:val="0"/>
          <w:position w:val="0"/>
          <w:sz w:val="24"/>
          <w:shd w:fill="auto" w:val="clear"/>
        </w:rPr>
        <w:t xml:space="preserve"> Journal of Cellular and Molecular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(5a),1622-1631 (2008).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r>
      <w:r>
        <w:rPr>
          <w:rFonts w:ascii="Times New Roman" w:hAnsi="Times New Roman" w:cs="Times New Roman" w:eastAsia="Times New Roman"/>
          <w:color w:val="auto"/>
          <w:spacing w:val="0"/>
          <w:position w:val="0"/>
          <w:sz w:val="24"/>
          <w:shd w:fill="FFFFFF" w:val="clear"/>
        </w:rPr>
        <w:t xml:space="preserve">Sheng, H. et al. A critical role of IFN-gamma in priming MSC-mediated suppression of T cell proliferation through up-regulation of B7-H1. Cell Research. </w:t>
      </w:r>
      <w:r>
        <w:rPr>
          <w:rFonts w:ascii="Times New Roman" w:hAnsi="Times New Roman" w:cs="Times New Roman" w:eastAsia="Times New Roman"/>
          <w:b/>
          <w:color w:val="auto"/>
          <w:spacing w:val="0"/>
          <w:position w:val="0"/>
          <w:sz w:val="24"/>
          <w:shd w:fill="FFFFFF" w:val="clear"/>
        </w:rPr>
        <w:t xml:space="preserve">18 </w:t>
      </w:r>
      <w:r>
        <w:rPr>
          <w:rFonts w:ascii="Times New Roman" w:hAnsi="Times New Roman" w:cs="Times New Roman" w:eastAsia="Times New Roman"/>
          <w:color w:val="auto"/>
          <w:spacing w:val="0"/>
          <w:position w:val="0"/>
          <w:sz w:val="24"/>
          <w:shd w:fill="FFFFFF" w:val="clear"/>
        </w:rPr>
        <w:t xml:space="preserve">(8), 846-857 (2008)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r>
      <w:r>
        <w:rPr>
          <w:rFonts w:ascii="Times New Roman" w:hAnsi="Times New Roman" w:cs="Times New Roman" w:eastAsia="Times New Roman"/>
          <w:color w:val="auto"/>
          <w:spacing w:val="0"/>
          <w:position w:val="0"/>
          <w:sz w:val="24"/>
          <w:shd w:fill="FFFFFF" w:val="clear"/>
        </w:rPr>
        <w:t xml:space="preserve">Csaki, C., Matis, U., Mobasheri, A., Shakibaei, M. Co-culture of canine mesenchymal stem cells with primary bone-derived osteoblasts promotes osteogenic differentiation. </w:t>
      </w:r>
      <w:r>
        <w:rPr>
          <w:rFonts w:ascii="Times New Roman" w:hAnsi="Times New Roman" w:cs="Times New Roman" w:eastAsia="Times New Roman"/>
          <w:i/>
          <w:color w:val="auto"/>
          <w:spacing w:val="0"/>
          <w:position w:val="0"/>
          <w:sz w:val="24"/>
          <w:shd w:fill="FFFFFF" w:val="clear"/>
        </w:rPr>
        <w:t xml:space="preserve">Histochemistry and Cell Biology.</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131 </w:t>
      </w:r>
      <w:r>
        <w:rPr>
          <w:rFonts w:ascii="Times New Roman" w:hAnsi="Times New Roman" w:cs="Times New Roman" w:eastAsia="Times New Roman"/>
          <w:color w:val="auto"/>
          <w:spacing w:val="0"/>
          <w:position w:val="0"/>
          <w:sz w:val="24"/>
          <w:shd w:fill="FFFFFF" w:val="clear"/>
        </w:rPr>
        <w:t xml:space="preserve">(2), 251-266 (2009).</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r>
      <w:r>
        <w:rPr>
          <w:rFonts w:ascii="Times New Roman" w:hAnsi="Times New Roman" w:cs="Times New Roman" w:eastAsia="Times New Roman"/>
          <w:color w:val="auto"/>
          <w:spacing w:val="0"/>
          <w:position w:val="0"/>
          <w:sz w:val="24"/>
          <w:shd w:fill="FFFFFF" w:val="clear"/>
        </w:rPr>
        <w:t xml:space="preserve">Aguirre, A., Planell, J.A., Engel, E. Dynamics of bone marrow-derived endothelial progenitor cell/mesenchymal stem cell interaction in co-culture and its implications in angiogenesis. </w:t>
      </w:r>
      <w:r>
        <w:rPr>
          <w:rFonts w:ascii="Times New Roman" w:hAnsi="Times New Roman" w:cs="Times New Roman" w:eastAsia="Times New Roman"/>
          <w:i/>
          <w:color w:val="auto"/>
          <w:spacing w:val="0"/>
          <w:position w:val="0"/>
          <w:sz w:val="24"/>
          <w:shd w:fill="FFFFFF" w:val="clear"/>
        </w:rPr>
        <w:t xml:space="preserve">Biochemical and Biophysical Research Communications.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400 </w:t>
      </w:r>
      <w:r>
        <w:rPr>
          <w:rFonts w:ascii="Times New Roman" w:hAnsi="Times New Roman" w:cs="Times New Roman" w:eastAsia="Times New Roman"/>
          <w:color w:val="auto"/>
          <w:spacing w:val="0"/>
          <w:position w:val="0"/>
          <w:sz w:val="24"/>
          <w:shd w:fill="FFFFFF" w:val="clear"/>
        </w:rPr>
        <w:t xml:space="preserve">(2), 284-291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Proffen, B.L., Haslauer, C.M., Harris, C.E., Murray, M.M. Mesenchymal stem cells from the retropatellar fat pad and peripheral blood stimulate ACL fibroblast migration, proliferation, and collagen gene expression. </w:t>
      </w:r>
      <w:r>
        <w:rPr>
          <w:rFonts w:ascii="Times New Roman" w:hAnsi="Times New Roman" w:cs="Times New Roman" w:eastAsia="Times New Roman"/>
          <w:i/>
          <w:color w:val="auto"/>
          <w:spacing w:val="0"/>
          <w:position w:val="0"/>
          <w:sz w:val="24"/>
          <w:shd w:fill="auto" w:val="clear"/>
        </w:rPr>
        <w:t xml:space="preserve">Connective Tissue Research. </w:t>
      </w:r>
      <w:r>
        <w:rPr>
          <w:rFonts w:ascii="Times New Roman" w:hAnsi="Times New Roman" w:cs="Times New Roman" w:eastAsia="Times New Roman"/>
          <w:b/>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(1), 14-21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FFFFFF" w:val="clear"/>
        </w:rPr>
        <w:t xml:space="preserve">Goers, L., Freemont, P., Polizzi, K.M. Co-culture systems and technologies: taking synthetic biology to the next level. </w:t>
      </w:r>
      <w:r>
        <w:rPr>
          <w:rFonts w:ascii="Times New Roman" w:hAnsi="Times New Roman" w:cs="Times New Roman" w:eastAsia="Times New Roman"/>
          <w:i/>
          <w:color w:val="auto"/>
          <w:spacing w:val="0"/>
          <w:position w:val="0"/>
          <w:sz w:val="24"/>
          <w:shd w:fill="FFFFFF" w:val="clear"/>
        </w:rPr>
        <w:t xml:space="preserve">Journal of the Royal Society &amp;amp; Interface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 (96), 20140065 (2014)a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Times New Roman" w:hAnsi="Times New Roman" w:cs="Times New Roman" w:eastAsia="Times New Roman"/>
          <w:color w:val="auto"/>
          <w:spacing w:val="0"/>
          <w:position w:val="0"/>
          <w:sz w:val="24"/>
          <w:shd w:fill="FFFFFF" w:val="clear"/>
        </w:rPr>
        <w:t xml:space="preserve">De Palma, M., Biziato, D., Petrova, T. Microenvironmental regulation of tumour angiogenesis. </w:t>
      </w:r>
      <w:r>
        <w:rPr>
          <w:rFonts w:ascii="Times New Roman" w:hAnsi="Times New Roman" w:cs="Times New Roman" w:eastAsia="Times New Roman"/>
          <w:i/>
          <w:color w:val="auto"/>
          <w:spacing w:val="0"/>
          <w:position w:val="0"/>
          <w:sz w:val="24"/>
          <w:shd w:fill="FFFFFF" w:val="clear"/>
        </w:rPr>
        <w:t xml:space="preserve">Nature Reviews Cancer</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17</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457</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474 (2017).</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FFFFFF" w:val="clear"/>
        </w:rPr>
        <w:t xml:space="preserve">Burger R. et al. Incorporation of bevacizumab in the primary treatment of ovarian cancer. </w:t>
      </w:r>
      <w:r>
        <w:rPr>
          <w:rFonts w:ascii="Times New Roman" w:hAnsi="Times New Roman" w:cs="Times New Roman" w:eastAsia="Times New Roman"/>
          <w:i/>
          <w:color w:val="auto"/>
          <w:spacing w:val="0"/>
          <w:position w:val="0"/>
          <w:sz w:val="24"/>
          <w:shd w:fill="FFFFFF" w:val="clear"/>
        </w:rPr>
        <w:t xml:space="preserve">New England Journal of Medicine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365</w:t>
      </w:r>
      <w:r>
        <w:rPr>
          <w:rFonts w:ascii="Times New Roman" w:hAnsi="Times New Roman" w:cs="Times New Roman" w:eastAsia="Times New Roman"/>
          <w:color w:val="auto"/>
          <w:spacing w:val="0"/>
          <w:position w:val="0"/>
          <w:sz w:val="24"/>
          <w:shd w:fill="FFFFFF" w:val="clear"/>
        </w:rPr>
        <w:t xml:space="preserve">, 2473</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2483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FFFFFF" w:val="clear"/>
        </w:rPr>
        <w:t xml:space="preserve">Goel, H., Mercurio, A. VEGF targets the tumour cell. </w:t>
      </w:r>
      <w:r>
        <w:rPr>
          <w:rFonts w:ascii="Times New Roman" w:hAnsi="Times New Roman" w:cs="Times New Roman" w:eastAsia="Times New Roman"/>
          <w:i/>
          <w:color w:val="auto"/>
          <w:spacing w:val="0"/>
          <w:position w:val="0"/>
          <w:sz w:val="24"/>
          <w:shd w:fill="FFFFFF" w:val="clear"/>
        </w:rPr>
        <w:t xml:space="preserve">Nature Reviews Cancer</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13</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871</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882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FFFFFF" w:val="clear"/>
        </w:rPr>
        <w:t xml:space="preserve">Yu, L. et al. Interaction between bevacizumab and murine VEGF-A: a reassessment. </w:t>
      </w:r>
      <w:r>
        <w:rPr>
          <w:rFonts w:ascii="Times New Roman" w:hAnsi="Times New Roman" w:cs="Times New Roman" w:eastAsia="Times New Roman"/>
          <w:i/>
          <w:color w:val="auto"/>
          <w:spacing w:val="0"/>
          <w:position w:val="0"/>
          <w:sz w:val="24"/>
          <w:shd w:fill="FFFFFF" w:val="clear"/>
        </w:rPr>
        <w:t xml:space="preserve">Investigative Ophthalmology and Visual Science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49 </w:t>
      </w:r>
      <w:r>
        <w:rPr>
          <w:rFonts w:ascii="Times New Roman" w:hAnsi="Times New Roman" w:cs="Times New Roman" w:eastAsia="Times New Roman"/>
          <w:color w:val="auto"/>
          <w:spacing w:val="0"/>
          <w:position w:val="0"/>
          <w:sz w:val="24"/>
          <w:shd w:fill="FFFFFF" w:val="clear"/>
        </w:rPr>
        <w:t xml:space="preserve">(2), 522-527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