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116"/>
        <w:gridCol w:w="3117"/>
        <w:gridCol w:w="3117"/>
      </w:tblGrid>
      <w:tr w:rsidR="00E03B8E" w:rsidRPr="00820DAF" w14:paraId="6D2D8531" w14:textId="77777777" w:rsidTr="008B1A30">
        <w:tc>
          <w:tcPr>
            <w:tcW w:w="3116" w:type="dxa"/>
            <w:shd w:val="clear" w:color="auto" w:fill="BFBFBF" w:themeFill="background1" w:themeFillShade="BF"/>
          </w:tcPr>
          <w:p w14:paraId="47B4014A" w14:textId="37856795" w:rsidR="00F67155" w:rsidRPr="00820DAF" w:rsidRDefault="00F67155" w:rsidP="00292FED">
            <w:pPr>
              <w:rPr>
                <w:rFonts w:cstheme="minorHAnsi"/>
                <w:sz w:val="20"/>
                <w:szCs w:val="20"/>
              </w:rPr>
            </w:pPr>
            <w:r w:rsidRPr="00820DAF">
              <w:rPr>
                <w:rFonts w:cstheme="minorHAnsi"/>
                <w:sz w:val="20"/>
                <w:szCs w:val="20"/>
              </w:rPr>
              <w:t>Editorial Comments</w:t>
            </w:r>
          </w:p>
        </w:tc>
        <w:tc>
          <w:tcPr>
            <w:tcW w:w="3117" w:type="dxa"/>
            <w:shd w:val="clear" w:color="auto" w:fill="BFBFBF" w:themeFill="background1" w:themeFillShade="BF"/>
          </w:tcPr>
          <w:p w14:paraId="5FA25537" w14:textId="7C6CEA9D" w:rsidR="00F67155" w:rsidRPr="00820DAF" w:rsidRDefault="00F41026" w:rsidP="00292FED">
            <w:pPr>
              <w:rPr>
                <w:rFonts w:cstheme="minorHAnsi"/>
                <w:sz w:val="20"/>
                <w:szCs w:val="20"/>
              </w:rPr>
            </w:pPr>
            <w:r w:rsidRPr="00820DAF">
              <w:rPr>
                <w:rFonts w:cstheme="minorHAnsi"/>
                <w:sz w:val="20"/>
                <w:szCs w:val="20"/>
              </w:rPr>
              <w:t>Author Comments</w:t>
            </w:r>
          </w:p>
        </w:tc>
        <w:tc>
          <w:tcPr>
            <w:tcW w:w="3117" w:type="dxa"/>
            <w:shd w:val="clear" w:color="auto" w:fill="BFBFBF" w:themeFill="background1" w:themeFillShade="BF"/>
          </w:tcPr>
          <w:p w14:paraId="71ABF6F2" w14:textId="6B4182C5" w:rsidR="00F67155" w:rsidRPr="00820DAF" w:rsidRDefault="00F41026" w:rsidP="00292FED">
            <w:pPr>
              <w:rPr>
                <w:rFonts w:cstheme="minorHAnsi"/>
                <w:sz w:val="20"/>
                <w:szCs w:val="20"/>
              </w:rPr>
            </w:pPr>
            <w:r w:rsidRPr="00820DAF">
              <w:rPr>
                <w:rFonts w:cstheme="minorHAnsi"/>
                <w:sz w:val="20"/>
                <w:szCs w:val="20"/>
              </w:rPr>
              <w:t>Manuscript Changes</w:t>
            </w:r>
          </w:p>
        </w:tc>
      </w:tr>
      <w:tr w:rsidR="008E3526" w:rsidRPr="00820DAF" w14:paraId="7B096988" w14:textId="77777777" w:rsidTr="00F67155">
        <w:tc>
          <w:tcPr>
            <w:tcW w:w="3116" w:type="dxa"/>
          </w:tcPr>
          <w:p w14:paraId="54C5D00B" w14:textId="5E840437" w:rsidR="008E3526" w:rsidRPr="00820DAF" w:rsidRDefault="00E03B8E" w:rsidP="00292FED">
            <w:pPr>
              <w:rPr>
                <w:rFonts w:cstheme="minorHAnsi"/>
                <w:sz w:val="20"/>
                <w:szCs w:val="20"/>
              </w:rPr>
            </w:pPr>
            <w:r w:rsidRPr="00820DAF">
              <w:rPr>
                <w:rFonts w:cstheme="minorHAnsi"/>
                <w:sz w:val="20"/>
                <w:szCs w:val="20"/>
                <w:shd w:val="clear" w:color="auto" w:fill="FFFFFF"/>
              </w:rPr>
              <w:t>• Please list a minimum of 6 keywords/phrases.</w:t>
            </w:r>
          </w:p>
        </w:tc>
        <w:tc>
          <w:tcPr>
            <w:tcW w:w="3117" w:type="dxa"/>
          </w:tcPr>
          <w:p w14:paraId="43CB2604" w14:textId="3784E96C" w:rsidR="008E3526" w:rsidRPr="00820DAF" w:rsidRDefault="00D54399" w:rsidP="00292FED">
            <w:pPr>
              <w:rPr>
                <w:rFonts w:cstheme="minorHAnsi"/>
                <w:sz w:val="20"/>
                <w:szCs w:val="20"/>
              </w:rPr>
            </w:pPr>
            <w:r w:rsidRPr="00820DAF">
              <w:rPr>
                <w:rFonts w:cstheme="minorHAnsi"/>
                <w:sz w:val="20"/>
                <w:szCs w:val="20"/>
              </w:rPr>
              <w:t>Additional key words included.</w:t>
            </w:r>
          </w:p>
        </w:tc>
        <w:tc>
          <w:tcPr>
            <w:tcW w:w="3117" w:type="dxa"/>
          </w:tcPr>
          <w:p w14:paraId="637E3022" w14:textId="5C9B141C" w:rsidR="008E3526" w:rsidRPr="00820DAF" w:rsidRDefault="00D54399" w:rsidP="00292FED">
            <w:pPr>
              <w:rPr>
                <w:rFonts w:cstheme="minorHAnsi"/>
                <w:sz w:val="20"/>
                <w:szCs w:val="20"/>
              </w:rPr>
            </w:pPr>
            <w:r w:rsidRPr="00820DAF">
              <w:rPr>
                <w:rFonts w:cstheme="minorHAnsi"/>
                <w:sz w:val="20"/>
                <w:szCs w:val="20"/>
              </w:rPr>
              <w:t>“Optic nerve sheath, optic nerve, transection, axotomy, retinal ganglion cell, axon regeneration”</w:t>
            </w:r>
          </w:p>
        </w:tc>
      </w:tr>
      <w:tr w:rsidR="008E3526" w:rsidRPr="00820DAF" w14:paraId="2318A16C" w14:textId="77777777" w:rsidTr="00F67155">
        <w:tc>
          <w:tcPr>
            <w:tcW w:w="3116" w:type="dxa"/>
          </w:tcPr>
          <w:p w14:paraId="7AFA119B" w14:textId="60007090" w:rsidR="008E3526" w:rsidRPr="00820DAF" w:rsidRDefault="008E3526" w:rsidP="00292FED">
            <w:pPr>
              <w:rPr>
                <w:rFonts w:cstheme="minorHAnsi"/>
                <w:sz w:val="20"/>
                <w:szCs w:val="20"/>
              </w:rPr>
            </w:pPr>
            <w:r w:rsidRPr="00820DAF">
              <w:rPr>
                <w:rFonts w:cstheme="minorHAnsi"/>
                <w:b/>
                <w:bCs/>
                <w:sz w:val="20"/>
                <w:szCs w:val="20"/>
                <w:shd w:val="clear" w:color="auto" w:fill="FFFFFF"/>
              </w:rPr>
              <w:t>Commercial Language:</w:t>
            </w:r>
            <w:r w:rsidR="00E03B8E" w:rsidRPr="00820DAF">
              <w:rPr>
                <w:rFonts w:cstheme="minorHAnsi"/>
                <w:b/>
                <w:bCs/>
                <w:sz w:val="20"/>
                <w:szCs w:val="20"/>
                <w:shd w:val="clear" w:color="auto" w:fill="FFFFFF"/>
              </w:rPr>
              <w:t xml:space="preserve"> </w:t>
            </w:r>
            <w:proofErr w:type="spellStart"/>
            <w:r w:rsidRPr="00820DAF">
              <w:rPr>
                <w:rFonts w:cstheme="minorHAnsi"/>
                <w:sz w:val="20"/>
                <w:szCs w:val="20"/>
                <w:shd w:val="clear" w:color="auto" w:fill="FFFFFF"/>
              </w:rPr>
              <w:t>JoVE</w:t>
            </w:r>
            <w:proofErr w:type="spellEnd"/>
            <w:r w:rsidRPr="00820DAF">
              <w:rPr>
                <w:rFonts w:cstheme="minorHAnsi"/>
                <w:sz w:val="20"/>
                <w:szCs w:val="20"/>
                <w:shd w:val="clear" w:color="auto" w:fill="FFFFFF"/>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betadine, </w:t>
            </w:r>
            <w:proofErr w:type="spellStart"/>
            <w:r w:rsidRPr="00820DAF">
              <w:rPr>
                <w:rFonts w:cstheme="minorHAnsi"/>
                <w:sz w:val="20"/>
                <w:szCs w:val="20"/>
                <w:shd w:val="clear" w:color="auto" w:fill="FFFFFF"/>
              </w:rPr>
              <w:t>Vicryl</w:t>
            </w:r>
            <w:proofErr w:type="spellEnd"/>
            <w:r w:rsidRPr="00820DAF">
              <w:rPr>
                <w:rFonts w:cstheme="minorHAnsi"/>
                <w:sz w:val="20"/>
                <w:szCs w:val="20"/>
                <w:shd w:val="clear" w:color="auto" w:fill="FFFFFF"/>
              </w:rPr>
              <w:t xml:space="preserve">, </w:t>
            </w:r>
            <w:proofErr w:type="spellStart"/>
            <w:r w:rsidRPr="00820DAF">
              <w:rPr>
                <w:rFonts w:cstheme="minorHAnsi"/>
                <w:sz w:val="20"/>
                <w:szCs w:val="20"/>
                <w:shd w:val="clear" w:color="auto" w:fill="FFFFFF"/>
              </w:rPr>
              <w:t>Prolene</w:t>
            </w:r>
            <w:proofErr w:type="spellEnd"/>
            <w:r w:rsidRPr="00820DAF">
              <w:rPr>
                <w:rFonts w:cstheme="minorHAnsi"/>
                <w:sz w:val="20"/>
                <w:szCs w:val="20"/>
                <w:shd w:val="clear" w:color="auto" w:fill="FFFFFF"/>
              </w:rPr>
              <w:t xml:space="preserve">, Hamilton, </w:t>
            </w:r>
            <w:proofErr w:type="spellStart"/>
            <w:r w:rsidRPr="00820DAF">
              <w:rPr>
                <w:rFonts w:cstheme="minorHAnsi"/>
                <w:sz w:val="20"/>
                <w:szCs w:val="20"/>
                <w:shd w:val="clear" w:color="auto" w:fill="FFFFFF"/>
              </w:rPr>
              <w:t>Picospritzer</w:t>
            </w:r>
            <w:proofErr w:type="spellEnd"/>
            <w:r w:rsidRPr="00820DAF">
              <w:rPr>
                <w:rFonts w:cstheme="minorHAnsi"/>
                <w:sz w:val="20"/>
                <w:szCs w:val="20"/>
                <w:shd w:val="clear" w:color="auto" w:fill="FFFFFF"/>
              </w:rPr>
              <w:t>, etc.</w:t>
            </w:r>
          </w:p>
        </w:tc>
        <w:tc>
          <w:tcPr>
            <w:tcW w:w="3117" w:type="dxa"/>
          </w:tcPr>
          <w:p w14:paraId="66827299" w14:textId="09E14364" w:rsidR="008E3526" w:rsidRPr="00820DAF" w:rsidRDefault="00E03B8E" w:rsidP="00292FED">
            <w:pPr>
              <w:rPr>
                <w:rFonts w:cstheme="minorHAnsi"/>
                <w:sz w:val="20"/>
                <w:szCs w:val="20"/>
              </w:rPr>
            </w:pPr>
            <w:r w:rsidRPr="00820DAF">
              <w:rPr>
                <w:rFonts w:cstheme="minorHAnsi"/>
                <w:sz w:val="20"/>
                <w:szCs w:val="20"/>
              </w:rPr>
              <w:t xml:space="preserve">Commercial language replaced. </w:t>
            </w:r>
          </w:p>
        </w:tc>
        <w:tc>
          <w:tcPr>
            <w:tcW w:w="3117" w:type="dxa"/>
          </w:tcPr>
          <w:p w14:paraId="35734B33" w14:textId="77777777" w:rsidR="008E3526" w:rsidRPr="00820DAF" w:rsidRDefault="008E3526" w:rsidP="00292FED">
            <w:pPr>
              <w:rPr>
                <w:rFonts w:cstheme="minorHAnsi"/>
                <w:sz w:val="20"/>
                <w:szCs w:val="20"/>
              </w:rPr>
            </w:pPr>
          </w:p>
        </w:tc>
      </w:tr>
      <w:tr w:rsidR="00E03B8E" w:rsidRPr="00820DAF" w14:paraId="349DB8DA" w14:textId="77777777" w:rsidTr="008B1A30">
        <w:tc>
          <w:tcPr>
            <w:tcW w:w="3116" w:type="dxa"/>
            <w:tcBorders>
              <w:bottom w:val="single" w:sz="4" w:space="0" w:color="auto"/>
            </w:tcBorders>
          </w:tcPr>
          <w:p w14:paraId="065B9C92" w14:textId="62331717" w:rsidR="00F67155" w:rsidRPr="00820DAF" w:rsidRDefault="008E3526" w:rsidP="00292FED">
            <w:pPr>
              <w:rPr>
                <w:rFonts w:cstheme="minorHAnsi"/>
                <w:sz w:val="20"/>
                <w:szCs w:val="20"/>
              </w:rPr>
            </w:pPr>
            <w:r w:rsidRPr="00820DAF">
              <w:rPr>
                <w:rFonts w:cstheme="minorHAnsi"/>
                <w:b/>
                <w:bCs/>
                <w:sz w:val="20"/>
                <w:szCs w:val="20"/>
                <w:shd w:val="clear" w:color="auto" w:fill="FFFFFF"/>
              </w:rPr>
              <w:t>Table of Materials:</w:t>
            </w:r>
            <w:r w:rsidRPr="00820DAF">
              <w:rPr>
                <w:rFonts w:cstheme="minorHAnsi"/>
                <w:sz w:val="20"/>
                <w:szCs w:val="20"/>
                <w:shd w:val="clear" w:color="auto" w:fill="FFFFFF"/>
              </w:rPr>
              <w:t> Please sort in alphabetical order.</w:t>
            </w:r>
          </w:p>
        </w:tc>
        <w:tc>
          <w:tcPr>
            <w:tcW w:w="3117" w:type="dxa"/>
            <w:tcBorders>
              <w:bottom w:val="single" w:sz="4" w:space="0" w:color="auto"/>
            </w:tcBorders>
          </w:tcPr>
          <w:p w14:paraId="03923295" w14:textId="38062D31" w:rsidR="00F67155" w:rsidRPr="00820DAF" w:rsidRDefault="00E03B8E" w:rsidP="00292FED">
            <w:pPr>
              <w:rPr>
                <w:rFonts w:cstheme="minorHAnsi"/>
                <w:sz w:val="20"/>
                <w:szCs w:val="20"/>
              </w:rPr>
            </w:pPr>
            <w:r w:rsidRPr="00820DAF">
              <w:rPr>
                <w:rFonts w:cstheme="minorHAnsi"/>
                <w:sz w:val="20"/>
                <w:szCs w:val="20"/>
              </w:rPr>
              <w:t>Table of Materials sorted in alphabetical order</w:t>
            </w:r>
          </w:p>
        </w:tc>
        <w:tc>
          <w:tcPr>
            <w:tcW w:w="3117" w:type="dxa"/>
            <w:tcBorders>
              <w:bottom w:val="single" w:sz="4" w:space="0" w:color="auto"/>
            </w:tcBorders>
          </w:tcPr>
          <w:p w14:paraId="1AAB31AF" w14:textId="53FDA749" w:rsidR="00F67155" w:rsidRPr="00820DAF" w:rsidRDefault="00D54399" w:rsidP="00292FED">
            <w:pPr>
              <w:rPr>
                <w:rFonts w:cstheme="minorHAnsi"/>
                <w:sz w:val="20"/>
                <w:szCs w:val="20"/>
              </w:rPr>
            </w:pPr>
            <w:r w:rsidRPr="00820DAF">
              <w:rPr>
                <w:rFonts w:cstheme="minorHAnsi"/>
                <w:sz w:val="20"/>
                <w:szCs w:val="20"/>
              </w:rPr>
              <w:t>See Table of Materials</w:t>
            </w:r>
          </w:p>
        </w:tc>
      </w:tr>
      <w:tr w:rsidR="00E03B8E" w:rsidRPr="00820DAF" w14:paraId="2106F869" w14:textId="77777777" w:rsidTr="008B1A30">
        <w:tc>
          <w:tcPr>
            <w:tcW w:w="3116" w:type="dxa"/>
            <w:tcBorders>
              <w:bottom w:val="single" w:sz="4" w:space="0" w:color="auto"/>
            </w:tcBorders>
          </w:tcPr>
          <w:p w14:paraId="21C95877" w14:textId="14882E48" w:rsidR="00F67155" w:rsidRPr="00820DAF" w:rsidRDefault="008E3526" w:rsidP="00292FED">
            <w:pPr>
              <w:rPr>
                <w:rFonts w:cstheme="minorHAnsi"/>
                <w:sz w:val="20"/>
                <w:szCs w:val="20"/>
              </w:rPr>
            </w:pPr>
            <w:r w:rsidRPr="00820DAF">
              <w:rPr>
                <w:rFonts w:cstheme="minorHAnsi"/>
                <w:sz w:val="20"/>
                <w:szCs w:val="20"/>
                <w:shd w:val="clear" w:color="auto" w:fill="FFFFFF"/>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820DAF">
              <w:rPr>
                <w:rFonts w:cstheme="minorHAnsi"/>
                <w:sz w:val="20"/>
                <w:szCs w:val="20"/>
                <w:shd w:val="clear" w:color="auto" w:fill="FFFFFF"/>
              </w:rPr>
              <w:t>JoVE</w:t>
            </w:r>
            <w:proofErr w:type="spellEnd"/>
            <w:r w:rsidRPr="00820DAF">
              <w:rPr>
                <w:rFonts w:cstheme="minorHAnsi"/>
                <w:sz w:val="20"/>
                <w:szCs w:val="20"/>
                <w:shd w:val="clear" w:color="auto" w:fill="FFFFFF"/>
              </w:rPr>
              <w:t>)" section. Please also cite the figure appropriately in the figure legend, i.e. "This figure has been modified from [citation]."</w:t>
            </w:r>
          </w:p>
        </w:tc>
        <w:tc>
          <w:tcPr>
            <w:tcW w:w="3117" w:type="dxa"/>
            <w:tcBorders>
              <w:bottom w:val="single" w:sz="4" w:space="0" w:color="auto"/>
            </w:tcBorders>
          </w:tcPr>
          <w:p w14:paraId="44539BD5" w14:textId="40EBAB83" w:rsidR="00F67155" w:rsidRPr="00820DAF" w:rsidRDefault="00E03B8E" w:rsidP="00292FED">
            <w:pPr>
              <w:rPr>
                <w:rFonts w:cstheme="minorHAnsi"/>
                <w:sz w:val="20"/>
                <w:szCs w:val="20"/>
              </w:rPr>
            </w:pPr>
            <w:r w:rsidRPr="00820DAF">
              <w:rPr>
                <w:rFonts w:cstheme="minorHAnsi"/>
                <w:sz w:val="20"/>
                <w:szCs w:val="20"/>
              </w:rPr>
              <w:t>All figures are original and not previously published.</w:t>
            </w:r>
          </w:p>
        </w:tc>
        <w:tc>
          <w:tcPr>
            <w:tcW w:w="3117" w:type="dxa"/>
            <w:tcBorders>
              <w:bottom w:val="single" w:sz="4" w:space="0" w:color="auto"/>
            </w:tcBorders>
          </w:tcPr>
          <w:p w14:paraId="568E029C" w14:textId="77777777" w:rsidR="00F67155" w:rsidRPr="00820DAF" w:rsidRDefault="00F67155" w:rsidP="00292FED">
            <w:pPr>
              <w:rPr>
                <w:rFonts w:cstheme="minorHAnsi"/>
                <w:sz w:val="20"/>
                <w:szCs w:val="20"/>
              </w:rPr>
            </w:pPr>
          </w:p>
        </w:tc>
      </w:tr>
      <w:tr w:rsidR="008B1A30" w:rsidRPr="00820DAF" w14:paraId="3114F20D" w14:textId="77777777" w:rsidTr="008B1A30">
        <w:tc>
          <w:tcPr>
            <w:tcW w:w="3116" w:type="dxa"/>
            <w:tcBorders>
              <w:top w:val="single" w:sz="4" w:space="0" w:color="auto"/>
              <w:left w:val="nil"/>
              <w:bottom w:val="single" w:sz="4" w:space="0" w:color="auto"/>
              <w:right w:val="nil"/>
            </w:tcBorders>
          </w:tcPr>
          <w:p w14:paraId="3E1E04CF" w14:textId="77777777" w:rsidR="008E3526" w:rsidRPr="00820DAF" w:rsidRDefault="008E3526" w:rsidP="00292FED">
            <w:pPr>
              <w:rPr>
                <w:rFonts w:cstheme="minorHAnsi"/>
                <w:sz w:val="20"/>
                <w:szCs w:val="20"/>
              </w:rPr>
            </w:pPr>
          </w:p>
        </w:tc>
        <w:tc>
          <w:tcPr>
            <w:tcW w:w="3117" w:type="dxa"/>
            <w:tcBorders>
              <w:top w:val="single" w:sz="4" w:space="0" w:color="auto"/>
              <w:left w:val="nil"/>
              <w:bottom w:val="single" w:sz="4" w:space="0" w:color="auto"/>
              <w:right w:val="nil"/>
            </w:tcBorders>
          </w:tcPr>
          <w:p w14:paraId="20AB493A" w14:textId="77777777" w:rsidR="008E3526" w:rsidRPr="00820DAF" w:rsidRDefault="008E3526" w:rsidP="00292FED">
            <w:pPr>
              <w:rPr>
                <w:rFonts w:cstheme="minorHAnsi"/>
                <w:sz w:val="20"/>
                <w:szCs w:val="20"/>
              </w:rPr>
            </w:pPr>
          </w:p>
        </w:tc>
        <w:tc>
          <w:tcPr>
            <w:tcW w:w="3117" w:type="dxa"/>
            <w:tcBorders>
              <w:top w:val="single" w:sz="4" w:space="0" w:color="auto"/>
              <w:left w:val="nil"/>
              <w:bottom w:val="single" w:sz="4" w:space="0" w:color="auto"/>
              <w:right w:val="nil"/>
            </w:tcBorders>
          </w:tcPr>
          <w:p w14:paraId="6624E93F" w14:textId="77777777" w:rsidR="008E3526" w:rsidRPr="00820DAF" w:rsidRDefault="008E3526" w:rsidP="00292FED">
            <w:pPr>
              <w:rPr>
                <w:rFonts w:cstheme="minorHAnsi"/>
                <w:sz w:val="20"/>
                <w:szCs w:val="20"/>
              </w:rPr>
            </w:pPr>
          </w:p>
        </w:tc>
      </w:tr>
      <w:tr w:rsidR="008B1A30" w:rsidRPr="00820DAF" w14:paraId="55EE61D5" w14:textId="77777777" w:rsidTr="008B1A30">
        <w:tc>
          <w:tcPr>
            <w:tcW w:w="3116" w:type="dxa"/>
            <w:tcBorders>
              <w:top w:val="single" w:sz="4" w:space="0" w:color="auto"/>
            </w:tcBorders>
            <w:shd w:val="clear" w:color="auto" w:fill="BFBFBF" w:themeFill="background1" w:themeFillShade="BF"/>
          </w:tcPr>
          <w:p w14:paraId="2374908A" w14:textId="53A24A22" w:rsidR="008B1A30" w:rsidRPr="00820DAF" w:rsidRDefault="008B1A30" w:rsidP="00292FED">
            <w:pPr>
              <w:rPr>
                <w:rFonts w:cstheme="minorHAnsi"/>
                <w:sz w:val="20"/>
                <w:szCs w:val="20"/>
              </w:rPr>
            </w:pPr>
            <w:r w:rsidRPr="00820DAF">
              <w:rPr>
                <w:rFonts w:cstheme="minorHAnsi"/>
                <w:sz w:val="20"/>
                <w:szCs w:val="20"/>
              </w:rPr>
              <w:t>Reviewer #1 Comments</w:t>
            </w:r>
          </w:p>
        </w:tc>
        <w:tc>
          <w:tcPr>
            <w:tcW w:w="3117" w:type="dxa"/>
            <w:tcBorders>
              <w:top w:val="single" w:sz="4" w:space="0" w:color="auto"/>
            </w:tcBorders>
            <w:shd w:val="clear" w:color="auto" w:fill="BFBFBF" w:themeFill="background1" w:themeFillShade="BF"/>
          </w:tcPr>
          <w:p w14:paraId="49D9C10B" w14:textId="211D967F" w:rsidR="008B1A30" w:rsidRPr="00820DAF" w:rsidRDefault="008B1A30" w:rsidP="00292FED">
            <w:pPr>
              <w:rPr>
                <w:rFonts w:cstheme="minorHAnsi"/>
                <w:sz w:val="20"/>
                <w:szCs w:val="20"/>
              </w:rPr>
            </w:pPr>
            <w:r w:rsidRPr="00820DAF">
              <w:rPr>
                <w:rFonts w:cstheme="minorHAnsi"/>
                <w:sz w:val="20"/>
                <w:szCs w:val="20"/>
              </w:rPr>
              <w:t>Author Comments</w:t>
            </w:r>
          </w:p>
        </w:tc>
        <w:tc>
          <w:tcPr>
            <w:tcW w:w="3117" w:type="dxa"/>
            <w:tcBorders>
              <w:top w:val="single" w:sz="4" w:space="0" w:color="auto"/>
            </w:tcBorders>
            <w:shd w:val="clear" w:color="auto" w:fill="BFBFBF" w:themeFill="background1" w:themeFillShade="BF"/>
          </w:tcPr>
          <w:p w14:paraId="41CFA4B4" w14:textId="072343F5" w:rsidR="008B1A30" w:rsidRPr="00820DAF" w:rsidRDefault="008B1A30" w:rsidP="00292FED">
            <w:pPr>
              <w:rPr>
                <w:rFonts w:cstheme="minorHAnsi"/>
                <w:sz w:val="20"/>
                <w:szCs w:val="20"/>
              </w:rPr>
            </w:pPr>
            <w:r w:rsidRPr="00820DAF">
              <w:rPr>
                <w:rFonts w:cstheme="minorHAnsi"/>
                <w:sz w:val="20"/>
                <w:szCs w:val="20"/>
              </w:rPr>
              <w:t>Manuscript Changes</w:t>
            </w:r>
          </w:p>
        </w:tc>
      </w:tr>
      <w:tr w:rsidR="008B1A30" w:rsidRPr="00820DAF" w14:paraId="6322C04C" w14:textId="77777777" w:rsidTr="00F67155">
        <w:tc>
          <w:tcPr>
            <w:tcW w:w="3116" w:type="dxa"/>
          </w:tcPr>
          <w:p w14:paraId="352C1D6B" w14:textId="1B2CC2D6" w:rsidR="008B1A30" w:rsidRPr="00820DAF" w:rsidRDefault="008B1A30" w:rsidP="00292FED">
            <w:pPr>
              <w:rPr>
                <w:rFonts w:cstheme="minorHAnsi"/>
                <w:sz w:val="20"/>
                <w:szCs w:val="20"/>
              </w:rPr>
            </w:pPr>
            <w:r w:rsidRPr="00820DAF">
              <w:rPr>
                <w:rFonts w:cstheme="minorHAnsi"/>
                <w:sz w:val="20"/>
                <w:szCs w:val="20"/>
              </w:rPr>
              <w:t xml:space="preserve">1.2 I would make some specific recommendations for </w:t>
            </w:r>
            <w:proofErr w:type="gramStart"/>
            <w:r w:rsidRPr="00820DAF">
              <w:rPr>
                <w:rFonts w:cstheme="minorHAnsi"/>
                <w:sz w:val="20"/>
                <w:szCs w:val="20"/>
              </w:rPr>
              <w:t>sterilization, since</w:t>
            </w:r>
            <w:proofErr w:type="gramEnd"/>
            <w:r w:rsidRPr="00820DAF">
              <w:rPr>
                <w:rFonts w:cstheme="minorHAnsi"/>
                <w:sz w:val="20"/>
                <w:szCs w:val="20"/>
              </w:rPr>
              <w:t xml:space="preserve"> any undesirable agents will negate the methods advantages.</w:t>
            </w:r>
          </w:p>
        </w:tc>
        <w:tc>
          <w:tcPr>
            <w:tcW w:w="3117" w:type="dxa"/>
          </w:tcPr>
          <w:p w14:paraId="78716111" w14:textId="686CD95E" w:rsidR="008B1A30" w:rsidRPr="00820DAF" w:rsidRDefault="008B1A30" w:rsidP="00292FED">
            <w:pPr>
              <w:rPr>
                <w:rFonts w:cstheme="minorHAnsi"/>
                <w:sz w:val="20"/>
                <w:szCs w:val="20"/>
              </w:rPr>
            </w:pPr>
            <w:r w:rsidRPr="00820DAF">
              <w:rPr>
                <w:rFonts w:cstheme="minorHAnsi"/>
                <w:sz w:val="20"/>
                <w:szCs w:val="20"/>
              </w:rPr>
              <w:t>Good suggestion.</w:t>
            </w:r>
          </w:p>
        </w:tc>
        <w:tc>
          <w:tcPr>
            <w:tcW w:w="3117" w:type="dxa"/>
          </w:tcPr>
          <w:p w14:paraId="5AEBD668" w14:textId="0CF72374" w:rsidR="008710D9" w:rsidRPr="00820DAF" w:rsidRDefault="008710D9" w:rsidP="00292FED">
            <w:pPr>
              <w:rPr>
                <w:rFonts w:cstheme="minorHAnsi"/>
                <w:sz w:val="20"/>
                <w:szCs w:val="20"/>
              </w:rPr>
            </w:pPr>
            <w:r w:rsidRPr="00820DAF">
              <w:rPr>
                <w:rFonts w:cstheme="minorHAnsi"/>
                <w:sz w:val="20"/>
                <w:szCs w:val="20"/>
              </w:rPr>
              <w:t>Line 12</w:t>
            </w:r>
            <w:r w:rsidR="000A1F6A" w:rsidRPr="00820DAF">
              <w:rPr>
                <w:rFonts w:cstheme="minorHAnsi"/>
                <w:sz w:val="20"/>
                <w:szCs w:val="20"/>
              </w:rPr>
              <w:t>7</w:t>
            </w:r>
            <w:r w:rsidRPr="00820DAF">
              <w:rPr>
                <w:rFonts w:cstheme="minorHAnsi"/>
                <w:sz w:val="20"/>
                <w:szCs w:val="20"/>
              </w:rPr>
              <w:t>-13</w:t>
            </w:r>
            <w:r w:rsidR="000A1F6A" w:rsidRPr="00820DAF">
              <w:rPr>
                <w:rFonts w:cstheme="minorHAnsi"/>
                <w:sz w:val="20"/>
                <w:szCs w:val="20"/>
              </w:rPr>
              <w:t>0</w:t>
            </w:r>
          </w:p>
          <w:p w14:paraId="30A5C928" w14:textId="2DE23A85" w:rsidR="008B1A30" w:rsidRPr="00820DAF" w:rsidRDefault="008B1A30" w:rsidP="00292FED">
            <w:pPr>
              <w:rPr>
                <w:rFonts w:cstheme="minorHAnsi"/>
                <w:sz w:val="20"/>
                <w:szCs w:val="20"/>
              </w:rPr>
            </w:pPr>
            <w:r w:rsidRPr="00820DAF">
              <w:rPr>
                <w:rFonts w:cstheme="minorHAnsi"/>
                <w:sz w:val="20"/>
                <w:szCs w:val="20"/>
              </w:rPr>
              <w:t xml:space="preserve">“Clean surgical instruments thoroughly with water and detergent or enzymatic products to remove foreign materials and sterilize by steam or flash sterilization. Aliquot liquids into sterile containers in a tissue culture hood. Sterilize the microliter </w:t>
            </w:r>
            <w:r w:rsidRPr="00820DAF">
              <w:rPr>
                <w:rFonts w:cstheme="minorHAnsi"/>
                <w:sz w:val="20"/>
                <w:szCs w:val="20"/>
              </w:rPr>
              <w:lastRenderedPageBreak/>
              <w:t>syringe by flushing it with 70% ethanol and rinsing it with sterile phosphate buffered saline (PBS).”</w:t>
            </w:r>
          </w:p>
        </w:tc>
      </w:tr>
      <w:tr w:rsidR="008B1A30" w:rsidRPr="00820DAF" w14:paraId="4E75D716" w14:textId="77777777" w:rsidTr="00F67155">
        <w:tc>
          <w:tcPr>
            <w:tcW w:w="3116" w:type="dxa"/>
          </w:tcPr>
          <w:p w14:paraId="4738095D" w14:textId="195D429E" w:rsidR="008B1A30" w:rsidRPr="00820DAF" w:rsidRDefault="008B1A30" w:rsidP="00292FED">
            <w:pPr>
              <w:rPr>
                <w:rFonts w:cstheme="minorHAnsi"/>
                <w:sz w:val="20"/>
                <w:szCs w:val="20"/>
              </w:rPr>
            </w:pPr>
            <w:r w:rsidRPr="00820DAF">
              <w:rPr>
                <w:rFonts w:cstheme="minorHAnsi"/>
                <w:sz w:val="20"/>
                <w:szCs w:val="20"/>
                <w:shd w:val="clear" w:color="auto" w:fill="FFFFFF"/>
              </w:rPr>
              <w:lastRenderedPageBreak/>
              <w:t xml:space="preserve">3.6. I am having problems visualizing the placement of the </w:t>
            </w:r>
            <w:proofErr w:type="spellStart"/>
            <w:r w:rsidRPr="00820DAF">
              <w:rPr>
                <w:rFonts w:cstheme="minorHAnsi"/>
                <w:sz w:val="20"/>
                <w:szCs w:val="20"/>
                <w:shd w:val="clear" w:color="auto" w:fill="FFFFFF"/>
              </w:rPr>
              <w:t>the</w:t>
            </w:r>
            <w:proofErr w:type="spellEnd"/>
            <w:r w:rsidRPr="00820DAF">
              <w:rPr>
                <w:rFonts w:cstheme="minorHAnsi"/>
                <w:sz w:val="20"/>
                <w:szCs w:val="20"/>
                <w:shd w:val="clear" w:color="auto" w:fill="FFFFFF"/>
              </w:rPr>
              <w:t xml:space="preserve"> suture loops around the globe to give exposure: is this superior exposure? if so, is the </w:t>
            </w:r>
            <w:proofErr w:type="spellStart"/>
            <w:r w:rsidRPr="00820DAF">
              <w:rPr>
                <w:rFonts w:cstheme="minorHAnsi"/>
                <w:sz w:val="20"/>
                <w:szCs w:val="20"/>
                <w:shd w:val="clear" w:color="auto" w:fill="FFFFFF"/>
              </w:rPr>
              <w:t>prolene</w:t>
            </w:r>
            <w:proofErr w:type="spellEnd"/>
            <w:r w:rsidRPr="00820DAF">
              <w:rPr>
                <w:rFonts w:cstheme="minorHAnsi"/>
                <w:sz w:val="20"/>
                <w:szCs w:val="20"/>
                <w:shd w:val="clear" w:color="auto" w:fill="FFFFFF"/>
              </w:rPr>
              <w:t xml:space="preserve"> suture being passed through the superior limbus itself with a needle, to enable the globe to be dragged downwards?</w:t>
            </w:r>
          </w:p>
        </w:tc>
        <w:tc>
          <w:tcPr>
            <w:tcW w:w="3117" w:type="dxa"/>
          </w:tcPr>
          <w:p w14:paraId="4BCC01E3" w14:textId="30CD53F2" w:rsidR="008B1A30" w:rsidRPr="00820DAF" w:rsidRDefault="00122C49" w:rsidP="00292FED">
            <w:pPr>
              <w:rPr>
                <w:rFonts w:cstheme="minorHAnsi"/>
                <w:sz w:val="20"/>
                <w:szCs w:val="20"/>
              </w:rPr>
            </w:pPr>
            <w:r w:rsidRPr="00820DAF">
              <w:rPr>
                <w:rFonts w:cstheme="minorHAnsi"/>
                <w:sz w:val="20"/>
                <w:szCs w:val="20"/>
              </w:rPr>
              <w:t xml:space="preserve">We have elaborated on placement of the suture loop. </w:t>
            </w:r>
            <w:r w:rsidR="00E50054" w:rsidRPr="00820DAF">
              <w:rPr>
                <w:rFonts w:cstheme="minorHAnsi"/>
                <w:sz w:val="20"/>
                <w:szCs w:val="20"/>
              </w:rPr>
              <w:t xml:space="preserve">This is a superior exposure. The </w:t>
            </w:r>
            <w:proofErr w:type="spellStart"/>
            <w:r w:rsidR="00E50054" w:rsidRPr="00820DAF">
              <w:rPr>
                <w:rFonts w:cstheme="minorHAnsi"/>
                <w:sz w:val="20"/>
                <w:szCs w:val="20"/>
              </w:rPr>
              <w:t>prolene</w:t>
            </w:r>
            <w:proofErr w:type="spellEnd"/>
            <w:r w:rsidR="00E50054" w:rsidRPr="00820DAF">
              <w:rPr>
                <w:rFonts w:cstheme="minorHAnsi"/>
                <w:sz w:val="20"/>
                <w:szCs w:val="20"/>
              </w:rPr>
              <w:t xml:space="preserve"> suture is not passed through tissue. Following the superior peritomy, the suture loop </w:t>
            </w:r>
            <w:r w:rsidR="00260B91" w:rsidRPr="00820DAF">
              <w:rPr>
                <w:rFonts w:cstheme="minorHAnsi"/>
                <w:sz w:val="20"/>
                <w:szCs w:val="20"/>
              </w:rPr>
              <w:t xml:space="preserve">is placed parallel to the </w:t>
            </w:r>
            <w:r w:rsidR="00CF5786" w:rsidRPr="00820DAF">
              <w:rPr>
                <w:rFonts w:cstheme="minorHAnsi"/>
                <w:sz w:val="20"/>
                <w:szCs w:val="20"/>
              </w:rPr>
              <w:t xml:space="preserve">superior </w:t>
            </w:r>
            <w:r w:rsidR="00260B91" w:rsidRPr="00820DAF">
              <w:rPr>
                <w:rFonts w:cstheme="minorHAnsi"/>
                <w:sz w:val="20"/>
                <w:szCs w:val="20"/>
              </w:rPr>
              <w:t>limbus</w:t>
            </w:r>
            <w:r w:rsidR="00CF5786" w:rsidRPr="00820DAF">
              <w:rPr>
                <w:rFonts w:cstheme="minorHAnsi"/>
                <w:sz w:val="20"/>
                <w:szCs w:val="20"/>
              </w:rPr>
              <w:t xml:space="preserve"> with the free ends below the globe</w:t>
            </w:r>
            <w:r w:rsidR="00260B91" w:rsidRPr="00820DAF">
              <w:rPr>
                <w:rFonts w:cstheme="minorHAnsi"/>
                <w:sz w:val="20"/>
                <w:szCs w:val="20"/>
              </w:rPr>
              <w:t xml:space="preserve">. A rim of residual tissue remaining along the </w:t>
            </w:r>
            <w:r w:rsidR="00CF5786" w:rsidRPr="00820DAF">
              <w:rPr>
                <w:rFonts w:cstheme="minorHAnsi"/>
                <w:sz w:val="20"/>
                <w:szCs w:val="20"/>
              </w:rPr>
              <w:t xml:space="preserve">superior </w:t>
            </w:r>
            <w:r w:rsidR="00260B91" w:rsidRPr="00820DAF">
              <w:rPr>
                <w:rFonts w:cstheme="minorHAnsi"/>
                <w:sz w:val="20"/>
                <w:szCs w:val="20"/>
              </w:rPr>
              <w:t xml:space="preserve">limbus after the peritomy is sufficient to provide traction </w:t>
            </w:r>
            <w:r w:rsidRPr="00820DAF">
              <w:rPr>
                <w:rFonts w:cstheme="minorHAnsi"/>
                <w:sz w:val="20"/>
                <w:szCs w:val="20"/>
              </w:rPr>
              <w:t>on</w:t>
            </w:r>
            <w:r w:rsidR="00260B91" w:rsidRPr="00820DAF">
              <w:rPr>
                <w:rFonts w:cstheme="minorHAnsi"/>
                <w:sz w:val="20"/>
                <w:szCs w:val="20"/>
              </w:rPr>
              <w:t xml:space="preserve"> the suture loop</w:t>
            </w:r>
            <w:r w:rsidR="00CF5786" w:rsidRPr="00820DAF">
              <w:rPr>
                <w:rFonts w:cstheme="minorHAnsi"/>
                <w:sz w:val="20"/>
                <w:szCs w:val="20"/>
              </w:rPr>
              <w:t xml:space="preserve"> while the weight of the clamp provides a downward force.</w:t>
            </w:r>
          </w:p>
        </w:tc>
        <w:tc>
          <w:tcPr>
            <w:tcW w:w="3117" w:type="dxa"/>
          </w:tcPr>
          <w:p w14:paraId="130145BB" w14:textId="49605D8F" w:rsidR="008710D9" w:rsidRPr="00820DAF" w:rsidRDefault="008710D9" w:rsidP="00292FED">
            <w:pPr>
              <w:rPr>
                <w:rFonts w:cstheme="minorHAnsi"/>
                <w:sz w:val="20"/>
                <w:szCs w:val="20"/>
              </w:rPr>
            </w:pPr>
            <w:r w:rsidRPr="00820DAF">
              <w:rPr>
                <w:rFonts w:cstheme="minorHAnsi"/>
                <w:sz w:val="20"/>
                <w:szCs w:val="20"/>
              </w:rPr>
              <w:t>Line 17</w:t>
            </w:r>
            <w:r w:rsidR="000A1F6A" w:rsidRPr="00820DAF">
              <w:rPr>
                <w:rFonts w:cstheme="minorHAnsi"/>
                <w:sz w:val="20"/>
                <w:szCs w:val="20"/>
              </w:rPr>
              <w:t>2</w:t>
            </w:r>
            <w:r w:rsidRPr="00820DAF">
              <w:rPr>
                <w:rFonts w:cstheme="minorHAnsi"/>
                <w:sz w:val="20"/>
                <w:szCs w:val="20"/>
              </w:rPr>
              <w:t>-17</w:t>
            </w:r>
            <w:r w:rsidR="000A1F6A" w:rsidRPr="00820DAF">
              <w:rPr>
                <w:rFonts w:cstheme="minorHAnsi"/>
                <w:sz w:val="20"/>
                <w:szCs w:val="20"/>
              </w:rPr>
              <w:t>7</w:t>
            </w:r>
          </w:p>
          <w:p w14:paraId="6C7137C8" w14:textId="6A607F51" w:rsidR="008B1A30" w:rsidRPr="00820DAF" w:rsidRDefault="00122C49" w:rsidP="00292FED">
            <w:pPr>
              <w:rPr>
                <w:rFonts w:cstheme="minorHAnsi"/>
                <w:sz w:val="20"/>
                <w:szCs w:val="20"/>
              </w:rPr>
            </w:pPr>
            <w:r w:rsidRPr="00820DAF">
              <w:rPr>
                <w:rFonts w:cstheme="minorHAnsi"/>
                <w:sz w:val="20"/>
                <w:szCs w:val="20"/>
              </w:rPr>
              <w:t>“Apply slight inferior traction to the globe by placing a looped polypropylene suture along the superior limbus with the free ends below the globe. Residual tissue along the superior limbus following the peritomy is sufficient to provide traction on the suture loop without needing to pass the suture through the sclera or limbus. Secure the ends of the loop with a bulldog clamp and allow the clamp to dangle freely in midair. The weight of the clamp will apply inferior traction on the globe and expose more of the retroorbital space.”</w:t>
            </w:r>
          </w:p>
        </w:tc>
      </w:tr>
      <w:tr w:rsidR="008B1A30" w:rsidRPr="00820DAF" w14:paraId="3F472BD1" w14:textId="77777777" w:rsidTr="00F67155">
        <w:tc>
          <w:tcPr>
            <w:tcW w:w="3116" w:type="dxa"/>
          </w:tcPr>
          <w:p w14:paraId="19C94255" w14:textId="1A1F56A4" w:rsidR="008B1A30" w:rsidRPr="00820DAF" w:rsidRDefault="008B1A30" w:rsidP="00292FED">
            <w:pPr>
              <w:rPr>
                <w:rFonts w:cstheme="minorHAnsi"/>
                <w:sz w:val="20"/>
                <w:szCs w:val="20"/>
              </w:rPr>
            </w:pPr>
            <w:r w:rsidRPr="00820DAF">
              <w:rPr>
                <w:rFonts w:cstheme="minorHAnsi"/>
                <w:sz w:val="20"/>
                <w:szCs w:val="20"/>
                <w:shd w:val="clear" w:color="auto" w:fill="FFFFFF"/>
              </w:rPr>
              <w:t>5.2-5.3. I assume this is a 1-5ul pulled glass pipette. What is the external diameter required to enable OS penetration?</w:t>
            </w:r>
          </w:p>
        </w:tc>
        <w:tc>
          <w:tcPr>
            <w:tcW w:w="3117" w:type="dxa"/>
          </w:tcPr>
          <w:p w14:paraId="59027A77" w14:textId="17CFE560" w:rsidR="008B1A30" w:rsidRPr="00820DAF" w:rsidRDefault="00122C49" w:rsidP="00292FED">
            <w:pPr>
              <w:rPr>
                <w:rFonts w:cstheme="minorHAnsi"/>
                <w:sz w:val="20"/>
                <w:szCs w:val="20"/>
              </w:rPr>
            </w:pPr>
            <w:r w:rsidRPr="00820DAF">
              <w:rPr>
                <w:rFonts w:cstheme="minorHAnsi"/>
                <w:sz w:val="20"/>
                <w:szCs w:val="20"/>
              </w:rPr>
              <w:t xml:space="preserve">An external diameter of </w:t>
            </w:r>
            <w:r w:rsidR="008710D9" w:rsidRPr="00820DAF">
              <w:rPr>
                <w:rFonts w:cstheme="minorHAnsi"/>
                <w:sz w:val="20"/>
                <w:szCs w:val="20"/>
              </w:rPr>
              <w:t>2</w:t>
            </w:r>
            <w:r w:rsidRPr="00820DAF">
              <w:rPr>
                <w:rFonts w:cstheme="minorHAnsi"/>
                <w:sz w:val="20"/>
                <w:szCs w:val="20"/>
              </w:rPr>
              <w:t>0</w:t>
            </w:r>
            <w:r w:rsidR="008710D9" w:rsidRPr="00820DAF">
              <w:rPr>
                <w:rFonts w:cstheme="minorHAnsi"/>
                <w:sz w:val="20"/>
                <w:szCs w:val="20"/>
              </w:rPr>
              <w:t>-30</w:t>
            </w:r>
            <w:r w:rsidRPr="00820DAF">
              <w:rPr>
                <w:rFonts w:cstheme="minorHAnsi"/>
                <w:sz w:val="20"/>
                <w:szCs w:val="20"/>
              </w:rPr>
              <w:t xml:space="preserve"> µm </w:t>
            </w:r>
            <w:r w:rsidR="0076015D" w:rsidRPr="00820DAF">
              <w:rPr>
                <w:rFonts w:cstheme="minorHAnsi"/>
                <w:sz w:val="20"/>
                <w:szCs w:val="20"/>
              </w:rPr>
              <w:t>provide</w:t>
            </w:r>
            <w:r w:rsidR="003D73FC" w:rsidRPr="00820DAF">
              <w:rPr>
                <w:rFonts w:cstheme="minorHAnsi"/>
                <w:sz w:val="20"/>
                <w:szCs w:val="20"/>
              </w:rPr>
              <w:t>s</w:t>
            </w:r>
            <w:r w:rsidR="0076015D" w:rsidRPr="00820DAF">
              <w:rPr>
                <w:rFonts w:cstheme="minorHAnsi"/>
                <w:sz w:val="20"/>
                <w:szCs w:val="20"/>
              </w:rPr>
              <w:t xml:space="preserve"> sufficient rigidity to penetrate the optic sheath.</w:t>
            </w:r>
          </w:p>
        </w:tc>
        <w:tc>
          <w:tcPr>
            <w:tcW w:w="3117" w:type="dxa"/>
          </w:tcPr>
          <w:p w14:paraId="182ED5C0" w14:textId="534CABAC" w:rsidR="008710D9" w:rsidRPr="00820DAF" w:rsidRDefault="008710D9" w:rsidP="00292FED">
            <w:pPr>
              <w:rPr>
                <w:rFonts w:cstheme="minorHAnsi"/>
                <w:sz w:val="20"/>
                <w:szCs w:val="20"/>
              </w:rPr>
            </w:pPr>
            <w:r w:rsidRPr="00820DAF">
              <w:rPr>
                <w:rFonts w:cstheme="minorHAnsi"/>
                <w:sz w:val="20"/>
                <w:szCs w:val="20"/>
              </w:rPr>
              <w:t>Line 21</w:t>
            </w:r>
            <w:r w:rsidR="000A1F6A" w:rsidRPr="00820DAF">
              <w:rPr>
                <w:rFonts w:cstheme="minorHAnsi"/>
                <w:sz w:val="20"/>
                <w:szCs w:val="20"/>
              </w:rPr>
              <w:t>5</w:t>
            </w:r>
            <w:r w:rsidRPr="00820DAF">
              <w:rPr>
                <w:rFonts w:cstheme="minorHAnsi"/>
                <w:sz w:val="20"/>
                <w:szCs w:val="20"/>
              </w:rPr>
              <w:t>-21</w:t>
            </w:r>
            <w:r w:rsidR="000A1F6A" w:rsidRPr="00820DAF">
              <w:rPr>
                <w:rFonts w:cstheme="minorHAnsi"/>
                <w:sz w:val="20"/>
                <w:szCs w:val="20"/>
              </w:rPr>
              <w:t>8</w:t>
            </w:r>
          </w:p>
          <w:p w14:paraId="4F20FAED" w14:textId="45B1ADFB" w:rsidR="008B1A30" w:rsidRPr="00820DAF" w:rsidRDefault="003D73FC" w:rsidP="00292FED">
            <w:pPr>
              <w:rPr>
                <w:rFonts w:cstheme="minorHAnsi"/>
                <w:sz w:val="20"/>
                <w:szCs w:val="20"/>
              </w:rPr>
            </w:pPr>
            <w:r w:rsidRPr="00820DAF">
              <w:rPr>
                <w:rFonts w:cstheme="minorHAnsi"/>
                <w:sz w:val="20"/>
                <w:szCs w:val="20"/>
              </w:rPr>
              <w:t>“Under the surgical scope, use a pair of #55 forceps to break and bevel the pipette tip to a size (~</w:t>
            </w:r>
            <w:r w:rsidR="008710D9" w:rsidRPr="00820DAF">
              <w:rPr>
                <w:rFonts w:cstheme="minorHAnsi"/>
                <w:sz w:val="20"/>
                <w:szCs w:val="20"/>
              </w:rPr>
              <w:t>2</w:t>
            </w:r>
            <w:r w:rsidRPr="00820DAF">
              <w:rPr>
                <w:rFonts w:cstheme="minorHAnsi"/>
                <w:sz w:val="20"/>
                <w:szCs w:val="20"/>
              </w:rPr>
              <w:t>0</w:t>
            </w:r>
            <w:r w:rsidR="008710D9" w:rsidRPr="00820DAF">
              <w:rPr>
                <w:rFonts w:cstheme="minorHAnsi"/>
                <w:sz w:val="20"/>
                <w:szCs w:val="20"/>
              </w:rPr>
              <w:t>-30</w:t>
            </w:r>
            <w:r w:rsidRPr="00820DAF">
              <w:rPr>
                <w:rFonts w:cstheme="minorHAnsi"/>
                <w:sz w:val="20"/>
                <w:szCs w:val="20"/>
              </w:rPr>
              <w:t xml:space="preserve"> µm diameter) capable of delivering a small volume but large enough to provide sufficient rigidity to penetrate the optic nerve sheath.”</w:t>
            </w:r>
          </w:p>
        </w:tc>
      </w:tr>
      <w:tr w:rsidR="008B1A30" w:rsidRPr="00820DAF" w14:paraId="772DBC56" w14:textId="77777777" w:rsidTr="00F67155">
        <w:tc>
          <w:tcPr>
            <w:tcW w:w="3116" w:type="dxa"/>
          </w:tcPr>
          <w:p w14:paraId="2868C2F9" w14:textId="34F5E7CE" w:rsidR="008B1A30" w:rsidRPr="00820DAF" w:rsidRDefault="008B1A30" w:rsidP="00292FED">
            <w:pPr>
              <w:rPr>
                <w:rFonts w:cstheme="minorHAnsi"/>
                <w:sz w:val="20"/>
                <w:szCs w:val="20"/>
              </w:rPr>
            </w:pPr>
            <w:r w:rsidRPr="00820DAF">
              <w:rPr>
                <w:rFonts w:cstheme="minorHAnsi"/>
                <w:sz w:val="20"/>
                <w:szCs w:val="20"/>
                <w:shd w:val="clear" w:color="auto" w:fill="FFFFFF"/>
              </w:rPr>
              <w:t>5.6. How do you know the pipet tip is at the 200um depth? can this be marked or measured somehow (micrometer), or is it simply experience?</w:t>
            </w:r>
          </w:p>
        </w:tc>
        <w:tc>
          <w:tcPr>
            <w:tcW w:w="3117" w:type="dxa"/>
          </w:tcPr>
          <w:p w14:paraId="560CA053" w14:textId="58AB580B" w:rsidR="008B1A30" w:rsidRPr="00820DAF" w:rsidRDefault="0076015D" w:rsidP="00292FED">
            <w:pPr>
              <w:rPr>
                <w:rFonts w:cstheme="minorHAnsi"/>
                <w:sz w:val="20"/>
                <w:szCs w:val="20"/>
              </w:rPr>
            </w:pPr>
            <w:r w:rsidRPr="00820DAF">
              <w:rPr>
                <w:rFonts w:cstheme="minorHAnsi"/>
                <w:sz w:val="20"/>
                <w:szCs w:val="20"/>
              </w:rPr>
              <w:t xml:space="preserve">The </w:t>
            </w:r>
            <w:r w:rsidR="003D73FC" w:rsidRPr="00820DAF">
              <w:rPr>
                <w:rFonts w:cstheme="minorHAnsi"/>
                <w:sz w:val="20"/>
                <w:szCs w:val="20"/>
              </w:rPr>
              <w:t xml:space="preserve">stereotaxic </w:t>
            </w:r>
            <w:r w:rsidRPr="00820DAF">
              <w:rPr>
                <w:rFonts w:cstheme="minorHAnsi"/>
                <w:sz w:val="20"/>
                <w:szCs w:val="20"/>
              </w:rPr>
              <w:t xml:space="preserve">micromanipulator </w:t>
            </w:r>
            <w:r w:rsidR="003D73FC" w:rsidRPr="00820DAF">
              <w:rPr>
                <w:rFonts w:cstheme="minorHAnsi"/>
                <w:sz w:val="20"/>
                <w:szCs w:val="20"/>
              </w:rPr>
              <w:t xml:space="preserve">has a 10 </w:t>
            </w:r>
            <w:r w:rsidR="000A0C25" w:rsidRPr="00820DAF">
              <w:rPr>
                <w:rFonts w:cstheme="minorHAnsi"/>
                <w:sz w:val="20"/>
                <w:szCs w:val="20"/>
              </w:rPr>
              <w:t>µm</w:t>
            </w:r>
            <w:r w:rsidR="003D73FC" w:rsidRPr="00820DAF">
              <w:rPr>
                <w:rFonts w:cstheme="minorHAnsi"/>
                <w:sz w:val="20"/>
                <w:szCs w:val="20"/>
              </w:rPr>
              <w:t xml:space="preserve"> resolution. Knowing the initial position </w:t>
            </w:r>
            <w:r w:rsidR="000A0C25" w:rsidRPr="00820DAF">
              <w:rPr>
                <w:rFonts w:cstheme="minorHAnsi"/>
                <w:sz w:val="20"/>
                <w:szCs w:val="20"/>
              </w:rPr>
              <w:t>at which the pipet tip contacts the optic nerve, it is possible to measure the 200 µm depth.</w:t>
            </w:r>
          </w:p>
        </w:tc>
        <w:tc>
          <w:tcPr>
            <w:tcW w:w="3117" w:type="dxa"/>
          </w:tcPr>
          <w:p w14:paraId="0371B603" w14:textId="73F9B182" w:rsidR="008C63ED" w:rsidRPr="00820DAF" w:rsidRDefault="008C63ED" w:rsidP="00292FED">
            <w:pPr>
              <w:rPr>
                <w:rFonts w:cstheme="minorHAnsi"/>
                <w:sz w:val="20"/>
                <w:szCs w:val="20"/>
              </w:rPr>
            </w:pPr>
            <w:r w:rsidRPr="00820DAF">
              <w:rPr>
                <w:rFonts w:cstheme="minorHAnsi"/>
                <w:sz w:val="20"/>
                <w:szCs w:val="20"/>
              </w:rPr>
              <w:t>Line 22</w:t>
            </w:r>
            <w:r w:rsidR="000A1F6A" w:rsidRPr="00820DAF">
              <w:rPr>
                <w:rFonts w:cstheme="minorHAnsi"/>
                <w:sz w:val="20"/>
                <w:szCs w:val="20"/>
              </w:rPr>
              <w:t>2</w:t>
            </w:r>
            <w:r w:rsidRPr="00820DAF">
              <w:rPr>
                <w:rFonts w:cstheme="minorHAnsi"/>
                <w:sz w:val="20"/>
                <w:szCs w:val="20"/>
              </w:rPr>
              <w:t>-22</w:t>
            </w:r>
            <w:r w:rsidR="000A1F6A" w:rsidRPr="00820DAF">
              <w:rPr>
                <w:rFonts w:cstheme="minorHAnsi"/>
                <w:sz w:val="20"/>
                <w:szCs w:val="20"/>
              </w:rPr>
              <w:t>3</w:t>
            </w:r>
          </w:p>
          <w:p w14:paraId="5168866B" w14:textId="03C13B31" w:rsidR="008B1A30" w:rsidRPr="00820DAF" w:rsidRDefault="007530AC" w:rsidP="00292FED">
            <w:pPr>
              <w:rPr>
                <w:rFonts w:cstheme="minorHAnsi"/>
                <w:sz w:val="20"/>
                <w:szCs w:val="20"/>
              </w:rPr>
            </w:pPr>
            <w:r w:rsidRPr="00820DAF">
              <w:rPr>
                <w:rFonts w:cstheme="minorHAnsi"/>
                <w:sz w:val="20"/>
                <w:szCs w:val="20"/>
              </w:rPr>
              <w:t>“Note the vertical position of the pipette on the micromanipulator to later determine a depth of 200 µm.”</w:t>
            </w:r>
          </w:p>
          <w:p w14:paraId="27087A6E" w14:textId="0B4D8736" w:rsidR="008C63ED" w:rsidRPr="00820DAF" w:rsidRDefault="008C63ED" w:rsidP="00292FED">
            <w:pPr>
              <w:rPr>
                <w:rFonts w:cstheme="minorHAnsi"/>
                <w:sz w:val="20"/>
                <w:szCs w:val="20"/>
              </w:rPr>
            </w:pPr>
          </w:p>
          <w:p w14:paraId="3848CD67" w14:textId="52926758" w:rsidR="008C63ED" w:rsidRPr="00820DAF" w:rsidRDefault="008C63ED" w:rsidP="00292FED">
            <w:pPr>
              <w:rPr>
                <w:rFonts w:cstheme="minorHAnsi"/>
                <w:sz w:val="20"/>
                <w:szCs w:val="20"/>
              </w:rPr>
            </w:pPr>
            <w:r w:rsidRPr="00820DAF">
              <w:rPr>
                <w:rFonts w:cstheme="minorHAnsi"/>
                <w:sz w:val="20"/>
                <w:szCs w:val="20"/>
              </w:rPr>
              <w:t>Line 23</w:t>
            </w:r>
            <w:r w:rsidR="000A1F6A" w:rsidRPr="00820DAF">
              <w:rPr>
                <w:rFonts w:cstheme="minorHAnsi"/>
                <w:sz w:val="20"/>
                <w:szCs w:val="20"/>
              </w:rPr>
              <w:t>1</w:t>
            </w:r>
            <w:r w:rsidRPr="00820DAF">
              <w:rPr>
                <w:rFonts w:cstheme="minorHAnsi"/>
                <w:sz w:val="20"/>
                <w:szCs w:val="20"/>
              </w:rPr>
              <w:t>-23</w:t>
            </w:r>
            <w:r w:rsidR="000A1F6A" w:rsidRPr="00820DAF">
              <w:rPr>
                <w:rFonts w:cstheme="minorHAnsi"/>
                <w:sz w:val="20"/>
                <w:szCs w:val="20"/>
              </w:rPr>
              <w:t>3</w:t>
            </w:r>
          </w:p>
          <w:p w14:paraId="3D6F7023" w14:textId="2DE9E586" w:rsidR="007530AC" w:rsidRPr="00820DAF" w:rsidRDefault="00A3128A" w:rsidP="00292FED">
            <w:pPr>
              <w:rPr>
                <w:rFonts w:cstheme="minorHAnsi"/>
                <w:sz w:val="20"/>
                <w:szCs w:val="20"/>
              </w:rPr>
            </w:pPr>
            <w:r w:rsidRPr="00820DAF">
              <w:rPr>
                <w:rFonts w:cstheme="minorHAnsi"/>
                <w:sz w:val="20"/>
                <w:szCs w:val="20"/>
              </w:rPr>
              <w:t>“Upon entry into the optic nerve with the pipette tip, retract the pipette if necessary. The position of the pipette tip, as indicated by the stereotaxic micromanipulator, should be 200 µm below the surface of the optic nerve from the initial position noted in Step 5.4.”</w:t>
            </w:r>
          </w:p>
        </w:tc>
      </w:tr>
      <w:tr w:rsidR="008B1A30" w:rsidRPr="00820DAF" w14:paraId="1C8013FD" w14:textId="77777777" w:rsidTr="008B1A30">
        <w:tc>
          <w:tcPr>
            <w:tcW w:w="3116" w:type="dxa"/>
            <w:tcBorders>
              <w:bottom w:val="single" w:sz="4" w:space="0" w:color="auto"/>
            </w:tcBorders>
          </w:tcPr>
          <w:p w14:paraId="458BFB90" w14:textId="0095AF81" w:rsidR="008B1A30" w:rsidRPr="00820DAF" w:rsidRDefault="008B1A30" w:rsidP="00292FED">
            <w:pPr>
              <w:rPr>
                <w:rFonts w:cstheme="minorHAnsi"/>
                <w:sz w:val="20"/>
                <w:szCs w:val="20"/>
              </w:rPr>
            </w:pPr>
            <w:r w:rsidRPr="00820DAF">
              <w:rPr>
                <w:rFonts w:cstheme="minorHAnsi"/>
                <w:sz w:val="20"/>
                <w:szCs w:val="20"/>
                <w:shd w:val="clear" w:color="auto" w:fill="FFFFFF"/>
              </w:rPr>
              <w:t>6.2. Please include the point where ophthalmic topical antibiotic ointment is applied.</w:t>
            </w:r>
          </w:p>
        </w:tc>
        <w:tc>
          <w:tcPr>
            <w:tcW w:w="3117" w:type="dxa"/>
            <w:tcBorders>
              <w:bottom w:val="single" w:sz="4" w:space="0" w:color="auto"/>
            </w:tcBorders>
          </w:tcPr>
          <w:p w14:paraId="263E8C5F" w14:textId="3E98B32B" w:rsidR="008B1A30" w:rsidRPr="00820DAF" w:rsidRDefault="00A3128A" w:rsidP="00292FED">
            <w:pPr>
              <w:rPr>
                <w:rFonts w:cstheme="minorHAnsi"/>
                <w:sz w:val="20"/>
                <w:szCs w:val="20"/>
              </w:rPr>
            </w:pPr>
            <w:r w:rsidRPr="00820DAF">
              <w:rPr>
                <w:rFonts w:cstheme="minorHAnsi"/>
                <w:sz w:val="20"/>
                <w:szCs w:val="20"/>
              </w:rPr>
              <w:t>Thank you for noting the omission.</w:t>
            </w:r>
          </w:p>
        </w:tc>
        <w:tc>
          <w:tcPr>
            <w:tcW w:w="3117" w:type="dxa"/>
            <w:tcBorders>
              <w:bottom w:val="single" w:sz="4" w:space="0" w:color="auto"/>
            </w:tcBorders>
          </w:tcPr>
          <w:p w14:paraId="34B50EB9" w14:textId="37C64BDE" w:rsidR="008C63ED" w:rsidRPr="00820DAF" w:rsidRDefault="008C63ED" w:rsidP="00292FED">
            <w:pPr>
              <w:rPr>
                <w:rFonts w:cstheme="minorHAnsi"/>
                <w:sz w:val="20"/>
                <w:szCs w:val="20"/>
              </w:rPr>
            </w:pPr>
            <w:r w:rsidRPr="00820DAF">
              <w:rPr>
                <w:rFonts w:cstheme="minorHAnsi"/>
                <w:sz w:val="20"/>
                <w:szCs w:val="20"/>
              </w:rPr>
              <w:t>Line 25</w:t>
            </w:r>
            <w:r w:rsidR="000A1F6A" w:rsidRPr="00820DAF">
              <w:rPr>
                <w:rFonts w:cstheme="minorHAnsi"/>
                <w:sz w:val="20"/>
                <w:szCs w:val="20"/>
              </w:rPr>
              <w:t>4</w:t>
            </w:r>
            <w:r w:rsidRPr="00820DAF">
              <w:rPr>
                <w:rFonts w:cstheme="minorHAnsi"/>
                <w:sz w:val="20"/>
                <w:szCs w:val="20"/>
              </w:rPr>
              <w:t>-25</w:t>
            </w:r>
            <w:r w:rsidR="000A1F6A" w:rsidRPr="00820DAF">
              <w:rPr>
                <w:rFonts w:cstheme="minorHAnsi"/>
                <w:sz w:val="20"/>
                <w:szCs w:val="20"/>
              </w:rPr>
              <w:t>5</w:t>
            </w:r>
          </w:p>
          <w:p w14:paraId="489BCFCF" w14:textId="018DB713" w:rsidR="008B1A30" w:rsidRPr="00820DAF" w:rsidRDefault="00A3128A" w:rsidP="00292FED">
            <w:pPr>
              <w:rPr>
                <w:rFonts w:cstheme="minorHAnsi"/>
                <w:sz w:val="20"/>
                <w:szCs w:val="20"/>
              </w:rPr>
            </w:pPr>
            <w:r w:rsidRPr="00820DAF">
              <w:rPr>
                <w:rFonts w:cstheme="minorHAnsi"/>
                <w:sz w:val="20"/>
                <w:szCs w:val="20"/>
              </w:rPr>
              <w:t>“Apply ophthalmic topical antibiotic ointment to the eye.”</w:t>
            </w:r>
          </w:p>
        </w:tc>
      </w:tr>
      <w:tr w:rsidR="008B1A30" w:rsidRPr="00820DAF" w14:paraId="7B3B2598" w14:textId="77777777" w:rsidTr="008B1A30">
        <w:tc>
          <w:tcPr>
            <w:tcW w:w="3116" w:type="dxa"/>
            <w:tcBorders>
              <w:bottom w:val="single" w:sz="4" w:space="0" w:color="auto"/>
            </w:tcBorders>
          </w:tcPr>
          <w:p w14:paraId="4EBDCE53" w14:textId="037E9695" w:rsidR="008B1A30" w:rsidRPr="00820DAF" w:rsidRDefault="008B1A30" w:rsidP="00292FED">
            <w:pPr>
              <w:rPr>
                <w:rFonts w:cstheme="minorHAnsi"/>
                <w:sz w:val="20"/>
                <w:szCs w:val="20"/>
              </w:rPr>
            </w:pPr>
            <w:r w:rsidRPr="00820DAF">
              <w:rPr>
                <w:rFonts w:cstheme="minorHAnsi"/>
                <w:sz w:val="20"/>
                <w:szCs w:val="20"/>
                <w:shd w:val="clear" w:color="auto" w:fill="FFFFFF"/>
              </w:rPr>
              <w:t xml:space="preserve">What is the success rate in the initial phase of training, and ultimately with experience, and </w:t>
            </w:r>
            <w:r w:rsidRPr="00820DAF">
              <w:rPr>
                <w:rFonts w:cstheme="minorHAnsi"/>
                <w:sz w:val="20"/>
                <w:szCs w:val="20"/>
                <w:shd w:val="clear" w:color="auto" w:fill="FFFFFF"/>
              </w:rPr>
              <w:lastRenderedPageBreak/>
              <w:t>what is the relative % of total transections by this method?</w:t>
            </w:r>
          </w:p>
        </w:tc>
        <w:tc>
          <w:tcPr>
            <w:tcW w:w="3117" w:type="dxa"/>
            <w:tcBorders>
              <w:bottom w:val="single" w:sz="4" w:space="0" w:color="auto"/>
            </w:tcBorders>
          </w:tcPr>
          <w:p w14:paraId="62A135B8" w14:textId="6F10A202" w:rsidR="008B1A30" w:rsidRPr="00820DAF" w:rsidRDefault="00724639" w:rsidP="00292FED">
            <w:pPr>
              <w:rPr>
                <w:rFonts w:cstheme="minorHAnsi"/>
                <w:sz w:val="20"/>
                <w:szCs w:val="20"/>
              </w:rPr>
            </w:pPr>
            <w:r w:rsidRPr="00820DAF">
              <w:rPr>
                <w:rFonts w:cstheme="minorHAnsi"/>
                <w:sz w:val="20"/>
                <w:szCs w:val="20"/>
              </w:rPr>
              <w:lastRenderedPageBreak/>
              <w:t xml:space="preserve">Success rates of total transection included in </w:t>
            </w:r>
            <w:r w:rsidR="004137C5" w:rsidRPr="00820DAF">
              <w:rPr>
                <w:rFonts w:cstheme="minorHAnsi"/>
                <w:sz w:val="20"/>
                <w:szCs w:val="20"/>
              </w:rPr>
              <w:t>Representative Results</w:t>
            </w:r>
            <w:r w:rsidRPr="00820DAF">
              <w:rPr>
                <w:rFonts w:cstheme="minorHAnsi"/>
                <w:sz w:val="20"/>
                <w:szCs w:val="20"/>
              </w:rPr>
              <w:t>.</w:t>
            </w:r>
            <w:r w:rsidR="00651945" w:rsidRPr="00820DAF">
              <w:rPr>
                <w:rFonts w:cstheme="minorHAnsi"/>
                <w:sz w:val="20"/>
                <w:szCs w:val="20"/>
              </w:rPr>
              <w:t xml:space="preserve"> </w:t>
            </w:r>
          </w:p>
        </w:tc>
        <w:tc>
          <w:tcPr>
            <w:tcW w:w="3117" w:type="dxa"/>
            <w:tcBorders>
              <w:bottom w:val="single" w:sz="4" w:space="0" w:color="auto"/>
            </w:tcBorders>
          </w:tcPr>
          <w:p w14:paraId="396755F7" w14:textId="7D603556" w:rsidR="008C63ED" w:rsidRPr="00820DAF" w:rsidRDefault="008C63ED" w:rsidP="00292FED">
            <w:pPr>
              <w:rPr>
                <w:rFonts w:cstheme="minorHAnsi"/>
                <w:sz w:val="20"/>
                <w:szCs w:val="20"/>
              </w:rPr>
            </w:pPr>
            <w:r w:rsidRPr="00820DAF">
              <w:rPr>
                <w:rFonts w:cstheme="minorHAnsi"/>
                <w:sz w:val="20"/>
                <w:szCs w:val="20"/>
              </w:rPr>
              <w:t>Line 28</w:t>
            </w:r>
            <w:r w:rsidR="000A1F6A" w:rsidRPr="00820DAF">
              <w:rPr>
                <w:rFonts w:cstheme="minorHAnsi"/>
                <w:sz w:val="20"/>
                <w:szCs w:val="20"/>
              </w:rPr>
              <w:t>0</w:t>
            </w:r>
            <w:r w:rsidRPr="00820DAF">
              <w:rPr>
                <w:rFonts w:cstheme="minorHAnsi"/>
                <w:sz w:val="20"/>
                <w:szCs w:val="20"/>
              </w:rPr>
              <w:t>-28</w:t>
            </w:r>
            <w:r w:rsidR="000A1F6A" w:rsidRPr="00820DAF">
              <w:rPr>
                <w:rFonts w:cstheme="minorHAnsi"/>
                <w:sz w:val="20"/>
                <w:szCs w:val="20"/>
              </w:rPr>
              <w:t>2</w:t>
            </w:r>
          </w:p>
          <w:p w14:paraId="5D96BF70" w14:textId="46AB6C52" w:rsidR="008B1A30" w:rsidRPr="00820DAF" w:rsidRDefault="00724639" w:rsidP="00292FED">
            <w:pPr>
              <w:rPr>
                <w:rFonts w:cstheme="minorHAnsi"/>
                <w:sz w:val="20"/>
                <w:szCs w:val="20"/>
              </w:rPr>
            </w:pPr>
            <w:r w:rsidRPr="00820DAF">
              <w:rPr>
                <w:rFonts w:cstheme="minorHAnsi"/>
                <w:sz w:val="20"/>
                <w:szCs w:val="20"/>
              </w:rPr>
              <w:t xml:space="preserve">“During initial phases of training, there is an expected 60-70% success rate of total </w:t>
            </w:r>
            <w:proofErr w:type="spellStart"/>
            <w:r w:rsidRPr="00820DAF">
              <w:rPr>
                <w:rFonts w:cstheme="minorHAnsi"/>
                <w:sz w:val="20"/>
                <w:szCs w:val="20"/>
              </w:rPr>
              <w:t>transection</w:t>
            </w:r>
            <w:proofErr w:type="spellEnd"/>
            <w:r w:rsidRPr="00820DAF">
              <w:rPr>
                <w:rFonts w:cstheme="minorHAnsi"/>
                <w:sz w:val="20"/>
                <w:szCs w:val="20"/>
              </w:rPr>
              <w:t xml:space="preserve">. </w:t>
            </w:r>
            <w:r w:rsidRPr="00820DAF">
              <w:rPr>
                <w:rFonts w:cstheme="minorHAnsi"/>
                <w:sz w:val="20"/>
                <w:szCs w:val="20"/>
              </w:rPr>
              <w:lastRenderedPageBreak/>
              <w:t xml:space="preserve">With experience, the success rate of total </w:t>
            </w:r>
            <w:proofErr w:type="spellStart"/>
            <w:r w:rsidRPr="00820DAF">
              <w:rPr>
                <w:rFonts w:cstheme="minorHAnsi"/>
                <w:sz w:val="20"/>
                <w:szCs w:val="20"/>
              </w:rPr>
              <w:t>transection</w:t>
            </w:r>
            <w:proofErr w:type="spellEnd"/>
            <w:r w:rsidRPr="00820DAF">
              <w:rPr>
                <w:rFonts w:cstheme="minorHAnsi"/>
                <w:sz w:val="20"/>
                <w:szCs w:val="20"/>
              </w:rPr>
              <w:t xml:space="preserve"> is approximately 90-95%.”</w:t>
            </w:r>
          </w:p>
        </w:tc>
      </w:tr>
      <w:tr w:rsidR="008B1A30" w:rsidRPr="00820DAF" w14:paraId="1DFDEB62" w14:textId="77777777" w:rsidTr="008B1A30">
        <w:tc>
          <w:tcPr>
            <w:tcW w:w="3116" w:type="dxa"/>
            <w:tcBorders>
              <w:top w:val="single" w:sz="4" w:space="0" w:color="auto"/>
              <w:left w:val="nil"/>
              <w:bottom w:val="single" w:sz="4" w:space="0" w:color="auto"/>
              <w:right w:val="nil"/>
            </w:tcBorders>
          </w:tcPr>
          <w:p w14:paraId="089208A1" w14:textId="77777777" w:rsidR="008B1A30" w:rsidRPr="00820DAF" w:rsidRDefault="008B1A30" w:rsidP="00292FED">
            <w:pPr>
              <w:rPr>
                <w:rFonts w:cstheme="minorHAnsi"/>
                <w:sz w:val="20"/>
                <w:szCs w:val="20"/>
              </w:rPr>
            </w:pPr>
          </w:p>
        </w:tc>
        <w:tc>
          <w:tcPr>
            <w:tcW w:w="3117" w:type="dxa"/>
            <w:tcBorders>
              <w:top w:val="single" w:sz="4" w:space="0" w:color="auto"/>
              <w:left w:val="nil"/>
              <w:bottom w:val="single" w:sz="4" w:space="0" w:color="auto"/>
              <w:right w:val="nil"/>
            </w:tcBorders>
          </w:tcPr>
          <w:p w14:paraId="6561B358" w14:textId="77777777" w:rsidR="008B1A30" w:rsidRPr="00820DAF" w:rsidRDefault="008B1A30" w:rsidP="00292FED">
            <w:pPr>
              <w:rPr>
                <w:rFonts w:cstheme="minorHAnsi"/>
                <w:sz w:val="20"/>
                <w:szCs w:val="20"/>
              </w:rPr>
            </w:pPr>
          </w:p>
        </w:tc>
        <w:tc>
          <w:tcPr>
            <w:tcW w:w="3117" w:type="dxa"/>
            <w:tcBorders>
              <w:top w:val="single" w:sz="4" w:space="0" w:color="auto"/>
              <w:left w:val="nil"/>
              <w:bottom w:val="single" w:sz="4" w:space="0" w:color="auto"/>
              <w:right w:val="nil"/>
            </w:tcBorders>
          </w:tcPr>
          <w:p w14:paraId="702A3346" w14:textId="77777777" w:rsidR="008B1A30" w:rsidRPr="00820DAF" w:rsidRDefault="008B1A30" w:rsidP="00292FED">
            <w:pPr>
              <w:rPr>
                <w:rFonts w:cstheme="minorHAnsi"/>
                <w:sz w:val="20"/>
                <w:szCs w:val="20"/>
              </w:rPr>
            </w:pPr>
          </w:p>
        </w:tc>
      </w:tr>
      <w:tr w:rsidR="00724639" w:rsidRPr="00820DAF" w14:paraId="1CBB69EC" w14:textId="77777777" w:rsidTr="008B1A30">
        <w:tc>
          <w:tcPr>
            <w:tcW w:w="3116" w:type="dxa"/>
            <w:tcBorders>
              <w:top w:val="single" w:sz="4" w:space="0" w:color="auto"/>
            </w:tcBorders>
            <w:shd w:val="clear" w:color="auto" w:fill="BFBFBF" w:themeFill="background1" w:themeFillShade="BF"/>
          </w:tcPr>
          <w:p w14:paraId="32B06203" w14:textId="763D29AB" w:rsidR="00724639" w:rsidRPr="00820DAF" w:rsidRDefault="00724639" w:rsidP="00292FED">
            <w:pPr>
              <w:rPr>
                <w:rFonts w:cstheme="minorHAnsi"/>
                <w:sz w:val="20"/>
                <w:szCs w:val="20"/>
              </w:rPr>
            </w:pPr>
            <w:r w:rsidRPr="00820DAF">
              <w:rPr>
                <w:rFonts w:cstheme="minorHAnsi"/>
                <w:sz w:val="20"/>
                <w:szCs w:val="20"/>
              </w:rPr>
              <w:t>Reviewer #2 Comments</w:t>
            </w:r>
          </w:p>
        </w:tc>
        <w:tc>
          <w:tcPr>
            <w:tcW w:w="3117" w:type="dxa"/>
            <w:tcBorders>
              <w:top w:val="single" w:sz="4" w:space="0" w:color="auto"/>
            </w:tcBorders>
            <w:shd w:val="clear" w:color="auto" w:fill="BFBFBF" w:themeFill="background1" w:themeFillShade="BF"/>
          </w:tcPr>
          <w:p w14:paraId="33ACD240" w14:textId="7247912D" w:rsidR="00724639" w:rsidRPr="00820DAF" w:rsidRDefault="00724639" w:rsidP="00292FED">
            <w:pPr>
              <w:rPr>
                <w:rFonts w:cstheme="minorHAnsi"/>
                <w:sz w:val="20"/>
                <w:szCs w:val="20"/>
              </w:rPr>
            </w:pPr>
            <w:r w:rsidRPr="00820DAF">
              <w:rPr>
                <w:rFonts w:cstheme="minorHAnsi"/>
                <w:sz w:val="20"/>
                <w:szCs w:val="20"/>
              </w:rPr>
              <w:t>Author Comments</w:t>
            </w:r>
          </w:p>
        </w:tc>
        <w:tc>
          <w:tcPr>
            <w:tcW w:w="3117" w:type="dxa"/>
            <w:tcBorders>
              <w:top w:val="single" w:sz="4" w:space="0" w:color="auto"/>
            </w:tcBorders>
            <w:shd w:val="clear" w:color="auto" w:fill="BFBFBF" w:themeFill="background1" w:themeFillShade="BF"/>
          </w:tcPr>
          <w:p w14:paraId="080AADD5" w14:textId="3E995A51" w:rsidR="00724639" w:rsidRPr="00820DAF" w:rsidRDefault="00724639" w:rsidP="00292FED">
            <w:pPr>
              <w:rPr>
                <w:rFonts w:cstheme="minorHAnsi"/>
                <w:sz w:val="20"/>
                <w:szCs w:val="20"/>
              </w:rPr>
            </w:pPr>
            <w:r w:rsidRPr="00820DAF">
              <w:rPr>
                <w:rFonts w:cstheme="minorHAnsi"/>
                <w:sz w:val="20"/>
                <w:szCs w:val="20"/>
              </w:rPr>
              <w:t>Manuscript Changes</w:t>
            </w:r>
          </w:p>
        </w:tc>
      </w:tr>
      <w:tr w:rsidR="00724639" w:rsidRPr="00820DAF" w14:paraId="0669F3AD" w14:textId="77777777" w:rsidTr="00F67155">
        <w:tc>
          <w:tcPr>
            <w:tcW w:w="3116" w:type="dxa"/>
          </w:tcPr>
          <w:p w14:paraId="229DCADC" w14:textId="6AD62CCB" w:rsidR="00724639" w:rsidRPr="00820DAF" w:rsidRDefault="00724639" w:rsidP="00292FED">
            <w:pPr>
              <w:rPr>
                <w:rFonts w:cstheme="minorHAnsi"/>
                <w:sz w:val="20"/>
                <w:szCs w:val="20"/>
              </w:rPr>
            </w:pPr>
            <w:r w:rsidRPr="00820DAF">
              <w:rPr>
                <w:rFonts w:cstheme="minorHAnsi"/>
                <w:sz w:val="20"/>
                <w:szCs w:val="20"/>
                <w:shd w:val="clear" w:color="auto" w:fill="FFFFFF"/>
              </w:rPr>
              <w:t>1. Title: Whether the new model could be named as "Sheath-Preserving Optic Nerve Transection" should be seriously considered since the high number of RGC loss is not the criteria to define optic nerve transection. Besides, theoretically, the combined procedures of optic nerve crush and hydrostatic pressure application does not actually transect the optic nerve.</w:t>
            </w:r>
          </w:p>
        </w:tc>
        <w:tc>
          <w:tcPr>
            <w:tcW w:w="3117" w:type="dxa"/>
          </w:tcPr>
          <w:p w14:paraId="1A7C2228" w14:textId="29539FA4" w:rsidR="00724639" w:rsidRPr="00820DAF" w:rsidRDefault="0045627E" w:rsidP="00292FED">
            <w:pPr>
              <w:rPr>
                <w:rFonts w:cstheme="minorHAnsi"/>
                <w:sz w:val="20"/>
                <w:szCs w:val="20"/>
              </w:rPr>
            </w:pPr>
            <w:r w:rsidRPr="00820DAF">
              <w:rPr>
                <w:rFonts w:cstheme="minorHAnsi"/>
                <w:sz w:val="20"/>
                <w:szCs w:val="20"/>
              </w:rPr>
              <w:t xml:space="preserve">The criteria used to define the method as an optic nerve transection was not based on the number of RGC loss but rather on the physical transection of the optic nerve. The optic nerve crush in and of itself does not transect </w:t>
            </w:r>
            <w:r w:rsidR="008805EE" w:rsidRPr="00820DAF">
              <w:rPr>
                <w:rFonts w:cstheme="minorHAnsi"/>
                <w:sz w:val="20"/>
                <w:szCs w:val="20"/>
              </w:rPr>
              <w:t>the optic nerve but focally weakens the integrity of the tissue. The weakness is the path of least resistance for injected fluid and exploited to transect the optic nerve.</w:t>
            </w:r>
          </w:p>
        </w:tc>
        <w:tc>
          <w:tcPr>
            <w:tcW w:w="3117" w:type="dxa"/>
          </w:tcPr>
          <w:p w14:paraId="27370FE8" w14:textId="77777777" w:rsidR="00724639" w:rsidRPr="00820DAF" w:rsidRDefault="00724639" w:rsidP="00292FED">
            <w:pPr>
              <w:rPr>
                <w:rFonts w:cstheme="minorHAnsi"/>
                <w:sz w:val="20"/>
                <w:szCs w:val="20"/>
              </w:rPr>
            </w:pPr>
          </w:p>
        </w:tc>
      </w:tr>
      <w:tr w:rsidR="00724639" w:rsidRPr="00820DAF" w14:paraId="675E8F0A" w14:textId="77777777" w:rsidTr="00F67155">
        <w:tc>
          <w:tcPr>
            <w:tcW w:w="3116" w:type="dxa"/>
          </w:tcPr>
          <w:p w14:paraId="784521FD" w14:textId="7E3FD064" w:rsidR="00724639" w:rsidRPr="00820DAF" w:rsidRDefault="00724639" w:rsidP="00292FED">
            <w:pPr>
              <w:rPr>
                <w:rFonts w:cstheme="minorHAnsi"/>
                <w:sz w:val="20"/>
                <w:szCs w:val="20"/>
              </w:rPr>
            </w:pPr>
            <w:r w:rsidRPr="00820DAF">
              <w:rPr>
                <w:rFonts w:cstheme="minorHAnsi"/>
                <w:sz w:val="20"/>
                <w:szCs w:val="20"/>
                <w:shd w:val="clear" w:color="auto" w:fill="FFFFFF"/>
              </w:rPr>
              <w:t>2. Section 5.2: The authors are recommended to specify the minimum and maximum volume of saline could be injected to the crushed optic nerve for the hydrostatic pressure generation. The authors should also indicate whether different volumes of saline injection would induce different degrees of RGC loss.</w:t>
            </w:r>
          </w:p>
        </w:tc>
        <w:tc>
          <w:tcPr>
            <w:tcW w:w="3117" w:type="dxa"/>
          </w:tcPr>
          <w:p w14:paraId="0F35DC7A" w14:textId="24C206C0" w:rsidR="00724639" w:rsidRPr="00820DAF" w:rsidRDefault="00D07FDC" w:rsidP="00292FED">
            <w:pPr>
              <w:rPr>
                <w:rFonts w:cstheme="minorHAnsi"/>
                <w:sz w:val="20"/>
                <w:szCs w:val="20"/>
              </w:rPr>
            </w:pPr>
            <w:r w:rsidRPr="00820DAF">
              <w:rPr>
                <w:rFonts w:cstheme="minorHAnsi"/>
                <w:sz w:val="20"/>
                <w:szCs w:val="20"/>
              </w:rPr>
              <w:t>Great suggestion.</w:t>
            </w:r>
            <w:r w:rsidR="00203303" w:rsidRPr="00820DAF">
              <w:rPr>
                <w:rFonts w:cstheme="minorHAnsi"/>
                <w:sz w:val="20"/>
                <w:szCs w:val="20"/>
              </w:rPr>
              <w:t xml:space="preserve"> </w:t>
            </w:r>
          </w:p>
        </w:tc>
        <w:tc>
          <w:tcPr>
            <w:tcW w:w="3117" w:type="dxa"/>
          </w:tcPr>
          <w:p w14:paraId="1452AD49" w14:textId="155286F6" w:rsidR="008C63ED" w:rsidRPr="00820DAF" w:rsidRDefault="008C63ED" w:rsidP="00292FED">
            <w:pPr>
              <w:pStyle w:val="NormalWeb"/>
              <w:spacing w:before="0" w:beforeAutospacing="0" w:after="0" w:afterAutospacing="0"/>
              <w:jc w:val="left"/>
              <w:rPr>
                <w:rFonts w:asciiTheme="minorHAnsi" w:hAnsiTheme="minorHAnsi" w:cstheme="minorHAnsi"/>
                <w:color w:val="auto"/>
                <w:sz w:val="20"/>
                <w:szCs w:val="20"/>
              </w:rPr>
            </w:pPr>
            <w:r w:rsidRPr="00820DAF">
              <w:rPr>
                <w:rFonts w:asciiTheme="minorHAnsi" w:hAnsiTheme="minorHAnsi" w:cstheme="minorHAnsi"/>
                <w:color w:val="auto"/>
                <w:sz w:val="20"/>
                <w:szCs w:val="20"/>
              </w:rPr>
              <w:t>Line 2</w:t>
            </w:r>
            <w:r w:rsidR="000A1F6A" w:rsidRPr="00820DAF">
              <w:rPr>
                <w:rFonts w:asciiTheme="minorHAnsi" w:hAnsiTheme="minorHAnsi" w:cstheme="minorHAnsi"/>
                <w:color w:val="auto"/>
                <w:sz w:val="20"/>
                <w:szCs w:val="20"/>
              </w:rPr>
              <w:t>39</w:t>
            </w:r>
            <w:r w:rsidRPr="00820DAF">
              <w:rPr>
                <w:rFonts w:asciiTheme="minorHAnsi" w:hAnsiTheme="minorHAnsi" w:cstheme="minorHAnsi"/>
                <w:color w:val="auto"/>
                <w:sz w:val="20"/>
                <w:szCs w:val="20"/>
              </w:rPr>
              <w:t>-24</w:t>
            </w:r>
            <w:r w:rsidR="000A1F6A" w:rsidRPr="00820DAF">
              <w:rPr>
                <w:rFonts w:asciiTheme="minorHAnsi" w:hAnsiTheme="minorHAnsi" w:cstheme="minorHAnsi"/>
                <w:color w:val="auto"/>
                <w:sz w:val="20"/>
                <w:szCs w:val="20"/>
              </w:rPr>
              <w:t>3</w:t>
            </w:r>
          </w:p>
          <w:p w14:paraId="2057E7A6" w14:textId="28FD3122" w:rsidR="00724639" w:rsidRPr="00820DAF" w:rsidRDefault="00D07FDC" w:rsidP="00292FED">
            <w:pPr>
              <w:pStyle w:val="NormalWeb"/>
              <w:spacing w:before="0" w:beforeAutospacing="0" w:after="0" w:afterAutospacing="0"/>
              <w:jc w:val="left"/>
              <w:rPr>
                <w:rFonts w:asciiTheme="minorHAnsi" w:hAnsiTheme="minorHAnsi" w:cstheme="minorHAnsi"/>
                <w:color w:val="auto"/>
                <w:sz w:val="20"/>
                <w:szCs w:val="20"/>
              </w:rPr>
            </w:pPr>
            <w:r w:rsidRPr="00820DAF">
              <w:rPr>
                <w:rFonts w:asciiTheme="minorHAnsi" w:hAnsiTheme="minorHAnsi" w:cstheme="minorHAnsi"/>
                <w:color w:val="auto"/>
                <w:sz w:val="20"/>
                <w:szCs w:val="20"/>
              </w:rPr>
              <w:t>“</w:t>
            </w:r>
            <w:r w:rsidR="00E02DF9" w:rsidRPr="00820DAF">
              <w:rPr>
                <w:rFonts w:asciiTheme="minorHAnsi" w:hAnsiTheme="minorHAnsi" w:cstheme="minorHAnsi"/>
                <w:color w:val="auto"/>
                <w:sz w:val="20"/>
                <w:szCs w:val="20"/>
              </w:rPr>
              <w:t xml:space="preserve">NOTE: </w:t>
            </w:r>
            <w:r w:rsidRPr="00820DAF">
              <w:rPr>
                <w:rFonts w:asciiTheme="minorHAnsi" w:hAnsiTheme="minorHAnsi" w:cstheme="minorHAnsi"/>
                <w:color w:val="auto"/>
                <w:sz w:val="20"/>
                <w:szCs w:val="20"/>
              </w:rPr>
              <w:t xml:space="preserve">An injected volume of 250-500 </w:t>
            </w:r>
            <w:proofErr w:type="spellStart"/>
            <w:r w:rsidRPr="00820DAF">
              <w:rPr>
                <w:rFonts w:asciiTheme="minorHAnsi" w:hAnsiTheme="minorHAnsi" w:cstheme="minorHAnsi"/>
                <w:color w:val="auto"/>
                <w:sz w:val="20"/>
                <w:szCs w:val="20"/>
              </w:rPr>
              <w:t>nL</w:t>
            </w:r>
            <w:proofErr w:type="spellEnd"/>
            <w:r w:rsidRPr="00820DAF">
              <w:rPr>
                <w:rFonts w:asciiTheme="minorHAnsi" w:hAnsiTheme="minorHAnsi" w:cstheme="minorHAnsi"/>
                <w:color w:val="auto"/>
                <w:sz w:val="20"/>
                <w:szCs w:val="20"/>
              </w:rPr>
              <w:t xml:space="preserve"> is generally sufficient to provide the force necessary to transect the optic nerve. Injections requiring more than 1 µL may indicate a need to reposition the injection site. Larger volumes injected into the intact parenchyma may not cause additional RGC damage given the method completely transects the optic nerve but is more likely to track along the fascicles of the optic nerve.”</w:t>
            </w:r>
          </w:p>
        </w:tc>
      </w:tr>
      <w:tr w:rsidR="00724639" w:rsidRPr="00820DAF" w14:paraId="0A19E021" w14:textId="77777777" w:rsidTr="00F67155">
        <w:tc>
          <w:tcPr>
            <w:tcW w:w="3116" w:type="dxa"/>
          </w:tcPr>
          <w:p w14:paraId="24D2D70E" w14:textId="075CEACB" w:rsidR="00724639" w:rsidRPr="00820DAF" w:rsidRDefault="00724639" w:rsidP="00292FED">
            <w:pPr>
              <w:rPr>
                <w:rFonts w:cstheme="minorHAnsi"/>
                <w:sz w:val="20"/>
                <w:szCs w:val="20"/>
              </w:rPr>
            </w:pPr>
            <w:r w:rsidRPr="00820DAF">
              <w:rPr>
                <w:rFonts w:cstheme="minorHAnsi"/>
                <w:sz w:val="20"/>
                <w:szCs w:val="20"/>
                <w:shd w:val="clear" w:color="auto" w:fill="FFFFFF"/>
              </w:rPr>
              <w:t>3. The authors should also provide the indicators/evaluation methods to guide the audiences to assess whether the induction would be successful. What signs could be noted if the combined procedures of optic nerve crush and hydrostatic pressure application fails.</w:t>
            </w:r>
          </w:p>
        </w:tc>
        <w:tc>
          <w:tcPr>
            <w:tcW w:w="3117" w:type="dxa"/>
          </w:tcPr>
          <w:p w14:paraId="4790EADC" w14:textId="457A0CBF" w:rsidR="00724639" w:rsidRPr="00820DAF" w:rsidRDefault="00A81D3F" w:rsidP="00292FED">
            <w:pPr>
              <w:rPr>
                <w:rFonts w:cstheme="minorHAnsi"/>
                <w:sz w:val="20"/>
                <w:szCs w:val="20"/>
              </w:rPr>
            </w:pPr>
            <w:r w:rsidRPr="00820DAF">
              <w:rPr>
                <w:rFonts w:cstheme="minorHAnsi"/>
                <w:sz w:val="20"/>
                <w:szCs w:val="20"/>
              </w:rPr>
              <w:t>Signs of procedural failure emphasized in Protocol</w:t>
            </w:r>
            <w:r w:rsidR="00D97126">
              <w:rPr>
                <w:rFonts w:cstheme="minorHAnsi"/>
                <w:sz w:val="20"/>
                <w:szCs w:val="20"/>
              </w:rPr>
              <w:t xml:space="preserve"> and Discussion</w:t>
            </w:r>
            <w:r w:rsidRPr="00820DAF">
              <w:rPr>
                <w:rFonts w:cstheme="minorHAnsi"/>
                <w:sz w:val="20"/>
                <w:szCs w:val="20"/>
              </w:rPr>
              <w:t>.</w:t>
            </w:r>
          </w:p>
        </w:tc>
        <w:tc>
          <w:tcPr>
            <w:tcW w:w="3117" w:type="dxa"/>
          </w:tcPr>
          <w:p w14:paraId="56189E4A" w14:textId="69D99D8F" w:rsidR="008C63ED" w:rsidRPr="00820DAF" w:rsidRDefault="008C63ED" w:rsidP="00292FED">
            <w:pPr>
              <w:pStyle w:val="NormalWeb"/>
              <w:spacing w:before="0" w:beforeAutospacing="0" w:after="0" w:afterAutospacing="0"/>
              <w:jc w:val="left"/>
              <w:rPr>
                <w:rFonts w:cstheme="minorHAnsi"/>
                <w:sz w:val="20"/>
                <w:szCs w:val="20"/>
              </w:rPr>
            </w:pPr>
            <w:r w:rsidRPr="00820DAF">
              <w:rPr>
                <w:rFonts w:cstheme="minorHAnsi"/>
                <w:sz w:val="20"/>
                <w:szCs w:val="20"/>
              </w:rPr>
              <w:t>Line 24</w:t>
            </w:r>
            <w:r w:rsidR="000A1F6A" w:rsidRPr="00820DAF">
              <w:rPr>
                <w:rFonts w:cstheme="minorHAnsi"/>
                <w:sz w:val="20"/>
                <w:szCs w:val="20"/>
              </w:rPr>
              <w:t>4</w:t>
            </w:r>
            <w:r w:rsidRPr="00820DAF">
              <w:rPr>
                <w:rFonts w:cstheme="minorHAnsi"/>
                <w:sz w:val="20"/>
                <w:szCs w:val="20"/>
              </w:rPr>
              <w:t>-24</w:t>
            </w:r>
            <w:r w:rsidR="000A1F6A" w:rsidRPr="00820DAF">
              <w:rPr>
                <w:rFonts w:cstheme="minorHAnsi"/>
                <w:sz w:val="20"/>
                <w:szCs w:val="20"/>
              </w:rPr>
              <w:t>6</w:t>
            </w:r>
          </w:p>
          <w:p w14:paraId="02022026" w14:textId="77777777" w:rsidR="00724639" w:rsidRPr="00D97126" w:rsidRDefault="00A81D3F" w:rsidP="00292FED">
            <w:pPr>
              <w:pStyle w:val="NormalWeb"/>
              <w:spacing w:before="0" w:beforeAutospacing="0" w:after="0" w:afterAutospacing="0"/>
              <w:jc w:val="left"/>
              <w:rPr>
                <w:rFonts w:asciiTheme="minorHAnsi" w:hAnsiTheme="minorHAnsi" w:cstheme="minorHAnsi"/>
                <w:color w:val="auto"/>
                <w:sz w:val="20"/>
                <w:szCs w:val="20"/>
              </w:rPr>
            </w:pPr>
            <w:r w:rsidRPr="00820DAF">
              <w:rPr>
                <w:rFonts w:cstheme="minorHAnsi"/>
                <w:sz w:val="20"/>
                <w:szCs w:val="20"/>
              </w:rPr>
              <w:t>“</w:t>
            </w:r>
            <w:r w:rsidRPr="00820DAF">
              <w:rPr>
                <w:rFonts w:asciiTheme="minorHAnsi" w:hAnsiTheme="minorHAnsi" w:cstheme="minorHAnsi"/>
                <w:color w:val="auto"/>
                <w:sz w:val="20"/>
                <w:szCs w:val="20"/>
              </w:rPr>
              <w:t xml:space="preserve">NOTE: Failure to observe a linear transection of the optic nerve despite injection of a sufficient fluid volume likely indicates mispositioning of the pipette at the crush site </w:t>
            </w:r>
            <w:r w:rsidRPr="00D97126">
              <w:rPr>
                <w:rFonts w:asciiTheme="minorHAnsi" w:hAnsiTheme="minorHAnsi" w:cstheme="minorHAnsi"/>
                <w:color w:val="auto"/>
                <w:sz w:val="20"/>
                <w:szCs w:val="20"/>
              </w:rPr>
              <w:t>and a need for repositioning.”</w:t>
            </w:r>
          </w:p>
          <w:p w14:paraId="31AD85B8" w14:textId="77777777" w:rsidR="00D97126" w:rsidRPr="00D97126" w:rsidRDefault="00D97126" w:rsidP="00292FED">
            <w:pPr>
              <w:pStyle w:val="NormalWeb"/>
              <w:spacing w:before="0" w:beforeAutospacing="0" w:after="0" w:afterAutospacing="0"/>
              <w:jc w:val="left"/>
              <w:rPr>
                <w:rFonts w:asciiTheme="minorHAnsi" w:hAnsiTheme="minorHAnsi" w:cstheme="minorHAnsi"/>
                <w:color w:val="auto"/>
                <w:sz w:val="20"/>
                <w:szCs w:val="20"/>
              </w:rPr>
            </w:pPr>
          </w:p>
          <w:p w14:paraId="5E09A6B2" w14:textId="77777777" w:rsidR="00D97126" w:rsidRPr="00D97126" w:rsidRDefault="00D97126" w:rsidP="00292FED">
            <w:pPr>
              <w:pStyle w:val="NormalWeb"/>
              <w:spacing w:before="0" w:beforeAutospacing="0" w:after="0" w:afterAutospacing="0"/>
              <w:jc w:val="left"/>
              <w:rPr>
                <w:rFonts w:asciiTheme="minorHAnsi" w:hAnsiTheme="minorHAnsi" w:cstheme="minorHAnsi"/>
                <w:color w:val="auto"/>
                <w:sz w:val="20"/>
                <w:szCs w:val="20"/>
              </w:rPr>
            </w:pPr>
            <w:r w:rsidRPr="00D97126">
              <w:rPr>
                <w:rFonts w:asciiTheme="minorHAnsi" w:hAnsiTheme="minorHAnsi" w:cstheme="minorHAnsi"/>
                <w:color w:val="auto"/>
                <w:sz w:val="20"/>
                <w:szCs w:val="20"/>
              </w:rPr>
              <w:t>Line 371-373</w:t>
            </w:r>
          </w:p>
          <w:p w14:paraId="1D8ECB4C" w14:textId="2C6EFA0E" w:rsidR="00D97126" w:rsidRPr="00820DAF" w:rsidRDefault="00D97126" w:rsidP="00292FED">
            <w:pPr>
              <w:pStyle w:val="NormalWeb"/>
              <w:spacing w:before="0" w:beforeAutospacing="0" w:after="0" w:afterAutospacing="0"/>
              <w:jc w:val="left"/>
              <w:rPr>
                <w:rFonts w:asciiTheme="minorHAnsi" w:hAnsiTheme="minorHAnsi" w:cstheme="minorHAnsi"/>
                <w:color w:val="auto"/>
                <w:sz w:val="20"/>
                <w:szCs w:val="20"/>
              </w:rPr>
            </w:pPr>
            <w:r w:rsidRPr="00D97126">
              <w:rPr>
                <w:rFonts w:asciiTheme="minorHAnsi" w:hAnsiTheme="minorHAnsi" w:cstheme="minorHAnsi"/>
                <w:color w:val="auto"/>
                <w:sz w:val="20"/>
                <w:szCs w:val="20"/>
              </w:rPr>
              <w:t>“</w:t>
            </w:r>
            <w:r w:rsidRPr="00D97126">
              <w:rPr>
                <w:rFonts w:asciiTheme="minorHAnsi" w:hAnsiTheme="minorHAnsi" w:cstheme="minorHAnsi"/>
                <w:color w:val="auto"/>
                <w:sz w:val="20"/>
                <w:szCs w:val="20"/>
              </w:rPr>
              <w:t>Should the nerve ends fail to separate, repositioning the injection pipette or increasing the pressure of the injection by 50% should provide sufficient force to completely transect the nerve.</w:t>
            </w:r>
            <w:r w:rsidRPr="00D97126">
              <w:rPr>
                <w:rFonts w:asciiTheme="minorHAnsi" w:hAnsiTheme="minorHAnsi" w:cstheme="minorHAnsi"/>
                <w:color w:val="auto"/>
                <w:sz w:val="20"/>
                <w:szCs w:val="20"/>
              </w:rPr>
              <w:t>”</w:t>
            </w:r>
          </w:p>
        </w:tc>
      </w:tr>
      <w:tr w:rsidR="004137C5" w:rsidRPr="00820DAF" w14:paraId="709A74CB" w14:textId="77777777" w:rsidTr="00F67155">
        <w:tc>
          <w:tcPr>
            <w:tcW w:w="3116" w:type="dxa"/>
          </w:tcPr>
          <w:p w14:paraId="1A7FAC1B" w14:textId="1C30DA4A" w:rsidR="004137C5" w:rsidRPr="00820DAF" w:rsidRDefault="004137C5" w:rsidP="00292FED">
            <w:pPr>
              <w:rPr>
                <w:rFonts w:cstheme="minorHAnsi"/>
                <w:sz w:val="20"/>
                <w:szCs w:val="20"/>
              </w:rPr>
            </w:pPr>
            <w:r w:rsidRPr="00820DAF">
              <w:rPr>
                <w:rFonts w:cstheme="minorHAnsi"/>
                <w:sz w:val="20"/>
                <w:szCs w:val="20"/>
                <w:shd w:val="clear" w:color="auto" w:fill="FFFFFF"/>
              </w:rPr>
              <w:t xml:space="preserve">4. Refer to Point 3, the authors should provide the successful rate </w:t>
            </w:r>
            <w:r w:rsidRPr="00820DAF">
              <w:rPr>
                <w:rFonts w:cstheme="minorHAnsi"/>
                <w:sz w:val="20"/>
                <w:szCs w:val="20"/>
                <w:shd w:val="clear" w:color="auto" w:fill="FFFFFF"/>
              </w:rPr>
              <w:lastRenderedPageBreak/>
              <w:t>of their induction methods in the Results section.</w:t>
            </w:r>
          </w:p>
        </w:tc>
        <w:tc>
          <w:tcPr>
            <w:tcW w:w="3117" w:type="dxa"/>
          </w:tcPr>
          <w:p w14:paraId="2EFA54E9" w14:textId="6FE33C25" w:rsidR="004137C5" w:rsidRPr="00820DAF" w:rsidRDefault="004137C5" w:rsidP="00292FED">
            <w:pPr>
              <w:rPr>
                <w:rFonts w:cstheme="minorHAnsi"/>
                <w:sz w:val="20"/>
                <w:szCs w:val="20"/>
              </w:rPr>
            </w:pPr>
            <w:r w:rsidRPr="00820DAF">
              <w:rPr>
                <w:rFonts w:cstheme="minorHAnsi"/>
                <w:sz w:val="20"/>
                <w:szCs w:val="20"/>
              </w:rPr>
              <w:lastRenderedPageBreak/>
              <w:t xml:space="preserve">Success rates of total transection included in Representative Results. </w:t>
            </w:r>
          </w:p>
        </w:tc>
        <w:tc>
          <w:tcPr>
            <w:tcW w:w="3117" w:type="dxa"/>
          </w:tcPr>
          <w:p w14:paraId="27721485" w14:textId="0B269B4D" w:rsidR="008C63ED" w:rsidRPr="00820DAF" w:rsidRDefault="008C63ED" w:rsidP="008C63ED">
            <w:pPr>
              <w:rPr>
                <w:rFonts w:cstheme="minorHAnsi"/>
                <w:sz w:val="20"/>
                <w:szCs w:val="20"/>
              </w:rPr>
            </w:pPr>
            <w:r w:rsidRPr="00820DAF">
              <w:rPr>
                <w:rFonts w:cstheme="minorHAnsi"/>
                <w:sz w:val="20"/>
                <w:szCs w:val="20"/>
              </w:rPr>
              <w:t>Line 28</w:t>
            </w:r>
            <w:r w:rsidR="000A1F6A" w:rsidRPr="00820DAF">
              <w:rPr>
                <w:rFonts w:cstheme="minorHAnsi"/>
                <w:sz w:val="20"/>
                <w:szCs w:val="20"/>
              </w:rPr>
              <w:t>0</w:t>
            </w:r>
            <w:r w:rsidRPr="00820DAF">
              <w:rPr>
                <w:rFonts w:cstheme="minorHAnsi"/>
                <w:sz w:val="20"/>
                <w:szCs w:val="20"/>
              </w:rPr>
              <w:t>-28</w:t>
            </w:r>
            <w:r w:rsidR="000A1F6A" w:rsidRPr="00820DAF">
              <w:rPr>
                <w:rFonts w:cstheme="minorHAnsi"/>
                <w:sz w:val="20"/>
                <w:szCs w:val="20"/>
              </w:rPr>
              <w:t>2</w:t>
            </w:r>
          </w:p>
          <w:p w14:paraId="549844F6" w14:textId="7F698E4D" w:rsidR="004137C5" w:rsidRPr="00820DAF" w:rsidRDefault="004137C5" w:rsidP="00292FED">
            <w:pPr>
              <w:rPr>
                <w:rFonts w:cstheme="minorHAnsi"/>
                <w:sz w:val="20"/>
                <w:szCs w:val="20"/>
              </w:rPr>
            </w:pPr>
            <w:r w:rsidRPr="00820DAF">
              <w:rPr>
                <w:rFonts w:cstheme="minorHAnsi"/>
                <w:sz w:val="20"/>
                <w:szCs w:val="20"/>
              </w:rPr>
              <w:t xml:space="preserve">“During initial phases of training, there is an expected 60-70% </w:t>
            </w:r>
            <w:r w:rsidRPr="00820DAF">
              <w:rPr>
                <w:rFonts w:cstheme="minorHAnsi"/>
                <w:sz w:val="20"/>
                <w:szCs w:val="20"/>
              </w:rPr>
              <w:lastRenderedPageBreak/>
              <w:t xml:space="preserve">success rate of total </w:t>
            </w:r>
            <w:proofErr w:type="spellStart"/>
            <w:r w:rsidRPr="00820DAF">
              <w:rPr>
                <w:rFonts w:cstheme="minorHAnsi"/>
                <w:sz w:val="20"/>
                <w:szCs w:val="20"/>
              </w:rPr>
              <w:t>transection</w:t>
            </w:r>
            <w:proofErr w:type="spellEnd"/>
            <w:r w:rsidRPr="00820DAF">
              <w:rPr>
                <w:rFonts w:cstheme="minorHAnsi"/>
                <w:sz w:val="20"/>
                <w:szCs w:val="20"/>
              </w:rPr>
              <w:t xml:space="preserve">. With experience, the success rate of total </w:t>
            </w:r>
            <w:proofErr w:type="spellStart"/>
            <w:r w:rsidRPr="00820DAF">
              <w:rPr>
                <w:rFonts w:cstheme="minorHAnsi"/>
                <w:sz w:val="20"/>
                <w:szCs w:val="20"/>
              </w:rPr>
              <w:t>transection</w:t>
            </w:r>
            <w:proofErr w:type="spellEnd"/>
            <w:r w:rsidRPr="00820DAF">
              <w:rPr>
                <w:rFonts w:cstheme="minorHAnsi"/>
                <w:sz w:val="20"/>
                <w:szCs w:val="20"/>
              </w:rPr>
              <w:t xml:space="preserve"> is approximately 90-95%.</w:t>
            </w:r>
            <w:r w:rsidR="00820DAF" w:rsidRPr="00820DAF">
              <w:rPr>
                <w:rFonts w:cstheme="minorHAnsi"/>
                <w:sz w:val="20"/>
                <w:szCs w:val="20"/>
              </w:rPr>
              <w:t xml:space="preserve"> </w:t>
            </w:r>
            <w:r w:rsidR="00820DAF" w:rsidRPr="00820DAF">
              <w:rPr>
                <w:rFonts w:cstheme="minorHAnsi"/>
                <w:sz w:val="20"/>
                <w:szCs w:val="20"/>
              </w:rPr>
              <w:t>A 50% increase  in injection pressure may also be necessary.</w:t>
            </w:r>
            <w:r w:rsidRPr="00820DAF">
              <w:rPr>
                <w:rFonts w:cstheme="minorHAnsi"/>
                <w:sz w:val="20"/>
                <w:szCs w:val="20"/>
              </w:rPr>
              <w:t>”</w:t>
            </w:r>
          </w:p>
        </w:tc>
      </w:tr>
      <w:tr w:rsidR="004137C5" w:rsidRPr="00820DAF" w14:paraId="74742717" w14:textId="77777777" w:rsidTr="008B1A30">
        <w:tc>
          <w:tcPr>
            <w:tcW w:w="3116" w:type="dxa"/>
            <w:tcBorders>
              <w:bottom w:val="single" w:sz="4" w:space="0" w:color="auto"/>
            </w:tcBorders>
          </w:tcPr>
          <w:p w14:paraId="55A38ADA" w14:textId="0EFDCB01" w:rsidR="004137C5" w:rsidRPr="00820DAF" w:rsidRDefault="004137C5" w:rsidP="00292FED">
            <w:pPr>
              <w:rPr>
                <w:rFonts w:cstheme="minorHAnsi"/>
                <w:sz w:val="20"/>
                <w:szCs w:val="20"/>
              </w:rPr>
            </w:pPr>
            <w:r w:rsidRPr="00820DAF">
              <w:rPr>
                <w:rFonts w:cstheme="minorHAnsi"/>
                <w:sz w:val="20"/>
                <w:szCs w:val="20"/>
                <w:shd w:val="clear" w:color="auto" w:fill="FFFFFF"/>
              </w:rPr>
              <w:lastRenderedPageBreak/>
              <w:t>5. The authors should compare and discuss the degree of RGC loss and the successful induction rate with optic nerve crush and optic nerve transection alone.</w:t>
            </w:r>
          </w:p>
        </w:tc>
        <w:tc>
          <w:tcPr>
            <w:tcW w:w="3117" w:type="dxa"/>
            <w:tcBorders>
              <w:bottom w:val="single" w:sz="4" w:space="0" w:color="auto"/>
            </w:tcBorders>
          </w:tcPr>
          <w:p w14:paraId="7E129F63" w14:textId="756962DC" w:rsidR="004137C5" w:rsidRPr="00820DAF" w:rsidRDefault="00292FED" w:rsidP="00292FED">
            <w:pPr>
              <w:rPr>
                <w:rFonts w:cstheme="minorHAnsi"/>
                <w:sz w:val="20"/>
                <w:szCs w:val="20"/>
              </w:rPr>
            </w:pPr>
            <w:r w:rsidRPr="00820DAF">
              <w:rPr>
                <w:rFonts w:cstheme="minorHAnsi"/>
                <w:sz w:val="20"/>
                <w:szCs w:val="20"/>
              </w:rPr>
              <w:t>Quantification of RGC loss included in Representative Results.</w:t>
            </w:r>
          </w:p>
        </w:tc>
        <w:tc>
          <w:tcPr>
            <w:tcW w:w="3117" w:type="dxa"/>
            <w:tcBorders>
              <w:bottom w:val="single" w:sz="4" w:space="0" w:color="auto"/>
            </w:tcBorders>
          </w:tcPr>
          <w:p w14:paraId="2B79A322" w14:textId="607A6764" w:rsidR="004137C5" w:rsidRPr="00820DAF" w:rsidRDefault="00292FED" w:rsidP="00292FED">
            <w:pPr>
              <w:rPr>
                <w:rFonts w:cstheme="minorHAnsi"/>
                <w:sz w:val="20"/>
                <w:szCs w:val="20"/>
              </w:rPr>
            </w:pPr>
            <w:r w:rsidRPr="00820DAF">
              <w:rPr>
                <w:rFonts w:cstheme="minorHAnsi"/>
                <w:sz w:val="20"/>
                <w:szCs w:val="20"/>
              </w:rPr>
              <w:t xml:space="preserve">See </w:t>
            </w:r>
            <w:r w:rsidR="00E036F7" w:rsidRPr="00820DAF">
              <w:rPr>
                <w:rFonts w:cstheme="minorHAnsi"/>
                <w:sz w:val="20"/>
                <w:szCs w:val="20"/>
              </w:rPr>
              <w:t xml:space="preserve">modified </w:t>
            </w:r>
            <w:r w:rsidRPr="00820DAF">
              <w:rPr>
                <w:rFonts w:cstheme="minorHAnsi"/>
                <w:sz w:val="20"/>
                <w:szCs w:val="20"/>
              </w:rPr>
              <w:t>Figure 2.</w:t>
            </w:r>
          </w:p>
        </w:tc>
      </w:tr>
      <w:tr w:rsidR="004137C5" w:rsidRPr="00820DAF" w14:paraId="0CC34965" w14:textId="77777777" w:rsidTr="008B1A30">
        <w:tc>
          <w:tcPr>
            <w:tcW w:w="3116" w:type="dxa"/>
            <w:tcBorders>
              <w:bottom w:val="single" w:sz="4" w:space="0" w:color="auto"/>
            </w:tcBorders>
          </w:tcPr>
          <w:p w14:paraId="6951EC26" w14:textId="3FA64F90" w:rsidR="004137C5" w:rsidRPr="00820DAF" w:rsidRDefault="004137C5" w:rsidP="00292FED">
            <w:pPr>
              <w:rPr>
                <w:rFonts w:cstheme="minorHAnsi"/>
                <w:sz w:val="20"/>
                <w:szCs w:val="20"/>
              </w:rPr>
            </w:pPr>
            <w:r w:rsidRPr="00820DAF">
              <w:rPr>
                <w:rFonts w:cstheme="minorHAnsi"/>
                <w:sz w:val="20"/>
                <w:szCs w:val="20"/>
                <w:shd w:val="clear" w:color="auto" w:fill="FFFFFF"/>
              </w:rPr>
              <w:t>6. The cross-sectional images of crushed optic nerve and transected optic nerve with staining should be provided for comparison.</w:t>
            </w:r>
          </w:p>
        </w:tc>
        <w:tc>
          <w:tcPr>
            <w:tcW w:w="3117" w:type="dxa"/>
            <w:tcBorders>
              <w:bottom w:val="single" w:sz="4" w:space="0" w:color="auto"/>
            </w:tcBorders>
          </w:tcPr>
          <w:p w14:paraId="06DD6266" w14:textId="16D0D6E4" w:rsidR="004137C5" w:rsidRPr="00820DAF" w:rsidRDefault="0022189C" w:rsidP="00292FED">
            <w:pPr>
              <w:rPr>
                <w:rFonts w:cstheme="minorHAnsi"/>
                <w:sz w:val="20"/>
                <w:szCs w:val="20"/>
              </w:rPr>
            </w:pPr>
            <w:r w:rsidRPr="00820DAF">
              <w:rPr>
                <w:rFonts w:cstheme="minorHAnsi"/>
                <w:sz w:val="20"/>
                <w:szCs w:val="20"/>
              </w:rPr>
              <w:t>Good suggestion.</w:t>
            </w:r>
          </w:p>
        </w:tc>
        <w:tc>
          <w:tcPr>
            <w:tcW w:w="3117" w:type="dxa"/>
            <w:tcBorders>
              <w:bottom w:val="single" w:sz="4" w:space="0" w:color="auto"/>
            </w:tcBorders>
          </w:tcPr>
          <w:p w14:paraId="76148871" w14:textId="3087B39B" w:rsidR="004137C5" w:rsidRPr="00820DAF" w:rsidRDefault="0082262B" w:rsidP="00292FED">
            <w:pPr>
              <w:rPr>
                <w:rFonts w:cstheme="minorHAnsi"/>
                <w:sz w:val="20"/>
                <w:szCs w:val="20"/>
              </w:rPr>
            </w:pPr>
            <w:r w:rsidRPr="00820DAF">
              <w:rPr>
                <w:rFonts w:cstheme="minorHAnsi"/>
                <w:sz w:val="20"/>
                <w:szCs w:val="20"/>
              </w:rPr>
              <w:t>See</w:t>
            </w:r>
            <w:r w:rsidR="008C63ED" w:rsidRPr="00820DAF">
              <w:rPr>
                <w:rFonts w:cstheme="minorHAnsi"/>
                <w:sz w:val="20"/>
                <w:szCs w:val="20"/>
              </w:rPr>
              <w:t xml:space="preserve"> new</w:t>
            </w:r>
            <w:r w:rsidRPr="00820DAF">
              <w:rPr>
                <w:rFonts w:cstheme="minorHAnsi"/>
                <w:sz w:val="20"/>
                <w:szCs w:val="20"/>
              </w:rPr>
              <w:t xml:space="preserve"> Figure 3.</w:t>
            </w:r>
          </w:p>
        </w:tc>
      </w:tr>
      <w:tr w:rsidR="004137C5" w:rsidRPr="00820DAF" w14:paraId="6F38F9C6" w14:textId="77777777" w:rsidTr="008B1A30">
        <w:tc>
          <w:tcPr>
            <w:tcW w:w="3116" w:type="dxa"/>
            <w:tcBorders>
              <w:top w:val="single" w:sz="4" w:space="0" w:color="auto"/>
              <w:left w:val="nil"/>
              <w:bottom w:val="single" w:sz="4" w:space="0" w:color="auto"/>
              <w:right w:val="nil"/>
            </w:tcBorders>
          </w:tcPr>
          <w:p w14:paraId="00E6AEE9" w14:textId="77777777" w:rsidR="004137C5" w:rsidRPr="00820DAF" w:rsidRDefault="004137C5" w:rsidP="00292FED">
            <w:pPr>
              <w:rPr>
                <w:rFonts w:cstheme="minorHAnsi"/>
                <w:sz w:val="20"/>
                <w:szCs w:val="20"/>
              </w:rPr>
            </w:pPr>
          </w:p>
        </w:tc>
        <w:tc>
          <w:tcPr>
            <w:tcW w:w="3117" w:type="dxa"/>
            <w:tcBorders>
              <w:top w:val="single" w:sz="4" w:space="0" w:color="auto"/>
              <w:left w:val="nil"/>
              <w:bottom w:val="single" w:sz="4" w:space="0" w:color="auto"/>
              <w:right w:val="nil"/>
            </w:tcBorders>
          </w:tcPr>
          <w:p w14:paraId="2CD0CD3A" w14:textId="77777777" w:rsidR="004137C5" w:rsidRPr="00820DAF" w:rsidRDefault="004137C5" w:rsidP="00292FED">
            <w:pPr>
              <w:rPr>
                <w:rFonts w:cstheme="minorHAnsi"/>
                <w:sz w:val="20"/>
                <w:szCs w:val="20"/>
              </w:rPr>
            </w:pPr>
          </w:p>
        </w:tc>
        <w:tc>
          <w:tcPr>
            <w:tcW w:w="3117" w:type="dxa"/>
            <w:tcBorders>
              <w:top w:val="single" w:sz="4" w:space="0" w:color="auto"/>
              <w:left w:val="nil"/>
              <w:bottom w:val="single" w:sz="4" w:space="0" w:color="auto"/>
              <w:right w:val="nil"/>
            </w:tcBorders>
          </w:tcPr>
          <w:p w14:paraId="615E06D5" w14:textId="77777777" w:rsidR="004137C5" w:rsidRPr="00820DAF" w:rsidRDefault="004137C5" w:rsidP="00292FED">
            <w:pPr>
              <w:rPr>
                <w:rFonts w:cstheme="minorHAnsi"/>
                <w:sz w:val="20"/>
                <w:szCs w:val="20"/>
              </w:rPr>
            </w:pPr>
          </w:p>
        </w:tc>
      </w:tr>
      <w:tr w:rsidR="004137C5" w:rsidRPr="00820DAF" w14:paraId="4FFD8B6B" w14:textId="77777777" w:rsidTr="008B1A30">
        <w:tc>
          <w:tcPr>
            <w:tcW w:w="3116" w:type="dxa"/>
            <w:tcBorders>
              <w:top w:val="single" w:sz="4" w:space="0" w:color="auto"/>
            </w:tcBorders>
            <w:shd w:val="clear" w:color="auto" w:fill="BFBFBF" w:themeFill="background1" w:themeFillShade="BF"/>
          </w:tcPr>
          <w:p w14:paraId="20510C41" w14:textId="2140352D" w:rsidR="004137C5" w:rsidRPr="00820DAF" w:rsidRDefault="004137C5" w:rsidP="00292FED">
            <w:pPr>
              <w:rPr>
                <w:rFonts w:cstheme="minorHAnsi"/>
                <w:sz w:val="20"/>
                <w:szCs w:val="20"/>
              </w:rPr>
            </w:pPr>
            <w:r w:rsidRPr="00820DAF">
              <w:rPr>
                <w:rFonts w:cstheme="minorHAnsi"/>
                <w:sz w:val="20"/>
                <w:szCs w:val="20"/>
              </w:rPr>
              <w:t>Reviewer #3 Comments</w:t>
            </w:r>
          </w:p>
        </w:tc>
        <w:tc>
          <w:tcPr>
            <w:tcW w:w="3117" w:type="dxa"/>
            <w:tcBorders>
              <w:top w:val="single" w:sz="4" w:space="0" w:color="auto"/>
            </w:tcBorders>
            <w:shd w:val="clear" w:color="auto" w:fill="BFBFBF" w:themeFill="background1" w:themeFillShade="BF"/>
          </w:tcPr>
          <w:p w14:paraId="604FD39B" w14:textId="12126C5D" w:rsidR="004137C5" w:rsidRPr="00820DAF" w:rsidRDefault="004137C5" w:rsidP="00292FED">
            <w:pPr>
              <w:rPr>
                <w:rFonts w:cstheme="minorHAnsi"/>
                <w:sz w:val="20"/>
                <w:szCs w:val="20"/>
              </w:rPr>
            </w:pPr>
            <w:r w:rsidRPr="00820DAF">
              <w:rPr>
                <w:rFonts w:cstheme="minorHAnsi"/>
                <w:sz w:val="20"/>
                <w:szCs w:val="20"/>
              </w:rPr>
              <w:t>Author Comments</w:t>
            </w:r>
          </w:p>
        </w:tc>
        <w:tc>
          <w:tcPr>
            <w:tcW w:w="3117" w:type="dxa"/>
            <w:tcBorders>
              <w:top w:val="single" w:sz="4" w:space="0" w:color="auto"/>
            </w:tcBorders>
            <w:shd w:val="clear" w:color="auto" w:fill="BFBFBF" w:themeFill="background1" w:themeFillShade="BF"/>
          </w:tcPr>
          <w:p w14:paraId="7175D1C6" w14:textId="67D3DAEA" w:rsidR="004137C5" w:rsidRPr="00820DAF" w:rsidRDefault="004137C5" w:rsidP="00292FED">
            <w:pPr>
              <w:rPr>
                <w:rFonts w:cstheme="minorHAnsi"/>
                <w:sz w:val="20"/>
                <w:szCs w:val="20"/>
              </w:rPr>
            </w:pPr>
            <w:r w:rsidRPr="00820DAF">
              <w:rPr>
                <w:rFonts w:cstheme="minorHAnsi"/>
                <w:sz w:val="20"/>
                <w:szCs w:val="20"/>
              </w:rPr>
              <w:t>Manuscript Changes</w:t>
            </w:r>
          </w:p>
        </w:tc>
      </w:tr>
      <w:tr w:rsidR="004137C5" w:rsidRPr="00820DAF" w14:paraId="785D585B" w14:textId="77777777" w:rsidTr="008B1A30">
        <w:tc>
          <w:tcPr>
            <w:tcW w:w="3116" w:type="dxa"/>
            <w:tcBorders>
              <w:bottom w:val="single" w:sz="4" w:space="0" w:color="auto"/>
            </w:tcBorders>
          </w:tcPr>
          <w:p w14:paraId="1F410D02" w14:textId="44B03531" w:rsidR="004137C5" w:rsidRPr="00820DAF" w:rsidRDefault="004137C5" w:rsidP="00292FED">
            <w:pPr>
              <w:rPr>
                <w:rFonts w:cstheme="minorHAnsi"/>
                <w:sz w:val="20"/>
                <w:szCs w:val="20"/>
              </w:rPr>
            </w:pPr>
            <w:r w:rsidRPr="00820DAF">
              <w:rPr>
                <w:rFonts w:cstheme="minorHAnsi"/>
                <w:sz w:val="20"/>
                <w:szCs w:val="20"/>
                <w:shd w:val="clear" w:color="auto" w:fill="FFFFFF"/>
              </w:rPr>
              <w:t>The model described here is fine and may be used as a crush model. However, to use this to replace a transection model might be a bit more problematic. This is because transection injuries represent penetrating injuries where the meningeal sheath will also be compromised.</w:t>
            </w:r>
            <w:r w:rsidRPr="00820DAF">
              <w:rPr>
                <w:rFonts w:cstheme="minorHAnsi"/>
                <w:sz w:val="20"/>
                <w:szCs w:val="20"/>
              </w:rPr>
              <w:br/>
            </w:r>
          </w:p>
        </w:tc>
        <w:tc>
          <w:tcPr>
            <w:tcW w:w="3117" w:type="dxa"/>
            <w:tcBorders>
              <w:bottom w:val="single" w:sz="4" w:space="0" w:color="auto"/>
            </w:tcBorders>
          </w:tcPr>
          <w:p w14:paraId="1D9CBD8D" w14:textId="24135AD7" w:rsidR="004137C5" w:rsidRPr="00820DAF" w:rsidRDefault="00C62906" w:rsidP="00292FED">
            <w:pPr>
              <w:rPr>
                <w:rFonts w:cstheme="minorHAnsi"/>
                <w:sz w:val="20"/>
                <w:szCs w:val="20"/>
              </w:rPr>
            </w:pPr>
            <w:r w:rsidRPr="00820DAF">
              <w:rPr>
                <w:rFonts w:cstheme="minorHAnsi"/>
                <w:sz w:val="20"/>
                <w:szCs w:val="20"/>
              </w:rPr>
              <w:t>We agree with the reviewer that t</w:t>
            </w:r>
            <w:r w:rsidR="00B86DD5" w:rsidRPr="00820DAF">
              <w:rPr>
                <w:rFonts w:cstheme="minorHAnsi"/>
                <w:sz w:val="20"/>
                <w:szCs w:val="20"/>
              </w:rPr>
              <w:t xml:space="preserve">ransection injuries </w:t>
            </w:r>
            <w:r w:rsidRPr="00820DAF">
              <w:rPr>
                <w:rFonts w:cstheme="minorHAnsi"/>
                <w:sz w:val="20"/>
                <w:szCs w:val="20"/>
              </w:rPr>
              <w:t>are likely to also compromise the meningeal sheath</w:t>
            </w:r>
            <w:r w:rsidR="0056459B" w:rsidRPr="00820DAF">
              <w:rPr>
                <w:rFonts w:cstheme="minorHAnsi"/>
                <w:sz w:val="20"/>
                <w:szCs w:val="20"/>
              </w:rPr>
              <w:t xml:space="preserve"> and expose the optic nerve to peripheral elements that are </w:t>
            </w:r>
            <w:r w:rsidR="00B32484" w:rsidRPr="00820DAF">
              <w:rPr>
                <w:rFonts w:cstheme="minorHAnsi"/>
                <w:sz w:val="20"/>
                <w:szCs w:val="20"/>
              </w:rPr>
              <w:t xml:space="preserve">normally </w:t>
            </w:r>
            <w:r w:rsidR="00715DF1" w:rsidRPr="00820DAF">
              <w:rPr>
                <w:rFonts w:cstheme="minorHAnsi"/>
                <w:sz w:val="20"/>
                <w:szCs w:val="20"/>
              </w:rPr>
              <w:t>separated</w:t>
            </w:r>
            <w:r w:rsidR="0056459B" w:rsidRPr="00820DAF">
              <w:rPr>
                <w:rFonts w:cstheme="minorHAnsi"/>
                <w:sz w:val="20"/>
                <w:szCs w:val="20"/>
              </w:rPr>
              <w:t xml:space="preserve"> by an intact blood-brain barrier</w:t>
            </w:r>
            <w:r w:rsidRPr="00820DAF">
              <w:rPr>
                <w:rFonts w:cstheme="minorHAnsi"/>
                <w:sz w:val="20"/>
                <w:szCs w:val="20"/>
              </w:rPr>
              <w:t xml:space="preserve">. </w:t>
            </w:r>
            <w:r w:rsidR="0056459B" w:rsidRPr="00820DAF">
              <w:rPr>
                <w:rFonts w:cstheme="minorHAnsi"/>
                <w:sz w:val="20"/>
                <w:szCs w:val="20"/>
              </w:rPr>
              <w:t xml:space="preserve">However, </w:t>
            </w:r>
            <w:r w:rsidR="00715DF1" w:rsidRPr="00820DAF">
              <w:rPr>
                <w:rFonts w:cstheme="minorHAnsi"/>
                <w:sz w:val="20"/>
                <w:szCs w:val="20"/>
              </w:rPr>
              <w:t>the</w:t>
            </w:r>
            <w:r w:rsidR="0056459B" w:rsidRPr="00820DAF">
              <w:rPr>
                <w:rFonts w:cstheme="minorHAnsi"/>
                <w:sz w:val="20"/>
                <w:szCs w:val="20"/>
              </w:rPr>
              <w:t xml:space="preserve"> advantages of this model </w:t>
            </w:r>
            <w:r w:rsidR="00715DF1" w:rsidRPr="00820DAF">
              <w:rPr>
                <w:rFonts w:cstheme="minorHAnsi"/>
                <w:sz w:val="20"/>
                <w:szCs w:val="20"/>
              </w:rPr>
              <w:t xml:space="preserve">are that it allows </w:t>
            </w:r>
            <w:r w:rsidR="00B32484" w:rsidRPr="00820DAF">
              <w:rPr>
                <w:rFonts w:cstheme="minorHAnsi"/>
                <w:sz w:val="20"/>
                <w:szCs w:val="20"/>
              </w:rPr>
              <w:t>for experiments to focus on the optic nerve response to a transection and to determine the contribution of peripheral responses to axon regeneration studies following a transection.</w:t>
            </w:r>
            <w:r w:rsidR="0056459B" w:rsidRPr="00820DAF">
              <w:rPr>
                <w:rFonts w:cstheme="minorHAnsi"/>
                <w:sz w:val="20"/>
                <w:szCs w:val="20"/>
              </w:rPr>
              <w:t xml:space="preserve"> </w:t>
            </w:r>
            <w:r w:rsidR="00B32484" w:rsidRPr="00820DAF">
              <w:rPr>
                <w:rFonts w:cstheme="minorHAnsi"/>
                <w:sz w:val="20"/>
                <w:szCs w:val="20"/>
              </w:rPr>
              <w:t xml:space="preserve">Additionally, the model does not require challenging microsurgical techniques, making </w:t>
            </w:r>
            <w:r w:rsidR="00FD18C4" w:rsidRPr="00820DAF">
              <w:rPr>
                <w:rFonts w:cstheme="minorHAnsi"/>
                <w:sz w:val="20"/>
                <w:szCs w:val="20"/>
              </w:rPr>
              <w:t xml:space="preserve">a transection </w:t>
            </w:r>
            <w:r w:rsidR="00B32484" w:rsidRPr="00820DAF">
              <w:rPr>
                <w:rFonts w:cstheme="minorHAnsi"/>
                <w:sz w:val="20"/>
                <w:szCs w:val="20"/>
              </w:rPr>
              <w:t xml:space="preserve">model more accessible </w:t>
            </w:r>
            <w:r w:rsidR="00FD18C4" w:rsidRPr="00820DAF">
              <w:rPr>
                <w:rFonts w:cstheme="minorHAnsi"/>
                <w:sz w:val="20"/>
                <w:szCs w:val="20"/>
              </w:rPr>
              <w:t>to labs without this capability.</w:t>
            </w:r>
          </w:p>
        </w:tc>
        <w:tc>
          <w:tcPr>
            <w:tcW w:w="3117" w:type="dxa"/>
            <w:tcBorders>
              <w:bottom w:val="single" w:sz="4" w:space="0" w:color="auto"/>
            </w:tcBorders>
          </w:tcPr>
          <w:p w14:paraId="21208A10" w14:textId="77777777" w:rsidR="004137C5" w:rsidRPr="00820DAF" w:rsidRDefault="004137C5" w:rsidP="00292FED">
            <w:pPr>
              <w:rPr>
                <w:rFonts w:cstheme="minorHAnsi"/>
                <w:sz w:val="20"/>
                <w:szCs w:val="20"/>
              </w:rPr>
            </w:pPr>
          </w:p>
        </w:tc>
      </w:tr>
      <w:tr w:rsidR="00B86DD5" w:rsidRPr="00820DAF" w14:paraId="374F85F9" w14:textId="77777777" w:rsidTr="008B1A30">
        <w:tc>
          <w:tcPr>
            <w:tcW w:w="3116" w:type="dxa"/>
            <w:tcBorders>
              <w:bottom w:val="single" w:sz="4" w:space="0" w:color="auto"/>
            </w:tcBorders>
          </w:tcPr>
          <w:p w14:paraId="2081F446" w14:textId="36F57676" w:rsidR="00B86DD5" w:rsidRPr="00820DAF" w:rsidRDefault="00B86DD5" w:rsidP="00292FED">
            <w:pPr>
              <w:rPr>
                <w:rFonts w:cstheme="minorHAnsi"/>
                <w:sz w:val="20"/>
                <w:szCs w:val="20"/>
                <w:shd w:val="clear" w:color="auto" w:fill="FFFFFF"/>
              </w:rPr>
            </w:pPr>
            <w:r w:rsidRPr="00820DAF">
              <w:rPr>
                <w:rFonts w:cstheme="minorHAnsi"/>
                <w:sz w:val="20"/>
                <w:szCs w:val="20"/>
                <w:shd w:val="clear" w:color="auto" w:fill="FFFFFF"/>
              </w:rPr>
              <w:t>As mentioned by the authors, a potential limitation of this method is the inability to visualize the complete transection, a potential source of variability.</w:t>
            </w:r>
          </w:p>
        </w:tc>
        <w:tc>
          <w:tcPr>
            <w:tcW w:w="3117" w:type="dxa"/>
            <w:tcBorders>
              <w:bottom w:val="single" w:sz="4" w:space="0" w:color="auto"/>
            </w:tcBorders>
          </w:tcPr>
          <w:p w14:paraId="3484E098" w14:textId="157F9D8E" w:rsidR="00B86DD5" w:rsidRPr="00820DAF" w:rsidRDefault="00B86DD5" w:rsidP="00292FED">
            <w:pPr>
              <w:rPr>
                <w:rFonts w:cstheme="minorHAnsi"/>
                <w:sz w:val="20"/>
                <w:szCs w:val="20"/>
              </w:rPr>
            </w:pPr>
            <w:r w:rsidRPr="00820DAF">
              <w:rPr>
                <w:rFonts w:cstheme="minorHAnsi"/>
                <w:sz w:val="20"/>
                <w:szCs w:val="20"/>
              </w:rPr>
              <w:t>The inability to visualize the complete transection because of the intact optic nerve sheath is a potential source of variability</w:t>
            </w:r>
            <w:r w:rsidR="00C62906" w:rsidRPr="00820DAF">
              <w:rPr>
                <w:rFonts w:cstheme="minorHAnsi"/>
                <w:sz w:val="20"/>
                <w:szCs w:val="20"/>
              </w:rPr>
              <w:t xml:space="preserve"> and dependent on the completeness of the optic nerve crush</w:t>
            </w:r>
            <w:r w:rsidRPr="00820DAF">
              <w:rPr>
                <w:rFonts w:cstheme="minorHAnsi"/>
                <w:sz w:val="20"/>
                <w:szCs w:val="20"/>
              </w:rPr>
              <w:t xml:space="preserve">. </w:t>
            </w:r>
            <w:r w:rsidR="00C62906" w:rsidRPr="00820DAF">
              <w:rPr>
                <w:rFonts w:cstheme="minorHAnsi"/>
                <w:sz w:val="20"/>
                <w:szCs w:val="20"/>
              </w:rPr>
              <w:t>However, with experience, the success rate of a complete transection is 90-95%.</w:t>
            </w:r>
          </w:p>
        </w:tc>
        <w:tc>
          <w:tcPr>
            <w:tcW w:w="3117" w:type="dxa"/>
            <w:tcBorders>
              <w:bottom w:val="single" w:sz="4" w:space="0" w:color="auto"/>
            </w:tcBorders>
          </w:tcPr>
          <w:p w14:paraId="610208A3" w14:textId="013890F0" w:rsidR="008C63ED" w:rsidRPr="00820DAF" w:rsidRDefault="008C63ED" w:rsidP="008C63ED">
            <w:pPr>
              <w:rPr>
                <w:rFonts w:cstheme="minorHAnsi"/>
                <w:sz w:val="20"/>
                <w:szCs w:val="20"/>
              </w:rPr>
            </w:pPr>
            <w:r w:rsidRPr="00820DAF">
              <w:rPr>
                <w:rFonts w:cstheme="minorHAnsi"/>
                <w:sz w:val="20"/>
                <w:szCs w:val="20"/>
              </w:rPr>
              <w:t>Line 28</w:t>
            </w:r>
            <w:r w:rsidR="000A1F6A" w:rsidRPr="00820DAF">
              <w:rPr>
                <w:rFonts w:cstheme="minorHAnsi"/>
                <w:sz w:val="20"/>
                <w:szCs w:val="20"/>
              </w:rPr>
              <w:t>0</w:t>
            </w:r>
            <w:r w:rsidRPr="00820DAF">
              <w:rPr>
                <w:rFonts w:cstheme="minorHAnsi"/>
                <w:sz w:val="20"/>
                <w:szCs w:val="20"/>
              </w:rPr>
              <w:t>-28</w:t>
            </w:r>
            <w:r w:rsidR="000A1F6A" w:rsidRPr="00820DAF">
              <w:rPr>
                <w:rFonts w:cstheme="minorHAnsi"/>
                <w:sz w:val="20"/>
                <w:szCs w:val="20"/>
              </w:rPr>
              <w:t>2</w:t>
            </w:r>
          </w:p>
          <w:p w14:paraId="68A905C7" w14:textId="1606A47D" w:rsidR="00B86DD5" w:rsidRPr="00820DAF" w:rsidRDefault="00C62906" w:rsidP="00292FED">
            <w:pPr>
              <w:rPr>
                <w:rFonts w:cstheme="minorHAnsi"/>
                <w:sz w:val="20"/>
                <w:szCs w:val="20"/>
              </w:rPr>
            </w:pPr>
            <w:r w:rsidRPr="00820DAF">
              <w:rPr>
                <w:rFonts w:cstheme="minorHAnsi"/>
                <w:sz w:val="20"/>
                <w:szCs w:val="20"/>
              </w:rPr>
              <w:t xml:space="preserve">“During initial phases of training, there is an expected 60-70% success rate of total </w:t>
            </w:r>
            <w:proofErr w:type="spellStart"/>
            <w:r w:rsidRPr="00820DAF">
              <w:rPr>
                <w:rFonts w:cstheme="minorHAnsi"/>
                <w:sz w:val="20"/>
                <w:szCs w:val="20"/>
              </w:rPr>
              <w:t>transection</w:t>
            </w:r>
            <w:proofErr w:type="spellEnd"/>
            <w:r w:rsidRPr="00820DAF">
              <w:rPr>
                <w:rFonts w:cstheme="minorHAnsi"/>
                <w:sz w:val="20"/>
                <w:szCs w:val="20"/>
              </w:rPr>
              <w:t xml:space="preserve">. With experience, the success rate of total </w:t>
            </w:r>
            <w:proofErr w:type="spellStart"/>
            <w:r w:rsidRPr="00820DAF">
              <w:rPr>
                <w:rFonts w:cstheme="minorHAnsi"/>
                <w:sz w:val="20"/>
                <w:szCs w:val="20"/>
              </w:rPr>
              <w:t>transection</w:t>
            </w:r>
            <w:proofErr w:type="spellEnd"/>
            <w:r w:rsidRPr="00820DAF">
              <w:rPr>
                <w:rFonts w:cstheme="minorHAnsi"/>
                <w:sz w:val="20"/>
                <w:szCs w:val="20"/>
              </w:rPr>
              <w:t xml:space="preserve"> is approximately 90-95%.”</w:t>
            </w:r>
          </w:p>
        </w:tc>
      </w:tr>
      <w:tr w:rsidR="004137C5" w:rsidRPr="00820DAF" w14:paraId="59091CDC" w14:textId="77777777" w:rsidTr="008B1A30">
        <w:tc>
          <w:tcPr>
            <w:tcW w:w="3116" w:type="dxa"/>
            <w:tcBorders>
              <w:bottom w:val="single" w:sz="4" w:space="0" w:color="auto"/>
            </w:tcBorders>
          </w:tcPr>
          <w:p w14:paraId="4DDFBB36" w14:textId="1B60DD19" w:rsidR="004137C5" w:rsidRPr="00820DAF" w:rsidRDefault="004137C5" w:rsidP="00292FED">
            <w:pPr>
              <w:rPr>
                <w:rFonts w:cstheme="minorHAnsi"/>
                <w:sz w:val="20"/>
                <w:szCs w:val="20"/>
              </w:rPr>
            </w:pPr>
            <w:r w:rsidRPr="00820DAF">
              <w:rPr>
                <w:rFonts w:cstheme="minorHAnsi"/>
                <w:sz w:val="20"/>
                <w:szCs w:val="20"/>
                <w:shd w:val="clear" w:color="auto" w:fill="FFFFFF"/>
              </w:rPr>
              <w:t>As for statement: 'However, visual cues during the procedure are indicative of a transected nerve'. What are these visual cues that can be used to determine a complete transection?</w:t>
            </w:r>
          </w:p>
        </w:tc>
        <w:tc>
          <w:tcPr>
            <w:tcW w:w="3117" w:type="dxa"/>
            <w:tcBorders>
              <w:bottom w:val="single" w:sz="4" w:space="0" w:color="auto"/>
            </w:tcBorders>
          </w:tcPr>
          <w:p w14:paraId="1B1DF85C" w14:textId="0E78D61A" w:rsidR="004137C5" w:rsidRPr="00820DAF" w:rsidRDefault="003426B3" w:rsidP="00292FED">
            <w:pPr>
              <w:rPr>
                <w:rFonts w:cstheme="minorHAnsi"/>
                <w:sz w:val="20"/>
                <w:szCs w:val="20"/>
              </w:rPr>
            </w:pPr>
            <w:r w:rsidRPr="00820DAF">
              <w:rPr>
                <w:rFonts w:cstheme="minorHAnsi"/>
                <w:sz w:val="20"/>
                <w:szCs w:val="20"/>
              </w:rPr>
              <w:t>Additional details regarding the visual cues and success rates of complete transection provided.</w:t>
            </w:r>
          </w:p>
        </w:tc>
        <w:tc>
          <w:tcPr>
            <w:tcW w:w="3117" w:type="dxa"/>
            <w:tcBorders>
              <w:bottom w:val="single" w:sz="4" w:space="0" w:color="auto"/>
            </w:tcBorders>
          </w:tcPr>
          <w:p w14:paraId="27F0C0B8" w14:textId="78592F3F" w:rsidR="008C63ED" w:rsidRPr="00820DAF" w:rsidRDefault="008C63ED" w:rsidP="00292FED">
            <w:pPr>
              <w:rPr>
                <w:rFonts w:cstheme="minorHAnsi"/>
                <w:sz w:val="20"/>
                <w:szCs w:val="20"/>
              </w:rPr>
            </w:pPr>
            <w:r w:rsidRPr="00820DAF">
              <w:rPr>
                <w:rFonts w:cstheme="minorHAnsi"/>
                <w:sz w:val="20"/>
                <w:szCs w:val="20"/>
              </w:rPr>
              <w:t>Line 5</w:t>
            </w:r>
            <w:r w:rsidR="000A1F6A" w:rsidRPr="00820DAF">
              <w:rPr>
                <w:rFonts w:cstheme="minorHAnsi"/>
                <w:sz w:val="20"/>
                <w:szCs w:val="20"/>
              </w:rPr>
              <w:t>6</w:t>
            </w:r>
            <w:r w:rsidRPr="00820DAF">
              <w:rPr>
                <w:rFonts w:cstheme="minorHAnsi"/>
                <w:sz w:val="20"/>
                <w:szCs w:val="20"/>
              </w:rPr>
              <w:t>-5</w:t>
            </w:r>
            <w:r w:rsidR="000A1F6A" w:rsidRPr="00820DAF">
              <w:rPr>
                <w:rFonts w:cstheme="minorHAnsi"/>
                <w:sz w:val="20"/>
                <w:szCs w:val="20"/>
              </w:rPr>
              <w:t>8</w:t>
            </w:r>
          </w:p>
          <w:p w14:paraId="67CDB0EB" w14:textId="7E85B205" w:rsidR="004137C5" w:rsidRPr="00820DAF" w:rsidRDefault="008208B3" w:rsidP="00292FED">
            <w:pPr>
              <w:rPr>
                <w:rFonts w:cstheme="minorHAnsi"/>
                <w:sz w:val="20"/>
                <w:szCs w:val="20"/>
              </w:rPr>
            </w:pPr>
            <w:r w:rsidRPr="00820DAF">
              <w:rPr>
                <w:rFonts w:cstheme="minorHAnsi"/>
                <w:sz w:val="20"/>
                <w:szCs w:val="20"/>
              </w:rPr>
              <w:t>“However, visual confirmation that the visible portion of the optic nerve has been transected is indicative of a complete optic nerve transection with 90-95% success.”</w:t>
            </w:r>
          </w:p>
        </w:tc>
      </w:tr>
      <w:tr w:rsidR="004137C5" w:rsidRPr="00820DAF" w14:paraId="1BFCE3A0" w14:textId="77777777" w:rsidTr="008B1A30">
        <w:tc>
          <w:tcPr>
            <w:tcW w:w="3116" w:type="dxa"/>
            <w:tcBorders>
              <w:top w:val="single" w:sz="4" w:space="0" w:color="auto"/>
              <w:left w:val="nil"/>
              <w:bottom w:val="single" w:sz="4" w:space="0" w:color="auto"/>
              <w:right w:val="nil"/>
            </w:tcBorders>
          </w:tcPr>
          <w:p w14:paraId="6678FD3D" w14:textId="77777777" w:rsidR="004137C5" w:rsidRPr="00820DAF" w:rsidRDefault="004137C5" w:rsidP="00292FED">
            <w:pPr>
              <w:rPr>
                <w:rFonts w:cstheme="minorHAnsi"/>
                <w:sz w:val="20"/>
                <w:szCs w:val="20"/>
                <w:shd w:val="clear" w:color="auto" w:fill="FFFFFF"/>
              </w:rPr>
            </w:pPr>
          </w:p>
        </w:tc>
        <w:tc>
          <w:tcPr>
            <w:tcW w:w="3117" w:type="dxa"/>
            <w:tcBorders>
              <w:top w:val="single" w:sz="4" w:space="0" w:color="auto"/>
              <w:left w:val="nil"/>
              <w:bottom w:val="single" w:sz="4" w:space="0" w:color="auto"/>
              <w:right w:val="nil"/>
            </w:tcBorders>
          </w:tcPr>
          <w:p w14:paraId="4A9806B2" w14:textId="77777777" w:rsidR="004137C5" w:rsidRPr="00820DAF" w:rsidRDefault="004137C5" w:rsidP="00292FED">
            <w:pPr>
              <w:rPr>
                <w:rFonts w:cstheme="minorHAnsi"/>
                <w:sz w:val="20"/>
                <w:szCs w:val="20"/>
              </w:rPr>
            </w:pPr>
          </w:p>
        </w:tc>
        <w:tc>
          <w:tcPr>
            <w:tcW w:w="3117" w:type="dxa"/>
            <w:tcBorders>
              <w:top w:val="single" w:sz="4" w:space="0" w:color="auto"/>
              <w:left w:val="nil"/>
              <w:bottom w:val="single" w:sz="4" w:space="0" w:color="auto"/>
              <w:right w:val="nil"/>
            </w:tcBorders>
          </w:tcPr>
          <w:p w14:paraId="4545A5F8" w14:textId="77777777" w:rsidR="004137C5" w:rsidRPr="00820DAF" w:rsidRDefault="004137C5" w:rsidP="00292FED">
            <w:pPr>
              <w:rPr>
                <w:rFonts w:cstheme="minorHAnsi"/>
                <w:sz w:val="20"/>
                <w:szCs w:val="20"/>
              </w:rPr>
            </w:pPr>
          </w:p>
        </w:tc>
      </w:tr>
      <w:tr w:rsidR="004137C5" w:rsidRPr="00820DAF" w14:paraId="3BED4CFA" w14:textId="77777777" w:rsidTr="008B1A30">
        <w:tc>
          <w:tcPr>
            <w:tcW w:w="3116" w:type="dxa"/>
            <w:tcBorders>
              <w:top w:val="single" w:sz="4" w:space="0" w:color="auto"/>
            </w:tcBorders>
            <w:shd w:val="clear" w:color="auto" w:fill="BFBFBF" w:themeFill="background1" w:themeFillShade="BF"/>
          </w:tcPr>
          <w:p w14:paraId="42A218A8" w14:textId="58D7A9E1" w:rsidR="004137C5" w:rsidRPr="00820DAF" w:rsidRDefault="004137C5" w:rsidP="00292FED">
            <w:pPr>
              <w:rPr>
                <w:rFonts w:cstheme="minorHAnsi"/>
                <w:sz w:val="20"/>
                <w:szCs w:val="20"/>
                <w:shd w:val="clear" w:color="auto" w:fill="FFFFFF"/>
              </w:rPr>
            </w:pPr>
            <w:r w:rsidRPr="00820DAF">
              <w:rPr>
                <w:rFonts w:cstheme="minorHAnsi"/>
                <w:sz w:val="20"/>
                <w:szCs w:val="20"/>
              </w:rPr>
              <w:t>Reviewer #4 Comments</w:t>
            </w:r>
          </w:p>
        </w:tc>
        <w:tc>
          <w:tcPr>
            <w:tcW w:w="3117" w:type="dxa"/>
            <w:tcBorders>
              <w:top w:val="single" w:sz="4" w:space="0" w:color="auto"/>
            </w:tcBorders>
            <w:shd w:val="clear" w:color="auto" w:fill="BFBFBF" w:themeFill="background1" w:themeFillShade="BF"/>
          </w:tcPr>
          <w:p w14:paraId="5F98BABF" w14:textId="5266F234" w:rsidR="004137C5" w:rsidRPr="00820DAF" w:rsidRDefault="004137C5" w:rsidP="00292FED">
            <w:pPr>
              <w:rPr>
                <w:rFonts w:cstheme="minorHAnsi"/>
                <w:sz w:val="20"/>
                <w:szCs w:val="20"/>
              </w:rPr>
            </w:pPr>
            <w:r w:rsidRPr="00820DAF">
              <w:rPr>
                <w:rFonts w:cstheme="minorHAnsi"/>
                <w:sz w:val="20"/>
                <w:szCs w:val="20"/>
              </w:rPr>
              <w:t>Author Comments</w:t>
            </w:r>
          </w:p>
        </w:tc>
        <w:tc>
          <w:tcPr>
            <w:tcW w:w="3117" w:type="dxa"/>
            <w:tcBorders>
              <w:top w:val="single" w:sz="4" w:space="0" w:color="auto"/>
            </w:tcBorders>
            <w:shd w:val="clear" w:color="auto" w:fill="BFBFBF" w:themeFill="background1" w:themeFillShade="BF"/>
          </w:tcPr>
          <w:p w14:paraId="014129CD" w14:textId="52668823" w:rsidR="004137C5" w:rsidRPr="00820DAF" w:rsidRDefault="004137C5" w:rsidP="00292FED">
            <w:pPr>
              <w:rPr>
                <w:rFonts w:cstheme="minorHAnsi"/>
                <w:sz w:val="20"/>
                <w:szCs w:val="20"/>
              </w:rPr>
            </w:pPr>
            <w:r w:rsidRPr="00820DAF">
              <w:rPr>
                <w:rFonts w:cstheme="minorHAnsi"/>
                <w:sz w:val="20"/>
                <w:szCs w:val="20"/>
              </w:rPr>
              <w:t>Manuscript Changes</w:t>
            </w:r>
          </w:p>
        </w:tc>
      </w:tr>
      <w:tr w:rsidR="004137C5" w:rsidRPr="00820DAF" w14:paraId="61A53175" w14:textId="77777777" w:rsidTr="00F67155">
        <w:tc>
          <w:tcPr>
            <w:tcW w:w="3116" w:type="dxa"/>
          </w:tcPr>
          <w:p w14:paraId="4FC174F1" w14:textId="74750995" w:rsidR="004137C5" w:rsidRPr="00820DAF" w:rsidRDefault="004137C5" w:rsidP="00292FED">
            <w:pPr>
              <w:rPr>
                <w:rFonts w:cstheme="minorHAnsi"/>
                <w:sz w:val="20"/>
                <w:szCs w:val="20"/>
              </w:rPr>
            </w:pPr>
            <w:r w:rsidRPr="00820DAF">
              <w:rPr>
                <w:rFonts w:cstheme="minorHAnsi"/>
                <w:sz w:val="20"/>
                <w:szCs w:val="20"/>
                <w:shd w:val="clear" w:color="auto" w:fill="FFFFFF"/>
              </w:rPr>
              <w:t xml:space="preserve">I am concerned whether the gap between the axonal stumps in Fig4 would </w:t>
            </w:r>
            <w:proofErr w:type="gramStart"/>
            <w:r w:rsidRPr="00820DAF">
              <w:rPr>
                <w:rFonts w:cstheme="minorHAnsi"/>
                <w:sz w:val="20"/>
                <w:szCs w:val="20"/>
                <w:shd w:val="clear" w:color="auto" w:fill="FFFFFF"/>
              </w:rPr>
              <w:t>actually allow</w:t>
            </w:r>
            <w:proofErr w:type="gramEnd"/>
            <w:r w:rsidRPr="00820DAF">
              <w:rPr>
                <w:rFonts w:cstheme="minorHAnsi"/>
                <w:sz w:val="20"/>
                <w:szCs w:val="20"/>
                <w:shd w:val="clear" w:color="auto" w:fill="FFFFFF"/>
              </w:rPr>
              <w:t xml:space="preserve"> regeneration studies. Authors should address whether the gap is a punctual effect due cell graft or an experimental issue.</w:t>
            </w:r>
          </w:p>
        </w:tc>
        <w:tc>
          <w:tcPr>
            <w:tcW w:w="3117" w:type="dxa"/>
          </w:tcPr>
          <w:p w14:paraId="4BB02C79" w14:textId="4D53824E" w:rsidR="004137C5" w:rsidRPr="00820DAF" w:rsidRDefault="003426B3" w:rsidP="00292FED">
            <w:pPr>
              <w:rPr>
                <w:rFonts w:cstheme="minorHAnsi"/>
                <w:sz w:val="20"/>
                <w:szCs w:val="20"/>
              </w:rPr>
            </w:pPr>
            <w:r w:rsidRPr="00820DAF">
              <w:rPr>
                <w:rFonts w:cstheme="minorHAnsi"/>
                <w:sz w:val="20"/>
                <w:szCs w:val="20"/>
              </w:rPr>
              <w:t xml:space="preserve">The gap observed in Fig. </w:t>
            </w:r>
            <w:r w:rsidR="00C02A6D" w:rsidRPr="00820DAF">
              <w:rPr>
                <w:rFonts w:cstheme="minorHAnsi"/>
                <w:sz w:val="20"/>
                <w:szCs w:val="20"/>
              </w:rPr>
              <w:t>5</w:t>
            </w:r>
            <w:r w:rsidRPr="00820DAF">
              <w:rPr>
                <w:rFonts w:cstheme="minorHAnsi"/>
                <w:sz w:val="20"/>
                <w:szCs w:val="20"/>
              </w:rPr>
              <w:t xml:space="preserve"> is a function of the cell graft. Gross dissection of optic nerves that have undergone this transection </w:t>
            </w:r>
            <w:r w:rsidR="00C178C6" w:rsidRPr="00820DAF">
              <w:rPr>
                <w:rFonts w:cstheme="minorHAnsi"/>
                <w:sz w:val="20"/>
                <w:szCs w:val="20"/>
              </w:rPr>
              <w:t xml:space="preserve">method </w:t>
            </w:r>
            <w:r w:rsidRPr="00820DAF">
              <w:rPr>
                <w:rFonts w:cstheme="minorHAnsi"/>
                <w:sz w:val="20"/>
                <w:szCs w:val="20"/>
              </w:rPr>
              <w:t xml:space="preserve">demonstrate that the transected nerve stumps </w:t>
            </w:r>
            <w:r w:rsidR="00C178C6" w:rsidRPr="00820DAF">
              <w:rPr>
                <w:rFonts w:cstheme="minorHAnsi"/>
                <w:sz w:val="20"/>
                <w:szCs w:val="20"/>
              </w:rPr>
              <w:t xml:space="preserve">are </w:t>
            </w:r>
            <w:proofErr w:type="spellStart"/>
            <w:r w:rsidR="00C178C6" w:rsidRPr="00820DAF">
              <w:rPr>
                <w:rFonts w:cstheme="minorHAnsi"/>
                <w:sz w:val="20"/>
                <w:szCs w:val="20"/>
              </w:rPr>
              <w:t>reapposed</w:t>
            </w:r>
            <w:proofErr w:type="spellEnd"/>
            <w:r w:rsidR="00C178C6" w:rsidRPr="00820DAF">
              <w:rPr>
                <w:rFonts w:cstheme="minorHAnsi"/>
                <w:sz w:val="20"/>
                <w:szCs w:val="20"/>
              </w:rPr>
              <w:t xml:space="preserve"> without any physical gap. Additionally, DAPI staining of cell nuclei in Fig. 3 demonstrates </w:t>
            </w:r>
            <w:proofErr w:type="gramStart"/>
            <w:r w:rsidR="00C178C6" w:rsidRPr="00820DAF">
              <w:rPr>
                <w:rFonts w:cstheme="minorHAnsi"/>
                <w:sz w:val="20"/>
                <w:szCs w:val="20"/>
              </w:rPr>
              <w:t>a number of</w:t>
            </w:r>
            <w:proofErr w:type="gramEnd"/>
            <w:r w:rsidR="00C178C6" w:rsidRPr="00820DAF">
              <w:rPr>
                <w:rFonts w:cstheme="minorHAnsi"/>
                <w:sz w:val="20"/>
                <w:szCs w:val="20"/>
              </w:rPr>
              <w:t xml:space="preserve"> cells occupying the “gap” seen with GFAP staining. Cellularity within the lesion site emphasized in Fig. 3 caption.</w:t>
            </w:r>
            <w:r w:rsidR="00C02A6D" w:rsidRPr="00820DAF">
              <w:rPr>
                <w:rFonts w:cstheme="minorHAnsi"/>
                <w:sz w:val="20"/>
                <w:szCs w:val="20"/>
              </w:rPr>
              <w:t xml:space="preserve"> Additionally, CTB tracing of axons in Fig. 4 demonstrates CTB immunoreactivity within the lesion site.</w:t>
            </w:r>
          </w:p>
        </w:tc>
        <w:tc>
          <w:tcPr>
            <w:tcW w:w="3117" w:type="dxa"/>
          </w:tcPr>
          <w:p w14:paraId="16E8B4F6" w14:textId="3599FD0D" w:rsidR="008C63ED" w:rsidRPr="00820DAF" w:rsidRDefault="008C63ED" w:rsidP="00292FED">
            <w:pPr>
              <w:rPr>
                <w:rFonts w:cstheme="minorHAnsi"/>
                <w:sz w:val="20"/>
                <w:szCs w:val="20"/>
              </w:rPr>
            </w:pPr>
            <w:r w:rsidRPr="00820DAF">
              <w:rPr>
                <w:rFonts w:cstheme="minorHAnsi"/>
                <w:sz w:val="20"/>
                <w:szCs w:val="20"/>
              </w:rPr>
              <w:t>Line 3</w:t>
            </w:r>
            <w:r w:rsidR="000A1F6A" w:rsidRPr="00820DAF">
              <w:rPr>
                <w:rFonts w:cstheme="minorHAnsi"/>
                <w:sz w:val="20"/>
                <w:szCs w:val="20"/>
              </w:rPr>
              <w:t>09</w:t>
            </w:r>
            <w:r w:rsidRPr="00820DAF">
              <w:rPr>
                <w:rFonts w:cstheme="minorHAnsi"/>
                <w:sz w:val="20"/>
                <w:szCs w:val="20"/>
              </w:rPr>
              <w:t>-31</w:t>
            </w:r>
            <w:r w:rsidR="000A1F6A" w:rsidRPr="00820DAF">
              <w:rPr>
                <w:rFonts w:cstheme="minorHAnsi"/>
                <w:sz w:val="20"/>
                <w:szCs w:val="20"/>
              </w:rPr>
              <w:t>2</w:t>
            </w:r>
          </w:p>
          <w:p w14:paraId="40A6FF84" w14:textId="492E791A" w:rsidR="004137C5" w:rsidRPr="00820DAF" w:rsidRDefault="0022189C" w:rsidP="00292FED">
            <w:pPr>
              <w:rPr>
                <w:rFonts w:cstheme="minorHAnsi"/>
                <w:sz w:val="20"/>
                <w:szCs w:val="20"/>
              </w:rPr>
            </w:pPr>
            <w:r w:rsidRPr="00820DAF">
              <w:rPr>
                <w:rFonts w:cstheme="minorHAnsi"/>
                <w:b/>
                <w:bCs/>
                <w:sz w:val="20"/>
                <w:szCs w:val="20"/>
              </w:rPr>
              <w:t>“(A, D, G)</w:t>
            </w:r>
            <w:r w:rsidRPr="00820DAF">
              <w:rPr>
                <w:rFonts w:cstheme="minorHAnsi"/>
                <w:sz w:val="20"/>
                <w:szCs w:val="20"/>
              </w:rPr>
              <w:t xml:space="preserve"> Immunolabelling for glial fibrillary acidic protein (GFAP) delineates an extensive lesion that involves the entire diameter of the optic nerve while </w:t>
            </w:r>
            <w:r w:rsidRPr="00820DAF">
              <w:rPr>
                <w:rFonts w:cstheme="minorHAnsi"/>
                <w:b/>
                <w:bCs/>
                <w:sz w:val="20"/>
                <w:szCs w:val="20"/>
              </w:rPr>
              <w:t xml:space="preserve">(B, E, H) </w:t>
            </w:r>
            <w:r w:rsidRPr="00820DAF">
              <w:rPr>
                <w:rFonts w:cstheme="minorHAnsi"/>
                <w:sz w:val="20"/>
                <w:szCs w:val="20"/>
              </w:rPr>
              <w:t>DNA labelling with 4′,6-diamidino-2-phenylindole (DAPI) demonstrates contiguous cellularity along the length of the optic nerve and within the lesion site.”</w:t>
            </w:r>
          </w:p>
        </w:tc>
      </w:tr>
      <w:tr w:rsidR="004137C5" w:rsidRPr="00820DAF" w14:paraId="1F6D30FA" w14:textId="77777777" w:rsidTr="00F67155">
        <w:tc>
          <w:tcPr>
            <w:tcW w:w="3116" w:type="dxa"/>
          </w:tcPr>
          <w:p w14:paraId="2FB6183B" w14:textId="291B5C14" w:rsidR="004137C5" w:rsidRPr="00820DAF" w:rsidRDefault="004137C5" w:rsidP="00292FED">
            <w:pPr>
              <w:rPr>
                <w:rFonts w:cstheme="minorHAnsi"/>
                <w:sz w:val="20"/>
                <w:szCs w:val="20"/>
              </w:rPr>
            </w:pPr>
            <w:r w:rsidRPr="00820DAF">
              <w:rPr>
                <w:rFonts w:cstheme="minorHAnsi"/>
                <w:sz w:val="20"/>
                <w:szCs w:val="20"/>
                <w:shd w:val="clear" w:color="auto" w:fill="FFFFFF"/>
              </w:rPr>
              <w:t>The authors should consider providing quantified information regarding the extension of the injury and RGC loss.</w:t>
            </w:r>
          </w:p>
        </w:tc>
        <w:tc>
          <w:tcPr>
            <w:tcW w:w="3117" w:type="dxa"/>
          </w:tcPr>
          <w:p w14:paraId="77CC4B13" w14:textId="5C038751" w:rsidR="004137C5" w:rsidRPr="00820DAF" w:rsidRDefault="00273CC7" w:rsidP="00292FED">
            <w:pPr>
              <w:rPr>
                <w:rFonts w:cstheme="minorHAnsi"/>
                <w:sz w:val="20"/>
                <w:szCs w:val="20"/>
              </w:rPr>
            </w:pPr>
            <w:r w:rsidRPr="00820DAF">
              <w:rPr>
                <w:rFonts w:cstheme="minorHAnsi"/>
                <w:sz w:val="20"/>
                <w:szCs w:val="20"/>
              </w:rPr>
              <w:t>Quantification of RGC loss included in Representative Results.</w:t>
            </w:r>
          </w:p>
        </w:tc>
        <w:tc>
          <w:tcPr>
            <w:tcW w:w="3117" w:type="dxa"/>
          </w:tcPr>
          <w:p w14:paraId="73690838" w14:textId="52EFC6EA" w:rsidR="004137C5" w:rsidRPr="00820DAF" w:rsidRDefault="00273CC7" w:rsidP="00292FED">
            <w:pPr>
              <w:rPr>
                <w:rFonts w:cstheme="minorHAnsi"/>
                <w:sz w:val="20"/>
                <w:szCs w:val="20"/>
              </w:rPr>
            </w:pPr>
            <w:r w:rsidRPr="00820DAF">
              <w:rPr>
                <w:rFonts w:cstheme="minorHAnsi"/>
                <w:sz w:val="20"/>
                <w:szCs w:val="20"/>
              </w:rPr>
              <w:t>See Figure  2.</w:t>
            </w:r>
          </w:p>
        </w:tc>
      </w:tr>
      <w:tr w:rsidR="004137C5" w:rsidRPr="00820DAF" w14:paraId="6F12D557" w14:textId="77777777" w:rsidTr="00F67155">
        <w:tc>
          <w:tcPr>
            <w:tcW w:w="3116" w:type="dxa"/>
          </w:tcPr>
          <w:p w14:paraId="35F2D968" w14:textId="78C569DA" w:rsidR="004137C5" w:rsidRPr="00820DAF" w:rsidRDefault="004137C5" w:rsidP="00292FED">
            <w:pPr>
              <w:rPr>
                <w:rFonts w:cstheme="minorHAnsi"/>
                <w:sz w:val="20"/>
                <w:szCs w:val="20"/>
              </w:rPr>
            </w:pPr>
            <w:r w:rsidRPr="00820DAF">
              <w:rPr>
                <w:rFonts w:cstheme="minorHAnsi"/>
                <w:sz w:val="20"/>
                <w:szCs w:val="20"/>
                <w:shd w:val="clear" w:color="auto" w:fill="FFFFFF"/>
              </w:rPr>
              <w:t>In lines 252-254 a few words are probably missing</w:t>
            </w:r>
          </w:p>
        </w:tc>
        <w:tc>
          <w:tcPr>
            <w:tcW w:w="3117" w:type="dxa"/>
          </w:tcPr>
          <w:p w14:paraId="408B4C6A" w14:textId="5C805096" w:rsidR="004137C5" w:rsidRPr="00820DAF" w:rsidRDefault="00273CC7" w:rsidP="00292FED">
            <w:pPr>
              <w:rPr>
                <w:rFonts w:cstheme="minorHAnsi"/>
                <w:sz w:val="20"/>
                <w:szCs w:val="20"/>
              </w:rPr>
            </w:pPr>
            <w:r w:rsidRPr="00820DAF">
              <w:rPr>
                <w:rFonts w:cstheme="minorHAnsi"/>
                <w:sz w:val="20"/>
                <w:szCs w:val="20"/>
              </w:rPr>
              <w:t xml:space="preserve">Thank you for the correction.  </w:t>
            </w:r>
          </w:p>
        </w:tc>
        <w:tc>
          <w:tcPr>
            <w:tcW w:w="3117" w:type="dxa"/>
          </w:tcPr>
          <w:p w14:paraId="336A81AF" w14:textId="1C9ACDB1" w:rsidR="008C63ED" w:rsidRPr="00820DAF" w:rsidRDefault="008C63ED" w:rsidP="00292FED">
            <w:pPr>
              <w:rPr>
                <w:rFonts w:cstheme="minorHAnsi"/>
                <w:sz w:val="20"/>
                <w:szCs w:val="20"/>
              </w:rPr>
            </w:pPr>
            <w:r w:rsidRPr="00820DAF">
              <w:rPr>
                <w:rFonts w:cstheme="minorHAnsi"/>
                <w:sz w:val="20"/>
                <w:szCs w:val="20"/>
              </w:rPr>
              <w:t>Line 2</w:t>
            </w:r>
            <w:r w:rsidR="000A1F6A" w:rsidRPr="00820DAF">
              <w:rPr>
                <w:rFonts w:cstheme="minorHAnsi"/>
                <w:sz w:val="20"/>
                <w:szCs w:val="20"/>
              </w:rPr>
              <w:t>69</w:t>
            </w:r>
            <w:r w:rsidRPr="00820DAF">
              <w:rPr>
                <w:rFonts w:cstheme="minorHAnsi"/>
                <w:sz w:val="20"/>
                <w:szCs w:val="20"/>
              </w:rPr>
              <w:t>-27</w:t>
            </w:r>
            <w:r w:rsidR="000A1F6A" w:rsidRPr="00820DAF">
              <w:rPr>
                <w:rFonts w:cstheme="minorHAnsi"/>
                <w:sz w:val="20"/>
                <w:szCs w:val="20"/>
              </w:rPr>
              <w:t>0</w:t>
            </w:r>
          </w:p>
          <w:p w14:paraId="3AFF4BFC" w14:textId="0E281997" w:rsidR="004137C5" w:rsidRPr="00820DAF" w:rsidRDefault="0082262B" w:rsidP="00292FED">
            <w:pPr>
              <w:rPr>
                <w:rFonts w:cstheme="minorHAnsi"/>
                <w:sz w:val="20"/>
                <w:szCs w:val="20"/>
              </w:rPr>
            </w:pPr>
            <w:r w:rsidRPr="00820DAF">
              <w:rPr>
                <w:rFonts w:cstheme="minorHAnsi"/>
                <w:sz w:val="20"/>
                <w:szCs w:val="20"/>
              </w:rPr>
              <w:t>“</w:t>
            </w:r>
            <w:r w:rsidR="00273CC7" w:rsidRPr="00820DAF">
              <w:rPr>
                <w:rFonts w:cstheme="minorHAnsi"/>
                <w:sz w:val="20"/>
                <w:szCs w:val="20"/>
              </w:rPr>
              <w:t>The described technique transects the optic nerve while maintaining the optic nerve sheath integrity (Figure 1).</w:t>
            </w:r>
            <w:r w:rsidRPr="00820DAF">
              <w:rPr>
                <w:rFonts w:cstheme="minorHAnsi"/>
                <w:sz w:val="20"/>
                <w:szCs w:val="20"/>
              </w:rPr>
              <w:t>”</w:t>
            </w:r>
          </w:p>
        </w:tc>
      </w:tr>
    </w:tbl>
    <w:p w14:paraId="265F7D19" w14:textId="13E39D77" w:rsidR="00747906" w:rsidRPr="00820DAF" w:rsidRDefault="00747906" w:rsidP="00292FED">
      <w:pPr>
        <w:rPr>
          <w:rFonts w:cstheme="minorHAnsi"/>
          <w:sz w:val="20"/>
          <w:szCs w:val="20"/>
        </w:rPr>
      </w:pPr>
    </w:p>
    <w:sectPr w:rsidR="00747906" w:rsidRPr="00820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55"/>
    <w:rsid w:val="000A0C25"/>
    <w:rsid w:val="000A1F6A"/>
    <w:rsid w:val="000A3E1F"/>
    <w:rsid w:val="00106C72"/>
    <w:rsid w:val="00122C49"/>
    <w:rsid w:val="00203303"/>
    <w:rsid w:val="0022189C"/>
    <w:rsid w:val="002261C9"/>
    <w:rsid w:val="00260B91"/>
    <w:rsid w:val="00273CC7"/>
    <w:rsid w:val="00292FED"/>
    <w:rsid w:val="003426B3"/>
    <w:rsid w:val="003D73FC"/>
    <w:rsid w:val="004137C5"/>
    <w:rsid w:val="0045627E"/>
    <w:rsid w:val="005504BF"/>
    <w:rsid w:val="0056459B"/>
    <w:rsid w:val="00651945"/>
    <w:rsid w:val="0066663A"/>
    <w:rsid w:val="00715DF1"/>
    <w:rsid w:val="00724639"/>
    <w:rsid w:val="00747906"/>
    <w:rsid w:val="007530AC"/>
    <w:rsid w:val="0076015D"/>
    <w:rsid w:val="007C0789"/>
    <w:rsid w:val="008208B3"/>
    <w:rsid w:val="00820DAF"/>
    <w:rsid w:val="0082262B"/>
    <w:rsid w:val="008710D9"/>
    <w:rsid w:val="008805EE"/>
    <w:rsid w:val="008B1A30"/>
    <w:rsid w:val="008C63ED"/>
    <w:rsid w:val="008E3526"/>
    <w:rsid w:val="00A3128A"/>
    <w:rsid w:val="00A81D3F"/>
    <w:rsid w:val="00B32484"/>
    <w:rsid w:val="00B86DD5"/>
    <w:rsid w:val="00C02A6D"/>
    <w:rsid w:val="00C178C6"/>
    <w:rsid w:val="00C62906"/>
    <w:rsid w:val="00CF5786"/>
    <w:rsid w:val="00D07FDC"/>
    <w:rsid w:val="00D54399"/>
    <w:rsid w:val="00D97126"/>
    <w:rsid w:val="00E02DF9"/>
    <w:rsid w:val="00E036F7"/>
    <w:rsid w:val="00E03B8E"/>
    <w:rsid w:val="00E50054"/>
    <w:rsid w:val="00F02B47"/>
    <w:rsid w:val="00F0732B"/>
    <w:rsid w:val="00F41026"/>
    <w:rsid w:val="00F67155"/>
    <w:rsid w:val="00FD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BEFE6"/>
  <w14:defaultImageDpi w14:val="32767"/>
  <w15:chartTrackingRefBased/>
  <w15:docId w15:val="{EDC9C079-2193-496B-BE71-5C2B6BCD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7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03303"/>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C02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A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1546</TotalTime>
  <Pages>5</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Jiun</dc:creator>
  <cp:keywords/>
  <dc:description/>
  <cp:lastModifiedBy>Do, Jiun</cp:lastModifiedBy>
  <cp:revision>11</cp:revision>
  <dcterms:created xsi:type="dcterms:W3CDTF">2020-07-24T20:31:00Z</dcterms:created>
  <dcterms:modified xsi:type="dcterms:W3CDTF">2020-07-31T20:00:00Z</dcterms:modified>
</cp:coreProperties>
</file>