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6F39850E" w:rsidR="006305D7" w:rsidRPr="00CD42FA" w:rsidRDefault="006305D7" w:rsidP="005C35E4">
      <w:pPr>
        <w:pStyle w:val="NormalWeb"/>
        <w:spacing w:before="0" w:beforeAutospacing="0" w:after="0" w:afterAutospacing="0"/>
        <w:rPr>
          <w:color w:val="auto"/>
        </w:rPr>
      </w:pPr>
      <w:r w:rsidRPr="00CD42FA">
        <w:rPr>
          <w:b/>
          <w:bCs/>
          <w:color w:val="auto"/>
        </w:rPr>
        <w:t>TITLE:</w:t>
      </w:r>
      <w:r w:rsidRPr="00CD42FA">
        <w:rPr>
          <w:color w:val="auto"/>
        </w:rPr>
        <w:t xml:space="preserve">  </w:t>
      </w:r>
    </w:p>
    <w:p w14:paraId="79AACAFA" w14:textId="6F1E8981" w:rsidR="00945878" w:rsidRPr="00CD42FA" w:rsidRDefault="00945878" w:rsidP="005C35E4">
      <w:pPr>
        <w:jc w:val="both"/>
        <w:rPr>
          <w:rFonts w:ascii="Calibri" w:hAnsi="Calibri" w:cs="Calibri"/>
          <w:bCs/>
          <w:lang w:val="en-US"/>
        </w:rPr>
      </w:pPr>
      <w:r w:rsidRPr="00CD42FA">
        <w:rPr>
          <w:rFonts w:ascii="Calibri" w:hAnsi="Calibri" w:cs="Calibri"/>
          <w:bCs/>
          <w:lang w:val="en-US"/>
        </w:rPr>
        <w:t xml:space="preserve">Live </w:t>
      </w:r>
      <w:r w:rsidR="004C76E6" w:rsidRPr="00CD42FA">
        <w:rPr>
          <w:rFonts w:ascii="Calibri" w:hAnsi="Calibri" w:cs="Calibri"/>
          <w:bCs/>
          <w:lang w:val="en-US"/>
        </w:rPr>
        <w:t>I</w:t>
      </w:r>
      <w:r w:rsidRPr="00CD42FA">
        <w:rPr>
          <w:rFonts w:ascii="Calibri" w:hAnsi="Calibri" w:cs="Calibri"/>
          <w:bCs/>
          <w:lang w:val="en-US"/>
        </w:rPr>
        <w:t xml:space="preserve">maging of </w:t>
      </w:r>
      <w:r w:rsidR="004C76E6" w:rsidRPr="00CD42FA">
        <w:rPr>
          <w:rFonts w:ascii="Calibri" w:hAnsi="Calibri" w:cs="Calibri"/>
          <w:bCs/>
          <w:lang w:val="en-US"/>
        </w:rPr>
        <w:t>C</w:t>
      </w:r>
      <w:r w:rsidR="0044524E" w:rsidRPr="00CD42FA">
        <w:rPr>
          <w:rFonts w:ascii="Calibri" w:hAnsi="Calibri" w:cs="Calibri"/>
          <w:bCs/>
          <w:lang w:val="en-US"/>
        </w:rPr>
        <w:t>hemokine</w:t>
      </w:r>
      <w:r w:rsidRPr="00CD42FA">
        <w:rPr>
          <w:rFonts w:ascii="Calibri" w:hAnsi="Calibri" w:cs="Calibri"/>
          <w:bCs/>
          <w:lang w:val="en-US"/>
        </w:rPr>
        <w:t xml:space="preserve"> </w:t>
      </w:r>
      <w:r w:rsidR="004C76E6" w:rsidRPr="00CD42FA">
        <w:rPr>
          <w:rFonts w:ascii="Calibri" w:hAnsi="Calibri" w:cs="Calibri"/>
          <w:bCs/>
          <w:lang w:val="en-US"/>
        </w:rPr>
        <w:t>R</w:t>
      </w:r>
      <w:r w:rsidRPr="00CD42FA">
        <w:rPr>
          <w:rFonts w:ascii="Calibri" w:hAnsi="Calibri" w:cs="Calibri"/>
          <w:bCs/>
          <w:lang w:val="en-US"/>
        </w:rPr>
        <w:t xml:space="preserve">eceptors in </w:t>
      </w:r>
      <w:r w:rsidR="004C76E6" w:rsidRPr="00CD42FA">
        <w:rPr>
          <w:rFonts w:ascii="Calibri" w:hAnsi="Calibri" w:cs="Calibri"/>
          <w:bCs/>
          <w:lang w:val="en-US"/>
        </w:rPr>
        <w:t>Z</w:t>
      </w:r>
      <w:r w:rsidRPr="00CD42FA">
        <w:rPr>
          <w:rFonts w:ascii="Calibri" w:hAnsi="Calibri" w:cs="Calibri"/>
          <w:bCs/>
          <w:lang w:val="en-US"/>
        </w:rPr>
        <w:t xml:space="preserve">ebrafish </w:t>
      </w:r>
      <w:r w:rsidR="004C76E6" w:rsidRPr="00CD42FA">
        <w:rPr>
          <w:rFonts w:ascii="Calibri" w:hAnsi="Calibri" w:cs="Calibri"/>
          <w:bCs/>
          <w:lang w:val="en-US"/>
        </w:rPr>
        <w:t>N</w:t>
      </w:r>
      <w:r w:rsidR="0044524E" w:rsidRPr="00CD42FA">
        <w:rPr>
          <w:rFonts w:ascii="Calibri" w:hAnsi="Calibri" w:cs="Calibri"/>
          <w:bCs/>
          <w:lang w:val="en-US"/>
        </w:rPr>
        <w:t>eutrophil</w:t>
      </w:r>
      <w:r w:rsidRPr="00CD42FA">
        <w:rPr>
          <w:rFonts w:ascii="Calibri" w:hAnsi="Calibri" w:cs="Calibri"/>
          <w:bCs/>
          <w:lang w:val="en-US"/>
        </w:rPr>
        <w:t xml:space="preserve">s </w:t>
      </w:r>
      <w:r w:rsidR="00337403">
        <w:rPr>
          <w:rFonts w:ascii="Calibri" w:hAnsi="Calibri" w:cs="Calibri"/>
          <w:bCs/>
          <w:lang w:val="en-US"/>
        </w:rPr>
        <w:t>Du</w:t>
      </w:r>
      <w:r w:rsidRPr="00CD42FA">
        <w:rPr>
          <w:rFonts w:ascii="Calibri" w:hAnsi="Calibri" w:cs="Calibri"/>
          <w:bCs/>
          <w:lang w:val="en-US"/>
        </w:rPr>
        <w:t xml:space="preserve">ring </w:t>
      </w:r>
      <w:r w:rsidR="004C76E6" w:rsidRPr="00CD42FA">
        <w:rPr>
          <w:rFonts w:ascii="Calibri" w:hAnsi="Calibri" w:cs="Calibri"/>
          <w:bCs/>
          <w:lang w:val="en-US"/>
        </w:rPr>
        <w:t>W</w:t>
      </w:r>
      <w:r w:rsidRPr="00CD42FA">
        <w:rPr>
          <w:rFonts w:ascii="Calibri" w:hAnsi="Calibri" w:cs="Calibri"/>
          <w:bCs/>
          <w:lang w:val="en-US"/>
        </w:rPr>
        <w:t xml:space="preserve">ound </w:t>
      </w:r>
      <w:r w:rsidR="004C76E6" w:rsidRPr="00CD42FA">
        <w:rPr>
          <w:rFonts w:ascii="Calibri" w:hAnsi="Calibri" w:cs="Calibri"/>
          <w:bCs/>
          <w:lang w:val="en-US"/>
        </w:rPr>
        <w:t>R</w:t>
      </w:r>
      <w:r w:rsidRPr="00CD42FA">
        <w:rPr>
          <w:rFonts w:ascii="Calibri" w:hAnsi="Calibri" w:cs="Calibri"/>
          <w:bCs/>
          <w:lang w:val="en-US"/>
        </w:rPr>
        <w:t>esponses</w:t>
      </w:r>
    </w:p>
    <w:p w14:paraId="2E300B21" w14:textId="77777777" w:rsidR="007A4DD6" w:rsidRPr="00CD42FA" w:rsidRDefault="007A4DD6" w:rsidP="005C35E4">
      <w:pPr>
        <w:jc w:val="both"/>
        <w:rPr>
          <w:rFonts w:ascii="Calibri" w:hAnsi="Calibri" w:cs="Calibri"/>
          <w:b/>
          <w:bCs/>
          <w:lang w:val="en-US"/>
        </w:rPr>
      </w:pPr>
    </w:p>
    <w:p w14:paraId="32B171D0" w14:textId="1D28A471" w:rsidR="007A4DD6" w:rsidRPr="00CD42FA" w:rsidRDefault="006305D7" w:rsidP="005C35E4">
      <w:pPr>
        <w:jc w:val="both"/>
        <w:rPr>
          <w:rFonts w:ascii="Calibri" w:hAnsi="Calibri" w:cs="Calibri"/>
          <w:bCs/>
          <w:lang w:val="en-US"/>
        </w:rPr>
      </w:pPr>
      <w:r w:rsidRPr="00CD42FA">
        <w:rPr>
          <w:rFonts w:ascii="Calibri" w:hAnsi="Calibri" w:cs="Calibri"/>
          <w:b/>
          <w:bCs/>
          <w:lang w:val="en-US"/>
        </w:rPr>
        <w:t>AUTHORS</w:t>
      </w:r>
      <w:r w:rsidR="000B662E" w:rsidRPr="00CD42FA">
        <w:rPr>
          <w:rFonts w:ascii="Calibri" w:hAnsi="Calibri" w:cs="Calibri"/>
          <w:b/>
          <w:bCs/>
          <w:lang w:val="en-US"/>
        </w:rPr>
        <w:t xml:space="preserve"> </w:t>
      </w:r>
      <w:r w:rsidR="00086FF5" w:rsidRPr="00CD42FA">
        <w:rPr>
          <w:rFonts w:ascii="Calibri" w:hAnsi="Calibri" w:cs="Calibri"/>
          <w:b/>
          <w:bCs/>
          <w:lang w:val="en-US"/>
        </w:rPr>
        <w:t xml:space="preserve">AND </w:t>
      </w:r>
      <w:r w:rsidR="000B662E" w:rsidRPr="00CD42FA">
        <w:rPr>
          <w:rFonts w:ascii="Calibri" w:hAnsi="Calibri" w:cs="Calibri"/>
          <w:b/>
          <w:bCs/>
          <w:lang w:val="en-US"/>
        </w:rPr>
        <w:t>AFFILIATIONS</w:t>
      </w:r>
      <w:r w:rsidRPr="00CD42FA">
        <w:rPr>
          <w:rFonts w:ascii="Calibri" w:hAnsi="Calibri" w:cs="Calibri"/>
          <w:b/>
          <w:bCs/>
          <w:lang w:val="en-US"/>
        </w:rPr>
        <w:t xml:space="preserve">: </w:t>
      </w:r>
    </w:p>
    <w:p w14:paraId="561AD0AB" w14:textId="77777777" w:rsidR="005F4A8E" w:rsidRPr="00CD42FA" w:rsidRDefault="005F4A8E" w:rsidP="005C35E4">
      <w:pPr>
        <w:pStyle w:val="NoSpacing"/>
        <w:jc w:val="both"/>
        <w:rPr>
          <w:rFonts w:ascii="Calibri" w:hAnsi="Calibri" w:cs="Calibri"/>
          <w:vertAlign w:val="superscript"/>
          <w:lang w:val="en-US"/>
        </w:rPr>
      </w:pPr>
      <w:r w:rsidRPr="00CD42FA">
        <w:rPr>
          <w:rFonts w:ascii="Calibri" w:hAnsi="Calibri" w:cs="Calibri"/>
          <w:lang w:val="en-US"/>
        </w:rPr>
        <w:t>Antonios Georgantzoglou</w:t>
      </w:r>
      <w:r w:rsidRPr="00CD42FA">
        <w:rPr>
          <w:rFonts w:ascii="Calibri" w:hAnsi="Calibri" w:cs="Calibri"/>
          <w:vertAlign w:val="superscript"/>
          <w:lang w:val="en-US"/>
        </w:rPr>
        <w:t>1</w:t>
      </w:r>
      <w:r w:rsidRPr="00CD42FA">
        <w:rPr>
          <w:rFonts w:ascii="Calibri" w:hAnsi="Calibri" w:cs="Calibri"/>
          <w:lang w:val="en-US"/>
        </w:rPr>
        <w:t>, Caroline Coombs</w:t>
      </w:r>
      <w:r w:rsidRPr="00CD42FA">
        <w:rPr>
          <w:rFonts w:ascii="Calibri" w:hAnsi="Calibri" w:cs="Calibri"/>
          <w:vertAlign w:val="superscript"/>
          <w:lang w:val="en-US"/>
        </w:rPr>
        <w:t>1</w:t>
      </w:r>
      <w:r w:rsidRPr="00CD42FA">
        <w:rPr>
          <w:rFonts w:ascii="Calibri" w:hAnsi="Calibri" w:cs="Calibri"/>
          <w:lang w:val="en-US"/>
        </w:rPr>
        <w:t>, Hugo Poplimont</w:t>
      </w:r>
      <w:r w:rsidRPr="00CD42FA">
        <w:rPr>
          <w:rFonts w:ascii="Calibri" w:hAnsi="Calibri" w:cs="Calibri"/>
          <w:vertAlign w:val="superscript"/>
          <w:lang w:val="en-US"/>
        </w:rPr>
        <w:t>1*</w:t>
      </w:r>
      <w:r w:rsidRPr="00CD42FA">
        <w:rPr>
          <w:rFonts w:ascii="Calibri" w:hAnsi="Calibri" w:cs="Calibri"/>
          <w:lang w:val="en-US"/>
        </w:rPr>
        <w:t>, Hazel A. Walker</w:t>
      </w:r>
      <w:r w:rsidRPr="00CD42FA">
        <w:rPr>
          <w:rFonts w:ascii="Calibri" w:hAnsi="Calibri" w:cs="Calibri"/>
          <w:vertAlign w:val="superscript"/>
          <w:lang w:val="en-US"/>
        </w:rPr>
        <w:t>1*</w:t>
      </w:r>
      <w:r w:rsidRPr="00CD42FA">
        <w:rPr>
          <w:rFonts w:ascii="Calibri" w:hAnsi="Calibri" w:cs="Calibri"/>
          <w:lang w:val="en-US"/>
        </w:rPr>
        <w:t>, Milka Sarris</w:t>
      </w:r>
      <w:r w:rsidRPr="00CD42FA">
        <w:rPr>
          <w:rFonts w:ascii="Calibri" w:hAnsi="Calibri" w:cs="Calibri"/>
          <w:vertAlign w:val="superscript"/>
          <w:lang w:val="en-US"/>
        </w:rPr>
        <w:t>1</w:t>
      </w:r>
    </w:p>
    <w:p w14:paraId="5DC40610" w14:textId="77777777" w:rsidR="005F4A8E" w:rsidRPr="00CD42FA" w:rsidRDefault="005F4A8E" w:rsidP="005C35E4">
      <w:pPr>
        <w:pStyle w:val="NoSpacing"/>
        <w:jc w:val="both"/>
        <w:rPr>
          <w:rFonts w:ascii="Calibri" w:hAnsi="Calibri" w:cs="Calibri"/>
          <w:vertAlign w:val="superscript"/>
          <w:lang w:val="en-US"/>
        </w:rPr>
      </w:pPr>
    </w:p>
    <w:p w14:paraId="44297AC4" w14:textId="77777777" w:rsidR="005F4A8E" w:rsidRPr="00CD42FA" w:rsidRDefault="005F4A8E" w:rsidP="005C35E4">
      <w:pPr>
        <w:pStyle w:val="NoSpacing"/>
        <w:jc w:val="both"/>
        <w:rPr>
          <w:rFonts w:ascii="Calibri" w:hAnsi="Calibri" w:cs="Calibri"/>
          <w:lang w:val="en-US"/>
        </w:rPr>
      </w:pPr>
      <w:r w:rsidRPr="00CD42FA">
        <w:rPr>
          <w:rFonts w:ascii="Calibri" w:hAnsi="Calibri" w:cs="Calibri"/>
          <w:vertAlign w:val="superscript"/>
          <w:lang w:val="en-US"/>
        </w:rPr>
        <w:t>1</w:t>
      </w:r>
      <w:r w:rsidRPr="00CD42FA">
        <w:rPr>
          <w:rFonts w:ascii="Calibri" w:hAnsi="Calibri" w:cs="Calibri"/>
          <w:lang w:val="en-US"/>
        </w:rPr>
        <w:t>University of Cambridge, Department of Physiology, Development and Neuroscience, Downing Site, Cambridge, UK</w:t>
      </w:r>
    </w:p>
    <w:p w14:paraId="06577AB6" w14:textId="77777777" w:rsidR="005F4A8E" w:rsidRPr="00CD42FA" w:rsidRDefault="005F4A8E" w:rsidP="005C35E4">
      <w:pPr>
        <w:pStyle w:val="NoSpacing"/>
        <w:jc w:val="both"/>
        <w:rPr>
          <w:rFonts w:ascii="Calibri" w:hAnsi="Calibri" w:cs="Calibri"/>
          <w:lang w:val="en-US"/>
        </w:rPr>
      </w:pPr>
    </w:p>
    <w:p w14:paraId="650B52DC" w14:textId="77777777" w:rsidR="005F4A8E" w:rsidRPr="00CD42FA" w:rsidRDefault="005F4A8E" w:rsidP="005C35E4">
      <w:pPr>
        <w:pStyle w:val="NoSpacing"/>
        <w:jc w:val="both"/>
        <w:rPr>
          <w:rFonts w:ascii="Calibri" w:hAnsi="Calibri" w:cs="Calibri"/>
          <w:lang w:val="en-US"/>
        </w:rPr>
      </w:pPr>
      <w:r w:rsidRPr="00CD42FA">
        <w:rPr>
          <w:rFonts w:ascii="Calibri" w:hAnsi="Calibri" w:cs="Calibri"/>
          <w:vertAlign w:val="superscript"/>
          <w:lang w:val="en-US"/>
        </w:rPr>
        <w:t>*</w:t>
      </w:r>
      <w:r w:rsidRPr="00CD42FA">
        <w:rPr>
          <w:rFonts w:ascii="Calibri" w:hAnsi="Calibri" w:cs="Calibri"/>
          <w:lang w:val="en-US"/>
        </w:rPr>
        <w:t>These authors contributed equally</w:t>
      </w:r>
    </w:p>
    <w:p w14:paraId="167298F1" w14:textId="77777777" w:rsidR="004C76E6" w:rsidRPr="00CD42FA" w:rsidRDefault="004C76E6" w:rsidP="005C35E4">
      <w:pPr>
        <w:pStyle w:val="NoSpacing"/>
        <w:jc w:val="both"/>
        <w:rPr>
          <w:rFonts w:ascii="Calibri" w:hAnsi="Calibri" w:cs="Calibri"/>
          <w:lang w:val="en-US"/>
        </w:rPr>
      </w:pPr>
    </w:p>
    <w:p w14:paraId="35036C31" w14:textId="77777777" w:rsidR="004C76E6" w:rsidRPr="00CD42FA" w:rsidRDefault="00956246" w:rsidP="005C35E4">
      <w:pPr>
        <w:pStyle w:val="NoSpacing"/>
        <w:jc w:val="both"/>
        <w:rPr>
          <w:rFonts w:ascii="Calibri" w:hAnsi="Calibri" w:cs="Calibri"/>
          <w:lang w:val="en-US"/>
        </w:rPr>
      </w:pPr>
      <w:r w:rsidRPr="00CD42FA">
        <w:rPr>
          <w:rFonts w:ascii="Calibri" w:hAnsi="Calibri" w:cs="Calibri"/>
          <w:lang w:val="en-US"/>
        </w:rPr>
        <w:t>Correspond</w:t>
      </w:r>
      <w:r w:rsidR="004C76E6" w:rsidRPr="00CD42FA">
        <w:rPr>
          <w:rFonts w:ascii="Calibri" w:hAnsi="Calibri" w:cs="Calibri"/>
          <w:lang w:val="en-US"/>
        </w:rPr>
        <w:t>ing Author</w:t>
      </w:r>
      <w:r w:rsidRPr="00CD42FA">
        <w:rPr>
          <w:rFonts w:ascii="Calibri" w:hAnsi="Calibri" w:cs="Calibri"/>
          <w:lang w:val="en-US"/>
        </w:rPr>
        <w:t xml:space="preserve">: </w:t>
      </w:r>
    </w:p>
    <w:p w14:paraId="1A8F669B" w14:textId="5AE48591" w:rsidR="000D4262" w:rsidRPr="00CD42FA" w:rsidRDefault="00956246" w:rsidP="005C35E4">
      <w:pPr>
        <w:pStyle w:val="NoSpacing"/>
        <w:jc w:val="both"/>
        <w:rPr>
          <w:rFonts w:ascii="Calibri" w:hAnsi="Calibri" w:cs="Calibri"/>
          <w:u w:color="0000FF"/>
          <w:lang w:val="en-US"/>
        </w:rPr>
      </w:pPr>
      <w:r w:rsidRPr="00CD42FA">
        <w:rPr>
          <w:rFonts w:ascii="Calibri" w:hAnsi="Calibri" w:cs="Calibri"/>
          <w:lang w:val="en-US"/>
        </w:rPr>
        <w:t xml:space="preserve">Milka Sarris </w:t>
      </w:r>
      <w:r w:rsidR="004C76E6" w:rsidRPr="00CD42FA">
        <w:rPr>
          <w:rFonts w:ascii="Calibri" w:hAnsi="Calibri" w:cs="Calibri"/>
          <w:lang w:val="en-US"/>
        </w:rPr>
        <w:tab/>
      </w:r>
      <w:r w:rsidR="00CD42FA" w:rsidRPr="00CD42FA">
        <w:rPr>
          <w:rFonts w:ascii="Calibri" w:hAnsi="Calibri" w:cs="Calibri"/>
          <w:lang w:val="en-US"/>
        </w:rPr>
        <w:tab/>
      </w:r>
      <w:r w:rsidR="00CD42FA" w:rsidRPr="00CD42FA">
        <w:rPr>
          <w:rFonts w:ascii="Calibri" w:hAnsi="Calibri" w:cs="Calibri"/>
          <w:lang w:val="en-US"/>
        </w:rPr>
        <w:tab/>
      </w:r>
      <w:r w:rsidRPr="00CD42FA">
        <w:rPr>
          <w:rFonts w:ascii="Calibri" w:hAnsi="Calibri" w:cs="Calibri"/>
          <w:lang w:val="en-US"/>
        </w:rPr>
        <w:t>(</w:t>
      </w:r>
      <w:hyperlink r:id="rId7" w:history="1">
        <w:r w:rsidRPr="00CD42FA">
          <w:rPr>
            <w:rFonts w:ascii="Calibri" w:hAnsi="Calibri" w:cs="Calibri"/>
            <w:u w:color="000099"/>
            <w:lang w:val="en-US"/>
          </w:rPr>
          <w:t>ms543@cam.ac.uk</w:t>
        </w:r>
      </w:hyperlink>
      <w:r w:rsidRPr="00CD42FA">
        <w:rPr>
          <w:rFonts w:ascii="Calibri" w:hAnsi="Calibri" w:cs="Calibri"/>
          <w:u w:color="0000FF"/>
          <w:lang w:val="en-US"/>
        </w:rPr>
        <w:t>)</w:t>
      </w:r>
    </w:p>
    <w:p w14:paraId="68DD0AF2" w14:textId="2AE6CAA1" w:rsidR="005C35E4" w:rsidRPr="00CD42FA" w:rsidRDefault="005C35E4" w:rsidP="005C35E4">
      <w:pPr>
        <w:pStyle w:val="NoSpacing"/>
        <w:jc w:val="both"/>
        <w:rPr>
          <w:rFonts w:ascii="Calibri" w:hAnsi="Calibri" w:cs="Calibri"/>
          <w:u w:color="0000FF"/>
          <w:lang w:val="en-US"/>
        </w:rPr>
      </w:pPr>
    </w:p>
    <w:p w14:paraId="72F85C79" w14:textId="2C35C90E" w:rsidR="005C35E4" w:rsidRPr="00CD42FA" w:rsidRDefault="005C35E4" w:rsidP="00CD42FA">
      <w:pPr>
        <w:rPr>
          <w:rFonts w:ascii="Calibri" w:hAnsi="Calibri" w:cs="Calibri"/>
        </w:rPr>
      </w:pPr>
      <w:r w:rsidRPr="00CD42FA">
        <w:rPr>
          <w:rFonts w:ascii="Calibri" w:hAnsi="Calibri" w:cs="Calibri"/>
          <w:u w:color="0000FF"/>
          <w:lang w:val="en-US"/>
        </w:rPr>
        <w:t xml:space="preserve">Email </w:t>
      </w:r>
      <w:r w:rsidRPr="00CD42FA">
        <w:rPr>
          <w:rFonts w:ascii="Calibri" w:hAnsi="Calibri" w:cs="Calibri"/>
        </w:rPr>
        <w:t>addresses of Co-Authors:</w:t>
      </w:r>
    </w:p>
    <w:p w14:paraId="266EECB0" w14:textId="73A4C7F0" w:rsidR="005C35E4" w:rsidRPr="00CD42FA" w:rsidRDefault="00CD42FA" w:rsidP="00CD42FA">
      <w:pPr>
        <w:rPr>
          <w:rFonts w:ascii="Calibri" w:hAnsi="Calibri" w:cs="Calibri"/>
        </w:rPr>
      </w:pPr>
      <w:r w:rsidRPr="00CD42FA">
        <w:rPr>
          <w:rFonts w:ascii="Calibri" w:hAnsi="Calibri" w:cs="Calibri"/>
        </w:rPr>
        <w:t xml:space="preserve">Antonios Georgantzoglou </w:t>
      </w:r>
      <w:r w:rsidRPr="00CD42FA">
        <w:rPr>
          <w:rFonts w:ascii="Calibri" w:hAnsi="Calibri" w:cs="Calibri"/>
        </w:rPr>
        <w:tab/>
        <w:t>(ag718@cam.ac.uk)</w:t>
      </w:r>
    </w:p>
    <w:p w14:paraId="60FCB589" w14:textId="158B3E46" w:rsidR="00D04A95" w:rsidRPr="00CD42FA" w:rsidRDefault="00CD42FA" w:rsidP="00CD42FA">
      <w:pPr>
        <w:rPr>
          <w:rFonts w:ascii="Calibri" w:hAnsi="Calibri" w:cs="Calibri"/>
        </w:rPr>
      </w:pPr>
      <w:r w:rsidRPr="00CD42FA">
        <w:rPr>
          <w:rFonts w:ascii="Calibri" w:hAnsi="Calibri" w:cs="Calibri"/>
        </w:rPr>
        <w:t xml:space="preserve">Caroline Coombs </w:t>
      </w:r>
      <w:r w:rsidRPr="00CD42FA">
        <w:rPr>
          <w:rFonts w:ascii="Calibri" w:hAnsi="Calibri" w:cs="Calibri"/>
        </w:rPr>
        <w:tab/>
      </w:r>
      <w:r w:rsidRPr="00CD42FA">
        <w:rPr>
          <w:rFonts w:ascii="Calibri" w:hAnsi="Calibri" w:cs="Calibri"/>
        </w:rPr>
        <w:tab/>
        <w:t>(carolinegc@hotmail.co.uk)</w:t>
      </w:r>
    </w:p>
    <w:p w14:paraId="1A618F69" w14:textId="67668823" w:rsidR="00CD42FA" w:rsidRPr="00CD42FA" w:rsidRDefault="00CD42FA" w:rsidP="00CD42FA">
      <w:pPr>
        <w:rPr>
          <w:rFonts w:ascii="Calibri" w:hAnsi="Calibri" w:cs="Calibri"/>
        </w:rPr>
      </w:pPr>
      <w:r w:rsidRPr="00CD42FA">
        <w:rPr>
          <w:rFonts w:ascii="Calibri" w:hAnsi="Calibri" w:cs="Calibri"/>
        </w:rPr>
        <w:t xml:space="preserve">Hugo Poplimont </w:t>
      </w:r>
      <w:r w:rsidRPr="00CD42FA">
        <w:rPr>
          <w:rFonts w:ascii="Calibri" w:hAnsi="Calibri" w:cs="Calibri"/>
        </w:rPr>
        <w:tab/>
      </w:r>
      <w:r w:rsidRPr="00CD42FA">
        <w:rPr>
          <w:rFonts w:ascii="Calibri" w:hAnsi="Calibri" w:cs="Calibri"/>
        </w:rPr>
        <w:tab/>
        <w:t>(hcgp2@cam.ac.uk)</w:t>
      </w:r>
    </w:p>
    <w:p w14:paraId="692DC7D9" w14:textId="0F34B3AC" w:rsidR="00CD42FA" w:rsidRPr="00CD42FA" w:rsidRDefault="00CD42FA" w:rsidP="00CD42FA">
      <w:pPr>
        <w:rPr>
          <w:rFonts w:ascii="Calibri" w:hAnsi="Calibri" w:cs="Calibri"/>
        </w:rPr>
      </w:pPr>
      <w:r w:rsidRPr="00CD42FA">
        <w:rPr>
          <w:rFonts w:ascii="Calibri" w:hAnsi="Calibri" w:cs="Calibri"/>
        </w:rPr>
        <w:t xml:space="preserve">Hazel A. Walker </w:t>
      </w:r>
      <w:r w:rsidRPr="00CD42FA">
        <w:rPr>
          <w:rFonts w:ascii="Calibri" w:hAnsi="Calibri" w:cs="Calibri"/>
        </w:rPr>
        <w:tab/>
      </w:r>
      <w:r w:rsidRPr="00CD42FA">
        <w:rPr>
          <w:rFonts w:ascii="Calibri" w:hAnsi="Calibri" w:cs="Calibri"/>
        </w:rPr>
        <w:tab/>
        <w:t>(haw36@cam.ac.uk)</w:t>
      </w:r>
    </w:p>
    <w:p w14:paraId="55CD59C8" w14:textId="77777777" w:rsidR="00CD42FA" w:rsidRPr="00CD42FA" w:rsidRDefault="00CD42FA" w:rsidP="005C35E4">
      <w:pPr>
        <w:jc w:val="both"/>
        <w:rPr>
          <w:rFonts w:ascii="Calibri" w:hAnsi="Calibri" w:cs="Calibri"/>
          <w:bCs/>
          <w:lang w:val="en-US"/>
        </w:rPr>
      </w:pPr>
    </w:p>
    <w:p w14:paraId="71B79AC9" w14:textId="267DE32F" w:rsidR="006305D7" w:rsidRPr="00CD42FA" w:rsidRDefault="006305D7" w:rsidP="005C35E4">
      <w:pPr>
        <w:pStyle w:val="NormalWeb"/>
        <w:spacing w:before="0" w:beforeAutospacing="0" w:after="0" w:afterAutospacing="0"/>
        <w:rPr>
          <w:color w:val="auto"/>
        </w:rPr>
      </w:pPr>
      <w:r w:rsidRPr="00CD42FA">
        <w:rPr>
          <w:b/>
          <w:bCs/>
          <w:color w:val="auto"/>
        </w:rPr>
        <w:t>KEYWORDS:</w:t>
      </w:r>
      <w:r w:rsidRPr="00CD42FA">
        <w:rPr>
          <w:color w:val="auto"/>
        </w:rPr>
        <w:t xml:space="preserve"> </w:t>
      </w:r>
    </w:p>
    <w:p w14:paraId="6C0B0781" w14:textId="1B9152CB" w:rsidR="007A4DD6" w:rsidRPr="00CD42FA" w:rsidRDefault="004C76E6" w:rsidP="005C35E4">
      <w:pPr>
        <w:jc w:val="both"/>
        <w:rPr>
          <w:rFonts w:ascii="Calibri" w:hAnsi="Calibri" w:cs="Calibri"/>
          <w:lang w:val="en-US"/>
        </w:rPr>
      </w:pPr>
      <w:r w:rsidRPr="00CD42FA">
        <w:rPr>
          <w:rFonts w:ascii="Calibri" w:hAnsi="Calibri" w:cs="Calibri"/>
          <w:lang w:val="en-US"/>
        </w:rPr>
        <w:t>z</w:t>
      </w:r>
      <w:r w:rsidR="00945878" w:rsidRPr="00CD42FA">
        <w:rPr>
          <w:rFonts w:ascii="Calibri" w:hAnsi="Calibri" w:cs="Calibri"/>
          <w:lang w:val="en-US"/>
        </w:rPr>
        <w:t>ebrafish, chemokine, neutrophil, wound, imaging</w:t>
      </w:r>
      <w:r w:rsidR="00B43FC6" w:rsidRPr="00CD42FA">
        <w:rPr>
          <w:rFonts w:ascii="Calibri" w:hAnsi="Calibri" w:cs="Calibri"/>
          <w:lang w:val="en-US"/>
        </w:rPr>
        <w:t>, microscopy</w:t>
      </w:r>
    </w:p>
    <w:p w14:paraId="1CB4E390" w14:textId="77777777" w:rsidR="006305D7" w:rsidRPr="00CD42FA" w:rsidRDefault="006305D7" w:rsidP="005C35E4">
      <w:pPr>
        <w:pStyle w:val="NormalWeb"/>
        <w:spacing w:before="0" w:beforeAutospacing="0" w:after="0" w:afterAutospacing="0"/>
        <w:rPr>
          <w:color w:val="auto"/>
        </w:rPr>
      </w:pPr>
    </w:p>
    <w:p w14:paraId="628AC4B5" w14:textId="46F41ED1" w:rsidR="006305D7" w:rsidRPr="00CD42FA" w:rsidRDefault="00086FF5" w:rsidP="005C35E4">
      <w:pPr>
        <w:jc w:val="both"/>
        <w:rPr>
          <w:rFonts w:ascii="Calibri" w:hAnsi="Calibri" w:cs="Calibri"/>
          <w:lang w:val="en-US"/>
        </w:rPr>
      </w:pPr>
      <w:r w:rsidRPr="00CD42FA">
        <w:rPr>
          <w:rFonts w:ascii="Calibri" w:hAnsi="Calibri" w:cs="Calibri"/>
          <w:b/>
          <w:bCs/>
          <w:lang w:val="en-US"/>
        </w:rPr>
        <w:t>SUMMARY</w:t>
      </w:r>
      <w:r w:rsidR="006305D7" w:rsidRPr="00CD42FA">
        <w:rPr>
          <w:rFonts w:ascii="Calibri" w:hAnsi="Calibri" w:cs="Calibri"/>
          <w:b/>
          <w:bCs/>
          <w:lang w:val="en-US"/>
        </w:rPr>
        <w:t>:</w:t>
      </w:r>
      <w:r w:rsidR="006305D7" w:rsidRPr="00CD42FA">
        <w:rPr>
          <w:rFonts w:ascii="Calibri" w:hAnsi="Calibri" w:cs="Calibri"/>
          <w:lang w:val="en-US"/>
        </w:rPr>
        <w:t xml:space="preserve"> </w:t>
      </w:r>
    </w:p>
    <w:p w14:paraId="3C7EFE8D" w14:textId="173EEDF4" w:rsidR="009F2AAD" w:rsidRPr="00CD42FA" w:rsidRDefault="009F2AAD" w:rsidP="005C35E4">
      <w:pPr>
        <w:jc w:val="both"/>
        <w:rPr>
          <w:rFonts w:ascii="Calibri" w:hAnsi="Calibri" w:cs="Calibri"/>
          <w:lang w:val="en-US"/>
        </w:rPr>
      </w:pPr>
      <w:r w:rsidRPr="00CD42FA">
        <w:rPr>
          <w:rFonts w:ascii="Calibri" w:hAnsi="Calibri" w:cs="Calibri"/>
          <w:lang w:val="en-US"/>
        </w:rPr>
        <w:t>Here we describe protocols to perform live imaging and quantitative analysis of chemoattractant receptor dynamics in zebrafish neutrophils</w:t>
      </w:r>
    </w:p>
    <w:p w14:paraId="761028D6" w14:textId="77777777" w:rsidR="006305D7" w:rsidRPr="00CD42FA" w:rsidRDefault="006305D7" w:rsidP="005C35E4">
      <w:pPr>
        <w:jc w:val="both"/>
        <w:rPr>
          <w:rFonts w:ascii="Calibri" w:hAnsi="Calibri" w:cs="Calibri"/>
          <w:lang w:val="en-US"/>
        </w:rPr>
      </w:pPr>
    </w:p>
    <w:p w14:paraId="64FB8590" w14:textId="5D78E77C" w:rsidR="006305D7" w:rsidRPr="00CD42FA" w:rsidRDefault="006305D7" w:rsidP="005C35E4">
      <w:pPr>
        <w:jc w:val="both"/>
        <w:rPr>
          <w:rFonts w:ascii="Calibri" w:hAnsi="Calibri" w:cs="Calibri"/>
          <w:lang w:val="en-US"/>
        </w:rPr>
      </w:pPr>
      <w:r w:rsidRPr="00CD42FA">
        <w:rPr>
          <w:rFonts w:ascii="Calibri" w:hAnsi="Calibri" w:cs="Calibri"/>
          <w:b/>
          <w:bCs/>
          <w:lang w:val="en-US"/>
        </w:rPr>
        <w:t>ABSTRACT:</w:t>
      </w:r>
      <w:r w:rsidRPr="00CD42FA">
        <w:rPr>
          <w:rFonts w:ascii="Calibri" w:hAnsi="Calibri" w:cs="Calibri"/>
          <w:lang w:val="en-US"/>
        </w:rPr>
        <w:t xml:space="preserve"> </w:t>
      </w:r>
    </w:p>
    <w:p w14:paraId="69D456B9" w14:textId="34C66649" w:rsidR="007A4DD6" w:rsidRPr="00CD42FA" w:rsidRDefault="009F2AAD" w:rsidP="005C35E4">
      <w:pPr>
        <w:jc w:val="both"/>
        <w:rPr>
          <w:rFonts w:ascii="Calibri" w:hAnsi="Calibri" w:cs="Calibri"/>
          <w:lang w:val="en-US"/>
        </w:rPr>
      </w:pPr>
      <w:r w:rsidRPr="00CD42FA">
        <w:rPr>
          <w:rFonts w:ascii="Calibri" w:hAnsi="Calibri" w:cs="Calibri"/>
          <w:lang w:val="en-US"/>
        </w:rPr>
        <w:t xml:space="preserve">Leukocyte guidance by chemical gradients </w:t>
      </w:r>
      <w:r w:rsidR="00B43FC6" w:rsidRPr="00CD42FA">
        <w:rPr>
          <w:rFonts w:ascii="Calibri" w:hAnsi="Calibri" w:cs="Calibri"/>
          <w:lang w:val="en-US"/>
        </w:rPr>
        <w:t xml:space="preserve">is essential for </w:t>
      </w:r>
      <w:r w:rsidRPr="00CD42FA">
        <w:rPr>
          <w:rFonts w:ascii="Calibri" w:hAnsi="Calibri" w:cs="Calibri"/>
          <w:lang w:val="en-US"/>
        </w:rPr>
        <w:t xml:space="preserve">immune responses. Neutrophils are the first cells to be recruited </w:t>
      </w:r>
      <w:r w:rsidR="000A5BBD" w:rsidRPr="00CD42FA">
        <w:rPr>
          <w:rFonts w:ascii="Calibri" w:hAnsi="Calibri" w:cs="Calibri"/>
          <w:lang w:val="en-US"/>
        </w:rPr>
        <w:t>to</w:t>
      </w:r>
      <w:r w:rsidRPr="00CD42FA">
        <w:rPr>
          <w:rFonts w:ascii="Calibri" w:hAnsi="Calibri" w:cs="Calibri"/>
          <w:lang w:val="en-US"/>
        </w:rPr>
        <w:t xml:space="preserve"> site</w:t>
      </w:r>
      <w:r w:rsidR="000A5BBD" w:rsidRPr="00CD42FA">
        <w:rPr>
          <w:rFonts w:ascii="Calibri" w:hAnsi="Calibri" w:cs="Calibri"/>
          <w:lang w:val="en-US"/>
        </w:rPr>
        <w:t>s</w:t>
      </w:r>
      <w:r w:rsidRPr="00CD42FA">
        <w:rPr>
          <w:rFonts w:ascii="Calibri" w:hAnsi="Calibri" w:cs="Calibri"/>
          <w:lang w:val="en-US"/>
        </w:rPr>
        <w:t xml:space="preserve"> of tissue damage where they execute crucial antimicrobial functions.</w:t>
      </w:r>
      <w:r w:rsidR="00980479" w:rsidRPr="00CD42FA">
        <w:rPr>
          <w:rFonts w:ascii="Calibri" w:hAnsi="Calibri" w:cs="Calibri"/>
          <w:lang w:val="en-US"/>
        </w:rPr>
        <w:t xml:space="preserve"> </w:t>
      </w:r>
      <w:r w:rsidRPr="00CD42FA">
        <w:rPr>
          <w:rFonts w:ascii="Calibri" w:hAnsi="Calibri" w:cs="Calibri"/>
          <w:lang w:val="en-US"/>
        </w:rPr>
        <w:t xml:space="preserve">Their trafficking to these loci is orchestrated by </w:t>
      </w:r>
      <w:r w:rsidR="00E707C3" w:rsidRPr="00CD42FA">
        <w:rPr>
          <w:rFonts w:ascii="Calibri" w:hAnsi="Calibri" w:cs="Calibri"/>
          <w:lang w:val="en-US"/>
        </w:rPr>
        <w:t>several</w:t>
      </w:r>
      <w:r w:rsidRPr="00CD42FA">
        <w:rPr>
          <w:rFonts w:ascii="Calibri" w:hAnsi="Calibri" w:cs="Calibri"/>
          <w:lang w:val="en-US"/>
        </w:rPr>
        <w:t xml:space="preserve"> inflammatory chemoattractant, </w:t>
      </w:r>
      <w:r w:rsidR="005231FC" w:rsidRPr="00CD42FA">
        <w:rPr>
          <w:rFonts w:ascii="Calibri" w:hAnsi="Calibri" w:cs="Calibri"/>
          <w:lang w:val="en-US"/>
        </w:rPr>
        <w:t>including</w:t>
      </w:r>
      <w:r w:rsidRPr="00CD42FA">
        <w:rPr>
          <w:rFonts w:ascii="Calibri" w:hAnsi="Calibri" w:cs="Calibri"/>
          <w:lang w:val="en-US"/>
        </w:rPr>
        <w:t xml:space="preserve"> chemokines. At the molecular level, chemoattractant signaling is regulated by the intracellular trafficking of the corresponding receptors. However, it remains unclear how subcellular changes in </w:t>
      </w:r>
      <w:r w:rsidR="009040AF" w:rsidRPr="00CD42FA">
        <w:rPr>
          <w:rFonts w:ascii="Calibri" w:hAnsi="Calibri" w:cs="Calibri"/>
          <w:lang w:val="en-US"/>
        </w:rPr>
        <w:t xml:space="preserve">chemokine </w:t>
      </w:r>
      <w:r w:rsidRPr="00CD42FA">
        <w:rPr>
          <w:rFonts w:ascii="Calibri" w:hAnsi="Calibri" w:cs="Calibri"/>
          <w:lang w:val="en-US"/>
        </w:rPr>
        <w:t>receptor</w:t>
      </w:r>
      <w:r w:rsidR="001466C7" w:rsidRPr="00CD42FA">
        <w:rPr>
          <w:rFonts w:ascii="Calibri" w:hAnsi="Calibri" w:cs="Calibri"/>
          <w:lang w:val="en-US"/>
        </w:rPr>
        <w:t>s</w:t>
      </w:r>
      <w:r w:rsidRPr="00CD42FA">
        <w:rPr>
          <w:rFonts w:ascii="Calibri" w:hAnsi="Calibri" w:cs="Calibri"/>
          <w:lang w:val="en-US"/>
        </w:rPr>
        <w:t xml:space="preserve"> affect leukocyte migration dynamics at the cell and tissue </w:t>
      </w:r>
      <w:r w:rsidR="004C76E6" w:rsidRPr="00CD42FA">
        <w:rPr>
          <w:rFonts w:ascii="Calibri" w:hAnsi="Calibri" w:cs="Calibri"/>
          <w:lang w:val="en-US"/>
        </w:rPr>
        <w:t>level</w:t>
      </w:r>
      <w:r w:rsidRPr="00CD42FA">
        <w:rPr>
          <w:rFonts w:ascii="Calibri" w:hAnsi="Calibri" w:cs="Calibri"/>
          <w:lang w:val="en-US"/>
        </w:rPr>
        <w:t>. Here we describe a metho</w:t>
      </w:r>
      <w:r w:rsidR="005231FC" w:rsidRPr="00CD42FA">
        <w:rPr>
          <w:rFonts w:ascii="Calibri" w:hAnsi="Calibri" w:cs="Calibri"/>
          <w:lang w:val="en-US"/>
        </w:rPr>
        <w:t>do</w:t>
      </w:r>
      <w:r w:rsidRPr="00CD42FA">
        <w:rPr>
          <w:rFonts w:ascii="Calibri" w:hAnsi="Calibri" w:cs="Calibri"/>
          <w:lang w:val="en-US"/>
        </w:rPr>
        <w:t xml:space="preserve">logy </w:t>
      </w:r>
      <w:r w:rsidR="009040AF" w:rsidRPr="00CD42FA">
        <w:rPr>
          <w:rFonts w:ascii="Calibri" w:hAnsi="Calibri" w:cs="Calibri"/>
          <w:lang w:val="en-US"/>
        </w:rPr>
        <w:t>for live</w:t>
      </w:r>
      <w:r w:rsidRPr="00CD42FA">
        <w:rPr>
          <w:rFonts w:ascii="Calibri" w:hAnsi="Calibri" w:cs="Calibri"/>
          <w:lang w:val="en-US"/>
        </w:rPr>
        <w:t xml:space="preserve"> imaging and </w:t>
      </w:r>
      <w:r w:rsidR="009040AF" w:rsidRPr="00CD42FA">
        <w:rPr>
          <w:rFonts w:ascii="Calibri" w:hAnsi="Calibri" w:cs="Calibri"/>
          <w:lang w:val="en-US"/>
        </w:rPr>
        <w:t>quantitative analysis of</w:t>
      </w:r>
      <w:r w:rsidRPr="00CD42FA">
        <w:rPr>
          <w:rFonts w:ascii="Calibri" w:hAnsi="Calibri" w:cs="Calibri"/>
          <w:lang w:val="en-US"/>
        </w:rPr>
        <w:t xml:space="preserve"> chemokine receptor dynamics in neutrophils </w:t>
      </w:r>
      <w:r w:rsidR="004C76E6" w:rsidRPr="00CD42FA">
        <w:rPr>
          <w:rFonts w:ascii="Calibri" w:hAnsi="Calibri" w:cs="Calibri"/>
          <w:lang w:val="en-US"/>
        </w:rPr>
        <w:t>during</w:t>
      </w:r>
      <w:r w:rsidRPr="00CD42FA">
        <w:rPr>
          <w:rFonts w:ascii="Calibri" w:hAnsi="Calibri" w:cs="Calibri"/>
          <w:lang w:val="en-US"/>
        </w:rPr>
        <w:t xml:space="preserve"> inflammatory responses to tissue damage. These tools </w:t>
      </w:r>
      <w:r w:rsidR="009040AF" w:rsidRPr="00CD42FA">
        <w:rPr>
          <w:rFonts w:ascii="Calibri" w:hAnsi="Calibri" w:cs="Calibri"/>
          <w:lang w:val="en-US"/>
        </w:rPr>
        <w:t xml:space="preserve">have </w:t>
      </w:r>
      <w:r w:rsidRPr="00CD42FA">
        <w:rPr>
          <w:rFonts w:ascii="Calibri" w:hAnsi="Calibri" w:cs="Calibri"/>
          <w:lang w:val="en-US"/>
        </w:rPr>
        <w:t>revealed that</w:t>
      </w:r>
      <w:r w:rsidR="009040AF" w:rsidRPr="00CD42FA">
        <w:rPr>
          <w:rFonts w:ascii="Calibri" w:hAnsi="Calibri" w:cs="Calibri"/>
          <w:lang w:val="en-US"/>
        </w:rPr>
        <w:t xml:space="preserve"> differential chemokine receptor trafficking in zebrafish neutrophils coordinates neutrophil clustering and dispersal at sites of tissue damage. This has implications </w:t>
      </w:r>
      <w:r w:rsidR="005231FC" w:rsidRPr="00CD42FA">
        <w:rPr>
          <w:rFonts w:ascii="Calibri" w:hAnsi="Calibri" w:cs="Calibri"/>
          <w:lang w:val="en-US"/>
        </w:rPr>
        <w:t>for</w:t>
      </w:r>
      <w:r w:rsidR="00D76FEE" w:rsidRPr="00CD42FA">
        <w:rPr>
          <w:rFonts w:ascii="Calibri" w:hAnsi="Calibri" w:cs="Calibri"/>
          <w:lang w:val="en-US"/>
        </w:rPr>
        <w:t xml:space="preserve"> </w:t>
      </w:r>
      <w:r w:rsidR="009040AF" w:rsidRPr="00CD42FA">
        <w:rPr>
          <w:rFonts w:ascii="Calibri" w:hAnsi="Calibri" w:cs="Calibri"/>
          <w:lang w:val="en-US"/>
        </w:rPr>
        <w:t>our understanding of how inflammatory responses are self-resolved. The described tools could be used to understand neutrophil migration</w:t>
      </w:r>
      <w:r w:rsidR="00EC6DF5" w:rsidRPr="00CD42FA">
        <w:rPr>
          <w:rFonts w:ascii="Calibri" w:hAnsi="Calibri" w:cs="Calibri"/>
          <w:lang w:val="en-US"/>
        </w:rPr>
        <w:t xml:space="preserve"> patterns</w:t>
      </w:r>
      <w:r w:rsidR="009040AF" w:rsidRPr="00CD42FA">
        <w:rPr>
          <w:rFonts w:ascii="Calibri" w:hAnsi="Calibri" w:cs="Calibri"/>
          <w:lang w:val="en-US"/>
        </w:rPr>
        <w:t xml:space="preserve"> in a variety of physiological and pathological settings and the methodology could be expanded to other signaling receptors.</w:t>
      </w:r>
      <w:r w:rsidRPr="00CD42FA">
        <w:rPr>
          <w:rFonts w:ascii="Calibri" w:hAnsi="Calibri" w:cs="Calibri"/>
          <w:lang w:val="en-US"/>
        </w:rPr>
        <w:t xml:space="preserve">  </w:t>
      </w:r>
    </w:p>
    <w:p w14:paraId="4C7D5FD5" w14:textId="77777777" w:rsidR="006305D7" w:rsidRPr="00CD42FA" w:rsidRDefault="006305D7" w:rsidP="005C35E4">
      <w:pPr>
        <w:jc w:val="both"/>
        <w:rPr>
          <w:rFonts w:ascii="Calibri" w:hAnsi="Calibri" w:cs="Calibri"/>
          <w:lang w:val="en-US"/>
        </w:rPr>
      </w:pPr>
    </w:p>
    <w:p w14:paraId="00D25F73" w14:textId="01BAF657" w:rsidR="006305D7" w:rsidRPr="00CD42FA" w:rsidRDefault="006305D7" w:rsidP="005C35E4">
      <w:pPr>
        <w:jc w:val="both"/>
        <w:rPr>
          <w:rFonts w:ascii="Calibri" w:hAnsi="Calibri" w:cs="Calibri"/>
          <w:lang w:val="en-US"/>
        </w:rPr>
      </w:pPr>
      <w:r w:rsidRPr="00CD42FA">
        <w:rPr>
          <w:rFonts w:ascii="Calibri" w:hAnsi="Calibri" w:cs="Calibri"/>
          <w:b/>
          <w:lang w:val="en-US"/>
        </w:rPr>
        <w:t>INTRODUCTION</w:t>
      </w:r>
      <w:r w:rsidRPr="00CD42FA">
        <w:rPr>
          <w:rFonts w:ascii="Calibri" w:hAnsi="Calibri" w:cs="Calibri"/>
          <w:b/>
          <w:bCs/>
          <w:lang w:val="en-US"/>
        </w:rPr>
        <w:t>:</w:t>
      </w:r>
      <w:r w:rsidRPr="00CD42FA">
        <w:rPr>
          <w:rFonts w:ascii="Calibri" w:hAnsi="Calibri" w:cs="Calibri"/>
          <w:lang w:val="en-US"/>
        </w:rPr>
        <w:t xml:space="preserve">  </w:t>
      </w:r>
    </w:p>
    <w:p w14:paraId="71CBCBA2" w14:textId="189954C1" w:rsidR="00D15F91" w:rsidRPr="00CD42FA" w:rsidRDefault="00A25805" w:rsidP="005C35E4">
      <w:pPr>
        <w:jc w:val="both"/>
        <w:rPr>
          <w:rFonts w:ascii="Calibri" w:hAnsi="Calibri" w:cs="Calibri"/>
          <w:lang w:val="en-US"/>
        </w:rPr>
      </w:pPr>
      <w:r w:rsidRPr="00CD42FA">
        <w:rPr>
          <w:rFonts w:ascii="Calibri" w:hAnsi="Calibri" w:cs="Calibri"/>
          <w:lang w:val="en-US"/>
        </w:rPr>
        <w:lastRenderedPageBreak/>
        <w:t xml:space="preserve">Leukocyte migration </w:t>
      </w:r>
      <w:r w:rsidR="006A57C6" w:rsidRPr="00CD42FA">
        <w:rPr>
          <w:rFonts w:ascii="Calibri" w:hAnsi="Calibri" w:cs="Calibri"/>
          <w:lang w:val="en-US"/>
        </w:rPr>
        <w:t>is of paramount importance for immune responses. Immune cells are prototypical migratory cells, which are remarkabl</w:t>
      </w:r>
      <w:r w:rsidR="00E60C05" w:rsidRPr="00CD42FA">
        <w:rPr>
          <w:rFonts w:ascii="Calibri" w:hAnsi="Calibri" w:cs="Calibri"/>
          <w:lang w:val="en-US"/>
        </w:rPr>
        <w:t>y</w:t>
      </w:r>
      <w:r w:rsidR="006A57C6" w:rsidRPr="00CD42FA">
        <w:rPr>
          <w:rFonts w:ascii="Calibri" w:hAnsi="Calibri" w:cs="Calibri"/>
          <w:lang w:val="en-US"/>
        </w:rPr>
        <w:t xml:space="preserve"> capable of traversing </w:t>
      </w:r>
      <w:r w:rsidR="00002F8E" w:rsidRPr="00CD42FA">
        <w:rPr>
          <w:rFonts w:ascii="Calibri" w:hAnsi="Calibri" w:cs="Calibri"/>
          <w:lang w:val="en-US"/>
        </w:rPr>
        <w:t xml:space="preserve">tissues and </w:t>
      </w:r>
      <w:r w:rsidR="006A57C6" w:rsidRPr="00CD42FA">
        <w:rPr>
          <w:rFonts w:ascii="Calibri" w:hAnsi="Calibri" w:cs="Calibri"/>
          <w:lang w:val="en-US"/>
        </w:rPr>
        <w:t xml:space="preserve">blood vessels and </w:t>
      </w:r>
      <w:r w:rsidR="00002F8E" w:rsidRPr="00CD42FA">
        <w:rPr>
          <w:rFonts w:ascii="Calibri" w:hAnsi="Calibri" w:cs="Calibri"/>
          <w:lang w:val="en-US"/>
        </w:rPr>
        <w:t>sensing a range of chemical guidance cues to migrate directionally towards</w:t>
      </w:r>
      <w:r w:rsidR="006A57C6" w:rsidRPr="00CD42FA">
        <w:rPr>
          <w:rFonts w:ascii="Calibri" w:hAnsi="Calibri" w:cs="Calibri"/>
          <w:lang w:val="en-US"/>
        </w:rPr>
        <w:t xml:space="preserve"> microbes or other host cells</w:t>
      </w:r>
      <w:r w:rsidR="00002F8E" w:rsidRPr="00CD42FA">
        <w:rPr>
          <w:rFonts w:ascii="Calibri" w:hAnsi="Calibri" w:cs="Calibri"/>
          <w:lang w:val="en-US"/>
        </w:rPr>
        <w:t xml:space="preserve"> of importance</w:t>
      </w:r>
      <w:r w:rsidR="006A57C6" w:rsidRPr="00CD42FA">
        <w:rPr>
          <w:rFonts w:ascii="Calibri" w:hAnsi="Calibri" w:cs="Calibri"/>
          <w:lang w:val="en-US"/>
        </w:rPr>
        <w:t xml:space="preserve">. Correct guidance relies on </w:t>
      </w:r>
      <w:r w:rsidR="004C76E6" w:rsidRPr="00CD42FA">
        <w:rPr>
          <w:rFonts w:ascii="Calibri" w:hAnsi="Calibri" w:cs="Calibri"/>
          <w:lang w:val="en-US"/>
        </w:rPr>
        <w:t xml:space="preserve">the </w:t>
      </w:r>
      <w:r w:rsidR="006A57C6" w:rsidRPr="00CD42FA">
        <w:rPr>
          <w:rFonts w:ascii="Calibri" w:hAnsi="Calibri" w:cs="Calibri"/>
          <w:lang w:val="en-US"/>
        </w:rPr>
        <w:t>recognition of chemoattractants, among which chemokines represent the most prominent category</w:t>
      </w:r>
      <w:r w:rsidR="00F43BB3" w:rsidRPr="00CD42FA">
        <w:rPr>
          <w:rFonts w:ascii="Calibri" w:hAnsi="Calibri" w:cs="Calibri"/>
          <w:lang w:val="en-US"/>
        </w:rPr>
        <w:fldChar w:fldCharType="begin"/>
      </w:r>
      <w:r w:rsidR="0002471A" w:rsidRPr="00CD42FA">
        <w:rPr>
          <w:rFonts w:ascii="Calibri" w:hAnsi="Calibri" w:cs="Calibri"/>
          <w:lang w:val="en-US"/>
        </w:rPr>
        <w:instrText xml:space="preserve"> ADDIN ZOTERO_ITEM CSL_CITATION {"citationID":"rvzAYpus","properties":{"formattedCitation":"\\super 1\\nosupersub{}","plainCitation":"1","noteIndex":0},"citationItems":[{"id":39,"uris":["http://zotero.org/users/5010385/items/MATI3GQS"],"uri":["http://zotero.org/users/5010385/items/MATI3GQS"],"itemData":{"id":39,"type":"article-journal","abstract":"Chemokines compose a sophisticated communication system used by all our cell types, including immune cells. Chemokine messages are decoded by specific receptors that initiate signal transduction events leading to a multitude of cellular responses, leukocyte chemotaxis and adhesion in particular. Critical determinants of the in vivo activities of chemokines in the immune system include their presentation by endothelial cells and extracellular matrix molecules, as well as their cellular uptake via \"silent\" chemokine receptors (interceptors) leading either to their transcytosis or to degradation. These regulatory mechanisms of chemokine histotopography, as well as the promiscuous and overlapping receptor specificities of inflammation-induced chemokines, shape innate responses to infections and tissue damage. Conversely, the specific patterns of homeostatic chemokines, where each chemokine is perceived by a single receptor, are charting lymphocyte navigation routes for immune surveillance. This review presents our current understanding of the mechanisms that regulate the cellular perception and pathophysiologic meaning of chemokines.","container-title":"Annual Review of Immunology","DOI":"10.1146/annurev.immunol.22.012703.104543","ISSN":"0732-0582","journalAbbreviation":"Annu. Rev. Immunol.","language":"eng","note":"PMID: 15032599","page":"891-928","source":"NCBI PubMed","title":"Chemokines in innate and adaptive host defense: basic chemokinese grammar for immune cells","title-short":"Chemokines in innate and adaptive host defense","volume":"22","author":[{"family":"Rot","given":"Antal"},{"family":"Andrian","given":"Ulrich H.","non-dropping-particle":"von"}],"issued":{"date-parts":[["2004"]]}}}],"schema":"https://github.com/citation-style-language/schema/raw/master/csl-citation.json"} </w:instrText>
      </w:r>
      <w:r w:rsidR="00F43BB3" w:rsidRPr="00CD42FA">
        <w:rPr>
          <w:rFonts w:ascii="Calibri" w:hAnsi="Calibri" w:cs="Calibri"/>
          <w:lang w:val="en-US"/>
        </w:rPr>
        <w:fldChar w:fldCharType="separate"/>
      </w:r>
      <w:r w:rsidR="000D4262" w:rsidRPr="00CD42FA">
        <w:rPr>
          <w:rFonts w:ascii="Calibri" w:hAnsi="Calibri" w:cs="Calibri"/>
          <w:vertAlign w:val="superscript"/>
          <w:lang w:val="en-US"/>
        </w:rPr>
        <w:t>1</w:t>
      </w:r>
      <w:r w:rsidR="00F43BB3" w:rsidRPr="00CD42FA">
        <w:rPr>
          <w:rFonts w:ascii="Calibri" w:hAnsi="Calibri" w:cs="Calibri"/>
          <w:lang w:val="en-US"/>
        </w:rPr>
        <w:fldChar w:fldCharType="end"/>
      </w:r>
      <w:r w:rsidR="006A57C6" w:rsidRPr="00CD42FA">
        <w:rPr>
          <w:rFonts w:ascii="Calibri" w:hAnsi="Calibri" w:cs="Calibri"/>
          <w:lang w:val="en-US"/>
        </w:rPr>
        <w:t xml:space="preserve">. Chemokines are recognized by </w:t>
      </w:r>
      <w:r w:rsidR="00D15F91" w:rsidRPr="00CD42FA">
        <w:rPr>
          <w:rFonts w:ascii="Calibri" w:hAnsi="Calibri" w:cs="Calibri"/>
          <w:lang w:val="en-US"/>
        </w:rPr>
        <w:t>highly specific seven</w:t>
      </w:r>
      <w:r w:rsidR="006A57C6" w:rsidRPr="00CD42FA">
        <w:rPr>
          <w:rFonts w:ascii="Calibri" w:hAnsi="Calibri" w:cs="Calibri"/>
          <w:lang w:val="en-US"/>
        </w:rPr>
        <w:t>-transmembrane G</w:t>
      </w:r>
      <w:r w:rsidR="00507A2F" w:rsidRPr="00CD42FA">
        <w:rPr>
          <w:rFonts w:ascii="Calibri" w:hAnsi="Calibri" w:cs="Calibri"/>
          <w:lang w:val="en-US"/>
        </w:rPr>
        <w:t xml:space="preserve"> </w:t>
      </w:r>
      <w:r w:rsidR="006A57C6" w:rsidRPr="00CD42FA">
        <w:rPr>
          <w:rFonts w:ascii="Calibri" w:hAnsi="Calibri" w:cs="Calibri"/>
          <w:lang w:val="en-US"/>
        </w:rPr>
        <w:t>protein coupled receptors.</w:t>
      </w:r>
      <w:r w:rsidR="00D15F91" w:rsidRPr="00CD42FA">
        <w:rPr>
          <w:rFonts w:ascii="Calibri" w:hAnsi="Calibri" w:cs="Calibri"/>
          <w:lang w:val="en-US"/>
        </w:rPr>
        <w:t xml:space="preserve"> Upon chemokine binding, chemokine receptors change conformation leading to </w:t>
      </w:r>
      <w:r w:rsidR="004C76E6" w:rsidRPr="00CD42FA">
        <w:rPr>
          <w:rFonts w:ascii="Calibri" w:hAnsi="Calibri" w:cs="Calibri"/>
          <w:lang w:val="en-US"/>
        </w:rPr>
        <w:t xml:space="preserve">the </w:t>
      </w:r>
      <w:r w:rsidR="00D15F91" w:rsidRPr="00CD42FA">
        <w:rPr>
          <w:rFonts w:ascii="Calibri" w:hAnsi="Calibri" w:cs="Calibri"/>
          <w:lang w:val="en-US"/>
        </w:rPr>
        <w:t>activation of associated trimeric G</w:t>
      </w:r>
      <w:r w:rsidR="00507A2F" w:rsidRPr="00CD42FA">
        <w:rPr>
          <w:rFonts w:ascii="Calibri" w:hAnsi="Calibri" w:cs="Calibri"/>
          <w:lang w:val="en-US"/>
        </w:rPr>
        <w:t xml:space="preserve"> </w:t>
      </w:r>
      <w:r w:rsidR="00D15F91" w:rsidRPr="00CD42FA">
        <w:rPr>
          <w:rFonts w:ascii="Calibri" w:hAnsi="Calibri" w:cs="Calibri"/>
          <w:lang w:val="en-US"/>
        </w:rPr>
        <w:t>proteins and their dissociation into functional signaling subunits that promote cytoskeletal changes and directed migration</w:t>
      </w:r>
      <w:r w:rsidR="00F43BB3" w:rsidRPr="00CD42FA">
        <w:rPr>
          <w:rFonts w:ascii="Calibri" w:hAnsi="Calibri" w:cs="Calibri"/>
          <w:lang w:val="en-US"/>
        </w:rPr>
        <w:fldChar w:fldCharType="begin"/>
      </w:r>
      <w:r w:rsidR="0002471A" w:rsidRPr="00CD42FA">
        <w:rPr>
          <w:rFonts w:ascii="Calibri" w:hAnsi="Calibri" w:cs="Calibri"/>
          <w:lang w:val="en-US"/>
        </w:rPr>
        <w:instrText xml:space="preserve"> ADDIN ZOTERO_ITEM CSL_CITATION {"citationID":"aRHxKNrd","properties":{"formattedCitation":"\\super 1\\nosupersub{}","plainCitation":"1","noteIndex":0},"citationItems":[{"id":39,"uris":["http://zotero.org/users/5010385/items/MATI3GQS"],"uri":["http://zotero.org/users/5010385/items/MATI3GQS"],"itemData":{"id":39,"type":"article-journal","abstract":"Chemokines compose a sophisticated communication system used by all our cell types, including immune cells. Chemokine messages are decoded by specific receptors that initiate signal transduction events leading to a multitude of cellular responses, leukocyte chemotaxis and adhesion in particular. Critical determinants of the in vivo activities of chemokines in the immune system include their presentation by endothelial cells and extracellular matrix molecules, as well as their cellular uptake via \"silent\" chemokine receptors (interceptors) leading either to their transcytosis or to degradation. These regulatory mechanisms of chemokine histotopography, as well as the promiscuous and overlapping receptor specificities of inflammation-induced chemokines, shape innate responses to infections and tissue damage. Conversely, the specific patterns of homeostatic chemokines, where each chemokine is perceived by a single receptor, are charting lymphocyte navigation routes for immune surveillance. This review presents our current understanding of the mechanisms that regulate the cellular perception and pathophysiologic meaning of chemokines.","container-title":"Annual Review of Immunology","DOI":"10.1146/annurev.immunol.22.012703.104543","ISSN":"0732-0582","journalAbbreviation":"Annu. Rev. Immunol.","language":"eng","note":"PMID: 15032599","page":"891-928","source":"NCBI PubMed","title":"Chemokines in innate and adaptive host defense: basic chemokinese grammar for immune cells","title-short":"Chemokines in innate and adaptive host defense","volume":"22","author":[{"family":"Rot","given":"Antal"},{"family":"Andrian","given":"Ulrich H.","non-dropping-particle":"von"}],"issued":{"date-parts":[["2004"]]}}}],"schema":"https://github.com/citation-style-language/schema/raw/master/csl-citation.json"} </w:instrText>
      </w:r>
      <w:r w:rsidR="00F43BB3" w:rsidRPr="00CD42FA">
        <w:rPr>
          <w:rFonts w:ascii="Calibri" w:hAnsi="Calibri" w:cs="Calibri"/>
          <w:lang w:val="en-US"/>
        </w:rPr>
        <w:fldChar w:fldCharType="separate"/>
      </w:r>
      <w:r w:rsidR="000D4262" w:rsidRPr="00CD42FA">
        <w:rPr>
          <w:rFonts w:ascii="Calibri" w:hAnsi="Calibri" w:cs="Calibri"/>
          <w:vertAlign w:val="superscript"/>
          <w:lang w:val="en-US"/>
        </w:rPr>
        <w:t>1</w:t>
      </w:r>
      <w:r w:rsidR="00F43BB3" w:rsidRPr="00CD42FA">
        <w:rPr>
          <w:rFonts w:ascii="Calibri" w:hAnsi="Calibri" w:cs="Calibri"/>
          <w:lang w:val="en-US"/>
        </w:rPr>
        <w:fldChar w:fldCharType="end"/>
      </w:r>
      <w:r w:rsidR="00D15F91" w:rsidRPr="00CD42FA">
        <w:rPr>
          <w:rFonts w:ascii="Calibri" w:hAnsi="Calibri" w:cs="Calibri"/>
          <w:lang w:val="en-US"/>
        </w:rPr>
        <w:t>. Secondarily, chemokine receptors are phosphorylated</w:t>
      </w:r>
      <w:r w:rsidR="00B70113" w:rsidRPr="00CD42FA">
        <w:rPr>
          <w:rFonts w:ascii="Calibri" w:hAnsi="Calibri" w:cs="Calibri"/>
          <w:lang w:val="en-US"/>
        </w:rPr>
        <w:t>,</w:t>
      </w:r>
      <w:r w:rsidR="00D15F91" w:rsidRPr="00CD42FA">
        <w:rPr>
          <w:rFonts w:ascii="Calibri" w:hAnsi="Calibri" w:cs="Calibri"/>
          <w:lang w:val="en-US"/>
        </w:rPr>
        <w:t xml:space="preserve"> and this modification leads to desensitization to attractant, which can be followed by rapid re-sensiti</w:t>
      </w:r>
      <w:r w:rsidR="00E54906" w:rsidRPr="00CD42FA">
        <w:rPr>
          <w:rFonts w:ascii="Calibri" w:hAnsi="Calibri" w:cs="Calibri"/>
          <w:lang w:val="en-US"/>
        </w:rPr>
        <w:t>z</w:t>
      </w:r>
      <w:r w:rsidR="00D15F91" w:rsidRPr="00CD42FA">
        <w:rPr>
          <w:rFonts w:ascii="Calibri" w:hAnsi="Calibri" w:cs="Calibri"/>
          <w:lang w:val="en-US"/>
        </w:rPr>
        <w:t>atio</w:t>
      </w:r>
      <w:r w:rsidR="006322C6" w:rsidRPr="00CD42FA">
        <w:rPr>
          <w:rFonts w:ascii="Calibri" w:hAnsi="Calibri" w:cs="Calibri"/>
          <w:lang w:val="en-US"/>
        </w:rPr>
        <w:t>n/</w:t>
      </w:r>
      <w:r w:rsidR="00D15F91" w:rsidRPr="00CD42FA">
        <w:rPr>
          <w:rFonts w:ascii="Calibri" w:hAnsi="Calibri" w:cs="Calibri"/>
          <w:lang w:val="en-US"/>
        </w:rPr>
        <w:t>recycling or intracellular degradation and down-regulation from the cell surface</w:t>
      </w:r>
      <w:r w:rsidR="00F43BB3" w:rsidRPr="00CD42FA">
        <w:rPr>
          <w:rFonts w:ascii="Calibri" w:hAnsi="Calibri" w:cs="Calibri"/>
          <w:lang w:val="en-US"/>
        </w:rPr>
        <w:fldChar w:fldCharType="begin"/>
      </w:r>
      <w:r w:rsidR="0002471A" w:rsidRPr="00CD42FA">
        <w:rPr>
          <w:rFonts w:ascii="Calibri" w:hAnsi="Calibri" w:cs="Calibri"/>
          <w:lang w:val="en-US"/>
        </w:rPr>
        <w:instrText xml:space="preserve"> ADDIN ZOTERO_ITEM CSL_CITATION {"citationID":"HDoq7ZvM","properties":{"formattedCitation":"\\super 2\\nosupersub{}","plainCitation":"2","noteIndex":0},"citationItems":[{"id":188,"uris":["http://zotero.org/users/5010385/items/LWKWLIQP"],"uri":["http://zotero.org/users/5010385/items/LWKWLIQP"],"itemData":{"id":188,"type":"article-journal","abstract":"Cell migration is a fundamental biological process involved in normal physiology. Altered motile phenotypes are however often associated with the development and progression of diseases such as cancer and atherosclerosis. Remodeling of the actin cytoskeleton is required for cell shape changes and is controlled by a broad variety of cellular proteins. Interestingly, several extracellular stimuli can promote actin reorganization and result in enhanced cell migration. Namely, G protein-coupled receptors (GPCRs), which are activated by factors ranging from small amines, to hormones, and chemokines, initiate signalling cascades resulting in cell shape changes, formation of a migrating front (leading edge) and altered adhesion. GPCRs are heptahelical membrane proteins, which classically transmit signal via the activation of heterotrimeric G proteins. Sustained stimulation leads to the activation of G protein-coupled receptor kinases (GRKs) and the recruitment of arrestin proteins, which engage alternative signalling pathways. In this review, we will discuss the role of GPCR mediated signal transduction and review their importance in the regulation of actin remodeling leading to cell migration.","container-title":"Cellular Signalling","DOI":"10.1016/j.cellsig.2009.02.008","ISSN":"1873-3913","issue":"7","journalAbbreviation":"Cell. Signal.","language":"eng","note":"PMID: 19249352","page":"1045-1053","source":"PubMed","title":"G protein-coupled receptors stimulation and the control of cell migration","volume":"21","author":[{"family":"Cotton","given":"Mathieu"},{"family":"Claing","given":"Audrey"}],"issued":{"date-parts":[["2009",7]]}}}],"schema":"https://github.com/citation-style-language/schema/raw/master/csl-citation.json"} </w:instrText>
      </w:r>
      <w:r w:rsidR="00F43BB3" w:rsidRPr="00CD42FA">
        <w:rPr>
          <w:rFonts w:ascii="Calibri" w:hAnsi="Calibri" w:cs="Calibri"/>
          <w:lang w:val="en-US"/>
        </w:rPr>
        <w:fldChar w:fldCharType="separate"/>
      </w:r>
      <w:r w:rsidR="000D4262" w:rsidRPr="00CD42FA">
        <w:rPr>
          <w:rFonts w:ascii="Calibri" w:hAnsi="Calibri" w:cs="Calibri"/>
          <w:vertAlign w:val="superscript"/>
          <w:lang w:val="en-US"/>
        </w:rPr>
        <w:t>2</w:t>
      </w:r>
      <w:r w:rsidR="00F43BB3" w:rsidRPr="00CD42FA">
        <w:rPr>
          <w:rFonts w:ascii="Calibri" w:hAnsi="Calibri" w:cs="Calibri"/>
          <w:lang w:val="en-US"/>
        </w:rPr>
        <w:fldChar w:fldCharType="end"/>
      </w:r>
      <w:r w:rsidR="00D15F91" w:rsidRPr="00CD42FA">
        <w:rPr>
          <w:rFonts w:ascii="Calibri" w:hAnsi="Calibri" w:cs="Calibri"/>
          <w:lang w:val="en-US"/>
        </w:rPr>
        <w:t xml:space="preserve">. These receptor dynamics influence the duration and dose of signaling received by the cells but how they affect leukocyte migration behavior has been </w:t>
      </w:r>
      <w:r w:rsidR="0020679B" w:rsidRPr="00CD42FA">
        <w:rPr>
          <w:rFonts w:ascii="Calibri" w:hAnsi="Calibri" w:cs="Calibri"/>
          <w:lang w:val="en-US"/>
        </w:rPr>
        <w:t>difficult</w:t>
      </w:r>
      <w:r w:rsidR="00D15F91" w:rsidRPr="00CD42FA">
        <w:rPr>
          <w:rFonts w:ascii="Calibri" w:hAnsi="Calibri" w:cs="Calibri"/>
          <w:lang w:val="en-US"/>
        </w:rPr>
        <w:t xml:space="preserve"> to </w:t>
      </w:r>
      <w:r w:rsidR="0020679B" w:rsidRPr="00CD42FA">
        <w:rPr>
          <w:rFonts w:ascii="Calibri" w:hAnsi="Calibri" w:cs="Calibri"/>
          <w:lang w:val="en-US"/>
        </w:rPr>
        <w:t>elucidate</w:t>
      </w:r>
      <w:r w:rsidR="00002F8E" w:rsidRPr="00CD42FA">
        <w:rPr>
          <w:rFonts w:ascii="Calibri" w:hAnsi="Calibri" w:cs="Calibri"/>
          <w:lang w:val="en-US"/>
        </w:rPr>
        <w:t xml:space="preserve"> in vivo</w:t>
      </w:r>
      <w:r w:rsidR="0020679B" w:rsidRPr="00CD42FA">
        <w:rPr>
          <w:rFonts w:ascii="Calibri" w:hAnsi="Calibri" w:cs="Calibri"/>
          <w:lang w:val="en-US"/>
        </w:rPr>
        <w:t>.</w:t>
      </w:r>
    </w:p>
    <w:p w14:paraId="3F82655C" w14:textId="77777777" w:rsidR="00B77C34" w:rsidRPr="00CD42FA" w:rsidRDefault="00B77C34" w:rsidP="005C35E4">
      <w:pPr>
        <w:jc w:val="both"/>
        <w:rPr>
          <w:rFonts w:ascii="Calibri" w:hAnsi="Calibri" w:cs="Calibri"/>
          <w:lang w:val="en-US"/>
        </w:rPr>
      </w:pPr>
    </w:p>
    <w:p w14:paraId="404615C5" w14:textId="2157751B" w:rsidR="00A25805" w:rsidRPr="00CD42FA" w:rsidRDefault="00635006" w:rsidP="005C35E4">
      <w:pPr>
        <w:jc w:val="both"/>
        <w:rPr>
          <w:rFonts w:ascii="Calibri" w:hAnsi="Calibri" w:cs="Calibri"/>
          <w:lang w:val="en-US"/>
        </w:rPr>
      </w:pPr>
      <w:r w:rsidRPr="00CD42FA">
        <w:rPr>
          <w:rFonts w:ascii="Calibri" w:hAnsi="Calibri" w:cs="Calibri"/>
          <w:lang w:val="en-US"/>
        </w:rPr>
        <w:t>Tracking</w:t>
      </w:r>
      <w:r w:rsidR="0020679B" w:rsidRPr="00CD42FA">
        <w:rPr>
          <w:rFonts w:ascii="Calibri" w:hAnsi="Calibri" w:cs="Calibri"/>
          <w:lang w:val="en-US"/>
        </w:rPr>
        <w:t xml:space="preserve"> receptor dynamics in live leukocytes </w:t>
      </w:r>
      <w:r w:rsidR="00D8767D" w:rsidRPr="00CD42FA">
        <w:rPr>
          <w:rFonts w:ascii="Calibri" w:hAnsi="Calibri" w:cs="Calibri"/>
          <w:lang w:val="en-US"/>
        </w:rPr>
        <w:t xml:space="preserve">in traditional mammalian systems </w:t>
      </w:r>
      <w:r w:rsidR="003B1E52" w:rsidRPr="00CD42FA">
        <w:rPr>
          <w:rFonts w:ascii="Calibri" w:hAnsi="Calibri" w:cs="Calibri"/>
          <w:lang w:val="en-US"/>
        </w:rPr>
        <w:t>faces</w:t>
      </w:r>
      <w:r w:rsidR="00D8767D" w:rsidRPr="00CD42FA">
        <w:rPr>
          <w:rFonts w:ascii="Calibri" w:hAnsi="Calibri" w:cs="Calibri"/>
          <w:lang w:val="en-US"/>
        </w:rPr>
        <w:t xml:space="preserve"> several</w:t>
      </w:r>
      <w:r w:rsidR="0020679B" w:rsidRPr="00CD42FA">
        <w:rPr>
          <w:rFonts w:ascii="Calibri" w:hAnsi="Calibri" w:cs="Calibri"/>
          <w:lang w:val="en-US"/>
        </w:rPr>
        <w:t xml:space="preserve"> challenges</w:t>
      </w:r>
      <w:r w:rsidR="00610BFD" w:rsidRPr="00CD42FA">
        <w:rPr>
          <w:rFonts w:ascii="Calibri" w:hAnsi="Calibri" w:cs="Calibri"/>
          <w:lang w:val="en-US"/>
        </w:rPr>
        <w:t>.</w:t>
      </w:r>
      <w:r w:rsidR="00A25805" w:rsidRPr="00CD42FA">
        <w:rPr>
          <w:rFonts w:ascii="Calibri" w:hAnsi="Calibri" w:cs="Calibri"/>
          <w:lang w:val="en-US"/>
        </w:rPr>
        <w:t xml:space="preserve"> </w:t>
      </w:r>
      <w:r w:rsidR="0020679B" w:rsidRPr="00CD42FA">
        <w:rPr>
          <w:rFonts w:ascii="Calibri" w:hAnsi="Calibri" w:cs="Calibri"/>
          <w:lang w:val="en-US"/>
        </w:rPr>
        <w:t xml:space="preserve">For live studies, receptor fusions with fluorescent proteins </w:t>
      </w:r>
      <w:r w:rsidR="00B77C34" w:rsidRPr="00CD42FA">
        <w:rPr>
          <w:rFonts w:ascii="Calibri" w:hAnsi="Calibri" w:cs="Calibri"/>
          <w:lang w:val="en-US"/>
        </w:rPr>
        <w:t>must</w:t>
      </w:r>
      <w:r w:rsidR="0020679B" w:rsidRPr="00CD42FA">
        <w:rPr>
          <w:rFonts w:ascii="Calibri" w:hAnsi="Calibri" w:cs="Calibri"/>
          <w:lang w:val="en-US"/>
        </w:rPr>
        <w:t xml:space="preserve"> be expressed in the cells.</w:t>
      </w:r>
      <w:r w:rsidR="00A25805" w:rsidRPr="00CD42FA">
        <w:rPr>
          <w:rFonts w:ascii="Calibri" w:hAnsi="Calibri" w:cs="Calibri"/>
          <w:lang w:val="en-US"/>
        </w:rPr>
        <w:t xml:space="preserve"> </w:t>
      </w:r>
      <w:r w:rsidR="0020679B" w:rsidRPr="00CD42FA">
        <w:rPr>
          <w:rFonts w:ascii="Calibri" w:hAnsi="Calibri" w:cs="Calibri"/>
          <w:lang w:val="en-US"/>
        </w:rPr>
        <w:t xml:space="preserve">This is challenging in primary leukocytes, particularly in </w:t>
      </w:r>
      <w:r w:rsidR="00A25805" w:rsidRPr="00CD42FA">
        <w:rPr>
          <w:rFonts w:ascii="Calibri" w:hAnsi="Calibri" w:cs="Calibri"/>
          <w:lang w:val="en-US"/>
        </w:rPr>
        <w:t>neutrophils</w:t>
      </w:r>
      <w:r w:rsidR="0020679B" w:rsidRPr="00CD42FA">
        <w:rPr>
          <w:rFonts w:ascii="Calibri" w:hAnsi="Calibri" w:cs="Calibri"/>
          <w:lang w:val="en-US"/>
        </w:rPr>
        <w:t xml:space="preserve">, </w:t>
      </w:r>
      <w:r w:rsidR="00D43BA3" w:rsidRPr="00CD42FA">
        <w:rPr>
          <w:rFonts w:ascii="Calibri" w:hAnsi="Calibri" w:cs="Calibri"/>
          <w:lang w:val="en-US"/>
        </w:rPr>
        <w:t>and</w:t>
      </w:r>
      <w:r w:rsidR="00610BFD" w:rsidRPr="00CD42FA">
        <w:rPr>
          <w:rFonts w:ascii="Calibri" w:hAnsi="Calibri" w:cs="Calibri"/>
          <w:lang w:val="en-US"/>
        </w:rPr>
        <w:t xml:space="preserve"> studies so far have used surrogate neutrophil cell lines to </w:t>
      </w:r>
      <w:r w:rsidR="00D43BA3" w:rsidRPr="00CD42FA">
        <w:rPr>
          <w:rFonts w:ascii="Calibri" w:hAnsi="Calibri" w:cs="Calibri"/>
          <w:lang w:val="en-US"/>
        </w:rPr>
        <w:t>express</w:t>
      </w:r>
      <w:r w:rsidR="00610BFD" w:rsidRPr="00CD42FA">
        <w:rPr>
          <w:rFonts w:ascii="Calibri" w:hAnsi="Calibri" w:cs="Calibri"/>
          <w:lang w:val="en-US"/>
        </w:rPr>
        <w:t xml:space="preserve"> chemokine receptors</w:t>
      </w:r>
      <w:r w:rsidR="00610BFD" w:rsidRPr="00CD42FA">
        <w:rPr>
          <w:rFonts w:ascii="Calibri" w:hAnsi="Calibri" w:cs="Calibri"/>
          <w:lang w:val="en-US"/>
        </w:rPr>
        <w:fldChar w:fldCharType="begin"/>
      </w:r>
      <w:r w:rsidR="0002471A" w:rsidRPr="00CD42FA">
        <w:rPr>
          <w:rFonts w:ascii="Calibri" w:hAnsi="Calibri" w:cs="Calibri"/>
          <w:lang w:val="en-US"/>
        </w:rPr>
        <w:instrText xml:space="preserve"> ADDIN ZOTERO_ITEM CSL_CITATION {"citationID":"mI43yFUs","properties":{"formattedCitation":"\\super 3, 4\\nosupersub{}","plainCitation":"3, 4","noteIndex":0},"citationItems":[{"id":220,"uris":["http://zotero.org/users/5010385/items/8UQVIFIH"],"uri":["http://zotero.org/users/5010385/items/8UQVIFIH"],"itemData":{"id":220,"type":"article-journal","abstract":"To kill invading bacteria, neutrophils must interpret spatial cues, migrate and reach target sites. Although the initiation of chemotactic migration has been extensively studied, little is known about its termination. Here we found that two mitogen-activated protein kinases (MAPKs) had opposing roles in neutrophil trafficking. The extracellular signal-regulated kinase Erk potentiated activity of the G protein-coupled receptor kinase GRK2 and inhibited neutrophil migration, whereas the MAPK p38 acted as a noncanonical GRK that phosphorylated the formyl peptide receptor FPR1 and facilitated neutrophil migration by blocking GRK2 function. Therefore, the dynamic balance between Erk and p38 controlled neutrophil 'stop' and 'go' activity, which ensured that neutrophils reached their final destination as the first line of host defense.","container-title":"Nature Immunology","DOI":"10.1038/ni.2258","ISSN":"1529-2916","issue":"5","journalAbbreviation":"Nat. Immunol.","language":"eng","note":"PMID: 22447027\nPMCID: PMC3330201","page":"457-464","source":"PubMed","title":"Bidirectional regulation of neutrophil migration by mitogen-activated protein kinases","volume":"13","author":[{"family":"Liu","given":"Xiaowen"},{"family":"Ma","given":"Bo"},{"family":"Malik","given":"Asrar B."},{"family":"Tang","given":"Haiyang"},{"family":"Yang","given":"Tao"},{"family":"Sun","given":"Bo"},{"family":"Wang","given":"Gang"},{"family":"Minshall","given":"Richard D."},{"family":"Li","given":"Yan"},{"family":"Zhao","given":"Yong"},{"family":"Ye","given":"Richard D."},{"family":"Xu","given":"Jingsong"}],"issued":{"date-parts":[["2012",3,25]]}}},{"id":864,"uris":["http://zotero.org/users/5010385/items/KJWTY448"],"uri":["http://zotero.org/users/5010385/items/KJWTY448"],"itemData":{"id":864,"type":"article-journal","container-title":"Journal of Visualized Experiments","DOI":"10.3791/54511","ISSN":"1940-087X","issue":"115","journalAbbreviation":"JoVE","language":"en","page":"54511","source":"DOI.org (Crossref)","title":"Imaging G Protein-coupled Receptor-mediated Chemotaxis and its Signaling Events in Neutrophil-like HL60 Cells","author":[{"family":"Wen","given":"Xi"},{"family":"Jin","given":"Tian"},{"family":"Xu","given":"Xuehua"}],"issued":{"date-parts":[["2016",9,14]]}}}],"schema":"https://github.com/citation-style-language/schema/raw/master/csl-citation.json"} </w:instrText>
      </w:r>
      <w:r w:rsidR="00610BFD" w:rsidRPr="00CD42FA">
        <w:rPr>
          <w:rFonts w:ascii="Calibri" w:hAnsi="Calibri" w:cs="Calibri"/>
          <w:lang w:val="en-US"/>
        </w:rPr>
        <w:fldChar w:fldCharType="separate"/>
      </w:r>
      <w:r w:rsidR="0002471A" w:rsidRPr="00CD42FA">
        <w:rPr>
          <w:rFonts w:ascii="Calibri" w:hAnsi="Calibri" w:cs="Calibri"/>
          <w:vertAlign w:val="superscript"/>
          <w:lang w:val="en-US"/>
        </w:rPr>
        <w:t>3,4</w:t>
      </w:r>
      <w:r w:rsidR="00610BFD" w:rsidRPr="00CD42FA">
        <w:rPr>
          <w:rFonts w:ascii="Calibri" w:hAnsi="Calibri" w:cs="Calibri"/>
          <w:lang w:val="en-US"/>
        </w:rPr>
        <w:fldChar w:fldCharType="end"/>
      </w:r>
      <w:r w:rsidR="00610BFD" w:rsidRPr="00CD42FA">
        <w:rPr>
          <w:rFonts w:ascii="Calibri" w:hAnsi="Calibri" w:cs="Calibri"/>
          <w:lang w:val="en-US"/>
        </w:rPr>
        <w:t xml:space="preserve">. </w:t>
      </w:r>
      <w:r w:rsidR="00E60C05" w:rsidRPr="00CD42FA">
        <w:rPr>
          <w:rFonts w:ascii="Calibri" w:hAnsi="Calibri" w:cs="Calibri"/>
          <w:lang w:val="en-US"/>
        </w:rPr>
        <w:t>Generation of t</w:t>
      </w:r>
      <w:r w:rsidR="0020679B" w:rsidRPr="00CD42FA">
        <w:rPr>
          <w:rFonts w:ascii="Calibri" w:hAnsi="Calibri" w:cs="Calibri"/>
          <w:lang w:val="en-US"/>
        </w:rPr>
        <w:t>ransgenic mouse models, in which leukocytes express a fluorescent receptor</w:t>
      </w:r>
      <w:r w:rsidR="00E60C05" w:rsidRPr="00CD42FA">
        <w:rPr>
          <w:rFonts w:ascii="Calibri" w:hAnsi="Calibri" w:cs="Calibri"/>
          <w:lang w:val="en-US"/>
        </w:rPr>
        <w:t xml:space="preserve"> or mutant receptors with informative trafficking defects</w:t>
      </w:r>
      <w:r w:rsidR="00610BFD" w:rsidRPr="00CD42FA">
        <w:rPr>
          <w:rFonts w:ascii="Calibri" w:hAnsi="Calibri" w:cs="Calibri"/>
          <w:lang w:val="en-US"/>
        </w:rPr>
        <w:fldChar w:fldCharType="begin"/>
      </w:r>
      <w:r w:rsidR="0002471A" w:rsidRPr="00CD42FA">
        <w:rPr>
          <w:rFonts w:ascii="Calibri" w:hAnsi="Calibri" w:cs="Calibri"/>
          <w:lang w:val="en-US"/>
        </w:rPr>
        <w:instrText xml:space="preserve"> ADDIN ZOTERO_ITEM CSL_CITATION {"citationID":"ifFro8Lf","properties":{"formattedCitation":"\\super 5, 6\\nosupersub{}","plainCitation":"5, 6","noteIndex":0},"citationItems":[{"id":190,"uris":["http://zotero.org/users/5010385/items/JGTMHKRQ"],"uri":["http://zotero.org/users/5010385/items/JGTMHKRQ"],"itemData":{"id":190,"type":"article-journal","abstract":"Lymphocytes egress from lymphoid organs in response to sphingosine-1-phosphate (S1P); minutes later they migrate from blood into tissue against the S1P gradient. The mechanisms facilitating cell movement against the gradient have not been defined. Here, we show that heterotrimeric guanine nucleotide-binding protein-coupled receptor kinase-2 (GRK2) functions in down-regulation of S1P receptor-1 (S1PR1) on blood-exposed lymphocytes. T and B cell movement from blood into lymph nodes is reduced in the absence of GRK2 but is restored in S1P-deficient mice. In the spleen, B cell movement between the blood-rich marginal zone and follicles is disrupted by GRK2 deficiency and by mutation of an S1PR1 desensitization motif. Moreover, delivery of systemic antigen into follicles is impaired. Thus, GRK2-dependent S1PR1 desensitization allows lymphocytes to escape circulatory fluids and migrate into lymphoid tissues.","container-title":"Science (New York, N.Y.)","DOI":"10.1126/science.1208248","ISSN":"1095-9203","issue":"6051","journalAbbreviation":"Science","language":"eng","note":"PMID: 21960637\nPMCID: PMC3267326","page":"1898-1903","source":"PubMed","title":"GRK2-dependent S1PR1 desensitization is required for lymphocytes to overcome their attraction to blood","volume":"333","author":[{"family":"Arnon","given":"Tal I."},{"family":"Xu","given":"Ying"},{"family":"Lo","given":"Charles"},{"family":"Pham","given":"Trung"},{"family":"An","given":"Jinping"},{"family":"Coughlin","given":"Shaun"},{"family":"Dorn","given":"Gerald W."},{"family":"Cyster","given":"Jason G."}],"issued":{"date-parts":[["2011",9,30]]}}},{"id":865,"uris":["http://zotero.org/users/5010385/items/4H7UZI9Z"],"uri":["http://zotero.org/users/5010385/items/4H7UZI9Z"],"itemData":{"id":865,"type":"article-journal","container-title":"PLOS ONE","DOI":"10.1371/journal.pone.0128387","ISSN":"1932-6203","issue":"6","journalAbbreviation":"PLoS ONE","language":"en","page":"e0128387","source":"DOI.org (Crossref)","title":"Localized CCR2 Activation in the Bone Marrow Niche Mobilizes Monocytes by Desensitizing CXCR4","volume":"10","author":[{"family":"Jung","given":"Hosung"},{"family":"Mithal","given":"Divakar S."},{"family":"Park","given":"Jeong Eun"},{"family":"Miller","given":"Richard J."}],"editor":[{"family":"Harrison","given":"Jeffrey K."}],"issued":{"date-parts":[["2015",6,1]]}},"locator":"2"}],"schema":"https://github.com/citation-style-language/schema/raw/master/csl-citation.json"} </w:instrText>
      </w:r>
      <w:r w:rsidR="00610BFD" w:rsidRPr="00CD42FA">
        <w:rPr>
          <w:rFonts w:ascii="Calibri" w:hAnsi="Calibri" w:cs="Calibri"/>
          <w:lang w:val="en-US"/>
        </w:rPr>
        <w:fldChar w:fldCharType="separate"/>
      </w:r>
      <w:r w:rsidR="0002471A" w:rsidRPr="00CD42FA">
        <w:rPr>
          <w:rFonts w:ascii="Calibri" w:hAnsi="Calibri" w:cs="Calibri"/>
          <w:vertAlign w:val="superscript"/>
          <w:lang w:val="en-US"/>
        </w:rPr>
        <w:t>5,6</w:t>
      </w:r>
      <w:r w:rsidR="00610BFD" w:rsidRPr="00CD42FA">
        <w:rPr>
          <w:rFonts w:ascii="Calibri" w:hAnsi="Calibri" w:cs="Calibri"/>
          <w:lang w:val="en-US"/>
        </w:rPr>
        <w:fldChar w:fldCharType="end"/>
      </w:r>
      <w:r w:rsidR="00E60C05" w:rsidRPr="00CD42FA">
        <w:rPr>
          <w:rFonts w:ascii="Calibri" w:hAnsi="Calibri" w:cs="Calibri"/>
          <w:lang w:val="en-US"/>
        </w:rPr>
        <w:t xml:space="preserve">, </w:t>
      </w:r>
      <w:r w:rsidR="00D8767D" w:rsidRPr="00CD42FA">
        <w:rPr>
          <w:rFonts w:ascii="Calibri" w:hAnsi="Calibri" w:cs="Calibri"/>
          <w:lang w:val="en-US"/>
        </w:rPr>
        <w:t>entail</w:t>
      </w:r>
      <w:r w:rsidR="005231FC" w:rsidRPr="00CD42FA">
        <w:rPr>
          <w:rFonts w:ascii="Calibri" w:hAnsi="Calibri" w:cs="Calibri"/>
          <w:lang w:val="en-US"/>
        </w:rPr>
        <w:t>s</w:t>
      </w:r>
      <w:r w:rsidR="0020679B" w:rsidRPr="00CD42FA">
        <w:rPr>
          <w:rFonts w:ascii="Calibri" w:hAnsi="Calibri" w:cs="Calibri"/>
          <w:lang w:val="en-US"/>
        </w:rPr>
        <w:t xml:space="preserve"> considerable investment of time and resources</w:t>
      </w:r>
      <w:r w:rsidR="00E60C05" w:rsidRPr="00CD42FA">
        <w:rPr>
          <w:rFonts w:ascii="Calibri" w:hAnsi="Calibri" w:cs="Calibri"/>
          <w:lang w:val="en-US"/>
        </w:rPr>
        <w:t>.</w:t>
      </w:r>
      <w:r w:rsidR="0020679B" w:rsidRPr="00CD42FA">
        <w:rPr>
          <w:rFonts w:ascii="Calibri" w:hAnsi="Calibri" w:cs="Calibri"/>
          <w:lang w:val="en-US"/>
        </w:rPr>
        <w:t xml:space="preserve"> </w:t>
      </w:r>
      <w:r w:rsidR="00D43BA3" w:rsidRPr="00CD42FA">
        <w:rPr>
          <w:rFonts w:ascii="Calibri" w:hAnsi="Calibri" w:cs="Calibri"/>
          <w:lang w:val="en-US"/>
        </w:rPr>
        <w:t>Even in these instances</w:t>
      </w:r>
      <w:r w:rsidR="00610BFD" w:rsidRPr="00CD42FA">
        <w:rPr>
          <w:rFonts w:ascii="Calibri" w:hAnsi="Calibri" w:cs="Calibri"/>
          <w:lang w:val="en-US"/>
        </w:rPr>
        <w:t>,</w:t>
      </w:r>
      <w:r w:rsidR="00B77C34" w:rsidRPr="00CD42FA">
        <w:rPr>
          <w:rFonts w:ascii="Calibri" w:hAnsi="Calibri" w:cs="Calibri"/>
          <w:lang w:val="en-US"/>
        </w:rPr>
        <w:t xml:space="preserve"> </w:t>
      </w:r>
      <w:r w:rsidR="00A25805" w:rsidRPr="00CD42FA">
        <w:rPr>
          <w:rFonts w:ascii="Calibri" w:hAnsi="Calibri" w:cs="Calibri"/>
          <w:lang w:val="en-US"/>
        </w:rPr>
        <w:t>the imaging resolution</w:t>
      </w:r>
      <w:r w:rsidR="0020679B" w:rsidRPr="00CD42FA">
        <w:rPr>
          <w:rFonts w:ascii="Calibri" w:hAnsi="Calibri" w:cs="Calibri"/>
          <w:lang w:val="en-US"/>
        </w:rPr>
        <w:t xml:space="preserve"> and contrast </w:t>
      </w:r>
      <w:r w:rsidR="00D43BA3" w:rsidRPr="00CD42FA">
        <w:rPr>
          <w:rFonts w:ascii="Calibri" w:hAnsi="Calibri" w:cs="Calibri"/>
          <w:lang w:val="en-US"/>
        </w:rPr>
        <w:t>for imaging</w:t>
      </w:r>
      <w:r w:rsidR="0020679B" w:rsidRPr="00CD42FA">
        <w:rPr>
          <w:rFonts w:ascii="Calibri" w:hAnsi="Calibri" w:cs="Calibri"/>
          <w:lang w:val="en-US"/>
        </w:rPr>
        <w:t xml:space="preserve"> </w:t>
      </w:r>
      <w:r w:rsidR="00610BFD" w:rsidRPr="00CD42FA">
        <w:rPr>
          <w:rFonts w:ascii="Calibri" w:hAnsi="Calibri" w:cs="Calibri"/>
          <w:lang w:val="en-US"/>
        </w:rPr>
        <w:t xml:space="preserve">receptor </w:t>
      </w:r>
      <w:r w:rsidR="0020679B" w:rsidRPr="00CD42FA">
        <w:rPr>
          <w:rFonts w:ascii="Calibri" w:hAnsi="Calibri" w:cs="Calibri"/>
          <w:lang w:val="en-US"/>
        </w:rPr>
        <w:t xml:space="preserve">dynamics </w:t>
      </w:r>
      <w:r w:rsidR="00D43BA3" w:rsidRPr="00CD42FA">
        <w:rPr>
          <w:rFonts w:ascii="Calibri" w:hAnsi="Calibri" w:cs="Calibri"/>
          <w:lang w:val="en-US"/>
        </w:rPr>
        <w:t xml:space="preserve">in </w:t>
      </w:r>
      <w:r w:rsidR="005B2E00" w:rsidRPr="00CD42FA">
        <w:rPr>
          <w:rFonts w:ascii="Calibri" w:hAnsi="Calibri" w:cs="Calibri"/>
          <w:lang w:val="en-US"/>
        </w:rPr>
        <w:t xml:space="preserve">the </w:t>
      </w:r>
      <w:r w:rsidR="00D43BA3" w:rsidRPr="00CD42FA">
        <w:rPr>
          <w:rFonts w:ascii="Calibri" w:hAnsi="Calibri" w:cs="Calibri"/>
          <w:lang w:val="en-US"/>
        </w:rPr>
        <w:t xml:space="preserve">live </w:t>
      </w:r>
      <w:r w:rsidR="005B2E00" w:rsidRPr="00CD42FA">
        <w:rPr>
          <w:rFonts w:ascii="Calibri" w:hAnsi="Calibri" w:cs="Calibri"/>
          <w:lang w:val="en-US"/>
        </w:rPr>
        <w:t>animal</w:t>
      </w:r>
      <w:r w:rsidR="00D43BA3" w:rsidRPr="00CD42FA">
        <w:rPr>
          <w:rFonts w:ascii="Calibri" w:hAnsi="Calibri" w:cs="Calibri"/>
          <w:lang w:val="en-US"/>
        </w:rPr>
        <w:t xml:space="preserve"> </w:t>
      </w:r>
      <w:r w:rsidR="00841661" w:rsidRPr="00CD42FA">
        <w:rPr>
          <w:rFonts w:ascii="Calibri" w:hAnsi="Calibri" w:cs="Calibri"/>
          <w:lang w:val="en-US"/>
        </w:rPr>
        <w:t>can be</w:t>
      </w:r>
      <w:r w:rsidR="00610BFD" w:rsidRPr="00CD42FA">
        <w:rPr>
          <w:rFonts w:ascii="Calibri" w:hAnsi="Calibri" w:cs="Calibri"/>
          <w:lang w:val="en-US"/>
        </w:rPr>
        <w:t xml:space="preserve"> limited </w:t>
      </w:r>
      <w:r w:rsidR="00D43BA3" w:rsidRPr="00CD42FA">
        <w:rPr>
          <w:rFonts w:ascii="Calibri" w:hAnsi="Calibri" w:cs="Calibri"/>
          <w:lang w:val="en-US"/>
        </w:rPr>
        <w:t>a</w:t>
      </w:r>
      <w:r w:rsidR="00610BFD" w:rsidRPr="00CD42FA">
        <w:rPr>
          <w:rFonts w:ascii="Calibri" w:hAnsi="Calibri" w:cs="Calibri"/>
          <w:lang w:val="en-US"/>
        </w:rPr>
        <w:t xml:space="preserve">nd </w:t>
      </w:r>
      <w:r w:rsidR="00D43BA3" w:rsidRPr="00CD42FA">
        <w:rPr>
          <w:rFonts w:ascii="Calibri" w:hAnsi="Calibri" w:cs="Calibri"/>
          <w:lang w:val="en-US"/>
        </w:rPr>
        <w:t>studies</w:t>
      </w:r>
      <w:r w:rsidR="005B2E00" w:rsidRPr="00CD42FA">
        <w:rPr>
          <w:rFonts w:ascii="Calibri" w:hAnsi="Calibri" w:cs="Calibri"/>
          <w:lang w:val="en-US"/>
        </w:rPr>
        <w:t xml:space="preserve"> have used immunohistochemistry</w:t>
      </w:r>
      <w:r w:rsidR="00610BFD" w:rsidRPr="00CD42FA">
        <w:rPr>
          <w:rFonts w:ascii="Calibri" w:hAnsi="Calibri" w:cs="Calibri"/>
          <w:lang w:val="en-US"/>
        </w:rPr>
        <w:t xml:space="preserve"> on fixed </w:t>
      </w:r>
      <w:r w:rsidR="005B2E00" w:rsidRPr="00CD42FA">
        <w:rPr>
          <w:rFonts w:ascii="Calibri" w:hAnsi="Calibri" w:cs="Calibri"/>
          <w:lang w:val="en-US"/>
        </w:rPr>
        <w:t xml:space="preserve">tissue </w:t>
      </w:r>
      <w:r w:rsidR="00610BFD" w:rsidRPr="00CD42FA">
        <w:rPr>
          <w:rFonts w:ascii="Calibri" w:hAnsi="Calibri" w:cs="Calibri"/>
          <w:lang w:val="en-US"/>
        </w:rPr>
        <w:t>sections</w:t>
      </w:r>
      <w:r w:rsidR="00610BFD" w:rsidRPr="00CD42FA">
        <w:rPr>
          <w:rFonts w:ascii="Calibri" w:hAnsi="Calibri" w:cs="Calibri"/>
          <w:lang w:val="en-US"/>
        </w:rPr>
        <w:fldChar w:fldCharType="begin"/>
      </w:r>
      <w:r w:rsidR="0002471A" w:rsidRPr="00CD42FA">
        <w:rPr>
          <w:rFonts w:ascii="Calibri" w:hAnsi="Calibri" w:cs="Calibri"/>
          <w:lang w:val="en-US"/>
        </w:rPr>
        <w:instrText xml:space="preserve"> ADDIN ZOTERO_ITEM CSL_CITATION {"citationID":"Bof07Pqy","properties":{"formattedCitation":"\\super 4,5\\nosupersub{}","plainCitation":"4,5","dontUpdate":true,"noteIndex":0},"citationItems":[{"id":190,"uris":["http://zotero.org/users/5010385/items/JGTMHKRQ"],"uri":["http://zotero.org/users/5010385/items/JGTMHKRQ"],"itemData":{"id":190,"type":"article-journal","abstract":"Lymphocytes egress from lymphoid organs in response to sphingosine-1-phosphate (S1P); minutes later they migrate from blood into tissue against the S1P gradient. The mechanisms facilitating cell movement against the gradient have not been defined. Here, we show that heterotrimeric guanine nucleotide-binding protein-coupled receptor kinase-2 (GRK2) functions in down-regulation of S1P receptor-1 (S1PR1) on blood-exposed lymphocytes. T and B cell movement from blood into lymph nodes is reduced in the absence of GRK2 but is restored in S1P-deficient mice. In the spleen, B cell movement between the blood-rich marginal zone and follicles is disrupted by GRK2 deficiency and by mutation of an S1PR1 desensitization motif. Moreover, delivery of systemic antigen into follicles is impaired. Thus, GRK2-dependent S1PR1 desensitization allows lymphocytes to escape circulatory fluids and migrate into lymphoid tissues.","container-title":"Science (New York, N.Y.)","DOI":"10.1126/science.1208248","ISSN":"1095-9203","issue":"6051","journalAbbreviation":"Science","language":"eng","note":"PMID: 21960637\nPMCID: PMC3267326","page":"1898-1903","source":"PubMed","title":"GRK2-dependent S1PR1 desensitization is required for lymphocytes to overcome their attraction to blood","volume":"333","author":[{"family":"Arnon","given":"Tal I."},{"family":"Xu","given":"Ying"},{"family":"Lo","given":"Charles"},{"family":"Pham","given":"Trung"},{"family":"An","given":"Jinping"},{"family":"Coughlin","given":"Shaun"},{"family":"Dorn","given":"Gerald W."},{"family":"Cyster","given":"Jason G."}],"issued":{"date-parts":[["2011",9,30]]}}},{"id":865,"uris":["http://zotero.org/users/5010385/items/4H7UZI9Z"],"uri":["http://zotero.org/users/5010385/items/4H7UZI9Z"],"itemData":{"id":865,"type":"article-journal","container-title":"PLOS ONE","DOI":"10.1371/journal.pone.0128387","ISSN":"1932-6203","issue":"6","journalAbbreviation":"PLoS ONE","language":"en","page":"e0128387","source":"DOI.org (Crossref)","title":"Localized CCR2 Activation in the Bone Marrow Niche Mobilizes Monocytes by Desensitizing CXCR4","volume":"10","author":[{"family":"Jung","given":"Hosung"},{"family":"Mithal","given":"Divakar S."},{"family":"Park","given":"Jeong Eun"},{"family":"Miller","given":"Richard J."}],"editor":[{"family":"Harrison","given":"Jeffrey K."}],"issued":{"date-parts":[["2015",6,1]]}},"locator":"2"}],"schema":"https://github.com/citation-style-language/schema/raw/master/csl-citation.json"} </w:instrText>
      </w:r>
      <w:r w:rsidR="00610BFD" w:rsidRPr="00CD42FA">
        <w:rPr>
          <w:rFonts w:ascii="Calibri" w:hAnsi="Calibri" w:cs="Calibri"/>
          <w:lang w:val="en-US"/>
        </w:rPr>
        <w:fldChar w:fldCharType="separate"/>
      </w:r>
      <w:r w:rsidR="00610BFD" w:rsidRPr="00CD42FA">
        <w:rPr>
          <w:rFonts w:ascii="Calibri" w:hAnsi="Calibri" w:cs="Calibri"/>
          <w:vertAlign w:val="superscript"/>
          <w:lang w:val="en-US"/>
        </w:rPr>
        <w:t>5</w:t>
      </w:r>
      <w:r w:rsidR="00610BFD" w:rsidRPr="00CD42FA">
        <w:rPr>
          <w:rFonts w:ascii="Calibri" w:hAnsi="Calibri" w:cs="Calibri"/>
          <w:lang w:val="en-US"/>
        </w:rPr>
        <w:fldChar w:fldCharType="end"/>
      </w:r>
      <w:r w:rsidR="00687549" w:rsidRPr="00CD42FA">
        <w:rPr>
          <w:rFonts w:ascii="Calibri" w:hAnsi="Calibri" w:cs="Calibri"/>
          <w:lang w:val="en-US"/>
        </w:rPr>
        <w:t>.</w:t>
      </w:r>
      <w:r w:rsidR="00B70113" w:rsidRPr="00CD42FA">
        <w:rPr>
          <w:rFonts w:ascii="Calibri" w:hAnsi="Calibri" w:cs="Calibri"/>
          <w:lang w:val="en-US"/>
        </w:rPr>
        <w:t xml:space="preserve"> Given these technical challenges, </w:t>
      </w:r>
      <w:r w:rsidR="00687549" w:rsidRPr="00CD42FA">
        <w:rPr>
          <w:rFonts w:ascii="Calibri" w:hAnsi="Calibri" w:cs="Calibri"/>
          <w:lang w:val="en-US"/>
        </w:rPr>
        <w:t xml:space="preserve">our understanding of how </w:t>
      </w:r>
      <w:r w:rsidR="00542131" w:rsidRPr="00CD42FA">
        <w:rPr>
          <w:rFonts w:ascii="Calibri" w:hAnsi="Calibri" w:cs="Calibri"/>
          <w:lang w:val="en-US"/>
        </w:rPr>
        <w:t>chemo</w:t>
      </w:r>
      <w:r w:rsidR="006A1192" w:rsidRPr="00CD42FA">
        <w:rPr>
          <w:rFonts w:ascii="Calibri" w:hAnsi="Calibri" w:cs="Calibri"/>
          <w:lang w:val="en-US"/>
        </w:rPr>
        <w:t>attractant</w:t>
      </w:r>
      <w:r w:rsidR="00542131" w:rsidRPr="00CD42FA">
        <w:rPr>
          <w:rFonts w:ascii="Calibri" w:hAnsi="Calibri" w:cs="Calibri"/>
          <w:lang w:val="en-US"/>
        </w:rPr>
        <w:t xml:space="preserve"> receptors</w:t>
      </w:r>
      <w:r w:rsidR="00687549" w:rsidRPr="00CD42FA">
        <w:rPr>
          <w:rFonts w:ascii="Calibri" w:hAnsi="Calibri" w:cs="Calibri"/>
          <w:lang w:val="en-US"/>
        </w:rPr>
        <w:t xml:space="preserve"> dynamics affect cell behavior in a live tissue setting</w:t>
      </w:r>
      <w:r w:rsidR="00E60C05" w:rsidRPr="00CD42FA">
        <w:rPr>
          <w:rFonts w:ascii="Calibri" w:hAnsi="Calibri" w:cs="Calibri"/>
          <w:lang w:val="en-US"/>
        </w:rPr>
        <w:t xml:space="preserve"> </w:t>
      </w:r>
      <w:r w:rsidR="00995761" w:rsidRPr="00CD42FA">
        <w:rPr>
          <w:rFonts w:ascii="Calibri" w:hAnsi="Calibri" w:cs="Calibri"/>
          <w:lang w:val="en-US"/>
        </w:rPr>
        <w:t xml:space="preserve">is </w:t>
      </w:r>
      <w:r w:rsidR="00E60C05" w:rsidRPr="00CD42FA">
        <w:rPr>
          <w:rFonts w:ascii="Calibri" w:hAnsi="Calibri" w:cs="Calibri"/>
          <w:lang w:val="en-US"/>
        </w:rPr>
        <w:t>currently limited</w:t>
      </w:r>
      <w:r w:rsidR="00687549" w:rsidRPr="00CD42FA">
        <w:rPr>
          <w:rFonts w:ascii="Calibri" w:hAnsi="Calibri" w:cs="Calibri"/>
          <w:lang w:val="en-US"/>
        </w:rPr>
        <w:t>.</w:t>
      </w:r>
    </w:p>
    <w:p w14:paraId="6DB25ADD" w14:textId="77777777" w:rsidR="00B77C34" w:rsidRPr="00CD42FA" w:rsidRDefault="00B77C34" w:rsidP="005C35E4">
      <w:pPr>
        <w:jc w:val="both"/>
        <w:rPr>
          <w:rFonts w:ascii="Calibri" w:hAnsi="Calibri" w:cs="Calibri"/>
          <w:lang w:val="en-US"/>
        </w:rPr>
      </w:pPr>
    </w:p>
    <w:p w14:paraId="76FE5152" w14:textId="778A5D80" w:rsidR="001D3A1E" w:rsidRPr="00CD42FA" w:rsidRDefault="00A25805" w:rsidP="005C35E4">
      <w:pPr>
        <w:jc w:val="both"/>
        <w:rPr>
          <w:rFonts w:ascii="Calibri" w:hAnsi="Calibri" w:cs="Calibri"/>
          <w:lang w:val="en-US"/>
        </w:rPr>
      </w:pPr>
      <w:r w:rsidRPr="00CD42FA">
        <w:rPr>
          <w:rFonts w:ascii="Calibri" w:hAnsi="Calibri" w:cs="Calibri"/>
          <w:lang w:val="en-US"/>
        </w:rPr>
        <w:t xml:space="preserve">Here we </w:t>
      </w:r>
      <w:r w:rsidR="00687549" w:rsidRPr="00CD42FA">
        <w:rPr>
          <w:rFonts w:ascii="Calibri" w:hAnsi="Calibri" w:cs="Calibri"/>
          <w:lang w:val="en-US"/>
        </w:rPr>
        <w:t>provide a methodology to monitor</w:t>
      </w:r>
      <w:r w:rsidRPr="00CD42FA">
        <w:rPr>
          <w:rFonts w:ascii="Calibri" w:hAnsi="Calibri" w:cs="Calibri"/>
          <w:lang w:val="en-US"/>
        </w:rPr>
        <w:t xml:space="preserve"> receptor trafficking</w:t>
      </w:r>
      <w:r w:rsidR="00687549" w:rsidRPr="00CD42FA">
        <w:rPr>
          <w:rFonts w:ascii="Calibri" w:hAnsi="Calibri" w:cs="Calibri"/>
          <w:lang w:val="en-US"/>
        </w:rPr>
        <w:t xml:space="preserve"> in zebrafish neutrophils. Zebrafish are genetically tractable</w:t>
      </w:r>
      <w:r w:rsidR="00D76FEE" w:rsidRPr="00CD42FA">
        <w:rPr>
          <w:rFonts w:ascii="Calibri" w:hAnsi="Calibri" w:cs="Calibri"/>
          <w:lang w:val="en-US"/>
        </w:rPr>
        <w:t>,</w:t>
      </w:r>
      <w:r w:rsidR="00995761" w:rsidRPr="00CD42FA">
        <w:rPr>
          <w:rFonts w:ascii="Calibri" w:hAnsi="Calibri" w:cs="Calibri"/>
          <w:lang w:val="en-US"/>
        </w:rPr>
        <w:t xml:space="preserve"> like mice</w:t>
      </w:r>
      <w:r w:rsidR="00687549" w:rsidRPr="00CD42FA">
        <w:rPr>
          <w:rFonts w:ascii="Calibri" w:hAnsi="Calibri" w:cs="Calibri"/>
          <w:lang w:val="en-US"/>
        </w:rPr>
        <w:t xml:space="preserve">, </w:t>
      </w:r>
      <w:r w:rsidR="00995761" w:rsidRPr="00CD42FA">
        <w:rPr>
          <w:rFonts w:ascii="Calibri" w:hAnsi="Calibri" w:cs="Calibri"/>
          <w:lang w:val="en-US"/>
        </w:rPr>
        <w:t xml:space="preserve">but transgenesis is </w:t>
      </w:r>
      <w:r w:rsidR="00687549" w:rsidRPr="00CD42FA">
        <w:rPr>
          <w:rFonts w:ascii="Calibri" w:hAnsi="Calibri" w:cs="Calibri"/>
          <w:lang w:val="en-US"/>
        </w:rPr>
        <w:t xml:space="preserve">relatively </w:t>
      </w:r>
      <w:r w:rsidR="00995761" w:rsidRPr="00CD42FA">
        <w:rPr>
          <w:rFonts w:ascii="Calibri" w:hAnsi="Calibri" w:cs="Calibri"/>
          <w:lang w:val="en-US"/>
        </w:rPr>
        <w:t xml:space="preserve">more </w:t>
      </w:r>
      <w:r w:rsidR="00687549" w:rsidRPr="00CD42FA">
        <w:rPr>
          <w:rFonts w:ascii="Calibri" w:hAnsi="Calibri" w:cs="Calibri"/>
          <w:lang w:val="en-US"/>
        </w:rPr>
        <w:t xml:space="preserve">straightforward </w:t>
      </w:r>
      <w:r w:rsidR="00995761" w:rsidRPr="00CD42FA">
        <w:rPr>
          <w:rFonts w:ascii="Calibri" w:hAnsi="Calibri" w:cs="Calibri"/>
          <w:lang w:val="en-US"/>
        </w:rPr>
        <w:t xml:space="preserve">through </w:t>
      </w:r>
      <w:r w:rsidR="00980479" w:rsidRPr="00CD42FA">
        <w:rPr>
          <w:rFonts w:ascii="Calibri" w:hAnsi="Calibri" w:cs="Calibri"/>
          <w:lang w:val="en-US"/>
        </w:rPr>
        <w:t xml:space="preserve">the </w:t>
      </w:r>
      <w:r w:rsidR="00995761" w:rsidRPr="00CD42FA">
        <w:rPr>
          <w:rFonts w:ascii="Calibri" w:hAnsi="Calibri" w:cs="Calibri"/>
          <w:lang w:val="en-US"/>
        </w:rPr>
        <w:t xml:space="preserve">use of </w:t>
      </w:r>
      <w:r w:rsidR="001466C7" w:rsidRPr="00CD42FA">
        <w:rPr>
          <w:rFonts w:ascii="Calibri" w:hAnsi="Calibri" w:cs="Calibri"/>
          <w:lang w:val="en-US"/>
        </w:rPr>
        <w:t>efficient</w:t>
      </w:r>
      <w:r w:rsidR="00687549" w:rsidRPr="00CD42FA">
        <w:rPr>
          <w:rFonts w:ascii="Calibri" w:hAnsi="Calibri" w:cs="Calibri"/>
          <w:lang w:val="en-US"/>
        </w:rPr>
        <w:t xml:space="preserve"> </w:t>
      </w:r>
      <w:r w:rsidR="00995761" w:rsidRPr="00CD42FA">
        <w:rPr>
          <w:rFonts w:ascii="Calibri" w:hAnsi="Calibri" w:cs="Calibri"/>
          <w:lang w:val="en-US"/>
        </w:rPr>
        <w:t>t</w:t>
      </w:r>
      <w:r w:rsidR="00687549" w:rsidRPr="00CD42FA">
        <w:rPr>
          <w:rFonts w:ascii="Calibri" w:hAnsi="Calibri" w:cs="Calibri"/>
          <w:lang w:val="en-US"/>
        </w:rPr>
        <w:t>ran</w:t>
      </w:r>
      <w:r w:rsidR="00E60C05" w:rsidRPr="00CD42FA">
        <w:rPr>
          <w:rFonts w:ascii="Calibri" w:hAnsi="Calibri" w:cs="Calibri"/>
          <w:lang w:val="en-US"/>
        </w:rPr>
        <w:t>s</w:t>
      </w:r>
      <w:r w:rsidR="00687549" w:rsidRPr="00CD42FA">
        <w:rPr>
          <w:rFonts w:ascii="Calibri" w:hAnsi="Calibri" w:cs="Calibri"/>
          <w:lang w:val="en-US"/>
        </w:rPr>
        <w:t>poson system</w:t>
      </w:r>
      <w:r w:rsidR="00995761" w:rsidRPr="00CD42FA">
        <w:rPr>
          <w:rFonts w:ascii="Calibri" w:hAnsi="Calibri" w:cs="Calibri"/>
          <w:lang w:val="en-US"/>
        </w:rPr>
        <w:t>s and direct zygot</w:t>
      </w:r>
      <w:r w:rsidR="005231FC" w:rsidRPr="00CD42FA">
        <w:rPr>
          <w:rFonts w:ascii="Calibri" w:hAnsi="Calibri" w:cs="Calibri"/>
          <w:lang w:val="en-US"/>
        </w:rPr>
        <w:t>e</w:t>
      </w:r>
      <w:r w:rsidR="00995761" w:rsidRPr="00CD42FA">
        <w:rPr>
          <w:rFonts w:ascii="Calibri" w:hAnsi="Calibri" w:cs="Calibri"/>
          <w:lang w:val="en-US"/>
        </w:rPr>
        <w:t xml:space="preserve"> manipulation</w:t>
      </w:r>
      <w:r w:rsidR="00F43BB3" w:rsidRPr="00CD42FA">
        <w:rPr>
          <w:rFonts w:ascii="Calibri" w:hAnsi="Calibri" w:cs="Calibri"/>
          <w:lang w:val="en-US"/>
        </w:rPr>
        <w:fldChar w:fldCharType="begin"/>
      </w:r>
      <w:r w:rsidR="0002471A" w:rsidRPr="00CD42FA">
        <w:rPr>
          <w:rFonts w:ascii="Calibri" w:hAnsi="Calibri" w:cs="Calibri"/>
          <w:lang w:val="en-US"/>
        </w:rPr>
        <w:instrText xml:space="preserve"> ADDIN ZOTERO_ITEM CSL_CITATION {"citationID":"ymUCFMc3","properties":{"formattedCitation":"\\super 7\\nosupersub{}","plainCitation":"7","noteIndex":0},"citationItems":[{"id":277,"uris":["http://zotero.org/users/5010385/items/HFGFGMEY"],"uri":["http://zotero.org/users/5010385/items/HFGFGMEY"],"itemData":{"id":277,"type":"article-journal","abstract":"Transgenesis is an important tool for assessing gene function. In zebrafish, transgenesis has suffered from three problems: the labor of building complex expression constructs using conventional subcloning; low transgenesis efficiency, leading to mosaicism in transient transgenics and infrequent germline incorporation; and difficulty in identifying germline integrations unless using a fluorescent marker transgene. The Tol2kit system uses site-specific recombination-based cloning (multisite Gateway technology) to allow quick, modular assembly of [promoter]-[coding sequence]-[3' tag] constructs in a Tol2 transposon backbone. It includes a destination vector with a cmlc2:EGFP (enhanced green fluorescent protein) transgenesis marker and a variety of widely useful entry clones, including hsp70 and beta-actin promoters; cytoplasmic, nuclear, and membrane-localized fluorescent proteins; and internal ribosome entry sequence-driven EGFP cassettes for bicistronic expression. The Tol2kit greatly facilitates zebrafish transgenesis, simplifies the sharing of clones, and enables large-scale projects testing the functions of libraries of regulatory or coding sequences.","container-title":"Developmental Dynamics: An Official Publication of the American Association of Anatomists","DOI":"10.1002/dvdy.21343","ISSN":"1058-8388","issue":"11","journalAbbreviation":"Dev. Dyn.","language":"eng","note":"PMID: 17937395","page":"3088-3099","source":"PubMed","title":"The Tol2kit: a multisite gateway-based construction kit for Tol2 transposon transgenesis constructs","title-short":"The Tol2kit","volume":"236","author":[{"family":"Kwan","given":"Kristen M."},{"family":"Fujimoto","given":"Esther"},{"family":"Grabher","given":"Clemens"},{"family":"Mangum","given":"Benjamin D."},{"family":"Hardy","given":"Melissa E."},{"family":"Campbell","given":"Douglas S."},{"family":"Parant","given":"John M."},{"family":"Yost","given":"H. Joseph"},{"family":"Kanki","given":"John P."},{"family":"Chien","given":"Chi-Bin"}],"issued":{"date-parts":[["2007",11]]}},"locator":"2"}],"schema":"https://github.com/citation-style-language/schema/raw/master/csl-citation.json"} </w:instrText>
      </w:r>
      <w:r w:rsidR="00F43BB3" w:rsidRPr="00CD42FA">
        <w:rPr>
          <w:rFonts w:ascii="Calibri" w:hAnsi="Calibri" w:cs="Calibri"/>
          <w:lang w:val="en-US"/>
        </w:rPr>
        <w:fldChar w:fldCharType="separate"/>
      </w:r>
      <w:r w:rsidR="000D4262" w:rsidRPr="00CD42FA">
        <w:rPr>
          <w:rFonts w:ascii="Calibri" w:hAnsi="Calibri" w:cs="Calibri"/>
          <w:vertAlign w:val="superscript"/>
          <w:lang w:val="en-US"/>
        </w:rPr>
        <w:t>7</w:t>
      </w:r>
      <w:r w:rsidR="00F43BB3" w:rsidRPr="00CD42FA">
        <w:rPr>
          <w:rFonts w:ascii="Calibri" w:hAnsi="Calibri" w:cs="Calibri"/>
          <w:lang w:val="en-US"/>
        </w:rPr>
        <w:fldChar w:fldCharType="end"/>
      </w:r>
      <w:r w:rsidR="00687549" w:rsidRPr="00CD42FA">
        <w:rPr>
          <w:rFonts w:ascii="Calibri" w:hAnsi="Calibri" w:cs="Calibri"/>
          <w:lang w:val="en-US"/>
        </w:rPr>
        <w:t>.</w:t>
      </w:r>
      <w:r w:rsidR="009B7BCF" w:rsidRPr="00CD42FA">
        <w:rPr>
          <w:rFonts w:ascii="Calibri" w:hAnsi="Calibri" w:cs="Calibri"/>
          <w:lang w:val="en-US"/>
        </w:rPr>
        <w:t xml:space="preserve"> The transparent larva is ideally amenable to imaging</w:t>
      </w:r>
      <w:r w:rsidR="00B77C34" w:rsidRPr="00CD42FA">
        <w:rPr>
          <w:rFonts w:ascii="Calibri" w:hAnsi="Calibri" w:cs="Calibri"/>
          <w:lang w:val="en-US"/>
        </w:rPr>
        <w:t>. The</w:t>
      </w:r>
      <w:r w:rsidR="00773EA0" w:rsidRPr="00CD42FA">
        <w:rPr>
          <w:rFonts w:ascii="Calibri" w:hAnsi="Calibri" w:cs="Calibri"/>
          <w:lang w:val="en-US"/>
        </w:rPr>
        <w:t xml:space="preserve"> chemokine receptor dynamics have been visuali</w:t>
      </w:r>
      <w:r w:rsidR="00B77C34" w:rsidRPr="00CD42FA">
        <w:rPr>
          <w:rFonts w:ascii="Calibri" w:hAnsi="Calibri" w:cs="Calibri"/>
          <w:lang w:val="en-US"/>
        </w:rPr>
        <w:t>z</w:t>
      </w:r>
      <w:r w:rsidR="00773EA0" w:rsidRPr="00CD42FA">
        <w:rPr>
          <w:rFonts w:ascii="Calibri" w:hAnsi="Calibri" w:cs="Calibri"/>
          <w:lang w:val="en-US"/>
        </w:rPr>
        <w:t>ed in primordial germ cells and the lateral line primordium by expression of corresponding fusions with fluorescent reporters</w:t>
      </w:r>
      <w:r w:rsidR="00773EA0" w:rsidRPr="00CD42FA">
        <w:rPr>
          <w:rFonts w:ascii="Calibri" w:hAnsi="Calibri" w:cs="Calibri"/>
          <w:lang w:val="en-US"/>
        </w:rPr>
        <w:fldChar w:fldCharType="begin"/>
      </w:r>
      <w:r w:rsidR="0002471A" w:rsidRPr="00CD42FA">
        <w:rPr>
          <w:rFonts w:ascii="Calibri" w:hAnsi="Calibri" w:cs="Calibri"/>
          <w:lang w:val="en-US"/>
        </w:rPr>
        <w:instrText xml:space="preserve"> ADDIN ZOTERO_ITEM CSL_CITATION {"citationID":"g1j7IdRq","properties":{"formattedCitation":"\\super 8\\uc0\\u8211{}10\\nosupersub{}","plainCitation":"8–10","noteIndex":0},"citationItems":[{"id":232,"uris":["http://zotero.org/users/5010385/items/GK9EJ8K3"],"uri":["http://zotero.org/users/5010385/items/GK9EJ8K3"],"itemData":{"id":232,"type":"article-journal","abstract":"The directed migration of cell collectives is a driving force of embryogenesis. The predominant view in the field is that cells in embryos navigate along pre-patterned chemoattractant gradients. One hypothetical way to free migrating collectives from the requirement of long-range gradients would be through the self-generation of local gradients that travel with them, a strategy that potentially allows self-determined directionality. However, a lack of tools for the visualization of endogenous guidance cues has prevented the demonstration of such self-generated gradients in vivo. Here we define the in vivo dynamics of one key guidance molecule, the chemokine Cxcl12a, by applying a fluorescent timer approach to measure ligand-triggered receptor turnover in living animals. Using the zebrafish lateral line primordium as a model, we show that migrating cell collectives can self-generate gradients of chemokine activity across their length via polarized receptor-mediated internalization. Finally, by engineering an external source of the atypical receptor Cxcr7 that moves with the primordium, we show that a self-generated gradient mechanism is sufficient to direct robust collective migration. This study thus provides, to our knowledge, the first in vivo proof for self-directed tissue migration through local shaping of an extracellular cue and provides a framework for investigating self-directed migration in many other contexts including cancer invasion.","container-title":"Nature","DOI":"10.1038/nature12635","ISSN":"1476-4687","issue":"7475","journalAbbreviation":"Nature","language":"eng","note":"PMID: 24067609","page":"285-289","source":"PubMed","title":"Directional tissue migration through a self-generated chemokine gradient","volume":"503","author":[{"family":"Donà","given":"Erika"},{"family":"Barry","given":"Joseph D."},{"family":"Valentin","given":"Guillaume"},{"family":"Quirin","given":"Charlotte"},{"family":"Khmelinskii","given":"Anton"},{"family":"Kunze","given":"Andreas"},{"family":"Durdu","given":"Sevi"},{"family":"Newton","given":"Lionel R."},{"family":"Fernandez-Minan","given":"Ana"},{"family":"Huber","given":"Wolfgang"},{"family":"Knop","given":"Michael"},{"family":"Gilmour","given":"Darren"}],"issued":{"date-parts":[["2013",11,14]]}}},{"id":246,"uris":["http://zotero.org/users/5010385/items/ZCR7KY8F"],"uri":["http://zotero.org/users/5010385/items/ZCR7KY8F"],"itemData":{"id":246,"type":"article-journal","abstract":"In animals, many cells reach their destinations by migrating toward higher concentrations of an attractant. However, the nature, generation, and interpretation of attractant gradients are poorly understood. Using a GFP fusion and a signaling sensor, we analyzed the distribution of the attractant chemokine Sdf1 during migration of the zebrafish posterior lateral line primordium, a cohort of about 200 cells that migrates over a stripe of cells uniformly expressing sdf1. We find that a small fraction of the total Sdf1 pool is available to signal and induces a linear Sdf1-signaling gradient across the primordium. This signaling gradient is initiated at the rear of the primordium, equilibrates across the primordium within 200 min, and operates near steady state. The rear of the primordium generates this gradient through continuous sequestration of Sdf1 protein by the alternate Sdf1-receptor Cxcr7. Modeling shows that this is a physically plausible scenario.","container-title":"Cell","DOI":"10.1016/j.cell.2013.09.046","ISSN":"1097-4172","issue":"3","journalAbbreviation":"Cell","language":"eng","note":"PMID: 24119842\nPMCID: PMC3842034","page":"674-687","source":"PubMed","title":"Generation and dynamics of an endogenous, self-generated signaling gradient across a migrating tissue","volume":"155","author":[{"family":"Venkiteswaran","given":"Gayatri"},{"family":"Lewellis","given":"Stephen W."},{"family":"Wang","given":"John"},{"family":"Reynolds","given":"Eric"},{"family":"Nicholson","given":"Charles"},{"family":"Knaut","given":"Holger"}],"issued":{"date-parts":[["2013",10,24]]}}},{"id":208,"uris":["http://zotero.org/users/5010385/items/XQUGL84P"],"uri":["http://zotero.org/users/5010385/items/XQUGL84P"],"itemData":{"id":208,"type":"article-journal","abstract":"Activation of the chemokine receptor CXCR4 by SDF1 controls a variety of biological processes in development, immune response, and disease [1-5]. The carboxyl-terminal region of CXCR4 is subject to phosphorylation that allows binding of regulatory proteins [5]; this results in downregulation of CXCR4 signaling and receptor internalization [6]. Notably, truncations of this part of CXCR4 have been implicated in WHIM syndrome, a dominantly inherited immunodeficiency disorder [7, 8]. Despite its importance in receptor signaling and the clinical relevance of its regulation, the precise function of regulating signaling level and internalization in controlling cell behavior is not known. Whereas a number of in vitro studies suggested that the carboxyl terminus of CXCR4 positively regulates chemotaxis (e.g., [9]), others reached the opposite conclusion [8, 10, 11]. These conflicting results highlight the importance of investigating this process under physiological conditions in the live animal. In this study, we demonstrate the significance of internalization and of controlling receptor signaling level for SDF-1-guided migration. We found that whereas internalization and the control over signaling intensity are dispensable for cell motility and directional sensing, they are essential for fine-tuning of migration in vivo, allowing precise arrival of zebrafish PGCs at their target, the region where the gonad develops.","container-title":"Current biology: CB","DOI":"10.1016/j.cub.2007.05.073","ISSN":"0960-9822","issue":"13","journalAbbreviation":"Curr. Biol.","language":"eng","note":"PMID: 17600713","page":"1164-1172","source":"PubMed","title":"Control of receptor internalization, signaling level, and precise arrival at the target in guided cell migration","volume":"17","author":[{"family":"Minina","given":"Sofia"},{"family":"Reichman-Fried","given":"Michal"},{"family":"Raz","given":"Erez"}],"issued":{"date-parts":[["2007",7,3]]}}}],"schema":"https://github.com/citation-style-language/schema/raw/master/csl-citation.json"} </w:instrText>
      </w:r>
      <w:r w:rsidR="00773EA0" w:rsidRPr="00CD42FA">
        <w:rPr>
          <w:rFonts w:ascii="Calibri" w:hAnsi="Calibri" w:cs="Calibri"/>
          <w:lang w:val="en-US"/>
        </w:rPr>
        <w:fldChar w:fldCharType="separate"/>
      </w:r>
      <w:r w:rsidR="000D4262" w:rsidRPr="00CD42FA">
        <w:rPr>
          <w:rFonts w:ascii="Calibri" w:hAnsi="Calibri" w:cs="Calibri"/>
          <w:vertAlign w:val="superscript"/>
          <w:lang w:val="en-US"/>
        </w:rPr>
        <w:t>8–10</w:t>
      </w:r>
      <w:r w:rsidR="00773EA0" w:rsidRPr="00CD42FA">
        <w:rPr>
          <w:rFonts w:ascii="Calibri" w:hAnsi="Calibri" w:cs="Calibri"/>
          <w:lang w:val="en-US"/>
        </w:rPr>
        <w:fldChar w:fldCharType="end"/>
      </w:r>
      <w:r w:rsidR="00773EA0" w:rsidRPr="00CD42FA">
        <w:rPr>
          <w:rFonts w:ascii="Calibri" w:hAnsi="Calibri" w:cs="Calibri"/>
          <w:lang w:val="en-US"/>
        </w:rPr>
        <w:t xml:space="preserve">. Zebrafish larvae are equipped with mature neutrophils that have highly conserved genetic and cellular properties with respect to mammalian neutrophils. </w:t>
      </w:r>
      <w:r w:rsidR="00FF24D0" w:rsidRPr="00CD42FA">
        <w:rPr>
          <w:rFonts w:ascii="Calibri" w:hAnsi="Calibri" w:cs="Calibri"/>
          <w:lang w:val="en-US"/>
        </w:rPr>
        <w:t>Subcellular signaling dynamics such as cytoskeletal dynamics and polarity regulators have been visuali</w:t>
      </w:r>
      <w:r w:rsidR="00B77C34" w:rsidRPr="00CD42FA">
        <w:rPr>
          <w:rFonts w:ascii="Calibri" w:hAnsi="Calibri" w:cs="Calibri"/>
          <w:lang w:val="en-US"/>
        </w:rPr>
        <w:t>z</w:t>
      </w:r>
      <w:r w:rsidR="00FF24D0" w:rsidRPr="00CD42FA">
        <w:rPr>
          <w:rFonts w:ascii="Calibri" w:hAnsi="Calibri" w:cs="Calibri"/>
          <w:lang w:val="en-US"/>
        </w:rPr>
        <w:t xml:space="preserve">ed in </w:t>
      </w:r>
      <w:r w:rsidR="007B4CF4" w:rsidRPr="00CD42FA">
        <w:rPr>
          <w:rFonts w:ascii="Calibri" w:hAnsi="Calibri" w:cs="Calibri"/>
          <w:lang w:val="en-US"/>
        </w:rPr>
        <w:t xml:space="preserve">these cells </w:t>
      </w:r>
      <w:r w:rsidR="002B737A" w:rsidRPr="00CD42FA">
        <w:rPr>
          <w:rFonts w:ascii="Calibri" w:hAnsi="Calibri" w:cs="Calibri"/>
          <w:lang w:val="en-US"/>
        </w:rPr>
        <w:t xml:space="preserve">by </w:t>
      </w:r>
      <w:r w:rsidR="00980479" w:rsidRPr="00CD42FA">
        <w:rPr>
          <w:rFonts w:ascii="Calibri" w:hAnsi="Calibri" w:cs="Calibri"/>
          <w:lang w:val="en-US"/>
        </w:rPr>
        <w:t xml:space="preserve">the </w:t>
      </w:r>
      <w:r w:rsidR="002B737A" w:rsidRPr="00CD42FA">
        <w:rPr>
          <w:rFonts w:ascii="Calibri" w:hAnsi="Calibri" w:cs="Calibri"/>
          <w:lang w:val="en-US"/>
        </w:rPr>
        <w:t>generation of corresponding transgenic lines</w:t>
      </w:r>
      <w:r w:rsidR="002B737A" w:rsidRPr="00CD42FA">
        <w:rPr>
          <w:rFonts w:ascii="Calibri" w:hAnsi="Calibri" w:cs="Calibri"/>
          <w:lang w:val="en-US"/>
        </w:rPr>
        <w:fldChar w:fldCharType="begin"/>
      </w:r>
      <w:r w:rsidR="0002471A" w:rsidRPr="00CD42FA">
        <w:rPr>
          <w:rFonts w:ascii="Calibri" w:hAnsi="Calibri" w:cs="Calibri"/>
          <w:lang w:val="en-US"/>
        </w:rPr>
        <w:instrText xml:space="preserve"> ADDIN ZOTERO_ITEM CSL_CITATION {"citationID":"SMutENr1","properties":{"formattedCitation":"\\super 11\\uc0\\u8211{}13\\nosupersub{}","plainCitation":"11–13","noteIndex":0},"citationItems":[{"id":700,"uris":["http://zotero.org/users/5010385/items/9Y54VVBV"],"uri":["http://zotero.org/users/5010385/items/9Y54VVBV"],"itemData":{"id":700,"type":"article-journal","abstract":"Microtubules control cell motility by positively regulating polarization in many cell types. However, how microtubules regulate leukocyte migration is not well understood, particularly in living organisms. Here we exploited the zebrafish system to study the role of microtubules in neutrophil migration in vivo. The localization of microtubules was visualized in motile neutrophils using various bioprobes, revealing that, in contrast to what has been seen in studies in vitro, the microtubule organizing center is positioned in front of the nucleus (relative to the direction of migration) in motile neutrophils. Microtubule disassembly impaired attraction of neutrophils to wounds but enhanced the polarity of F-actin dynamics as measured by the distribution of stable and dynamic F-actin. Microtubule depolymerization inhibited polarized phosphoinositol 3-kinase (PI(3)K) activation at the leading edge and induced rapid PI(3)K independent motility. Finally, we show that microtubules exert their effects on neutrophil polarity and motility at least in part by the negative regulation of both Rho and Rac activity. These results provide new insight into the role of microtubules in neutrophil migration in a living vertebrate and show that the motility of these professional migratory cells are subject to distinctly different rules from those established for other cell types.","container-title":"Journal of Cell Science","DOI":"10.1242/jcs.108324","ISSN":"1477-9137","issue":"Pt 23","journalAbbreviation":"J. Cell. Sci.","language":"eng","note":"PMID: 22992461\nPMCID: PMC3575705","page":"5702-5710","source":"PubMed","title":"The role of microtubules in neutrophil polarity and migration in live zebrafish","volume":"125","author":[{"family":"Yoo","given":"Sa Kan"},{"family":"Lam","given":"Pui-Ying"},{"family":"Eichelberg","given":"Mark R."},{"family":"Zasadil","given":"Lauren"},{"family":"Bement","given":"William M."},{"family":"Huttenlocher","given":"Anna"}],"issued":{"date-parts":[["2012",12,1]]}}},{"id":35,"uris":["http://zotero.org/users/5010385/items/8FTNJ2QN"],"uri":["http://zotero.org/users/5010385/items/8FTNJ2QN"],"itemData":{"id":35,"type":"article-journal","abstract":"Cell polarity is crucial for directed migration. Here we show that phosphoinositide 3-kinase (PI(3)K) mediates neutrophil migration in vivo by differentially regulating cell protrusion and polarity. The dynamics of PI(3)K products PI(3,4,5)P(3)-PI(3,4)P(2) during neutrophil migration were visualized in living zebrafish, revealing that PI(3)K activation at the leading edge is critical for neutrophil motility in intact tissues. A genetically encoded photoactivatable Rac was used to demonstrate that localized activation of Rac is sufficient to direct migration with precise temporal and spatial control in vivo. Similar stimulation of PI(3)K-inhibited cells did not direct migration. Localized Rac activation rescued membrane protrusion but not anteroposterior polarization of F-actin dynamics of PI(3)K-inhibited cells. Uncoupling Rac-mediated protrusion and polarization suggests a paradigm of two-tiered PI(3)K-mediated regulation of cell motility. This work provides new insight into how cell signaling at the front and back of the cell is coordinated during polarized cell migration in intact tissues within a multicellular organism.","container-title":"Developmental Cell","DOI":"10.1016/j.devcel.2009.11.015","ISSN":"1878-1551","issue":"2","journalAbbreviation":"Dev. Cell","language":"eng","note":"PMID: 20159593 \nPMCID: PMC2824622","page":"226-236","source":"NCBI PubMed","title":"Differential regulation of protrusion and polarity by PI3K during neutrophil motility in live zebrafish","volume":"18","author":[{"family":"Yoo","given":"Sa Kan"},{"family":"Deng","given":"Qing"},{"family":"Cavnar","given":"Peter J."},{"family":"Wu","given":"Yi I."},{"family":"Hahn","given":"Klaus M."},{"family":"Huttenlocher","given":"Anna"}],"issued":{"date-parts":[["2010",2,16]]}}},{"id":861,"uris":["http://zotero.org/users/5010385/items/3JDFJ9LR"],"uri":["http://zotero.org/users/5010385/items/3JDFJ9LR"],"itemData":{"id":861,"type":"article-journal","container-title":"PLOS ONE","DOI":"10.1371/journal.pone.0215592","ISSN":"1932-6203","issue":"4","journalAbbreviation":"PLoS ONE","language":"en","page":"e0215592","source":"DOI.org (Crossref)","title":"A transgenic zebrafish line for in vivo visualisation of neutrophil myeloperoxidase","volume":"14","author":[{"family":"Buchan","given":"Kyle D."},{"family":"Prajsnar","given":"Tomasz K."},{"family":"Ogryzko","given":"Nikolay V."},{"family":"Jong","given":"Nienke W. M.","non-dropping-particle":"de"},{"family":"Gent","given":"Michiel","non-dropping-particle":"van"},{"family":"Kolata","given":"Julia"},{"family":"Foster","given":"Simon J."},{"family":"Strijp","given":"Jos A. G.","non-dropping-particle":"van"},{"family":"Renshaw","given":"Stephen A."}],"editor":[{"family":"Boudinot","given":"Pierre"}],"issued":{"date-parts":[["2019",4,19]]}}}],"schema":"https://github.com/citation-style-language/schema/raw/master/csl-citation.json"} </w:instrText>
      </w:r>
      <w:r w:rsidR="002B737A" w:rsidRPr="00CD42FA">
        <w:rPr>
          <w:rFonts w:ascii="Calibri" w:hAnsi="Calibri" w:cs="Calibri"/>
          <w:lang w:val="en-US"/>
        </w:rPr>
        <w:fldChar w:fldCharType="separate"/>
      </w:r>
      <w:r w:rsidR="000D4262" w:rsidRPr="00CD42FA">
        <w:rPr>
          <w:rFonts w:ascii="Calibri" w:hAnsi="Calibri" w:cs="Calibri"/>
          <w:vertAlign w:val="superscript"/>
          <w:lang w:val="en-US"/>
        </w:rPr>
        <w:t>11–13</w:t>
      </w:r>
      <w:r w:rsidR="002B737A" w:rsidRPr="00CD42FA">
        <w:rPr>
          <w:rFonts w:ascii="Calibri" w:hAnsi="Calibri" w:cs="Calibri"/>
          <w:lang w:val="en-US"/>
        </w:rPr>
        <w:fldChar w:fldCharType="end"/>
      </w:r>
      <w:r w:rsidR="002B737A" w:rsidRPr="00CD42FA">
        <w:rPr>
          <w:rFonts w:ascii="Calibri" w:hAnsi="Calibri" w:cs="Calibri"/>
          <w:lang w:val="en-US"/>
        </w:rPr>
        <w:t>.</w:t>
      </w:r>
      <w:r w:rsidR="00FF24D0" w:rsidRPr="00CD42FA">
        <w:rPr>
          <w:rFonts w:ascii="Calibri" w:hAnsi="Calibri" w:cs="Calibri"/>
          <w:lang w:val="en-US"/>
        </w:rPr>
        <w:t xml:space="preserve">  </w:t>
      </w:r>
      <w:r w:rsidR="00773EA0" w:rsidRPr="00CD42FA">
        <w:rPr>
          <w:rFonts w:ascii="Calibri" w:hAnsi="Calibri" w:cs="Calibri"/>
          <w:lang w:val="en-US"/>
        </w:rPr>
        <w:t>Recently, we visuali</w:t>
      </w:r>
      <w:r w:rsidR="00B77C34" w:rsidRPr="00CD42FA">
        <w:rPr>
          <w:rFonts w:ascii="Calibri" w:hAnsi="Calibri" w:cs="Calibri"/>
          <w:lang w:val="en-US"/>
        </w:rPr>
        <w:t>z</w:t>
      </w:r>
      <w:r w:rsidR="00773EA0" w:rsidRPr="00CD42FA">
        <w:rPr>
          <w:rFonts w:ascii="Calibri" w:hAnsi="Calibri" w:cs="Calibri"/>
          <w:lang w:val="en-US"/>
        </w:rPr>
        <w:t>ed and functionally analy</w:t>
      </w:r>
      <w:r w:rsidR="00B77C34" w:rsidRPr="00CD42FA">
        <w:rPr>
          <w:rFonts w:ascii="Calibri" w:hAnsi="Calibri" w:cs="Calibri"/>
          <w:lang w:val="en-US"/>
        </w:rPr>
        <w:t>z</w:t>
      </w:r>
      <w:r w:rsidR="00773EA0" w:rsidRPr="00CD42FA">
        <w:rPr>
          <w:rFonts w:ascii="Calibri" w:hAnsi="Calibri" w:cs="Calibri"/>
          <w:lang w:val="en-US"/>
        </w:rPr>
        <w:t xml:space="preserve">ed chemokine receptor dynamics in </w:t>
      </w:r>
      <w:r w:rsidR="007B4CF4" w:rsidRPr="00CD42FA">
        <w:rPr>
          <w:rFonts w:ascii="Calibri" w:hAnsi="Calibri" w:cs="Calibri"/>
          <w:lang w:val="en-US"/>
        </w:rPr>
        <w:t>neutrophils during the course of inflammatory responses to tissue damage</w:t>
      </w:r>
      <w:r w:rsidR="003A5FF6" w:rsidRPr="00CD42FA">
        <w:rPr>
          <w:rFonts w:ascii="Calibri" w:hAnsi="Calibri" w:cs="Calibri"/>
          <w:lang w:val="en-US"/>
        </w:rPr>
        <w:fldChar w:fldCharType="begin"/>
      </w:r>
      <w:r w:rsidR="0002471A" w:rsidRPr="00CD42FA">
        <w:rPr>
          <w:rFonts w:ascii="Calibri" w:hAnsi="Calibri" w:cs="Calibri"/>
          <w:lang w:val="en-US"/>
        </w:rPr>
        <w:instrText xml:space="preserve"> ADDIN ZOTERO_ITEM CSL_CITATION {"citationID":"GjeugoDU","properties":{"formattedCitation":"\\super 14\\nosupersub{}","plainCitation":"14","noteIndex":0},"citationItems":[{"id":711,"uris":["http://zotero.org/users/5010385/items/22KQ8LRX"],"uri":["http://zotero.org/users/5010385/items/22KQ8LRX"],"itemData":{"id":711,"type":"article-journal","abstract":"Immune cells congregate at specific loci to fight infections during inflammatory responses, a process that must be transient and self-resolving. Cell dispersal promotes resolution, but it remains unclear how transition from clustering to dispersal is regulated. Here we show, using quantitative live imaging in zebrafish, that differential ligand-induced trafficking of chemokine receptors such as Cxcr1 and Cxcr2 orchestrates the state of neutrophil congregation at sites of tissue damage. Through receptor mutagenesis and biosensors, we show that Cxcr1 promotes clustering at wound sites, but is promptly desensitized and internalized, which prevents excess congregation. By contrast, Cxcr2 promotes bidirectional motility and is sustained at the plasma membrane. Persistent plasma membrane residence of Cxcr2 prolongs downstream signaling and is required for sustained exploratory motion conducive to dispersal. Thus, differential trafficking of two chemokine receptors allows coordination of antagonistic cell behaviors, promoting a self-resolving migratory response.","container-title":"Nature Communications","DOI":"10.1038/s41467-019-13107-3","ISSN":"2041-1723","issue":"1","journalAbbreviation":"Nat Commun","language":"eng","note":"PMID: 31727891\nPMCID: PMC6856356","page":"5166","source":"PubMed","title":"Chemokine receptor trafficking coordinates neutrophil clustering and dispersal at wounds in zebrafish","volume":"10","author":[{"family":"Coombs","given":"Caroline"},{"family":"Georgantzoglou","given":"Antonios"},{"family":"Walker","given":"Hazel A."},{"family":"Patt","given":"Julian"},{"family":"Merten","given":"Nicole"},{"family":"Poplimont","given":"Hugo"},{"family":"Busch-Nentwich","given":"Elisabeth M."},{"family":"Williams","given":"Sarah"},{"family":"Kotsi","given":"Christina"},{"family":"Kostenis","given":"Evi"},{"family":"Sarris","given":"Milka"}],"issued":{"date-parts":[["2019",11,14]]}}}],"schema":"https://github.com/citation-style-language/schema/raw/master/csl-citation.json"} </w:instrText>
      </w:r>
      <w:r w:rsidR="003A5FF6" w:rsidRPr="00CD42FA">
        <w:rPr>
          <w:rFonts w:ascii="Calibri" w:hAnsi="Calibri" w:cs="Calibri"/>
          <w:lang w:val="en-US"/>
        </w:rPr>
        <w:fldChar w:fldCharType="separate"/>
      </w:r>
      <w:r w:rsidR="000D4262" w:rsidRPr="00CD42FA">
        <w:rPr>
          <w:rFonts w:ascii="Calibri" w:hAnsi="Calibri" w:cs="Calibri"/>
          <w:vertAlign w:val="superscript"/>
          <w:lang w:val="en-US"/>
        </w:rPr>
        <w:t>14</w:t>
      </w:r>
      <w:r w:rsidR="003A5FF6" w:rsidRPr="00CD42FA">
        <w:rPr>
          <w:rFonts w:ascii="Calibri" w:hAnsi="Calibri" w:cs="Calibri"/>
          <w:lang w:val="en-US"/>
        </w:rPr>
        <w:fldChar w:fldCharType="end"/>
      </w:r>
      <w:r w:rsidR="00773EA0" w:rsidRPr="00CD42FA">
        <w:rPr>
          <w:rFonts w:ascii="Calibri" w:hAnsi="Calibri" w:cs="Calibri"/>
          <w:lang w:val="en-US"/>
        </w:rPr>
        <w:t>. Here, w</w:t>
      </w:r>
      <w:r w:rsidR="00DC00AB" w:rsidRPr="00CD42FA">
        <w:rPr>
          <w:rFonts w:ascii="Calibri" w:hAnsi="Calibri" w:cs="Calibri"/>
          <w:lang w:val="en-US"/>
        </w:rPr>
        <w:t xml:space="preserve">e describe the </w:t>
      </w:r>
      <w:r w:rsidR="00002F8E" w:rsidRPr="00CD42FA">
        <w:rPr>
          <w:rFonts w:ascii="Calibri" w:hAnsi="Calibri" w:cs="Calibri"/>
          <w:lang w:val="en-US"/>
        </w:rPr>
        <w:t xml:space="preserve">generation of transgenic reporter lines for chemokine signaling in neutrophils, </w:t>
      </w:r>
      <w:r w:rsidR="003B1E52" w:rsidRPr="00CD42FA">
        <w:rPr>
          <w:rFonts w:ascii="Calibri" w:hAnsi="Calibri" w:cs="Calibri"/>
          <w:lang w:val="en-US"/>
        </w:rPr>
        <w:t xml:space="preserve">preparation of embryos for live imaging, </w:t>
      </w:r>
      <w:r w:rsidR="00002F8E" w:rsidRPr="00CD42FA">
        <w:rPr>
          <w:rFonts w:ascii="Calibri" w:hAnsi="Calibri" w:cs="Calibri"/>
          <w:lang w:val="en-US"/>
        </w:rPr>
        <w:t>a</w:t>
      </w:r>
      <w:r w:rsidR="003B1E52" w:rsidRPr="00CD42FA">
        <w:rPr>
          <w:rFonts w:ascii="Calibri" w:hAnsi="Calibri" w:cs="Calibri"/>
          <w:lang w:val="en-US"/>
        </w:rPr>
        <w:t xml:space="preserve"> wound assay for studying neutrophil signaling and the protocol for acquisition </w:t>
      </w:r>
      <w:r w:rsidR="00E60C05" w:rsidRPr="00CD42FA">
        <w:rPr>
          <w:rFonts w:ascii="Calibri" w:hAnsi="Calibri" w:cs="Calibri"/>
          <w:lang w:val="en-US"/>
        </w:rPr>
        <w:t xml:space="preserve">and analysis </w:t>
      </w:r>
      <w:r w:rsidR="003B1E52" w:rsidRPr="00CD42FA">
        <w:rPr>
          <w:rFonts w:ascii="Calibri" w:hAnsi="Calibri" w:cs="Calibri"/>
          <w:lang w:val="en-US"/>
        </w:rPr>
        <w:t xml:space="preserve">of images. We also provide a </w:t>
      </w:r>
      <w:r w:rsidR="00BF2CC0" w:rsidRPr="00CD42FA">
        <w:rPr>
          <w:rFonts w:ascii="Calibri" w:hAnsi="Calibri" w:cs="Calibri"/>
          <w:lang w:val="en-US"/>
        </w:rPr>
        <w:t>side-</w:t>
      </w:r>
      <w:r w:rsidR="003B1E52" w:rsidRPr="00CD42FA">
        <w:rPr>
          <w:rFonts w:ascii="Calibri" w:hAnsi="Calibri" w:cs="Calibri"/>
          <w:lang w:val="en-US"/>
        </w:rPr>
        <w:t xml:space="preserve">protocol to test chemokine receptor responses to candidate ligands, which is useful when trying to establish ligand recognition patterns in uncharacterized receptors. These techniques can be used in combination with further genetic manipulations, such as inhibition of endogenous chemokine expression or generation of mutant receptors with altered ligand-induced trafficking, to interrogate how </w:t>
      </w:r>
      <w:r w:rsidR="005E10D7" w:rsidRPr="00CD42FA">
        <w:rPr>
          <w:rFonts w:ascii="Calibri" w:hAnsi="Calibri" w:cs="Calibri"/>
          <w:lang w:val="en-US"/>
        </w:rPr>
        <w:t xml:space="preserve">specific </w:t>
      </w:r>
      <w:r w:rsidR="003B1E52" w:rsidRPr="00CD42FA">
        <w:rPr>
          <w:rFonts w:ascii="Calibri" w:hAnsi="Calibri" w:cs="Calibri"/>
          <w:lang w:val="en-US"/>
        </w:rPr>
        <w:t>signaling dynamics affect leukocyte behavior in vivo.</w:t>
      </w:r>
      <w:r w:rsidR="002543B3" w:rsidRPr="00CD42FA">
        <w:rPr>
          <w:rFonts w:ascii="Calibri" w:hAnsi="Calibri" w:cs="Calibri"/>
          <w:lang w:val="en-US"/>
        </w:rPr>
        <w:t xml:space="preserve"> The transgenic lines </w:t>
      </w:r>
      <w:r w:rsidR="00EA0958" w:rsidRPr="00CD42FA">
        <w:rPr>
          <w:rFonts w:ascii="Calibri" w:hAnsi="Calibri" w:cs="Calibri"/>
          <w:lang w:val="en-US"/>
        </w:rPr>
        <w:t>expressing fluorescently</w:t>
      </w:r>
      <w:r w:rsidR="00546288" w:rsidRPr="00CD42FA">
        <w:rPr>
          <w:rFonts w:ascii="Calibri" w:hAnsi="Calibri" w:cs="Calibri"/>
          <w:lang w:val="en-US"/>
        </w:rPr>
        <w:t xml:space="preserve"> </w:t>
      </w:r>
      <w:r w:rsidR="00EA0958" w:rsidRPr="00CD42FA">
        <w:rPr>
          <w:rFonts w:ascii="Calibri" w:hAnsi="Calibri" w:cs="Calibri"/>
          <w:lang w:val="en-US"/>
        </w:rPr>
        <w:t xml:space="preserve">tagged </w:t>
      </w:r>
      <w:r w:rsidR="005E10D7" w:rsidRPr="00CD42FA">
        <w:rPr>
          <w:rFonts w:ascii="Calibri" w:hAnsi="Calibri" w:cs="Calibri"/>
          <w:lang w:val="en-US"/>
        </w:rPr>
        <w:t xml:space="preserve">chemokine receptors </w:t>
      </w:r>
      <w:r w:rsidR="002543B3" w:rsidRPr="00CD42FA">
        <w:rPr>
          <w:rFonts w:ascii="Calibri" w:hAnsi="Calibri" w:cs="Calibri"/>
          <w:lang w:val="en-US"/>
        </w:rPr>
        <w:t xml:space="preserve">can </w:t>
      </w:r>
      <w:r w:rsidR="005E10D7" w:rsidRPr="00CD42FA">
        <w:rPr>
          <w:rFonts w:ascii="Calibri" w:hAnsi="Calibri" w:cs="Calibri"/>
          <w:lang w:val="en-US"/>
        </w:rPr>
        <w:lastRenderedPageBreak/>
        <w:t xml:space="preserve">also </w:t>
      </w:r>
      <w:r w:rsidR="002543B3" w:rsidRPr="00CD42FA">
        <w:rPr>
          <w:rFonts w:ascii="Calibri" w:hAnsi="Calibri" w:cs="Calibri"/>
          <w:lang w:val="en-US"/>
        </w:rPr>
        <w:t>be used as reporters for endogenous chemokine gradient</w:t>
      </w:r>
      <w:r w:rsidR="005E10D7" w:rsidRPr="00CD42FA">
        <w:rPr>
          <w:rFonts w:ascii="Calibri" w:hAnsi="Calibri" w:cs="Calibri"/>
          <w:lang w:val="en-US"/>
        </w:rPr>
        <w:t>s, which are otherwise difficult to detect by direct antibody staining</w:t>
      </w:r>
      <w:r w:rsidR="002543B3" w:rsidRPr="00CD42FA">
        <w:rPr>
          <w:rFonts w:ascii="Calibri" w:hAnsi="Calibri" w:cs="Calibri"/>
          <w:lang w:val="en-US"/>
        </w:rPr>
        <w:t>.</w:t>
      </w:r>
      <w:r w:rsidR="00002F8E" w:rsidRPr="00CD42FA">
        <w:rPr>
          <w:rFonts w:ascii="Calibri" w:hAnsi="Calibri" w:cs="Calibri"/>
          <w:lang w:val="en-US"/>
        </w:rPr>
        <w:t xml:space="preserve"> The described methodology provide</w:t>
      </w:r>
      <w:r w:rsidR="007129AF" w:rsidRPr="00CD42FA">
        <w:rPr>
          <w:rFonts w:ascii="Calibri" w:hAnsi="Calibri" w:cs="Calibri"/>
          <w:lang w:val="en-US"/>
        </w:rPr>
        <w:t>s</w:t>
      </w:r>
      <w:r w:rsidR="00DF46DF" w:rsidRPr="00CD42FA">
        <w:rPr>
          <w:rFonts w:ascii="Calibri" w:hAnsi="Calibri" w:cs="Calibri"/>
          <w:lang w:val="en-US"/>
        </w:rPr>
        <w:t xml:space="preserve"> </w:t>
      </w:r>
      <w:r w:rsidR="005E10D7" w:rsidRPr="00CD42FA">
        <w:rPr>
          <w:rFonts w:ascii="Calibri" w:hAnsi="Calibri" w:cs="Calibri"/>
          <w:lang w:val="en-US"/>
        </w:rPr>
        <w:t xml:space="preserve">scope for expanding the generation of reporters </w:t>
      </w:r>
      <w:r w:rsidR="00DF46DF" w:rsidRPr="00CD42FA">
        <w:rPr>
          <w:rFonts w:ascii="Calibri" w:hAnsi="Calibri" w:cs="Calibri"/>
          <w:lang w:val="en-US"/>
        </w:rPr>
        <w:t>to</w:t>
      </w:r>
      <w:r w:rsidR="005E10D7" w:rsidRPr="00CD42FA">
        <w:rPr>
          <w:rFonts w:ascii="Calibri" w:hAnsi="Calibri" w:cs="Calibri"/>
          <w:lang w:val="en-US"/>
        </w:rPr>
        <w:t xml:space="preserve"> other immuno-signaling </w:t>
      </w:r>
      <w:r w:rsidR="00876FA5" w:rsidRPr="00CD42FA">
        <w:rPr>
          <w:rFonts w:ascii="Calibri" w:hAnsi="Calibri" w:cs="Calibri"/>
          <w:lang w:val="en-US"/>
        </w:rPr>
        <w:t>receptors</w:t>
      </w:r>
      <w:r w:rsidR="005E10D7" w:rsidRPr="00CD42FA">
        <w:rPr>
          <w:rFonts w:ascii="Calibri" w:hAnsi="Calibri" w:cs="Calibri"/>
          <w:lang w:val="en-US"/>
        </w:rPr>
        <w:t>.</w:t>
      </w:r>
    </w:p>
    <w:p w14:paraId="237AD7DD" w14:textId="77777777" w:rsidR="00D15131" w:rsidRPr="00CD42FA" w:rsidRDefault="00D15131" w:rsidP="005C35E4">
      <w:pPr>
        <w:jc w:val="both"/>
        <w:rPr>
          <w:rFonts w:ascii="Calibri" w:hAnsi="Calibri" w:cs="Calibri"/>
          <w:b/>
          <w:lang w:val="en-US"/>
        </w:rPr>
      </w:pPr>
    </w:p>
    <w:p w14:paraId="3D4CD2F3" w14:textId="51D0FC71" w:rsidR="006305D7" w:rsidRPr="00CD42FA" w:rsidRDefault="006305D7" w:rsidP="005C35E4">
      <w:pPr>
        <w:jc w:val="both"/>
        <w:rPr>
          <w:rStyle w:val="Hyperlink"/>
          <w:rFonts w:ascii="Calibri" w:hAnsi="Calibri" w:cs="Calibri"/>
          <w:color w:val="auto"/>
          <w:u w:val="none"/>
          <w:lang w:val="en-US"/>
        </w:rPr>
      </w:pPr>
      <w:bookmarkStart w:id="0" w:name="_Hlk46148497"/>
      <w:r w:rsidRPr="00CD42FA">
        <w:rPr>
          <w:rFonts w:ascii="Calibri" w:hAnsi="Calibri" w:cs="Calibri"/>
          <w:b/>
          <w:lang w:val="en-US"/>
        </w:rPr>
        <w:t>PROTOCOL</w:t>
      </w:r>
      <w:r w:rsidR="00472BA0" w:rsidRPr="00CD42FA">
        <w:rPr>
          <w:rFonts w:ascii="Calibri" w:hAnsi="Calibri" w:cs="Calibri"/>
          <w:b/>
          <w:lang w:val="en-US"/>
        </w:rPr>
        <w:t>:</w:t>
      </w:r>
    </w:p>
    <w:p w14:paraId="4A121420" w14:textId="77777777" w:rsidR="002B6097" w:rsidRPr="00CD42FA" w:rsidRDefault="002B6097" w:rsidP="005C35E4">
      <w:pPr>
        <w:jc w:val="both"/>
        <w:rPr>
          <w:rFonts w:ascii="Calibri" w:hAnsi="Calibri" w:cs="Calibri"/>
          <w:lang w:val="en-US"/>
        </w:rPr>
      </w:pPr>
    </w:p>
    <w:p w14:paraId="45A2B879" w14:textId="727AEC56" w:rsidR="00C76BD4" w:rsidRPr="00CD42FA" w:rsidRDefault="00C76BD4" w:rsidP="005C35E4">
      <w:pPr>
        <w:jc w:val="both"/>
        <w:rPr>
          <w:rFonts w:ascii="Calibri" w:hAnsi="Calibri" w:cs="Calibri"/>
          <w:lang w:val="en-US"/>
        </w:rPr>
      </w:pPr>
      <w:r w:rsidRPr="00CD42FA">
        <w:rPr>
          <w:rFonts w:ascii="Calibri" w:hAnsi="Calibri" w:cs="Calibri"/>
          <w:lang w:val="en-US"/>
        </w:rPr>
        <w:t xml:space="preserve">NOTE: </w:t>
      </w:r>
      <w:r w:rsidR="002B6097" w:rsidRPr="00CD42FA">
        <w:rPr>
          <w:rFonts w:ascii="Calibri" w:hAnsi="Calibri" w:cs="Calibri"/>
          <w:lang w:val="en-US"/>
        </w:rPr>
        <w:t>All zebrafish were kept</w:t>
      </w:r>
      <w:r w:rsidR="00A3251A" w:rsidRPr="00CD42FA">
        <w:rPr>
          <w:rFonts w:ascii="Calibri" w:hAnsi="Calibri" w:cs="Calibri"/>
          <w:lang w:val="en-US"/>
        </w:rPr>
        <w:t xml:space="preserve"> according to</w:t>
      </w:r>
      <w:r w:rsidRPr="00CD42FA">
        <w:rPr>
          <w:rFonts w:ascii="Calibri" w:hAnsi="Calibri" w:cs="Calibri"/>
          <w:lang w:val="en-US"/>
        </w:rPr>
        <w:t xml:space="preserve"> the ARRIVE guidelines and </w:t>
      </w:r>
      <w:r w:rsidRPr="00CD42FA">
        <w:rPr>
          <w:rFonts w:ascii="Calibri" w:hAnsi="Calibri" w:cs="Calibri"/>
          <w:shd w:val="clear" w:color="auto" w:fill="FFFFFF"/>
          <w:lang w:val="en-US"/>
        </w:rPr>
        <w:t>UK Home Office regulations, UK Animals (Scientific Procedures) Act 1986.</w:t>
      </w:r>
    </w:p>
    <w:p w14:paraId="4A30E04E" w14:textId="77777777" w:rsidR="00FE2312" w:rsidRPr="00CD42FA" w:rsidRDefault="00FE2312" w:rsidP="005C35E4">
      <w:pPr>
        <w:jc w:val="both"/>
        <w:rPr>
          <w:rFonts w:ascii="Calibri" w:hAnsi="Calibri" w:cs="Calibri"/>
          <w:b/>
          <w:bCs/>
          <w:lang w:val="en-US"/>
        </w:rPr>
      </w:pPr>
    </w:p>
    <w:p w14:paraId="0206EF07" w14:textId="4D6492A8" w:rsidR="00A3251A" w:rsidRPr="00CD42FA" w:rsidRDefault="00683586" w:rsidP="005C35E4">
      <w:pPr>
        <w:jc w:val="both"/>
        <w:rPr>
          <w:rFonts w:ascii="Calibri" w:hAnsi="Calibri" w:cs="Calibri"/>
          <w:b/>
          <w:bCs/>
          <w:lang w:val="en-US"/>
        </w:rPr>
      </w:pPr>
      <w:r w:rsidRPr="00CD42FA">
        <w:rPr>
          <w:rFonts w:ascii="Calibri" w:hAnsi="Calibri" w:cs="Calibri"/>
          <w:b/>
          <w:bCs/>
          <w:lang w:val="en-US"/>
        </w:rPr>
        <w:t>1</w:t>
      </w:r>
      <w:r w:rsidR="00FE2312" w:rsidRPr="00CD42FA">
        <w:rPr>
          <w:rFonts w:ascii="Calibri" w:hAnsi="Calibri" w:cs="Calibri"/>
          <w:b/>
          <w:bCs/>
          <w:lang w:val="en-US"/>
        </w:rPr>
        <w:t xml:space="preserve">. </w:t>
      </w:r>
      <w:r w:rsidR="00A3251A" w:rsidRPr="00CD42FA">
        <w:rPr>
          <w:rFonts w:ascii="Calibri" w:hAnsi="Calibri" w:cs="Calibri"/>
          <w:b/>
          <w:bCs/>
          <w:lang w:val="en-US"/>
        </w:rPr>
        <w:t>Generation of transgenic reporter</w:t>
      </w:r>
      <w:r w:rsidR="00E76EBA" w:rsidRPr="00CD42FA">
        <w:rPr>
          <w:rFonts w:ascii="Calibri" w:hAnsi="Calibri" w:cs="Calibri"/>
          <w:b/>
          <w:bCs/>
          <w:lang w:val="en-US"/>
        </w:rPr>
        <w:t xml:space="preserve"> zebrafish larvae</w:t>
      </w:r>
      <w:r w:rsidR="00A3251A" w:rsidRPr="00CD42FA">
        <w:rPr>
          <w:rFonts w:ascii="Calibri" w:hAnsi="Calibri" w:cs="Calibri"/>
          <w:b/>
          <w:bCs/>
          <w:lang w:val="en-US"/>
        </w:rPr>
        <w:t xml:space="preserve"> for </w:t>
      </w:r>
      <w:r w:rsidR="00CA6E9C" w:rsidRPr="00CD42FA">
        <w:rPr>
          <w:rFonts w:ascii="Calibri" w:hAnsi="Calibri" w:cs="Calibri"/>
          <w:b/>
          <w:bCs/>
          <w:lang w:val="en-US"/>
        </w:rPr>
        <w:t xml:space="preserve">imaging </w:t>
      </w:r>
      <w:r w:rsidR="00A3251A" w:rsidRPr="00CD42FA">
        <w:rPr>
          <w:rFonts w:ascii="Calibri" w:hAnsi="Calibri" w:cs="Calibri"/>
          <w:b/>
          <w:bCs/>
          <w:lang w:val="en-US"/>
        </w:rPr>
        <w:t>receptor trafficking</w:t>
      </w:r>
      <w:r w:rsidR="00CA6E9C" w:rsidRPr="00CD42FA">
        <w:rPr>
          <w:rFonts w:ascii="Calibri" w:hAnsi="Calibri" w:cs="Calibri"/>
          <w:b/>
          <w:bCs/>
          <w:lang w:val="en-US"/>
        </w:rPr>
        <w:t xml:space="preserve"> in leukocytes</w:t>
      </w:r>
    </w:p>
    <w:p w14:paraId="2BF07A66" w14:textId="77777777" w:rsidR="00B77C34" w:rsidRPr="00CD42FA" w:rsidRDefault="00B77C34" w:rsidP="005C35E4">
      <w:pPr>
        <w:jc w:val="both"/>
        <w:rPr>
          <w:rFonts w:ascii="Calibri" w:hAnsi="Calibri" w:cs="Calibri"/>
          <w:lang w:val="en-US"/>
        </w:rPr>
      </w:pPr>
    </w:p>
    <w:p w14:paraId="020B1325" w14:textId="2FCA1B6E" w:rsidR="00546288" w:rsidRPr="00CD42FA" w:rsidRDefault="5B7C489D" w:rsidP="005C35E4">
      <w:pPr>
        <w:pStyle w:val="ListParagraph"/>
        <w:numPr>
          <w:ilvl w:val="1"/>
          <w:numId w:val="1"/>
        </w:numPr>
        <w:ind w:left="0" w:firstLine="0"/>
        <w:rPr>
          <w:color w:val="auto"/>
        </w:rPr>
      </w:pPr>
      <w:r w:rsidRPr="00CD42FA">
        <w:rPr>
          <w:color w:val="auto"/>
        </w:rPr>
        <w:t xml:space="preserve">Generate Tol2-based construct for tissue specific expression of the </w:t>
      </w:r>
      <w:r w:rsidR="00D148DA" w:rsidRPr="00CD42FA">
        <w:rPr>
          <w:color w:val="auto"/>
        </w:rPr>
        <w:t>fluorescently</w:t>
      </w:r>
      <w:r w:rsidR="00546288" w:rsidRPr="00CD42FA">
        <w:rPr>
          <w:color w:val="auto"/>
        </w:rPr>
        <w:t xml:space="preserve"> </w:t>
      </w:r>
      <w:r w:rsidR="00D148DA" w:rsidRPr="00CD42FA">
        <w:rPr>
          <w:color w:val="auto"/>
        </w:rPr>
        <w:t xml:space="preserve">tagged </w:t>
      </w:r>
      <w:r w:rsidRPr="00CD42FA">
        <w:rPr>
          <w:color w:val="auto"/>
        </w:rPr>
        <w:t>receptor of interest. For neutrophils, use promoter sequences from the lysozyme C</w:t>
      </w:r>
      <w:r w:rsidR="00EE044C" w:rsidRPr="00CD42FA">
        <w:rPr>
          <w:color w:val="auto"/>
        </w:rPr>
        <w:fldChar w:fldCharType="begin"/>
      </w:r>
      <w:r w:rsidR="0002471A" w:rsidRPr="00CD42FA">
        <w:rPr>
          <w:color w:val="auto"/>
        </w:rPr>
        <w:instrText xml:space="preserve"> ADDIN ZOTERO_ITEM CSL_CITATION {"citationID":"ylyS6UAg","properties":{"formattedCitation":"\\super 15\\nosupersub{}","plainCitation":"15","noteIndex":0},"citationItems":[{"id":701,"uris":["http://zotero.org/users/5010385/items/B7JEWUWL"],"uri":["http://zotero.org/users/5010385/items/B7JEWUWL"],"itemData":{"id":701,"type":"article-journal","abstract":"BACKGROUND: How different immune cell compartments contribute to a successful immune response is central to fully understanding the mechanisms behind normal processes such as tissue repair and the pathology of inflammatory diseases. However, the ability to observe and characterize such interactions, in real-time, within a living vertebrate has proved elusive. Recently, the zebrafish has been exploited to model aspects of human disease and to study specific immune cell compartments using fluorescent reporter transgenic lines. A number of blood-specific lines have provided a means to exploit the exquisite optical clarity that this vertebrate system offers and provide a level of insight into dynamic inflammatory processes previously unavailable.\nRESULTS: We used regulatory regions of the zebrafish lysozyme C (lysC) gene to drive enhanced green fluorescent protein (EGFP) and DsRED2 expression in a manner that completely recapitulated the endogenous expression profile of lysC. Labeled cells were shown by co-expression studies and FACS analysis to represent a subset of macrophages and likely also granulocytes. Functional assays within transgenic larvae proved that these marked cells possess hallmark traits of myelomonocytic cells, including the ability to migrate to inflammatory sources and phagocytose bacteria.\nCONCLUSION: These reporter lines will have utility in dissecting the genetic determinants of commitment to the myeloid lineage and in further defining how lysozyme-expressing cells participate during inflammation.","container-title":"BMC developmental biology","DOI":"10.1186/1471-213X-7-42","ISSN":"1471-213X","journalAbbreviation":"BMC Dev. Biol.","language":"eng","note":"PMID: 17477879\nPMCID: PMC1877083","page":"42","source":"PubMed","title":"The zebrafish lysozyme C promoter drives myeloid-specific expression in transgenic fish","volume":"7","author":[{"family":"Hall","given":"Chris"},{"family":"Flores","given":"Maria Vega"},{"family":"Storm","given":"Thilo"},{"family":"Crosier","given":"Kathy"},{"family":"Crosier","given":"Phil"}],"issued":{"date-parts":[["2007",5,4]]}}}],"schema":"https://github.com/citation-style-language/schema/raw/master/csl-citation.json"} </w:instrText>
      </w:r>
      <w:r w:rsidR="00EE044C" w:rsidRPr="00CD42FA">
        <w:rPr>
          <w:color w:val="auto"/>
        </w:rPr>
        <w:fldChar w:fldCharType="separate"/>
      </w:r>
      <w:r w:rsidR="00EE044C" w:rsidRPr="00CD42FA">
        <w:rPr>
          <w:color w:val="auto"/>
          <w:vertAlign w:val="superscript"/>
        </w:rPr>
        <w:t>15</w:t>
      </w:r>
      <w:r w:rsidR="00EE044C" w:rsidRPr="00CD42FA">
        <w:rPr>
          <w:color w:val="auto"/>
        </w:rPr>
        <w:fldChar w:fldCharType="end"/>
      </w:r>
      <w:r w:rsidRPr="00CD42FA">
        <w:rPr>
          <w:color w:val="auto"/>
        </w:rPr>
        <w:t xml:space="preserve"> and myeloperoxidase gene</w:t>
      </w:r>
      <w:r w:rsidR="00EE044C" w:rsidRPr="00CD42FA">
        <w:rPr>
          <w:color w:val="auto"/>
        </w:rPr>
        <w:fldChar w:fldCharType="begin"/>
      </w:r>
      <w:r w:rsidR="0002471A" w:rsidRPr="00CD42FA">
        <w:rPr>
          <w:color w:val="auto"/>
        </w:rPr>
        <w:instrText xml:space="preserve"> ADDIN ZOTERO_ITEM CSL_CITATION {"citationID":"Za6gSW1h","properties":{"formattedCitation":"\\super 16\\nosupersub{}","plainCitation":"16","noteIndex":0},"citationItems":[{"id":274,"uris":["http://zotero.org/users/5010385/items/7ZCNI76W"],"uri":["http://zotero.org/users/5010385/items/7ZCNI76W"],"itemData":{"id":274,"type":"article-journal","abstract":"We have established an in vivo model for genetic analysis of the inflammatory response by generating a transgenic zebrafish line that expresses GFP under the neutrophil-specific myeloperoxidase promoter. We show that inflammation is induced after transection of the tail of zebrafish larvae and that this inflammation subsequently resolves over a similar time course to mammalian systems. Quantitative data can be generated from this model by counting of fluorescent cells or by digital image analysis. In addition, we show that the resolution of experimentally induced inflammation can be inhibited by the addition of a pancaspase inhibitor, zVD.fmk, demonstrating that experimental manipulation of the resolution of inflammation is possible in this model.","container-title":"Blood","DOI":"10.1182/blood-2006-05-024075","ISSN":"0006-4971","issue":"13","journalAbbreviation":"Blood","language":"eng","note":"PMID: 16926288","page":"3976-3978","source":"PubMed","title":"A transgenic zebrafish model of neutrophilic inflammation","volume":"108","author":[{"family":"Renshaw","given":"Stephen A."},{"family":"Loynes","given":"Catherine A."},{"family":"Trushell","given":"Daniel M. I."},{"family":"Elworthy","given":"Stone"},{"family":"Ingham","given":"Philip W."},{"family":"Whyte","given":"Moira K. B."}],"issued":{"date-parts":[["2006",12,15]]}}}],"schema":"https://github.com/citation-style-language/schema/raw/master/csl-citation.json"} </w:instrText>
      </w:r>
      <w:r w:rsidR="00EE044C" w:rsidRPr="00CD42FA">
        <w:rPr>
          <w:color w:val="auto"/>
        </w:rPr>
        <w:fldChar w:fldCharType="separate"/>
      </w:r>
      <w:r w:rsidR="00EE044C" w:rsidRPr="00CD42FA">
        <w:rPr>
          <w:color w:val="auto"/>
          <w:vertAlign w:val="superscript"/>
        </w:rPr>
        <w:t>16</w:t>
      </w:r>
      <w:r w:rsidR="00EE044C" w:rsidRPr="00CD42FA">
        <w:rPr>
          <w:color w:val="auto"/>
        </w:rPr>
        <w:fldChar w:fldCharType="end"/>
      </w:r>
      <w:r w:rsidRPr="00CD42FA">
        <w:rPr>
          <w:color w:val="auto"/>
        </w:rPr>
        <w:t>. The construct can be designed as a fusion with a single fluorescent protein (e.g. GFP), a tandem fluorescent timer (e.g.</w:t>
      </w:r>
      <w:r w:rsidR="00300797">
        <w:rPr>
          <w:color w:val="auto"/>
        </w:rPr>
        <w:t>,</w:t>
      </w:r>
      <w:r w:rsidRPr="00CD42FA">
        <w:rPr>
          <w:color w:val="auto"/>
        </w:rPr>
        <w:t xml:space="preserve"> a fast-folding GFP and a slower maturing tagRFP</w:t>
      </w:r>
      <w:r w:rsidR="00683586" w:rsidRPr="00CD42FA">
        <w:rPr>
          <w:color w:val="auto"/>
        </w:rPr>
        <w:fldChar w:fldCharType="begin"/>
      </w:r>
      <w:r w:rsidR="0002471A" w:rsidRPr="00CD42FA">
        <w:rPr>
          <w:color w:val="auto"/>
        </w:rPr>
        <w:instrText xml:space="preserve"> ADDIN ZOTERO_ITEM CSL_CITATION {"citationID":"femxP0I7","properties":{"formattedCitation":"\\super 8, 14, 17\\nosupersub{}","plainCitation":"8, 14, 17","noteIndex":0},"citationItems":[{"id":232,"uris":["http://zotero.org/users/5010385/items/GK9EJ8K3"],"uri":["http://zotero.org/users/5010385/items/GK9EJ8K3"],"itemData":{"id":232,"type":"article-journal","abstract":"The directed migration of cell collectives is a driving force of embryogenesis. The predominant view in the field is that cells in embryos navigate along pre-patterned chemoattractant gradients. One hypothetical way to free migrating collectives from the requirement of long-range gradients would be through the self-generation of local gradients that travel with them, a strategy that potentially allows self-determined directionality. However, a lack of tools for the visualization of endogenous guidance cues has prevented the demonstration of such self-generated gradients in vivo. Here we define the in vivo dynamics of one key guidance molecule, the chemokine Cxcl12a, by applying a fluorescent timer approach to measure ligand-triggered receptor turnover in living animals. Using the zebrafish lateral line primordium as a model, we show that migrating cell collectives can self-generate gradients of chemokine activity across their length via polarized receptor-mediated internalization. Finally, by engineering an external source of the atypical receptor Cxcr7 that moves with the primordium, we show that a self-generated gradient mechanism is sufficient to direct robust collective migration. This study thus provides, to our knowledge, the first in vivo proof for self-directed tissue migration through local shaping of an extracellular cue and provides a framework for investigating self-directed migration in many other contexts including cancer invasion.","container-title":"Nature","DOI":"10.1038/nature12635","ISSN":"1476-4687","issue":"7475","journalAbbreviation":"Nature","language":"eng","note":"PMID: 24067609","page":"285-289","source":"PubMed","title":"Directional tissue migration through a self-generated chemokine gradient","volume":"503","author":[{"family":"Donà","given":"Erika"},{"family":"Barry","given":"Joseph D."},{"family":"Valentin","given":"Guillaume"},{"family":"Quirin","given":"Charlotte"},{"family":"Khmelinskii","given":"Anton"},{"family":"Kunze","given":"Andreas"},{"family":"Durdu","given":"Sevi"},{"family":"Newton","given":"Lionel R."},{"family":"Fernandez-Minan","given":"Ana"},{"family":"Huber","given":"Wolfgang"},{"family":"Knop","given":"Michael"},{"family":"Gilmour","given":"Darren"}],"issued":{"date-parts":[["2013",11,14]]}}},{"id":711,"uris":["http://zotero.org/users/5010385/items/22KQ8LRX"],"uri":["http://zotero.org/users/5010385/items/22KQ8LRX"],"itemData":{"id":711,"type":"article-journal","abstract":"Immune cells congregate at specific loci to fight infections during inflammatory responses, a process that must be transient and self-resolving. Cell dispersal promotes resolution, but it remains unclear how transition from clustering to dispersal is regulated. Here we show, using quantitative live imaging in zebrafish, that differential ligand-induced trafficking of chemokine receptors such as Cxcr1 and Cxcr2 orchestrates the state of neutrophil congregation at sites of tissue damage. Through receptor mutagenesis and biosensors, we show that Cxcr1 promotes clustering at wound sites, but is promptly desensitized and internalized, which prevents excess congregation. By contrast, Cxcr2 promotes bidirectional motility and is sustained at the plasma membrane. Persistent plasma membrane residence of Cxcr2 prolongs downstream signaling and is required for sustained exploratory motion conducive to dispersal. Thus, differential trafficking of two chemokine receptors allows coordination of antagonistic cell behaviors, promoting a self-resolving migratory response.","container-title":"Nature Communications","DOI":"10.1038/s41467-019-13107-3","ISSN":"2041-1723","issue":"1","journalAbbreviation":"Nat Commun","language":"eng","note":"PMID: 31727891\nPMCID: PMC6856356","page":"5166","source":"PubMed","title":"Chemokine receptor trafficking coordinates neutrophil clustering and dispersal at wounds in zebrafish","volume":"10","author":[{"family":"Coombs","given":"Caroline"},{"family":"Georgantzoglou","given":"Antonios"},{"family":"Walker","given":"Hazel A."},{"family":"Patt","given":"Julian"},{"family":"Merten","given":"Nicole"},{"family":"Poplimont","given":"Hugo"},{"family":"Busch-Nentwich","given":"Elisabeth M."},{"family":"Williams","given":"Sarah"},{"family":"Kotsi","given":"Christina"},{"family":"Kostenis","given":"Evi"},{"family":"Sarris","given":"Milka"}],"issued":{"date-parts":[["2019",11,14]]}}},{"id":234,"uris":["http://zotero.org/users/5010385/items/L275REF8"],"uri":["http://zotero.org/users/5010385/items/L275REF8"],"itemData":{"id":234,"type":"article-journal","abstract":"The functional state of a cell is largely determined by the spatiotemporal organization of its proteome. Technologies exist for measuring particular aspects of protein turnover and localization, but comprehensive analysis of protein dynamics across different scales is possible only by combining several methods. Here we describe tandem fluorescent protein timers (tFTs), fusions of two single-color fluorescent proteins that mature with different kinetics, which we use to analyze protein turnover and mobility in living cells. We fuse tFTs to proteins in yeast to study the longevity, segregation and inheritance of cellular components and the mobility of proteins between subcellular compartments; to measure protein degradation kinetics without the need for time-course measurements; and to conduct high-throughput screens for regulators of protein turnover. Our experiments reveal the stable nature and asymmetric inheritance of nuclear pore complexes and identify regulators of N-end rule–mediated protein degradation.","container-title":"Nature Biotechnology","DOI":"10.1038/nbt.2281","ISSN":"1546-1696","issue":"7","journalAbbreviation":"Nat. Biotechnol.","language":"eng","note":"PMID: 22729030","page":"708-714","source":"PubMed","title":"Tandem fluorescent protein timers for in vivo analysis of protein dynamics","volume":"30","author":[{"family":"Khmelinskii","given":"Anton"},{"family":"Keller","given":"Philipp J."},{"family":"Bartosik","given":"Anna"},{"family":"Meurer","given":"Matthias"},{"family":"Barry","given":"Joseph D."},{"family":"Mardin","given":"Balca R."},{"family":"Kaufmann","given":"Andreas"},{"family":"Trautmann","given":"Susanne"},{"family":"Wachsmuth","given":"Malte"},{"family":"Pereira","given":"Gislene"},{"family":"Huber","given":"Wolfgang"},{"family":"Schiebel","given":"Elmar"},{"family":"Knop","given":"Michael"}],"issued":{"date-parts":[["2012",6,24]]}}}],"schema":"https://github.com/citation-style-language/schema/raw/master/csl-citation.json"} </w:instrText>
      </w:r>
      <w:r w:rsidR="00683586" w:rsidRPr="00CD42FA">
        <w:rPr>
          <w:color w:val="auto"/>
        </w:rPr>
        <w:fldChar w:fldCharType="separate"/>
      </w:r>
      <w:r w:rsidR="0002471A" w:rsidRPr="00CD42FA">
        <w:rPr>
          <w:color w:val="auto"/>
          <w:vertAlign w:val="superscript"/>
        </w:rPr>
        <w:t>8, 14, 17</w:t>
      </w:r>
      <w:r w:rsidR="00683586" w:rsidRPr="00CD42FA">
        <w:rPr>
          <w:color w:val="auto"/>
        </w:rPr>
        <w:fldChar w:fldCharType="end"/>
      </w:r>
      <w:r w:rsidRPr="00CD42FA">
        <w:rPr>
          <w:color w:val="auto"/>
        </w:rPr>
        <w:t>) or a bicistronic expression of reporter GFP and a control membrane marker</w:t>
      </w:r>
      <w:r w:rsidR="00683586" w:rsidRPr="00CD42FA">
        <w:rPr>
          <w:color w:val="auto"/>
        </w:rPr>
        <w:fldChar w:fldCharType="begin"/>
      </w:r>
      <w:r w:rsidR="0002471A" w:rsidRPr="00CD42FA">
        <w:rPr>
          <w:color w:val="auto"/>
        </w:rPr>
        <w:instrText xml:space="preserve"> ADDIN ZOTERO_ITEM CSL_CITATION {"citationID":"ugLqIKLs","properties":{"formattedCitation":"\\super 9\\nosupersub{}","plainCitation":"9","noteIndex":0},"citationItems":[{"id":246,"uris":["http://zotero.org/users/5010385/items/ZCR7KY8F"],"uri":["http://zotero.org/users/5010385/items/ZCR7KY8F"],"itemData":{"id":246,"type":"article-journal","abstract":"In animals, many cells reach their destinations by migrating toward higher concentrations of an attractant. However, the nature, generation, and interpretation of attractant gradients are poorly understood. Using a GFP fusion and a signaling sensor, we analyzed the distribution of the attractant chemokine Sdf1 during migration of the zebrafish posterior lateral line primordium, a cohort of about 200 cells that migrates over a stripe of cells uniformly expressing sdf1. We find that a small fraction of the total Sdf1 pool is available to signal and induces a linear Sdf1-signaling gradient across the primordium. This signaling gradient is initiated at the rear of the primordium, equilibrates across the primordium within 200 min, and operates near steady state. The rear of the primordium generates this gradient through continuous sequestration of Sdf1 protein by the alternate Sdf1-receptor Cxcr7. Modeling shows that this is a physically plausible scenario.","container-title":"Cell","DOI":"10.1016/j.cell.2013.09.046","ISSN":"1097-4172","issue":"3","journalAbbreviation":"Cell","language":"eng","note":"PMID: 24119842\nPMCID: PMC3842034","page":"674-687","source":"PubMed","title":"Generation and dynamics of an endogenous, self-generated signaling gradient across a migrating tissue","volume":"155","author":[{"family":"Venkiteswaran","given":"Gayatri"},{"family":"Lewellis","given":"Stephen W."},{"family":"Wang","given":"John"},{"family":"Reynolds","given":"Eric"},{"family":"Nicholson","given":"Charles"},{"family":"Knaut","given":"Holger"}],"issued":{"date-parts":[["2013",10,24]]}}}],"schema":"https://github.com/citation-style-language/schema/raw/master/csl-citation.json"} </w:instrText>
      </w:r>
      <w:r w:rsidR="00683586" w:rsidRPr="00CD42FA">
        <w:rPr>
          <w:color w:val="auto"/>
        </w:rPr>
        <w:fldChar w:fldCharType="separate"/>
      </w:r>
      <w:r w:rsidR="000D4262" w:rsidRPr="00CD42FA">
        <w:rPr>
          <w:color w:val="auto"/>
          <w:vertAlign w:val="superscript"/>
        </w:rPr>
        <w:t>9</w:t>
      </w:r>
      <w:r w:rsidR="00683586" w:rsidRPr="00CD42FA">
        <w:rPr>
          <w:color w:val="auto"/>
        </w:rPr>
        <w:fldChar w:fldCharType="end"/>
      </w:r>
      <w:r w:rsidRPr="00CD42FA">
        <w:rPr>
          <w:color w:val="auto"/>
        </w:rPr>
        <w:t xml:space="preserve"> (see</w:t>
      </w:r>
      <w:r w:rsidRPr="00CD42FA">
        <w:rPr>
          <w:b/>
          <w:bCs/>
          <w:color w:val="auto"/>
        </w:rPr>
        <w:t xml:space="preserve"> </w:t>
      </w:r>
      <w:r w:rsidR="00546288" w:rsidRPr="00CD42FA">
        <w:rPr>
          <w:b/>
          <w:bCs/>
          <w:color w:val="auto"/>
        </w:rPr>
        <w:t>D</w:t>
      </w:r>
      <w:r w:rsidRPr="00CD42FA">
        <w:rPr>
          <w:b/>
          <w:bCs/>
          <w:color w:val="auto"/>
        </w:rPr>
        <w:t>iscussion</w:t>
      </w:r>
      <w:r w:rsidRPr="00CD42FA">
        <w:rPr>
          <w:color w:val="auto"/>
        </w:rPr>
        <w:t xml:space="preserve"> for considerations when choosing the approach). </w:t>
      </w:r>
    </w:p>
    <w:p w14:paraId="7137E3E9" w14:textId="77777777" w:rsidR="00546288" w:rsidRPr="00CD42FA" w:rsidRDefault="00546288" w:rsidP="005C35E4">
      <w:pPr>
        <w:pStyle w:val="ListParagraph"/>
        <w:ind w:left="0"/>
        <w:rPr>
          <w:color w:val="auto"/>
        </w:rPr>
      </w:pPr>
    </w:p>
    <w:p w14:paraId="5C474BDB" w14:textId="56663B91" w:rsidR="00546288" w:rsidRPr="00CD42FA" w:rsidRDefault="5B7C489D" w:rsidP="005C35E4">
      <w:pPr>
        <w:pStyle w:val="ListParagraph"/>
        <w:ind w:left="0"/>
        <w:rPr>
          <w:color w:val="auto"/>
        </w:rPr>
      </w:pPr>
      <w:r w:rsidRPr="00CD42FA">
        <w:rPr>
          <w:color w:val="auto"/>
        </w:rPr>
        <w:t xml:space="preserve">NOTE: This construct does not recapitulate endogenous levels of receptor expression but is useful for obtaining high level of receptor expression in the cell type of interest. Consult the literature </w:t>
      </w:r>
      <w:r w:rsidR="008D1FD8" w:rsidRPr="00CD42FA">
        <w:rPr>
          <w:color w:val="auto"/>
        </w:rPr>
        <w:t>on</w:t>
      </w:r>
      <w:r w:rsidRPr="00CD42FA">
        <w:rPr>
          <w:color w:val="auto"/>
        </w:rPr>
        <w:t xml:space="preserve"> similar receptors</w:t>
      </w:r>
      <w:r w:rsidR="0049398F" w:rsidRPr="00CD42FA">
        <w:rPr>
          <w:color w:val="auto"/>
        </w:rPr>
        <w:fldChar w:fldCharType="begin"/>
      </w:r>
      <w:r w:rsidR="0049398F" w:rsidRPr="00CD42FA">
        <w:rPr>
          <w:color w:val="auto"/>
        </w:rPr>
        <w:instrText xml:space="preserve"> ADDIN ZOTERO_ITEM CSL_CITATION {"citationID":"3vHL0ANl","properties":{"formattedCitation":"\\super 3, 5, 6, 8\\uc0\\u8211{}10, 14\\nosupersub{}","plainCitation":"3, 5, 6, 8–10, 14","noteIndex":0},"citationItems":[{"id":220,"uris":["http://zotero.org/users/5010385/items/8UQVIFIH"],"uri":["http://zotero.org/users/5010385/items/8UQVIFIH"],"itemData":{"id":220,"type":"article-journal","abstract":"To kill invading bacteria, neutrophils must interpret spatial cues, migrate and reach target sites. Although the initiation of chemotactic migration has been extensively studied, little is known about its termination. Here we found that two mitogen-activated protein kinases (MAPKs) had opposing roles in neutrophil trafficking. The extracellular signal-regulated kinase Erk potentiated activity of the G protein-coupled receptor kinase GRK2 and inhibited neutrophil migration, whereas the MAPK p38 acted as a noncanonical GRK that phosphorylated the formyl peptide receptor FPR1 and facilitated neutrophil migration by blocking GRK2 function. Therefore, the dynamic balance between Erk and p38 controlled neutrophil 'stop' and 'go' activity, which ensured that neutrophils reached their final destination as the first line of host defense.","container-title":"Nature Immunology","DOI":"10.1038/ni.2258","ISSN":"1529-2916","issue":"5","journalAbbreviation":"Nat. Immunol.","language":"eng","note":"PMID: 22447027\nPMCID: PMC3330201","page":"457-464","source":"PubMed","title":"Bidirectional regulation of neutrophil migration by mitogen-activated protein kinases","volume":"13","author":[{"family":"Liu","given":"Xiaowen"},{"family":"Ma","given":"Bo"},{"family":"Malik","given":"Asrar B."},{"family":"Tang","given":"Haiyang"},{"family":"Yang","given":"Tao"},{"family":"Sun","given":"Bo"},{"family":"Wang","given":"Gang"},{"family":"Minshall","given":"Richard D."},{"family":"Li","given":"Yan"},{"family":"Zhao","given":"Yong"},{"family":"Ye","given":"Richard D."},{"family":"Xu","given":"Jingsong"}],"issued":{"date-parts":[["2012",3,25]]}}},{"id":190,"uris":["http://zotero.org/users/5010385/items/JGTMHKRQ"],"uri":["http://zotero.org/users/5010385/items/JGTMHKRQ"],"itemData":{"id":190,"type":"article-journal","abstract":"Lymphocytes egress from lymphoid organs in response to sphingosine-1-phosphate (S1P); minutes later they migrate from blood into tissue against the S1P gradient. The mechanisms facilitating cell movement against the gradient have not been defined. Here, we show that heterotrimeric guanine nucleotide-binding protein-coupled receptor kinase-2 (GRK2) functions in down-regulation of S1P receptor-1 (S1PR1) on blood-exposed lymphocytes. T and B cell movement from blood into lymph nodes is reduced in the absence of GRK2 but is restored in S1P-deficient mice. In the spleen, B cell movement between the blood-rich marginal zone and follicles is disrupted by GRK2 deficiency and by mutation of an S1PR1 desensitization motif. Moreover, delivery of systemic antigen into follicles is impaired. Thus, GRK2-dependent S1PR1 desensitization allows lymphocytes to escape circulatory fluids and migrate into lymphoid tissues.","container-title":"Science (New York, N.Y.)","DOI":"10.1126/science.1208248","ISSN":"1095-9203","issue":"6051","journalAbbreviation":"Science","language":"eng","note":"PMID: 21960637\nPMCID: PMC3267326","page":"1898-1903","source":"PubMed","title":"GRK2-dependent S1PR1 desensitization is required for lymphocytes to overcome their attraction to blood","volume":"333","author":[{"family":"Arnon","given":"Tal I."},{"family":"Xu","given":"Ying"},{"family":"Lo","given":"Charles"},{"family":"Pham","given":"Trung"},{"family":"An","given":"Jinping"},{"family":"Coughlin","given":"Shaun"},{"family":"Dorn","given":"Gerald W."},{"family":"Cyster","given":"Jason G."}],"issued":{"date-parts":[["2011",9,30]]}}},{"id":865,"uris":["http://zotero.org/users/5010385/items/4H7UZI9Z"],"uri":["http://zotero.org/users/5010385/items/4H7UZI9Z"],"itemData":{"id":865,"type":"article-journal","container-title":"PLOS ONE","DOI":"10.1371/journal.pone.0128387","ISSN":"1932-6203","issue":"6","journalAbbreviation":"PLoS ONE","language":"en","page":"e0128387","source":"DOI.org (Crossref)","title":"Localized CCR2 Activation in the Bone Marrow Niche Mobilizes Monocytes by Desensitizing CXCR4","volume":"10","author":[{"family":"Jung","given":"Hosung"},{"family":"Mithal","given":"Divakar S."},{"family":"Park","given":"Jeong Eun"},{"family":"Miller","given":"Richard J."}],"editor":[{"family":"Harrison","given":"Jeffrey K."}],"issued":{"date-parts":[["2015",6,1]]}}},{"id":232,"uris":["http://zotero.org/users/5010385/items/GK9EJ8K3"],"uri":["http://zotero.org/users/5010385/items/GK9EJ8K3"],"itemData":{"id":232,"type":"article-journal","abstract":"The directed migration of cell collectives is a driving force of embryogenesis. The predominant view in the field is that cells in embryos navigate along pre-patterned chemoattractant gradients. One hypothetical way to free migrating collectives from the requirement of long-range gradients would be through the self-generation of local gradients that travel with them, a strategy that potentially allows self-determined directionality. However, a lack of tools for the visualization of endogenous guidance cues has prevented the demonstration of such self-generated gradients in vivo. Here we define the in vivo dynamics of one key guidance molecule, the chemokine Cxcl12a, by applying a fluorescent timer approach to measure ligand-triggered receptor turnover in living animals. Using the zebrafish lateral line primordium as a model, we show that migrating cell collectives can self-generate gradients of chemokine activity across their length via polarized receptor-mediated internalization. Finally, by engineering an external source of the atypical receptor Cxcr7 that moves with the primordium, we show that a self-generated gradient mechanism is sufficient to direct robust collective migration. This study thus provides, to our knowledge, the first in vivo proof for self-directed tissue migration through local shaping of an extracellular cue and provides a framework for investigating self-directed migration in many other contexts including cancer invasion.","container-title":"Nature","DOI":"10.1038/nature12635","ISSN":"1476-4687","issue":"7475","journalAbbreviation":"Nature","language":"eng","note":"PMID: 24067609","page":"285-289","source":"PubMed","title":"Directional tissue migration through a self-generated chemokine gradient","volume":"503","author":[{"family":"Donà","given":"Erika"},{"family":"Barry","given":"Joseph D."},{"family":"Valentin","given":"Guillaume"},{"family":"Quirin","given":"Charlotte"},{"family":"Khmelinskii","given":"Anton"},{"family":"Kunze","given":"Andreas"},{"family":"Durdu","given":"Sevi"},{"family":"Newton","given":"Lionel R."},{"family":"Fernandez-Minan","given":"Ana"},{"family":"Huber","given":"Wolfgang"},{"family":"Knop","given":"Michael"},{"family":"Gilmour","given":"Darren"}],"issued":{"date-parts":[["2013",11,14]]}}},{"id":246,"uris":["http://zotero.org/users/5010385/items/ZCR7KY8F"],"uri":["http://zotero.org/users/5010385/items/ZCR7KY8F"],"itemData":{"id":246,"type":"article-journal","abstract":"In animals, many cells reach their destinations by migrating toward higher concentrations of an attractant. However, the nature, generation, and interpretation of attractant gradients are poorly understood. Using a GFP fusion and a signaling sensor, we analyzed the distribution of the attractant chemokine Sdf1 during migration of the zebrafish posterior lateral line primordium, a cohort of about 200 cells that migrates over a stripe of cells uniformly expressing sdf1. We find that a small fraction of the total Sdf1 pool is available to signal and induces a linear Sdf1-signaling gradient across the primordium. This signaling gradient is initiated at the rear of the primordium, equilibrates across the primordium within 200 min, and operates near steady state. The rear of the primordium generates this gradient through continuous sequestration of Sdf1 protein by the alternate Sdf1-receptor Cxcr7. Modeling shows that this is a physically plausible scenario.","container-title":"Cell","DOI":"10.1016/j.cell.2013.09.046","ISSN":"1097-4172","issue":"3","journalAbbreviation":"Cell","language":"eng","note":"PMID: 24119842\nPMCID: PMC3842034","page":"674-687","source":"PubMed","title":"Generation and dynamics of an endogenous, self-generated signaling gradient across a migrating tissue","volume":"155","author":[{"family":"Venkiteswaran","given":"Gayatri"},{"family":"Lewellis","given":"Stephen W."},{"family":"Wang","given":"John"},{"family":"Reynolds","given":"Eric"},{"family":"Nicholson","given":"Charles"},{"family":"Knaut","given":"Holger"}],"issued":{"date-parts":[["2013",10,24]]}}},{"id":208,"uris":["http://zotero.org/users/5010385/items/XQUGL84P"],"uri":["http://zotero.org/users/5010385/items/XQUGL84P"],"itemData":{"id":208,"type":"article-journal","abstract":"Activation of the chemokine receptor CXCR4 by SDF1 controls a variety of biological processes in development, immune response, and disease [1-5]. The carboxyl-terminal region of CXCR4 is subject to phosphorylation that allows binding of regulatory proteins [5]; this results in downregulation of CXCR4 signaling and receptor internalization [6]. Notably, truncations of this part of CXCR4 have been implicated in WHIM syndrome, a dominantly inherited immunodeficiency disorder [7, 8]. Despite its importance in receptor signaling and the clinical relevance of its regulation, the precise function of regulating signaling level and internalization in controlling cell behavior is not known. Whereas a number of in vitro studies suggested that the carboxyl terminus of CXCR4 positively regulates chemotaxis (e.g., [9]), others reached the opposite conclusion [8, 10, 11]. These conflicting results highlight the importance of investigating this process under physiological conditions in the live animal. In this study, we demonstrate the significance of internalization and of controlling receptor signaling level for SDF-1-guided migration. We found that whereas internalization and the control over signaling intensity are dispensable for cell motility and directional sensing, they are essential for fine-tuning of migration in vivo, allowing precise arrival of zebrafish PGCs at their target, the region where the gonad develops.","container-title":"Current biology: CB","DOI":"10.1016/j.cub.2007.05.073","ISSN":"0960-9822","issue":"13","journalAbbreviation":"Curr. Biol.","language":"eng","note":"PMID: 17600713","page":"1164-1172","source":"PubMed","title":"Control of receptor internalization, signaling level, and precise arrival at the target in guided cell migration","volume":"17","author":[{"family":"Minina","given":"Sofia"},{"family":"Reichman-Fried","given":"Michal"},{"family":"Raz","given":"Erez"}],"issued":{"date-parts":[["2007",7,3]]}}},{"id":711,"uris":["http://zotero.org/users/5010385/items/22KQ8LRX"],"uri":["http://zotero.org/users/5010385/items/22KQ8LRX"],"itemData":{"id":711,"type":"article-journal","abstract":"Immune cells congregate at specific loci to fight infections during inflammatory responses, a process that must be transient and self-resolving. Cell dispersal promotes resolution, but it remains unclear how transition from clustering to dispersal is regulated. Here we show, using quantitative live imaging in zebrafish, that differential ligand-induced trafficking of chemokine receptors such as Cxcr1 and Cxcr2 orchestrates the state of neutrophil congregation at sites of tissue damage. Through receptor mutagenesis and biosensors, we show that Cxcr1 promotes clustering at wound sites, but is promptly desensitized and internalized, which prevents excess congregation. By contrast, Cxcr2 promotes bidirectional motility and is sustained at the plasma membrane. Persistent plasma membrane residence of Cxcr2 prolongs downstream signaling and is required for sustained exploratory motion conducive to dispersal. Thus, differential trafficking of two chemokine receptors allows coordination of antagonistic cell behaviors, promoting a self-resolving migratory response.","container-title":"Nature Communications","DOI":"10.1038/s41467-019-13107-3","ISSN":"2041-1723","issue":"1","journalAbbreviation":"Nat Commun","language":"eng","note":"PMID: 31727891\nPMCID: PMC6856356","page":"5166","source":"PubMed","title":"Chemokine receptor trafficking coordinates neutrophil clustering and dispersal at wounds in zebrafish","volume":"10","author":[{"family":"Coombs","given":"Caroline"},{"family":"Georgantzoglou","given":"Antonios"},{"family":"Walker","given":"Hazel A."},{"family":"Patt","given":"Julian"},{"family":"Merten","given":"Nicole"},{"family":"Poplimont","given":"Hugo"},{"family":"Busch-Nentwich","given":"Elisabeth M."},{"family":"Williams","given":"Sarah"},{"family":"Kotsi","given":"Christina"},{"family":"Kostenis","given":"Evi"},{"family":"Sarris","given":"Milka"}],"issued":{"date-parts":[["2019",11,14]]}}}],"schema":"https://github.com/citation-style-language/schema/raw/master/csl-citation.json"} </w:instrText>
      </w:r>
      <w:r w:rsidR="0049398F" w:rsidRPr="00CD42FA">
        <w:rPr>
          <w:color w:val="auto"/>
        </w:rPr>
        <w:fldChar w:fldCharType="separate"/>
      </w:r>
      <w:r w:rsidR="0049398F" w:rsidRPr="00CD42FA">
        <w:rPr>
          <w:color w:val="auto"/>
          <w:vertAlign w:val="superscript"/>
        </w:rPr>
        <w:t>3,5,6,8–10,14</w:t>
      </w:r>
      <w:r w:rsidR="0049398F" w:rsidRPr="00CD42FA">
        <w:rPr>
          <w:color w:val="auto"/>
        </w:rPr>
        <w:fldChar w:fldCharType="end"/>
      </w:r>
      <w:r w:rsidR="0049398F" w:rsidRPr="00CD42FA">
        <w:rPr>
          <w:color w:val="auto"/>
        </w:rPr>
        <w:t xml:space="preserve"> </w:t>
      </w:r>
      <w:r w:rsidRPr="00CD42FA">
        <w:rPr>
          <w:color w:val="auto"/>
        </w:rPr>
        <w:t>to decide on the position of the fluorescent tag.</w:t>
      </w:r>
    </w:p>
    <w:p w14:paraId="29E66792" w14:textId="77777777" w:rsidR="00546288" w:rsidRPr="00CD42FA" w:rsidRDefault="00546288" w:rsidP="005C35E4">
      <w:pPr>
        <w:pStyle w:val="ListParagraph"/>
        <w:ind w:left="0"/>
        <w:rPr>
          <w:color w:val="auto"/>
        </w:rPr>
      </w:pPr>
    </w:p>
    <w:p w14:paraId="70C5228D" w14:textId="451A5B12" w:rsidR="00546288" w:rsidRPr="00CD42FA" w:rsidRDefault="001237BD" w:rsidP="005C35E4">
      <w:pPr>
        <w:pStyle w:val="ListParagraph"/>
        <w:numPr>
          <w:ilvl w:val="1"/>
          <w:numId w:val="1"/>
        </w:numPr>
        <w:ind w:left="0" w:firstLine="0"/>
        <w:rPr>
          <w:color w:val="auto"/>
        </w:rPr>
      </w:pPr>
      <w:r w:rsidRPr="00CD42FA">
        <w:rPr>
          <w:color w:val="auto"/>
        </w:rPr>
        <w:t xml:space="preserve">Set up a tank containing </w:t>
      </w:r>
      <w:r w:rsidR="00845762" w:rsidRPr="00CD42FA">
        <w:rPr>
          <w:color w:val="auto"/>
        </w:rPr>
        <w:t xml:space="preserve">wild type </w:t>
      </w:r>
      <w:r w:rsidRPr="00CD42FA">
        <w:rPr>
          <w:color w:val="auto"/>
        </w:rPr>
        <w:t>adult males and females</w:t>
      </w:r>
      <w:r w:rsidR="00845762" w:rsidRPr="00CD42FA">
        <w:rPr>
          <w:color w:val="auto"/>
        </w:rPr>
        <w:t xml:space="preserve"> following standard husbandry practices</w:t>
      </w:r>
      <w:r w:rsidR="00845762" w:rsidRPr="00CD42FA">
        <w:rPr>
          <w:color w:val="auto"/>
        </w:rPr>
        <w:fldChar w:fldCharType="begin"/>
      </w:r>
      <w:r w:rsidR="0002471A" w:rsidRPr="00CD42FA">
        <w:rPr>
          <w:color w:val="auto"/>
        </w:rPr>
        <w:instrText xml:space="preserve"> ADDIN ZOTERO_ITEM CSL_CITATION {"citationID":"qMtJA5Zi","properties":{"formattedCitation":"\\super 18\\nosupersub{}","plainCitation":"18","noteIndex":0},"citationItems":[{"id":278,"uris":["http://zotero.org/users/5010385/items/93KYVZTA"],"uri":["http://zotero.org/users/5010385/items/93KYVZTA"],"itemData":{"id":278,"type":"book","edition":"5th","publisher":"University of Oregon Press, Eugene","title":"The zebrafish book. A guide for the laboratory use of zebrafish (Brachydanio rerio). Eugene, Oregon","author":[{"family":"Westerfield M","given":""}],"issued":{"date-parts":[["2007"]]}}}],"schema":"https://github.com/citation-style-language/schema/raw/master/csl-citation.json"} </w:instrText>
      </w:r>
      <w:r w:rsidR="00845762" w:rsidRPr="00CD42FA">
        <w:rPr>
          <w:color w:val="auto"/>
        </w:rPr>
        <w:fldChar w:fldCharType="separate"/>
      </w:r>
      <w:r w:rsidR="0002471A" w:rsidRPr="00CD42FA">
        <w:rPr>
          <w:color w:val="auto"/>
          <w:vertAlign w:val="superscript"/>
        </w:rPr>
        <w:t>18</w:t>
      </w:r>
      <w:r w:rsidR="00845762" w:rsidRPr="00CD42FA">
        <w:rPr>
          <w:color w:val="auto"/>
        </w:rPr>
        <w:fldChar w:fldCharType="end"/>
      </w:r>
      <w:r w:rsidR="004B5904" w:rsidRPr="00CD42FA">
        <w:rPr>
          <w:color w:val="auto"/>
        </w:rPr>
        <w:t>,</w:t>
      </w:r>
      <w:r w:rsidRPr="00CD42FA">
        <w:rPr>
          <w:color w:val="auto"/>
        </w:rPr>
        <w:t xml:space="preserve"> separated by a barrier the day before egg spawning.</w:t>
      </w:r>
    </w:p>
    <w:p w14:paraId="4D65B6FE" w14:textId="77777777" w:rsidR="00546288" w:rsidRPr="00CD42FA" w:rsidRDefault="00546288" w:rsidP="005C35E4">
      <w:pPr>
        <w:pStyle w:val="ListParagraph"/>
        <w:ind w:left="0"/>
        <w:rPr>
          <w:color w:val="auto"/>
        </w:rPr>
      </w:pPr>
    </w:p>
    <w:p w14:paraId="1FD63C3C" w14:textId="660D7902" w:rsidR="00546288" w:rsidRPr="00CD42FA" w:rsidRDefault="001237BD" w:rsidP="005C35E4">
      <w:pPr>
        <w:pStyle w:val="ListParagraph"/>
        <w:numPr>
          <w:ilvl w:val="1"/>
          <w:numId w:val="1"/>
        </w:numPr>
        <w:ind w:left="0" w:firstLine="0"/>
        <w:rPr>
          <w:color w:val="auto"/>
        </w:rPr>
      </w:pPr>
      <w:r w:rsidRPr="00CD42FA">
        <w:rPr>
          <w:color w:val="auto"/>
        </w:rPr>
        <w:t xml:space="preserve">On the day of egg spawning, </w:t>
      </w:r>
      <w:r w:rsidR="00CD7007" w:rsidRPr="00CD42FA">
        <w:rPr>
          <w:color w:val="auto"/>
        </w:rPr>
        <w:t>prepare transgenesis mixture for microinjection containing 12.5 ng/μ</w:t>
      </w:r>
      <w:r w:rsidR="00546288" w:rsidRPr="00CD42FA">
        <w:rPr>
          <w:color w:val="auto"/>
        </w:rPr>
        <w:t>L of</w:t>
      </w:r>
      <w:r w:rsidR="00CD7007" w:rsidRPr="00CD42FA">
        <w:rPr>
          <w:color w:val="auto"/>
        </w:rPr>
        <w:t xml:space="preserve"> Tol2 DNA construct and 17.5 ng/μ</w:t>
      </w:r>
      <w:r w:rsidR="00546288" w:rsidRPr="00CD42FA">
        <w:rPr>
          <w:color w:val="auto"/>
        </w:rPr>
        <w:t>L of</w:t>
      </w:r>
      <w:r w:rsidR="00CD7007" w:rsidRPr="00CD42FA">
        <w:rPr>
          <w:color w:val="auto"/>
        </w:rPr>
        <w:t xml:space="preserve"> transposase mRNA</w:t>
      </w:r>
      <w:r w:rsidR="00E50D21" w:rsidRPr="00CD42FA">
        <w:rPr>
          <w:color w:val="auto"/>
        </w:rPr>
        <w:fldChar w:fldCharType="begin"/>
      </w:r>
      <w:r w:rsidR="0002471A" w:rsidRPr="00CD42FA">
        <w:rPr>
          <w:color w:val="auto"/>
        </w:rPr>
        <w:instrText xml:space="preserve"> ADDIN ZOTERO_ITEM CSL_CITATION {"citationID":"w8FfGqco","properties":{"formattedCitation":"\\super 7\\nosupersub{}","plainCitation":"7","noteIndex":0},"citationItems":[{"id":277,"uris":["http://zotero.org/users/5010385/items/HFGFGMEY"],"uri":["http://zotero.org/users/5010385/items/HFGFGMEY"],"itemData":{"id":277,"type":"article-journal","abstract":"Transgenesis is an important tool for assessing gene function. In zebrafish, transgenesis has suffered from three problems: the labor of building complex expression constructs using conventional subcloning; low transgenesis efficiency, leading to mosaicism in transient transgenics and infrequent germline incorporation; and difficulty in identifying germline integrations unless using a fluorescent marker transgene. The Tol2kit system uses site-specific recombination-based cloning (multisite Gateway technology) to allow quick, modular assembly of [promoter]-[coding sequence]-[3' tag] constructs in a Tol2 transposon backbone. It includes a destination vector with a cmlc2:EGFP (enhanced green fluorescent protein) transgenesis marker and a variety of widely useful entry clones, including hsp70 and beta-actin promoters; cytoplasmic, nuclear, and membrane-localized fluorescent proteins; and internal ribosome entry sequence-driven EGFP cassettes for bicistronic expression. The Tol2kit greatly facilitates zebrafish transgenesis, simplifies the sharing of clones, and enables large-scale projects testing the functions of libraries of regulatory or coding sequences.","container-title":"Developmental Dynamics: An Official Publication of the American Association of Anatomists","DOI":"10.1002/dvdy.21343","ISSN":"1058-8388","issue":"11","journalAbbreviation":"Dev. Dyn.","language":"eng","note":"PMID: 17937395","page":"3088-3099","source":"PubMed","title":"The Tol2kit: a multisite gateway-based construction kit for Tol2 transposon transgenesis constructs","title-short":"The Tol2kit","volume":"236","author":[{"family":"Kwan","given":"Kristen M."},{"family":"Fujimoto","given":"Esther"},{"family":"Grabher","given":"Clemens"},{"family":"Mangum","given":"Benjamin D."},{"family":"Hardy","given":"Melissa E."},{"family":"Campbell","given":"Douglas S."},{"family":"Parant","given":"John M."},{"family":"Yost","given":"H. Joseph"},{"family":"Kanki","given":"John P."},{"family":"Chien","given":"Chi-Bin"}],"issued":{"date-parts":[["2007",11]]}}}],"schema":"https://github.com/citation-style-language/schema/raw/master/csl-citation.json"} </w:instrText>
      </w:r>
      <w:r w:rsidR="00E50D21" w:rsidRPr="00CD42FA">
        <w:rPr>
          <w:color w:val="auto"/>
        </w:rPr>
        <w:fldChar w:fldCharType="separate"/>
      </w:r>
      <w:r w:rsidR="000D4262" w:rsidRPr="00CD42FA">
        <w:rPr>
          <w:color w:val="auto"/>
          <w:vertAlign w:val="superscript"/>
        </w:rPr>
        <w:t>7</w:t>
      </w:r>
      <w:r w:rsidR="00E50D21" w:rsidRPr="00CD42FA">
        <w:rPr>
          <w:color w:val="auto"/>
        </w:rPr>
        <w:fldChar w:fldCharType="end"/>
      </w:r>
      <w:r w:rsidR="00CD7007" w:rsidRPr="00CD42FA">
        <w:rPr>
          <w:color w:val="auto"/>
        </w:rPr>
        <w:t>. Lift barriers from fish tanks</w:t>
      </w:r>
      <w:r w:rsidRPr="00CD42FA">
        <w:rPr>
          <w:color w:val="auto"/>
        </w:rPr>
        <w:t xml:space="preserve"> </w:t>
      </w:r>
      <w:r w:rsidR="00446CD2" w:rsidRPr="00CD42FA">
        <w:rPr>
          <w:color w:val="auto"/>
        </w:rPr>
        <w:t xml:space="preserve">shortly after the lights </w:t>
      </w:r>
      <w:r w:rsidR="00546288" w:rsidRPr="00CD42FA">
        <w:rPr>
          <w:color w:val="auto"/>
        </w:rPr>
        <w:t xml:space="preserve">come </w:t>
      </w:r>
      <w:r w:rsidR="00446CD2" w:rsidRPr="00CD42FA">
        <w:rPr>
          <w:color w:val="auto"/>
        </w:rPr>
        <w:t>in the morning</w:t>
      </w:r>
      <w:r w:rsidRPr="00CD42FA">
        <w:rPr>
          <w:color w:val="auto"/>
        </w:rPr>
        <w:t xml:space="preserve"> </w:t>
      </w:r>
      <w:r w:rsidR="00992532" w:rsidRPr="00CD42FA">
        <w:rPr>
          <w:color w:val="auto"/>
        </w:rPr>
        <w:t xml:space="preserve">(this may vary in different fish facilities) </w:t>
      </w:r>
      <w:r w:rsidRPr="00CD42FA">
        <w:rPr>
          <w:color w:val="auto"/>
        </w:rPr>
        <w:t xml:space="preserve">and </w:t>
      </w:r>
      <w:r w:rsidR="00CD7007" w:rsidRPr="00CD42FA">
        <w:rPr>
          <w:color w:val="auto"/>
        </w:rPr>
        <w:t>collect eggs</w:t>
      </w:r>
      <w:r w:rsidRPr="00CD42FA">
        <w:rPr>
          <w:color w:val="auto"/>
        </w:rPr>
        <w:t xml:space="preserve"> within 15</w:t>
      </w:r>
      <w:r w:rsidR="00D76FEE" w:rsidRPr="00CD42FA">
        <w:rPr>
          <w:color w:val="auto"/>
        </w:rPr>
        <w:t xml:space="preserve"> </w:t>
      </w:r>
      <w:r w:rsidRPr="00CD42FA">
        <w:rPr>
          <w:color w:val="auto"/>
        </w:rPr>
        <w:t xml:space="preserve">min for </w:t>
      </w:r>
      <w:r w:rsidR="00992532" w:rsidRPr="00CD42FA">
        <w:rPr>
          <w:color w:val="auto"/>
        </w:rPr>
        <w:t>m</w:t>
      </w:r>
      <w:r w:rsidRPr="00CD42FA">
        <w:rPr>
          <w:color w:val="auto"/>
        </w:rPr>
        <w:t>RNA injection.</w:t>
      </w:r>
      <w:r w:rsidR="00992532" w:rsidRPr="00CD42FA">
        <w:rPr>
          <w:color w:val="auto"/>
        </w:rPr>
        <w:t xml:space="preserve"> </w:t>
      </w:r>
      <w:r w:rsidR="00546288" w:rsidRPr="00CD42FA">
        <w:rPr>
          <w:color w:val="auto"/>
        </w:rPr>
        <w:t xml:space="preserve"> </w:t>
      </w:r>
    </w:p>
    <w:p w14:paraId="1EEE3513" w14:textId="77777777" w:rsidR="00546288" w:rsidRPr="00CD42FA" w:rsidRDefault="00546288" w:rsidP="005C35E4">
      <w:pPr>
        <w:pStyle w:val="ListParagraph"/>
        <w:ind w:left="0"/>
        <w:rPr>
          <w:color w:val="auto"/>
        </w:rPr>
      </w:pPr>
    </w:p>
    <w:p w14:paraId="2E396B47" w14:textId="0247FE2A" w:rsidR="00546288" w:rsidRPr="00CD42FA" w:rsidRDefault="009B1696" w:rsidP="005C35E4">
      <w:pPr>
        <w:pStyle w:val="ListParagraph"/>
        <w:ind w:left="0"/>
        <w:rPr>
          <w:color w:val="auto"/>
        </w:rPr>
      </w:pPr>
      <w:r w:rsidRPr="00CD42FA">
        <w:rPr>
          <w:color w:val="auto"/>
        </w:rPr>
        <w:t>NOTE: Ensure the DNA solution is RNase free to avoid degradation of the transposase mRNA in the mixture. An option to circumvent this is to inject eggs with separate solutions of Tol2 construct and transposase.</w:t>
      </w:r>
    </w:p>
    <w:p w14:paraId="5A4DCB99" w14:textId="77777777" w:rsidR="00546288" w:rsidRPr="00CD42FA" w:rsidRDefault="00546288" w:rsidP="005C35E4">
      <w:pPr>
        <w:pStyle w:val="ListParagraph"/>
        <w:ind w:left="0"/>
        <w:rPr>
          <w:color w:val="auto"/>
        </w:rPr>
      </w:pPr>
    </w:p>
    <w:p w14:paraId="234EBAC0" w14:textId="16209541" w:rsidR="00546288" w:rsidRPr="00CD42FA" w:rsidRDefault="003E397E" w:rsidP="005C35E4">
      <w:pPr>
        <w:pStyle w:val="ListParagraph"/>
        <w:numPr>
          <w:ilvl w:val="1"/>
          <w:numId w:val="1"/>
        </w:numPr>
        <w:ind w:left="0" w:firstLine="0"/>
        <w:rPr>
          <w:color w:val="auto"/>
        </w:rPr>
      </w:pPr>
      <w:r w:rsidRPr="00CD42FA">
        <w:rPr>
          <w:color w:val="auto"/>
        </w:rPr>
        <w:t>Follow standard protocols for transgenesis and microinjection of zebrafish eggs</w:t>
      </w:r>
      <w:r w:rsidRPr="00CD42FA">
        <w:rPr>
          <w:color w:val="auto"/>
        </w:rPr>
        <w:fldChar w:fldCharType="begin"/>
      </w:r>
      <w:r w:rsidR="0002471A" w:rsidRPr="00CD42FA">
        <w:rPr>
          <w:color w:val="auto"/>
        </w:rPr>
        <w:instrText xml:space="preserve"> ADDIN ZOTERO_ITEM CSL_CITATION {"citationID":"G3X9gIoN","properties":{"formattedCitation":"\\super 19\\nosupersub{}","plainCitation":"19","noteIndex":0},"citationItems":[{"id":858,"uris":["http://zotero.org/users/5010385/items/BD3C23AP"],"uri":["http://zotero.org/users/5010385/items/BD3C23AP"],"itemData":{"id":858,"type":"article-journal","container-title":"Journal of Visualized Experiments","DOI":"10.3791/1115","ISSN":"1940-087X","issue":"25","journalAbbreviation":"JoVE","language":"en","page":"1115","source":"DOI.org (Crossref)","title":"Microinjection of Zebrafish Embryos to Analyze Gene Function","author":[{"family":"Rosen","given":"Jonathan N."},{"family":"Sweeney","given":"Michael F."},{"family":"Mably","given":"John D."}],"issued":{"date-parts":[["2009",3,9]]}}}],"schema":"https://github.com/citation-style-language/schema/raw/master/csl-citation.json"} </w:instrText>
      </w:r>
      <w:r w:rsidRPr="00CD42FA">
        <w:rPr>
          <w:color w:val="auto"/>
        </w:rPr>
        <w:fldChar w:fldCharType="separate"/>
      </w:r>
      <w:r w:rsidR="0002471A" w:rsidRPr="00CD42FA">
        <w:rPr>
          <w:color w:val="auto"/>
          <w:vertAlign w:val="superscript"/>
        </w:rPr>
        <w:t>19</w:t>
      </w:r>
      <w:r w:rsidRPr="00CD42FA">
        <w:rPr>
          <w:color w:val="auto"/>
        </w:rPr>
        <w:fldChar w:fldCharType="end"/>
      </w:r>
      <w:r w:rsidR="00546288" w:rsidRPr="00CD42FA">
        <w:rPr>
          <w:color w:val="auto"/>
        </w:rPr>
        <w:t>.</w:t>
      </w:r>
    </w:p>
    <w:p w14:paraId="68E6F1A9" w14:textId="77777777" w:rsidR="00546288" w:rsidRPr="00CD42FA" w:rsidRDefault="00546288" w:rsidP="005C35E4">
      <w:pPr>
        <w:pStyle w:val="ListParagraph"/>
        <w:ind w:left="0"/>
        <w:rPr>
          <w:color w:val="auto"/>
        </w:rPr>
      </w:pPr>
    </w:p>
    <w:p w14:paraId="65C3CB94" w14:textId="77777777" w:rsidR="00546288" w:rsidRPr="00CD42FA" w:rsidRDefault="00DE0B54" w:rsidP="005C35E4">
      <w:pPr>
        <w:pStyle w:val="ListParagraph"/>
        <w:numPr>
          <w:ilvl w:val="1"/>
          <w:numId w:val="1"/>
        </w:numPr>
        <w:ind w:left="0" w:firstLine="0"/>
        <w:rPr>
          <w:color w:val="auto"/>
        </w:rPr>
      </w:pPr>
      <w:r w:rsidRPr="00CD42FA">
        <w:rPr>
          <w:color w:val="auto"/>
        </w:rPr>
        <w:t>Inject 1 n</w:t>
      </w:r>
      <w:r w:rsidR="00546288" w:rsidRPr="00CD42FA">
        <w:rPr>
          <w:color w:val="auto"/>
        </w:rPr>
        <w:t>L</w:t>
      </w:r>
      <w:r w:rsidRPr="00CD42FA">
        <w:rPr>
          <w:color w:val="auto"/>
        </w:rPr>
        <w:t xml:space="preserve"> of </w:t>
      </w:r>
      <w:r w:rsidR="00546288" w:rsidRPr="00CD42FA">
        <w:rPr>
          <w:color w:val="auto"/>
        </w:rPr>
        <w:t xml:space="preserve">the </w:t>
      </w:r>
      <w:r w:rsidRPr="00CD42FA">
        <w:rPr>
          <w:color w:val="auto"/>
        </w:rPr>
        <w:t xml:space="preserve">solution into the cell of one-cell stage embryos. </w:t>
      </w:r>
    </w:p>
    <w:p w14:paraId="207E471E" w14:textId="77777777" w:rsidR="00546288" w:rsidRPr="00CD42FA" w:rsidRDefault="00546288" w:rsidP="005C35E4">
      <w:pPr>
        <w:pStyle w:val="ListParagraph"/>
        <w:ind w:left="0"/>
        <w:rPr>
          <w:color w:val="auto"/>
        </w:rPr>
      </w:pPr>
    </w:p>
    <w:p w14:paraId="0465D9B2" w14:textId="78E29289" w:rsidR="00546288" w:rsidRPr="00CD42FA" w:rsidRDefault="00DE0B54" w:rsidP="005C35E4">
      <w:pPr>
        <w:pStyle w:val="ListParagraph"/>
        <w:ind w:left="0"/>
        <w:rPr>
          <w:color w:val="auto"/>
        </w:rPr>
      </w:pPr>
      <w:r w:rsidRPr="00CD42FA">
        <w:rPr>
          <w:color w:val="auto"/>
        </w:rPr>
        <w:t xml:space="preserve">NOTE: </w:t>
      </w:r>
      <w:r w:rsidR="00300797">
        <w:rPr>
          <w:color w:val="auto"/>
        </w:rPr>
        <w:t>T</w:t>
      </w:r>
      <w:r w:rsidRPr="00CD42FA">
        <w:rPr>
          <w:color w:val="auto"/>
        </w:rPr>
        <w:t xml:space="preserve">he expression results are more consistent when injecting inside the cell and discarding the injections that may not be clearly inside the cell. </w:t>
      </w:r>
      <w:r w:rsidR="00300797">
        <w:rPr>
          <w:color w:val="auto"/>
        </w:rPr>
        <w:t>O</w:t>
      </w:r>
      <w:r w:rsidRPr="00CD42FA">
        <w:rPr>
          <w:color w:val="auto"/>
        </w:rPr>
        <w:t>ne-cell stage embryos</w:t>
      </w:r>
      <w:r w:rsidR="00300797">
        <w:rPr>
          <w:color w:val="auto"/>
        </w:rPr>
        <w:t xml:space="preserve"> are aimed for</w:t>
      </w:r>
      <w:r w:rsidRPr="00CD42FA">
        <w:rPr>
          <w:color w:val="auto"/>
        </w:rPr>
        <w:t xml:space="preserve"> because of the variability of volume injection per cell when injecting 2-16 cell stage embryos. </w:t>
      </w:r>
      <w:r w:rsidR="00447339" w:rsidRPr="00CD42FA">
        <w:rPr>
          <w:color w:val="auto"/>
        </w:rPr>
        <w:t>An option would be</w:t>
      </w:r>
      <w:r w:rsidR="003E397E" w:rsidRPr="00CD42FA">
        <w:rPr>
          <w:color w:val="auto"/>
        </w:rPr>
        <w:t xml:space="preserve"> to separate</w:t>
      </w:r>
      <w:r w:rsidRPr="00CD42FA">
        <w:rPr>
          <w:color w:val="auto"/>
        </w:rPr>
        <w:t xml:space="preserve"> the one-cell stage injections from batches of later injections, </w:t>
      </w:r>
      <w:r w:rsidR="00FA1D9D" w:rsidRPr="00CD42FA">
        <w:rPr>
          <w:color w:val="auto"/>
        </w:rPr>
        <w:t>in case these</w:t>
      </w:r>
      <w:r w:rsidRPr="00CD42FA">
        <w:rPr>
          <w:color w:val="auto"/>
        </w:rPr>
        <w:t xml:space="preserve"> have different efficacies. </w:t>
      </w:r>
    </w:p>
    <w:p w14:paraId="5758CE29" w14:textId="77777777" w:rsidR="00546288" w:rsidRPr="00CD42FA" w:rsidRDefault="00546288" w:rsidP="005C35E4">
      <w:pPr>
        <w:pStyle w:val="ListParagraph"/>
        <w:ind w:left="0"/>
        <w:rPr>
          <w:color w:val="auto"/>
        </w:rPr>
      </w:pPr>
    </w:p>
    <w:p w14:paraId="6F3BA41F" w14:textId="00F59B3B" w:rsidR="00546288" w:rsidRPr="00CD42FA" w:rsidRDefault="00DE0B54" w:rsidP="005C35E4">
      <w:pPr>
        <w:pStyle w:val="ListParagraph"/>
        <w:numPr>
          <w:ilvl w:val="1"/>
          <w:numId w:val="1"/>
        </w:numPr>
        <w:ind w:left="0" w:firstLine="0"/>
        <w:rPr>
          <w:color w:val="auto"/>
        </w:rPr>
      </w:pPr>
      <w:r w:rsidRPr="00CD42FA">
        <w:rPr>
          <w:color w:val="auto"/>
        </w:rPr>
        <w:t>Check the injected embryos later in the day and remove unfertilized or dead</w:t>
      </w:r>
      <w:r w:rsidR="00B503DD" w:rsidRPr="00CD42FA">
        <w:rPr>
          <w:color w:val="auto"/>
        </w:rPr>
        <w:t>+</w:t>
      </w:r>
      <w:r w:rsidRPr="00CD42FA">
        <w:rPr>
          <w:color w:val="auto"/>
        </w:rPr>
        <w:t xml:space="preserve"> eggs to keep the clutch healthy.</w:t>
      </w:r>
    </w:p>
    <w:p w14:paraId="309590A8" w14:textId="77777777" w:rsidR="00546288" w:rsidRPr="00CD42FA" w:rsidRDefault="00546288" w:rsidP="005C35E4">
      <w:pPr>
        <w:pStyle w:val="ListParagraph"/>
        <w:ind w:left="0"/>
        <w:rPr>
          <w:color w:val="auto"/>
        </w:rPr>
      </w:pPr>
    </w:p>
    <w:p w14:paraId="1B0629F2" w14:textId="07B8E88B" w:rsidR="00BB6C4E" w:rsidRPr="00CD42FA" w:rsidRDefault="00CA6E9C" w:rsidP="005C35E4">
      <w:pPr>
        <w:pStyle w:val="ListParagraph"/>
        <w:numPr>
          <w:ilvl w:val="1"/>
          <w:numId w:val="1"/>
        </w:numPr>
        <w:ind w:left="0" w:firstLine="0"/>
        <w:rPr>
          <w:color w:val="auto"/>
        </w:rPr>
      </w:pPr>
      <w:r w:rsidRPr="00CD42FA">
        <w:rPr>
          <w:color w:val="auto"/>
        </w:rPr>
        <w:t>At 3 days post</w:t>
      </w:r>
      <w:r w:rsidR="00A853C1" w:rsidRPr="00CD42FA">
        <w:rPr>
          <w:color w:val="auto"/>
        </w:rPr>
        <w:t>-</w:t>
      </w:r>
      <w:r w:rsidRPr="00CD42FA">
        <w:rPr>
          <w:color w:val="auto"/>
        </w:rPr>
        <w:t>fertilization</w:t>
      </w:r>
      <w:r w:rsidR="00240807" w:rsidRPr="00CD42FA">
        <w:rPr>
          <w:color w:val="auto"/>
        </w:rPr>
        <w:t xml:space="preserve"> (dpf)</w:t>
      </w:r>
      <w:r w:rsidRPr="00CD42FA">
        <w:rPr>
          <w:color w:val="auto"/>
        </w:rPr>
        <w:t xml:space="preserve">, screen larvae under a fluorescent microscope. The marker </w:t>
      </w:r>
      <w:r w:rsidR="00BB6C4E" w:rsidRPr="00CD42FA">
        <w:rPr>
          <w:color w:val="auto"/>
        </w:rPr>
        <w:t>will</w:t>
      </w:r>
      <w:r w:rsidRPr="00CD42FA">
        <w:rPr>
          <w:color w:val="auto"/>
        </w:rPr>
        <w:t xml:space="preserve"> be visible in neutrophils, particularly in the caudal hematopoietic tissue</w:t>
      </w:r>
      <w:r w:rsidR="00240807" w:rsidRPr="00CD42FA">
        <w:rPr>
          <w:color w:val="auto"/>
        </w:rPr>
        <w:t xml:space="preserve"> (CHT)</w:t>
      </w:r>
      <w:r w:rsidRPr="00CD42FA">
        <w:rPr>
          <w:color w:val="auto"/>
        </w:rPr>
        <w:t>, which is rich in these cells.</w:t>
      </w:r>
      <w:r w:rsidR="00670916" w:rsidRPr="00CD42FA">
        <w:rPr>
          <w:color w:val="auto"/>
        </w:rPr>
        <w:t xml:space="preserve"> </w:t>
      </w:r>
    </w:p>
    <w:p w14:paraId="4763871C" w14:textId="77777777" w:rsidR="00BB6C4E" w:rsidRPr="00CD42FA" w:rsidRDefault="00BB6C4E" w:rsidP="005C35E4">
      <w:pPr>
        <w:pStyle w:val="ListParagraph"/>
        <w:ind w:left="0"/>
        <w:rPr>
          <w:color w:val="auto"/>
        </w:rPr>
      </w:pPr>
    </w:p>
    <w:p w14:paraId="61D586F5" w14:textId="3CBE47E4" w:rsidR="00BB6C4E" w:rsidRPr="00CD42FA" w:rsidRDefault="00670916" w:rsidP="005C35E4">
      <w:pPr>
        <w:pStyle w:val="ListParagraph"/>
        <w:ind w:left="0"/>
        <w:rPr>
          <w:color w:val="auto"/>
        </w:rPr>
      </w:pPr>
      <w:r w:rsidRPr="00CD42FA">
        <w:rPr>
          <w:color w:val="auto"/>
        </w:rPr>
        <w:t>NOTE: The percentage of cells labeled varies with different constructs</w:t>
      </w:r>
      <w:r w:rsidR="006851C2" w:rsidRPr="00CD42FA">
        <w:rPr>
          <w:color w:val="auto"/>
        </w:rPr>
        <w:t>,</w:t>
      </w:r>
      <w:r w:rsidRPr="00CD42FA">
        <w:rPr>
          <w:color w:val="auto"/>
        </w:rPr>
        <w:t xml:space="preserve"> but usually 20-60% of neutrophils</w:t>
      </w:r>
      <w:r w:rsidR="00BB6C4E" w:rsidRPr="00CD42FA">
        <w:rPr>
          <w:color w:val="auto"/>
        </w:rPr>
        <w:t xml:space="preserve"> are expected</w:t>
      </w:r>
      <w:r w:rsidRPr="00CD42FA">
        <w:rPr>
          <w:color w:val="auto"/>
        </w:rPr>
        <w:t xml:space="preserve"> to express</w:t>
      </w:r>
      <w:r w:rsidR="002827D2" w:rsidRPr="00CD42FA">
        <w:rPr>
          <w:color w:val="auto"/>
        </w:rPr>
        <w:t xml:space="preserve"> the construct</w:t>
      </w:r>
      <w:r w:rsidRPr="00CD42FA">
        <w:rPr>
          <w:color w:val="auto"/>
        </w:rPr>
        <w:t xml:space="preserve">. </w:t>
      </w:r>
      <w:r w:rsidR="00461A51" w:rsidRPr="00CD42FA">
        <w:rPr>
          <w:color w:val="auto"/>
        </w:rPr>
        <w:t xml:space="preserve">Lower percentages usually </w:t>
      </w:r>
      <w:r w:rsidR="006106F3" w:rsidRPr="00CD42FA">
        <w:rPr>
          <w:color w:val="auto"/>
        </w:rPr>
        <w:t>predict</w:t>
      </w:r>
      <w:r w:rsidR="00461A51" w:rsidRPr="00CD42FA">
        <w:rPr>
          <w:color w:val="auto"/>
        </w:rPr>
        <w:t xml:space="preserve"> more screening at the adult stage.</w:t>
      </w:r>
      <w:r w:rsidRPr="00CD42FA">
        <w:rPr>
          <w:color w:val="auto"/>
        </w:rPr>
        <w:t xml:space="preserve"> It is </w:t>
      </w:r>
      <w:r w:rsidR="00BB6C4E" w:rsidRPr="00CD42FA">
        <w:rPr>
          <w:color w:val="auto"/>
        </w:rPr>
        <w:t xml:space="preserve">a </w:t>
      </w:r>
      <w:r w:rsidRPr="00CD42FA">
        <w:rPr>
          <w:color w:val="auto"/>
        </w:rPr>
        <w:t xml:space="preserve">good practice to also verify </w:t>
      </w:r>
      <w:r w:rsidR="0093144F" w:rsidRPr="00CD42FA">
        <w:rPr>
          <w:color w:val="auto"/>
        </w:rPr>
        <w:t xml:space="preserve">correct </w:t>
      </w:r>
      <w:r w:rsidRPr="00CD42FA">
        <w:rPr>
          <w:color w:val="auto"/>
        </w:rPr>
        <w:t>locali</w:t>
      </w:r>
      <w:r w:rsidR="002A014E" w:rsidRPr="00CD42FA">
        <w:rPr>
          <w:color w:val="auto"/>
        </w:rPr>
        <w:t>z</w:t>
      </w:r>
      <w:r w:rsidRPr="00CD42FA">
        <w:rPr>
          <w:color w:val="auto"/>
        </w:rPr>
        <w:t>ation of the receptor at the membrane</w:t>
      </w:r>
      <w:r w:rsidR="00BF605F" w:rsidRPr="00CD42FA">
        <w:rPr>
          <w:color w:val="auto"/>
        </w:rPr>
        <w:t>, with a higher-resolution imaging approach,</w:t>
      </w:r>
      <w:r w:rsidRPr="00CD42FA">
        <w:rPr>
          <w:color w:val="auto"/>
        </w:rPr>
        <w:t xml:space="preserve"> </w:t>
      </w:r>
      <w:r w:rsidR="00C0291E" w:rsidRPr="00CD42FA">
        <w:rPr>
          <w:color w:val="auto"/>
        </w:rPr>
        <w:t>in</w:t>
      </w:r>
      <w:r w:rsidRPr="00CD42FA">
        <w:rPr>
          <w:color w:val="auto"/>
        </w:rPr>
        <w:t xml:space="preserve"> a sample of these embryos before growing the fish.</w:t>
      </w:r>
    </w:p>
    <w:p w14:paraId="59D10378" w14:textId="77777777" w:rsidR="00BB6C4E" w:rsidRPr="00CD42FA" w:rsidRDefault="00BB6C4E" w:rsidP="005C35E4">
      <w:pPr>
        <w:pStyle w:val="ListParagraph"/>
        <w:ind w:left="0"/>
        <w:rPr>
          <w:color w:val="auto"/>
        </w:rPr>
      </w:pPr>
    </w:p>
    <w:p w14:paraId="6E785D8C" w14:textId="01C45AFE" w:rsidR="00546288" w:rsidRPr="00CD42FA" w:rsidRDefault="00CA6E9C" w:rsidP="005C35E4">
      <w:pPr>
        <w:pStyle w:val="ListParagraph"/>
        <w:numPr>
          <w:ilvl w:val="1"/>
          <w:numId w:val="1"/>
        </w:numPr>
        <w:ind w:left="0" w:firstLine="0"/>
        <w:rPr>
          <w:color w:val="auto"/>
        </w:rPr>
      </w:pPr>
      <w:r w:rsidRPr="00CD42FA">
        <w:rPr>
          <w:color w:val="auto"/>
        </w:rPr>
        <w:t>Grow positive larvae</w:t>
      </w:r>
      <w:r w:rsidR="00AC33B8" w:rsidRPr="00CD42FA">
        <w:rPr>
          <w:color w:val="auto"/>
        </w:rPr>
        <w:t xml:space="preserve"> following standard husbandry practices</w:t>
      </w:r>
      <w:r w:rsidR="0002471A" w:rsidRPr="00CD42FA">
        <w:rPr>
          <w:color w:val="auto"/>
        </w:rPr>
        <w:fldChar w:fldCharType="begin"/>
      </w:r>
      <w:r w:rsidR="0002471A" w:rsidRPr="00CD42FA">
        <w:rPr>
          <w:color w:val="auto"/>
        </w:rPr>
        <w:instrText xml:space="preserve"> ADDIN ZOTERO_ITEM CSL_CITATION {"citationID":"DRYPXUXW","properties":{"formattedCitation":"\\super 20\\nosupersub{}","plainCitation":"20","noteIndex":0},"citationItems":[{"id":857,"uris":["http://zotero.org/users/5010385/items/CA2XC853"],"uri":["http://zotero.org/users/5010385/items/CA2XC853"],"itemData":{"id":857,"type":"book","abstract":"This volume of Methods in Cell Biology, the second of two parts on the subject of zebrafish, provides a comprehensive compendia of laboratory protocols and reviews covering all the new methods developed since 1999. This second volume covers advances in forward and reverse genetic techniques, provides an update on the zebrafish genome and gene/mutant mapping technologies, examines the new systems for efficient transgenesis in the zebrafish, provides an in-depth view of informatics and the emerging field of comparative genomics, and considers the extensive infrastructure now available to the ze.","event-place":"Burlington","ISBN":"978-0-08-052251-7","language":"English","note":"OCLC: 476073240","publisher":"Elsevier","publisher-place":"Burlington","source":"Open WorldCat","title":"The Zebrafish: Genetics, Genomics and Informatics.","title-short":"The Zebrafish","URL":"http://public.ebookcentral.proquest.com/choice/publicfullrecord.aspx?p=298293","author":[{"family":"Detrich","given":"H. William"},{"family":"Zon","given":"Leonard I"},{"family":"Westerfield","given":"Monte"}],"accessed":{"date-parts":[["2020",7,10]]},"issued":{"date-parts":[["2004"]]}}}],"schema":"https://github.com/citation-style-language/schema/raw/master/csl-citation.json"} </w:instrText>
      </w:r>
      <w:r w:rsidR="0002471A" w:rsidRPr="00CD42FA">
        <w:rPr>
          <w:color w:val="auto"/>
        </w:rPr>
        <w:fldChar w:fldCharType="separate"/>
      </w:r>
      <w:r w:rsidR="0002471A" w:rsidRPr="00CD42FA">
        <w:rPr>
          <w:color w:val="auto"/>
          <w:vertAlign w:val="superscript"/>
        </w:rPr>
        <w:t>20</w:t>
      </w:r>
      <w:r w:rsidR="0002471A" w:rsidRPr="00CD42FA">
        <w:rPr>
          <w:color w:val="auto"/>
        </w:rPr>
        <w:fldChar w:fldCharType="end"/>
      </w:r>
      <w:r w:rsidRPr="00CD42FA">
        <w:rPr>
          <w:color w:val="auto"/>
        </w:rPr>
        <w:t>. These represent the F0 generation.</w:t>
      </w:r>
    </w:p>
    <w:p w14:paraId="35D19351" w14:textId="77777777" w:rsidR="00546288" w:rsidRPr="00CD42FA" w:rsidRDefault="00546288" w:rsidP="005C35E4">
      <w:pPr>
        <w:pStyle w:val="ListParagraph"/>
        <w:ind w:left="0"/>
        <w:rPr>
          <w:color w:val="auto"/>
        </w:rPr>
      </w:pPr>
    </w:p>
    <w:p w14:paraId="1AEB78AE" w14:textId="16111E97" w:rsidR="00BB6C4E" w:rsidRPr="00CD42FA" w:rsidRDefault="00CA6E9C" w:rsidP="005C35E4">
      <w:pPr>
        <w:pStyle w:val="ListParagraph"/>
        <w:numPr>
          <w:ilvl w:val="1"/>
          <w:numId w:val="1"/>
        </w:numPr>
        <w:ind w:left="0" w:firstLine="0"/>
        <w:rPr>
          <w:color w:val="auto"/>
        </w:rPr>
      </w:pPr>
      <w:r w:rsidRPr="00CD42FA">
        <w:rPr>
          <w:color w:val="auto"/>
        </w:rPr>
        <w:t xml:space="preserve">At 3 months of age, screen F0 fish for founders. Cross individual fish with a non-transgenic wild type and screen their offspring at 3 dpf for </w:t>
      </w:r>
      <w:r w:rsidR="00BB6C4E" w:rsidRPr="00CD42FA">
        <w:rPr>
          <w:color w:val="auto"/>
        </w:rPr>
        <w:t xml:space="preserve">the </w:t>
      </w:r>
      <w:r w:rsidRPr="00CD42FA">
        <w:rPr>
          <w:color w:val="auto"/>
        </w:rPr>
        <w:t>expression of the receptor</w:t>
      </w:r>
      <w:r w:rsidR="00204341" w:rsidRPr="00CD42FA">
        <w:rPr>
          <w:color w:val="auto"/>
        </w:rPr>
        <w:t xml:space="preserve"> by viewing under the dissecting scope</w:t>
      </w:r>
      <w:r w:rsidRPr="00CD42FA">
        <w:rPr>
          <w:color w:val="auto"/>
        </w:rPr>
        <w:t>. Depending on the transgenesis success, which varies with each construct, observe a percentage of positive offspring in a subset of the crosses.</w:t>
      </w:r>
      <w:r w:rsidR="00461A51" w:rsidRPr="00CD42FA">
        <w:rPr>
          <w:color w:val="auto"/>
        </w:rPr>
        <w:t xml:space="preserve"> </w:t>
      </w:r>
    </w:p>
    <w:p w14:paraId="1FB7698E" w14:textId="77777777" w:rsidR="00BB6C4E" w:rsidRPr="00CD42FA" w:rsidRDefault="00BB6C4E" w:rsidP="005C35E4">
      <w:pPr>
        <w:pStyle w:val="ListParagraph"/>
        <w:ind w:left="0"/>
        <w:rPr>
          <w:color w:val="auto"/>
        </w:rPr>
      </w:pPr>
    </w:p>
    <w:p w14:paraId="6A3E016F" w14:textId="497713BB" w:rsidR="00546288" w:rsidRPr="00CD42FA" w:rsidRDefault="00461A51" w:rsidP="005C35E4">
      <w:pPr>
        <w:pStyle w:val="ListParagraph"/>
        <w:ind w:left="0"/>
        <w:rPr>
          <w:color w:val="auto"/>
        </w:rPr>
      </w:pPr>
      <w:r w:rsidRPr="00CD42FA">
        <w:rPr>
          <w:color w:val="auto"/>
        </w:rPr>
        <w:t xml:space="preserve">NOTE: For good transgenesis, about a </w:t>
      </w:r>
      <w:r w:rsidR="00871A65" w:rsidRPr="00CD42FA">
        <w:rPr>
          <w:color w:val="auto"/>
        </w:rPr>
        <w:t>third</w:t>
      </w:r>
      <w:r w:rsidR="00103372" w:rsidRPr="00CD42FA">
        <w:rPr>
          <w:color w:val="auto"/>
        </w:rPr>
        <w:t xml:space="preserve"> to a </w:t>
      </w:r>
      <w:r w:rsidR="00871A65" w:rsidRPr="00CD42FA">
        <w:rPr>
          <w:color w:val="auto"/>
        </w:rPr>
        <w:t>half</w:t>
      </w:r>
      <w:r w:rsidR="00103372" w:rsidRPr="00CD42FA">
        <w:rPr>
          <w:color w:val="auto"/>
        </w:rPr>
        <w:t xml:space="preserve"> of</w:t>
      </w:r>
      <w:r w:rsidRPr="00CD42FA">
        <w:rPr>
          <w:color w:val="auto"/>
        </w:rPr>
        <w:t xml:space="preserve"> adults </w:t>
      </w:r>
      <w:r w:rsidR="00BB6C4E" w:rsidRPr="00CD42FA">
        <w:rPr>
          <w:color w:val="auto"/>
        </w:rPr>
        <w:t>will</w:t>
      </w:r>
      <w:r w:rsidRPr="00CD42FA">
        <w:rPr>
          <w:color w:val="auto"/>
        </w:rPr>
        <w:t xml:space="preserve"> give positive offspring. The percentage of offspring that is positive in a clutch varies </w:t>
      </w:r>
      <w:r w:rsidR="00464FCE" w:rsidRPr="00CD42FA">
        <w:rPr>
          <w:color w:val="auto"/>
        </w:rPr>
        <w:t>with the copy number of transgenes inserted</w:t>
      </w:r>
      <w:r w:rsidR="00800FF7" w:rsidRPr="00CD42FA">
        <w:rPr>
          <w:color w:val="auto"/>
        </w:rPr>
        <w:t xml:space="preserve"> and</w:t>
      </w:r>
      <w:r w:rsidR="00FE7756" w:rsidRPr="00CD42FA">
        <w:rPr>
          <w:color w:val="auto"/>
        </w:rPr>
        <w:t>,</w:t>
      </w:r>
      <w:r w:rsidR="00800FF7" w:rsidRPr="00CD42FA">
        <w:rPr>
          <w:color w:val="auto"/>
        </w:rPr>
        <w:t xml:space="preserve"> can be between 10-60%</w:t>
      </w:r>
      <w:r w:rsidR="00464FCE" w:rsidRPr="00CD42FA">
        <w:rPr>
          <w:color w:val="auto"/>
        </w:rPr>
        <w:t xml:space="preserve">. It is </w:t>
      </w:r>
      <w:r w:rsidR="00B35392" w:rsidRPr="00CD42FA">
        <w:rPr>
          <w:color w:val="auto"/>
        </w:rPr>
        <w:t>helpful to</w:t>
      </w:r>
      <w:r w:rsidR="00464FCE" w:rsidRPr="00CD42FA">
        <w:rPr>
          <w:color w:val="auto"/>
        </w:rPr>
        <w:t xml:space="preserve"> kee</w:t>
      </w:r>
      <w:r w:rsidR="00B35392" w:rsidRPr="00CD42FA">
        <w:rPr>
          <w:color w:val="auto"/>
        </w:rPr>
        <w:t>p</w:t>
      </w:r>
      <w:r w:rsidR="00464FCE" w:rsidRPr="00CD42FA">
        <w:rPr>
          <w:color w:val="auto"/>
        </w:rPr>
        <w:t xml:space="preserve"> track of mendelian ratios within the clutches </w:t>
      </w:r>
      <w:r w:rsidR="00B35392" w:rsidRPr="00CD42FA">
        <w:rPr>
          <w:color w:val="auto"/>
        </w:rPr>
        <w:t xml:space="preserve">to identify single insertion transgenics (these </w:t>
      </w:r>
      <w:r w:rsidR="00B21CB1" w:rsidRPr="00CD42FA">
        <w:rPr>
          <w:color w:val="auto"/>
        </w:rPr>
        <w:t>are more easily identified</w:t>
      </w:r>
      <w:r w:rsidR="00B35392" w:rsidRPr="00CD42FA">
        <w:rPr>
          <w:color w:val="auto"/>
        </w:rPr>
        <w:t xml:space="preserve"> </w:t>
      </w:r>
      <w:r w:rsidR="00B21CB1" w:rsidRPr="00CD42FA">
        <w:rPr>
          <w:color w:val="auto"/>
        </w:rPr>
        <w:t>in F2 clutches by</w:t>
      </w:r>
      <w:r w:rsidR="00B35392" w:rsidRPr="00CD42FA">
        <w:rPr>
          <w:color w:val="auto"/>
        </w:rPr>
        <w:t xml:space="preserve"> </w:t>
      </w:r>
      <w:r w:rsidR="00B21CB1" w:rsidRPr="00CD42FA">
        <w:rPr>
          <w:color w:val="auto"/>
        </w:rPr>
        <w:t xml:space="preserve">looking for </w:t>
      </w:r>
      <w:r w:rsidR="00B35392" w:rsidRPr="00CD42FA">
        <w:rPr>
          <w:color w:val="auto"/>
        </w:rPr>
        <w:t>a 50% ratio of positive larvae</w:t>
      </w:r>
      <w:r w:rsidR="00B21CB1" w:rsidRPr="00CD42FA">
        <w:rPr>
          <w:color w:val="auto"/>
        </w:rPr>
        <w:t>)</w:t>
      </w:r>
      <w:r w:rsidR="00B21CB1" w:rsidRPr="00CD42FA">
        <w:rPr>
          <w:color w:val="auto"/>
        </w:rPr>
        <w:fldChar w:fldCharType="begin"/>
      </w:r>
      <w:r w:rsidR="0002471A" w:rsidRPr="00CD42FA">
        <w:rPr>
          <w:color w:val="auto"/>
        </w:rPr>
        <w:instrText xml:space="preserve"> ADDIN ZOTERO_ITEM CSL_CITATION {"citationID":"Sr5kW0xs","properties":{"formattedCitation":"\\super 20\\nosupersub{}","plainCitation":"20","noteIndex":0},"citationItems":[{"id":857,"uris":["http://zotero.org/users/5010385/items/CA2XC853"],"uri":["http://zotero.org/users/5010385/items/CA2XC853"],"itemData":{"id":857,"type":"book","abstract":"This volume of Methods in Cell Biology, the second of two parts on the subject of zebrafish, provides a comprehensive compendia of laboratory protocols and reviews covering all the new methods developed since 1999. This second volume covers advances in forward and reverse genetic techniques, provides an update on the zebrafish genome and gene/mutant mapping technologies, examines the new systems for efficient transgenesis in the zebrafish, provides an in-depth view of informatics and the emerging field of comparative genomics, and considers the extensive infrastructure now available to the ze.","event-place":"Burlington","ISBN":"978-0-08-052251-7","language":"English","note":"OCLC: 476073240","publisher":"Elsevier","publisher-place":"Burlington","source":"Open WorldCat","title":"The Zebrafish: Genetics, Genomics and Informatics.","title-short":"The Zebrafish","URL":"http://public.ebookcentral.proquest.com/choice/publicfullrecord.aspx?p=298293","author":[{"family":"Detrich","given":"H. William"},{"family":"Zon","given":"Leonard I"},{"family":"Westerfield","given":"Monte"}],"accessed":{"date-parts":[["2020",7,10]]},"issued":{"date-parts":[["2004"]]}}}],"schema":"https://github.com/citation-style-language/schema/raw/master/csl-citation.json"} </w:instrText>
      </w:r>
      <w:r w:rsidR="00B21CB1" w:rsidRPr="00CD42FA">
        <w:rPr>
          <w:color w:val="auto"/>
        </w:rPr>
        <w:fldChar w:fldCharType="separate"/>
      </w:r>
      <w:r w:rsidR="0002471A" w:rsidRPr="00CD42FA">
        <w:rPr>
          <w:color w:val="auto"/>
          <w:vertAlign w:val="superscript"/>
        </w:rPr>
        <w:t>20</w:t>
      </w:r>
      <w:r w:rsidR="00B21CB1" w:rsidRPr="00CD42FA">
        <w:rPr>
          <w:color w:val="auto"/>
        </w:rPr>
        <w:fldChar w:fldCharType="end"/>
      </w:r>
      <w:r w:rsidR="00B21CB1" w:rsidRPr="00CD42FA">
        <w:rPr>
          <w:color w:val="auto"/>
        </w:rPr>
        <w:t>.</w:t>
      </w:r>
    </w:p>
    <w:p w14:paraId="5C0F7DA9" w14:textId="77777777" w:rsidR="00546288" w:rsidRPr="00CD42FA" w:rsidRDefault="00546288" w:rsidP="005C35E4">
      <w:pPr>
        <w:pStyle w:val="ListParagraph"/>
        <w:ind w:left="0"/>
        <w:rPr>
          <w:color w:val="auto"/>
        </w:rPr>
      </w:pPr>
    </w:p>
    <w:p w14:paraId="5E39F00E" w14:textId="77777777" w:rsidR="00BB6C4E" w:rsidRPr="00CD42FA" w:rsidRDefault="00CA6E9C" w:rsidP="005C35E4">
      <w:pPr>
        <w:pStyle w:val="ListParagraph"/>
        <w:numPr>
          <w:ilvl w:val="1"/>
          <w:numId w:val="1"/>
        </w:numPr>
        <w:ind w:left="0" w:firstLine="0"/>
        <w:rPr>
          <w:color w:val="auto"/>
        </w:rPr>
      </w:pPr>
      <w:r w:rsidRPr="00CD42FA">
        <w:rPr>
          <w:color w:val="auto"/>
        </w:rPr>
        <w:t>Grow the positive offspring, which represent the F1 generation.</w:t>
      </w:r>
    </w:p>
    <w:p w14:paraId="50805F05" w14:textId="77777777" w:rsidR="00BB6C4E" w:rsidRPr="00CD42FA" w:rsidRDefault="00BB6C4E" w:rsidP="005C35E4">
      <w:pPr>
        <w:pStyle w:val="ListParagraph"/>
        <w:ind w:left="0"/>
        <w:rPr>
          <w:color w:val="auto"/>
        </w:rPr>
      </w:pPr>
    </w:p>
    <w:p w14:paraId="2111E4FD" w14:textId="77777777" w:rsidR="00BB6C4E" w:rsidRPr="00CD42FA" w:rsidRDefault="00CA6E9C" w:rsidP="005C35E4">
      <w:pPr>
        <w:pStyle w:val="ListParagraph"/>
        <w:numPr>
          <w:ilvl w:val="1"/>
          <w:numId w:val="1"/>
        </w:numPr>
        <w:ind w:left="0" w:firstLine="0"/>
        <w:rPr>
          <w:color w:val="auto"/>
        </w:rPr>
      </w:pPr>
      <w:r w:rsidRPr="00CD42FA">
        <w:rPr>
          <w:color w:val="auto"/>
        </w:rPr>
        <w:t xml:space="preserve">At 3 months of age, screen F1 </w:t>
      </w:r>
      <w:r w:rsidR="00800FF7" w:rsidRPr="00CD42FA">
        <w:rPr>
          <w:color w:val="auto"/>
        </w:rPr>
        <w:t xml:space="preserve">adults </w:t>
      </w:r>
      <w:r w:rsidRPr="00CD42FA">
        <w:rPr>
          <w:color w:val="auto"/>
        </w:rPr>
        <w:t>in the same way to establish stable F2 transgenic line.</w:t>
      </w:r>
      <w:r w:rsidR="003E397E" w:rsidRPr="00CD42FA" w:rsidDel="003E397E">
        <w:rPr>
          <w:color w:val="auto"/>
        </w:rPr>
        <w:t xml:space="preserve"> </w:t>
      </w:r>
    </w:p>
    <w:p w14:paraId="16935E9A" w14:textId="77777777" w:rsidR="00BB6C4E" w:rsidRPr="00CD42FA" w:rsidRDefault="00BB6C4E" w:rsidP="005C35E4">
      <w:pPr>
        <w:pStyle w:val="ListParagraph"/>
        <w:ind w:left="0"/>
        <w:rPr>
          <w:color w:val="auto"/>
        </w:rPr>
      </w:pPr>
    </w:p>
    <w:p w14:paraId="23C6BE4C" w14:textId="77777777" w:rsidR="00E8301D" w:rsidRPr="00CD42FA" w:rsidRDefault="00551C11" w:rsidP="005C35E4">
      <w:pPr>
        <w:pStyle w:val="ListParagraph"/>
        <w:numPr>
          <w:ilvl w:val="1"/>
          <w:numId w:val="1"/>
        </w:numPr>
        <w:ind w:left="0" w:firstLine="0"/>
        <w:rPr>
          <w:color w:val="auto"/>
        </w:rPr>
      </w:pPr>
      <w:r w:rsidRPr="00CD42FA">
        <w:rPr>
          <w:color w:val="auto"/>
        </w:rPr>
        <w:t>Perform experiments on F2 larvae after validating the neutrophil-specific expression of the transgene.</w:t>
      </w:r>
      <w:r w:rsidR="00BB6C4E" w:rsidRPr="00CD42FA">
        <w:rPr>
          <w:color w:val="auto"/>
        </w:rPr>
        <w:t xml:space="preserve"> </w:t>
      </w:r>
    </w:p>
    <w:p w14:paraId="72FA450C" w14:textId="77777777" w:rsidR="00E8301D" w:rsidRPr="00CD42FA" w:rsidRDefault="00E8301D" w:rsidP="005C35E4">
      <w:pPr>
        <w:pStyle w:val="ListParagraph"/>
        <w:ind w:left="0"/>
        <w:rPr>
          <w:color w:val="auto"/>
        </w:rPr>
      </w:pPr>
    </w:p>
    <w:p w14:paraId="589DA997" w14:textId="5065F8D7" w:rsidR="00CA6E9C" w:rsidRPr="00CD42FA" w:rsidRDefault="00CA6E9C" w:rsidP="005C35E4">
      <w:pPr>
        <w:pStyle w:val="ListParagraph"/>
        <w:ind w:left="0"/>
        <w:rPr>
          <w:color w:val="auto"/>
        </w:rPr>
      </w:pPr>
      <w:r w:rsidRPr="00CD42FA">
        <w:rPr>
          <w:color w:val="auto"/>
        </w:rPr>
        <w:t xml:space="preserve">NOTE: During the transgenesis, </w:t>
      </w:r>
      <w:r w:rsidR="00E8301D" w:rsidRPr="00CD42FA">
        <w:rPr>
          <w:color w:val="auto"/>
        </w:rPr>
        <w:t xml:space="preserve">one </w:t>
      </w:r>
      <w:r w:rsidRPr="00CD42FA">
        <w:rPr>
          <w:color w:val="auto"/>
        </w:rPr>
        <w:t xml:space="preserve">may observe varying levels of receptor expression and it is advisable to keep different transgenic clutches to </w:t>
      </w:r>
      <w:r w:rsidR="00A93586" w:rsidRPr="00CD42FA">
        <w:rPr>
          <w:color w:val="auto"/>
        </w:rPr>
        <w:t>obtain</w:t>
      </w:r>
      <w:r w:rsidRPr="00CD42FA">
        <w:rPr>
          <w:color w:val="auto"/>
        </w:rPr>
        <w:t xml:space="preserve"> the most appropriate expression level for the biological questions.</w:t>
      </w:r>
      <w:r w:rsidR="00091C33" w:rsidRPr="00CD42FA">
        <w:rPr>
          <w:color w:val="auto"/>
        </w:rPr>
        <w:t xml:space="preserve"> </w:t>
      </w:r>
      <w:r w:rsidR="005A277C" w:rsidRPr="00CD42FA">
        <w:rPr>
          <w:color w:val="auto"/>
        </w:rPr>
        <w:t xml:space="preserve">Initial </w:t>
      </w:r>
      <w:r w:rsidR="00091C33" w:rsidRPr="00CD42FA">
        <w:rPr>
          <w:color w:val="auto"/>
        </w:rPr>
        <w:t xml:space="preserve">results may be obtained in F0 </w:t>
      </w:r>
      <w:r w:rsidR="00B1487C" w:rsidRPr="00CD42FA">
        <w:rPr>
          <w:color w:val="auto"/>
        </w:rPr>
        <w:t xml:space="preserve">or F1 </w:t>
      </w:r>
      <w:r w:rsidR="00091C33" w:rsidRPr="00CD42FA">
        <w:rPr>
          <w:color w:val="auto"/>
        </w:rPr>
        <w:t>larvae.</w:t>
      </w:r>
    </w:p>
    <w:p w14:paraId="79E30355" w14:textId="75EADF20" w:rsidR="001D3BBE" w:rsidRPr="00CD42FA" w:rsidRDefault="001D3BBE" w:rsidP="005C35E4">
      <w:pPr>
        <w:jc w:val="both"/>
        <w:rPr>
          <w:rFonts w:ascii="Calibri" w:hAnsi="Calibri" w:cs="Calibri"/>
          <w:lang w:val="en-US"/>
        </w:rPr>
      </w:pPr>
    </w:p>
    <w:p w14:paraId="40E7BCCD" w14:textId="46BE583D" w:rsidR="001D3BBE" w:rsidRPr="00CD42FA" w:rsidRDefault="00683586" w:rsidP="005C35E4">
      <w:pPr>
        <w:jc w:val="both"/>
        <w:rPr>
          <w:rFonts w:ascii="Calibri" w:hAnsi="Calibri" w:cs="Calibri"/>
          <w:b/>
          <w:bCs/>
          <w:lang w:val="en-US"/>
        </w:rPr>
      </w:pPr>
      <w:r w:rsidRPr="00CD42FA">
        <w:rPr>
          <w:rFonts w:ascii="Calibri" w:hAnsi="Calibri" w:cs="Calibri"/>
          <w:b/>
          <w:bCs/>
          <w:lang w:val="en-US"/>
        </w:rPr>
        <w:t>2</w:t>
      </w:r>
      <w:r w:rsidR="001D3BBE" w:rsidRPr="00CD42FA">
        <w:rPr>
          <w:rFonts w:ascii="Calibri" w:hAnsi="Calibri" w:cs="Calibri"/>
          <w:b/>
          <w:bCs/>
          <w:lang w:val="en-US"/>
        </w:rPr>
        <w:t xml:space="preserve">. Collecting zebrafish </w:t>
      </w:r>
      <w:r w:rsidR="00CF39B5" w:rsidRPr="00CD42FA">
        <w:rPr>
          <w:rFonts w:ascii="Calibri" w:hAnsi="Calibri" w:cs="Calibri"/>
          <w:b/>
          <w:bCs/>
          <w:lang w:val="en-US"/>
        </w:rPr>
        <w:t xml:space="preserve">embryos </w:t>
      </w:r>
      <w:r w:rsidR="00CA6E9C" w:rsidRPr="00CD42FA">
        <w:rPr>
          <w:rFonts w:ascii="Calibri" w:hAnsi="Calibri" w:cs="Calibri"/>
          <w:b/>
          <w:bCs/>
          <w:lang w:val="en-US"/>
        </w:rPr>
        <w:t>for assessing leukocyte wound responses</w:t>
      </w:r>
    </w:p>
    <w:p w14:paraId="2FB0C4DE" w14:textId="77777777" w:rsidR="00B77C34" w:rsidRPr="00CD42FA" w:rsidRDefault="00B77C34" w:rsidP="005C35E4">
      <w:pPr>
        <w:jc w:val="both"/>
        <w:rPr>
          <w:rFonts w:ascii="Calibri" w:hAnsi="Calibri" w:cs="Calibri"/>
          <w:lang w:val="en-US"/>
        </w:rPr>
      </w:pPr>
    </w:p>
    <w:p w14:paraId="5DA68AA7" w14:textId="669BC5D1" w:rsidR="00BB6C4E" w:rsidRPr="00CD42FA" w:rsidRDefault="001D3BBE" w:rsidP="005C35E4">
      <w:pPr>
        <w:pStyle w:val="ListParagraph"/>
        <w:numPr>
          <w:ilvl w:val="1"/>
          <w:numId w:val="2"/>
        </w:numPr>
        <w:ind w:left="0" w:firstLine="0"/>
        <w:rPr>
          <w:color w:val="auto"/>
        </w:rPr>
      </w:pPr>
      <w:r w:rsidRPr="00CD42FA">
        <w:rPr>
          <w:color w:val="auto"/>
        </w:rPr>
        <w:t xml:space="preserve"> After having established a stable transgenic reporter line, set up a cross </w:t>
      </w:r>
      <w:r w:rsidR="0002471A" w:rsidRPr="00CD42FA">
        <w:rPr>
          <w:color w:val="auto"/>
        </w:rPr>
        <w:t xml:space="preserve">between adult and female </w:t>
      </w:r>
      <w:r w:rsidRPr="00CD42FA">
        <w:rPr>
          <w:color w:val="auto"/>
        </w:rPr>
        <w:t>transgenic fish and collect eggs the next morning.</w:t>
      </w:r>
    </w:p>
    <w:p w14:paraId="3C57A519" w14:textId="77777777" w:rsidR="00BB6C4E" w:rsidRPr="00CD42FA" w:rsidRDefault="00BB6C4E" w:rsidP="005C35E4">
      <w:pPr>
        <w:pStyle w:val="ListParagraph"/>
        <w:ind w:left="0"/>
        <w:rPr>
          <w:color w:val="auto"/>
        </w:rPr>
      </w:pPr>
    </w:p>
    <w:p w14:paraId="774430A6" w14:textId="26FF5FE5" w:rsidR="00BB6C4E" w:rsidRPr="00CD42FA" w:rsidRDefault="001D3BBE" w:rsidP="005C35E4">
      <w:pPr>
        <w:pStyle w:val="ListParagraph"/>
        <w:numPr>
          <w:ilvl w:val="1"/>
          <w:numId w:val="2"/>
        </w:numPr>
        <w:ind w:left="0" w:firstLine="0"/>
        <w:rPr>
          <w:color w:val="auto"/>
        </w:rPr>
      </w:pPr>
      <w:r w:rsidRPr="00CD42FA">
        <w:rPr>
          <w:color w:val="auto"/>
        </w:rPr>
        <w:t xml:space="preserve">Grow </w:t>
      </w:r>
      <w:r w:rsidR="00DA3FA0" w:rsidRPr="00CD42FA">
        <w:rPr>
          <w:color w:val="auto"/>
        </w:rPr>
        <w:t xml:space="preserve">embryos </w:t>
      </w:r>
      <w:r w:rsidRPr="00CD42FA">
        <w:rPr>
          <w:color w:val="auto"/>
        </w:rPr>
        <w:t>at 28</w:t>
      </w:r>
      <w:r w:rsidR="00C26214" w:rsidRPr="00CD42FA">
        <w:rPr>
          <w:color w:val="auto"/>
        </w:rPr>
        <w:t>.5</w:t>
      </w:r>
      <w:r w:rsidR="00E8301D" w:rsidRPr="00CD42FA">
        <w:rPr>
          <w:color w:val="auto"/>
        </w:rPr>
        <w:t xml:space="preserve"> </w:t>
      </w:r>
      <w:r w:rsidRPr="00CD42FA">
        <w:rPr>
          <w:color w:val="auto"/>
        </w:rPr>
        <w:t>°C in E3 medium</w:t>
      </w:r>
      <w:r w:rsidR="0096358C" w:rsidRPr="00CD42FA">
        <w:rPr>
          <w:color w:val="auto"/>
        </w:rPr>
        <w:t xml:space="preserve"> (or egg water</w:t>
      </w:r>
      <w:r w:rsidR="0096358C" w:rsidRPr="00CD42FA">
        <w:fldChar w:fldCharType="begin"/>
      </w:r>
      <w:r w:rsidR="0002471A" w:rsidRPr="00CD42FA">
        <w:rPr>
          <w:color w:val="auto"/>
        </w:rPr>
        <w:instrText xml:space="preserve"> ADDIN ZOTERO_ITEM CSL_CITATION {"citationID":"e5KIZfwK","properties":{"formattedCitation":"\\super 18\\nosupersub{}","plainCitation":"18","noteIndex":0},"citationItems":[{"id":278,"uris":["http://zotero.org/users/5010385/items/93KYVZTA"],"uri":["http://zotero.org/users/5010385/items/93KYVZTA"],"itemData":{"id":278,"type":"book","edition":"5th","publisher":"University of Oregon Press, Eugene","title":"The zebrafish book. A guide for the laboratory use of zebrafish (Brachydanio rerio). Eugene, Oregon","author":[{"family":"Westerfield M","given":""}],"issued":{"date-parts":[["2007"]]}}}],"schema":"https://github.com/citation-style-language/schema/raw/master/csl-citation.json"} </w:instrText>
      </w:r>
      <w:r w:rsidR="0096358C" w:rsidRPr="00CD42FA">
        <w:fldChar w:fldCharType="separate"/>
      </w:r>
      <w:r w:rsidR="0002471A" w:rsidRPr="00CD42FA">
        <w:rPr>
          <w:color w:val="auto"/>
          <w:vertAlign w:val="superscript"/>
        </w:rPr>
        <w:t>18</w:t>
      </w:r>
      <w:r w:rsidR="0096358C" w:rsidRPr="00CD42FA">
        <w:fldChar w:fldCharType="end"/>
      </w:r>
      <w:r w:rsidR="0096358C" w:rsidRPr="00CD42FA">
        <w:rPr>
          <w:color w:val="auto"/>
        </w:rPr>
        <w:t>).</w:t>
      </w:r>
    </w:p>
    <w:p w14:paraId="2E0EAD6F" w14:textId="77777777" w:rsidR="00E707C3" w:rsidRPr="00CD42FA" w:rsidRDefault="00E707C3" w:rsidP="005C35E4">
      <w:pPr>
        <w:pStyle w:val="ListParagraph"/>
        <w:ind w:left="0"/>
        <w:rPr>
          <w:color w:val="auto"/>
        </w:rPr>
      </w:pPr>
    </w:p>
    <w:p w14:paraId="0B771F79" w14:textId="344ACF16" w:rsidR="00E8301D" w:rsidRPr="00CD42FA" w:rsidRDefault="00E8301D" w:rsidP="005C35E4">
      <w:pPr>
        <w:pStyle w:val="ListParagraph"/>
        <w:numPr>
          <w:ilvl w:val="1"/>
          <w:numId w:val="2"/>
        </w:numPr>
        <w:ind w:left="0" w:firstLine="0"/>
        <w:rPr>
          <w:color w:val="auto"/>
        </w:rPr>
      </w:pPr>
      <w:r w:rsidRPr="00CD42FA">
        <w:rPr>
          <w:color w:val="auto"/>
        </w:rPr>
        <w:t xml:space="preserve">Optionally, </w:t>
      </w:r>
      <w:r w:rsidR="00980479" w:rsidRPr="00CD42FA">
        <w:rPr>
          <w:color w:val="auto"/>
        </w:rPr>
        <w:t>a</w:t>
      </w:r>
      <w:r w:rsidR="001D3BBE" w:rsidRPr="00CD42FA">
        <w:rPr>
          <w:color w:val="auto"/>
        </w:rPr>
        <w:t xml:space="preserve">t 24 hpf, incubate embryos in a </w:t>
      </w:r>
      <w:r w:rsidRPr="00CD42FA">
        <w:rPr>
          <w:color w:val="auto"/>
        </w:rPr>
        <w:t>centrifuge</w:t>
      </w:r>
      <w:r w:rsidR="001D3BBE" w:rsidRPr="00CD42FA">
        <w:rPr>
          <w:color w:val="auto"/>
        </w:rPr>
        <w:t xml:space="preserve"> tube containing 50 mL</w:t>
      </w:r>
      <w:r w:rsidRPr="00CD42FA">
        <w:rPr>
          <w:color w:val="auto"/>
        </w:rPr>
        <w:t xml:space="preserve"> of</w:t>
      </w:r>
      <w:r w:rsidR="001D3BBE" w:rsidRPr="00CD42FA">
        <w:rPr>
          <w:color w:val="auto"/>
        </w:rPr>
        <w:t xml:space="preserve"> E3</w:t>
      </w:r>
      <w:r w:rsidRPr="00CD42FA">
        <w:rPr>
          <w:color w:val="auto"/>
        </w:rPr>
        <w:t xml:space="preserve"> medium</w:t>
      </w:r>
      <w:r w:rsidR="001D3BBE" w:rsidRPr="00CD42FA">
        <w:rPr>
          <w:color w:val="auto"/>
        </w:rPr>
        <w:t xml:space="preserve"> supplemented with </w:t>
      </w:r>
      <w:r w:rsidR="0010683E" w:rsidRPr="00CD42FA">
        <w:rPr>
          <w:color w:val="auto"/>
        </w:rPr>
        <w:t>0.003% bleach for 5 min</w:t>
      </w:r>
      <w:r w:rsidRPr="00CD42FA">
        <w:rPr>
          <w:color w:val="auto"/>
        </w:rPr>
        <w:t>.</w:t>
      </w:r>
      <w:r w:rsidR="0010683E" w:rsidRPr="00CD42FA">
        <w:rPr>
          <w:color w:val="auto"/>
        </w:rPr>
        <w:t xml:space="preserve"> </w:t>
      </w:r>
      <w:r w:rsidRPr="00CD42FA">
        <w:rPr>
          <w:color w:val="auto"/>
        </w:rPr>
        <w:t>S</w:t>
      </w:r>
      <w:r w:rsidR="001D3BBE" w:rsidRPr="00CD42FA">
        <w:rPr>
          <w:color w:val="auto"/>
        </w:rPr>
        <w:t>ubsequently rinse 3 times in E3 medium</w:t>
      </w:r>
      <w:r w:rsidR="0002471A" w:rsidRPr="00CD42FA">
        <w:rPr>
          <w:color w:val="auto"/>
        </w:rPr>
        <w:t xml:space="preserve"> by letting the tube stand for a couple of minutes to allow the embryos to settle in the bottom and then decanting and replacing the medium</w:t>
      </w:r>
      <w:r w:rsidR="001D3BBE" w:rsidRPr="00CD42FA">
        <w:rPr>
          <w:color w:val="auto"/>
        </w:rPr>
        <w:t>.</w:t>
      </w:r>
      <w:r w:rsidR="005807E0" w:rsidRPr="00CD42FA">
        <w:rPr>
          <w:color w:val="auto"/>
        </w:rPr>
        <w:t xml:space="preserve"> </w:t>
      </w:r>
    </w:p>
    <w:p w14:paraId="47592AED" w14:textId="77777777" w:rsidR="00E8301D" w:rsidRPr="00CD42FA" w:rsidRDefault="00E8301D" w:rsidP="005C35E4">
      <w:pPr>
        <w:pStyle w:val="ListParagraph"/>
        <w:ind w:left="0"/>
        <w:rPr>
          <w:color w:val="auto"/>
        </w:rPr>
      </w:pPr>
    </w:p>
    <w:p w14:paraId="33CDBF93" w14:textId="53FC2729" w:rsidR="00BB6C4E" w:rsidRPr="00CD42FA" w:rsidRDefault="0010683E" w:rsidP="005C35E4">
      <w:pPr>
        <w:pStyle w:val="ListParagraph"/>
        <w:ind w:left="0"/>
        <w:rPr>
          <w:color w:val="auto"/>
        </w:rPr>
      </w:pPr>
      <w:r w:rsidRPr="00CD42FA">
        <w:rPr>
          <w:color w:val="auto"/>
        </w:rPr>
        <w:t xml:space="preserve">NOTE: </w:t>
      </w:r>
      <w:r w:rsidR="005807E0" w:rsidRPr="00CD42FA">
        <w:rPr>
          <w:color w:val="auto"/>
        </w:rPr>
        <w:t>This provides a level of control on the infection exposure of the larvae, which may affect the behavior of leukocytes during wounding.</w:t>
      </w:r>
    </w:p>
    <w:p w14:paraId="1A35EF70" w14:textId="77777777" w:rsidR="00BB6C4E" w:rsidRPr="00CD42FA" w:rsidRDefault="00BB6C4E" w:rsidP="005C35E4">
      <w:pPr>
        <w:pStyle w:val="ListParagraph"/>
        <w:ind w:left="0"/>
        <w:rPr>
          <w:color w:val="auto"/>
        </w:rPr>
      </w:pPr>
    </w:p>
    <w:p w14:paraId="43D2C3E5" w14:textId="48687AEF" w:rsidR="00BB6C4E" w:rsidRPr="00CD42FA" w:rsidRDefault="001D3BBE" w:rsidP="005C35E4">
      <w:pPr>
        <w:pStyle w:val="ListParagraph"/>
        <w:numPr>
          <w:ilvl w:val="1"/>
          <w:numId w:val="2"/>
        </w:numPr>
        <w:ind w:left="0" w:firstLine="0"/>
        <w:rPr>
          <w:color w:val="auto"/>
        </w:rPr>
      </w:pPr>
      <w:r w:rsidRPr="00CD42FA">
        <w:rPr>
          <w:color w:val="auto"/>
        </w:rPr>
        <w:t xml:space="preserve">After bleaching, </w:t>
      </w:r>
      <w:r w:rsidR="005807E0" w:rsidRPr="00CD42FA">
        <w:rPr>
          <w:color w:val="auto"/>
        </w:rPr>
        <w:t>keep embryos</w:t>
      </w:r>
      <w:r w:rsidRPr="00CD42FA">
        <w:rPr>
          <w:color w:val="auto"/>
        </w:rPr>
        <w:t xml:space="preserve"> in E3 medium supplemented with 0.003% </w:t>
      </w:r>
      <w:r w:rsidR="00E8301D" w:rsidRPr="00CD42FA">
        <w:rPr>
          <w:color w:val="auto"/>
        </w:rPr>
        <w:t xml:space="preserve">of </w:t>
      </w:r>
      <w:r w:rsidRPr="00CD42FA">
        <w:rPr>
          <w:color w:val="auto"/>
        </w:rPr>
        <w:t>1-phenyl-2-thiourea to prevent melanin synthesis.</w:t>
      </w:r>
      <w:r w:rsidR="00240807" w:rsidRPr="00CD42FA">
        <w:rPr>
          <w:color w:val="auto"/>
        </w:rPr>
        <w:t xml:space="preserve"> </w:t>
      </w:r>
      <w:r w:rsidRPr="00CD42FA">
        <w:rPr>
          <w:color w:val="auto"/>
        </w:rPr>
        <w:t>Methylene blue</w:t>
      </w:r>
      <w:r w:rsidR="00240807" w:rsidRPr="00CD42FA">
        <w:rPr>
          <w:color w:val="auto"/>
        </w:rPr>
        <w:t>, which is often used to prevent fungal infections, is</w:t>
      </w:r>
      <w:r w:rsidRPr="00CD42FA">
        <w:rPr>
          <w:color w:val="auto"/>
        </w:rPr>
        <w:t xml:space="preserve"> </w:t>
      </w:r>
      <w:r w:rsidR="00240807" w:rsidRPr="00CD42FA">
        <w:rPr>
          <w:color w:val="auto"/>
        </w:rPr>
        <w:t>not added here,</w:t>
      </w:r>
      <w:r w:rsidRPr="00CD42FA">
        <w:rPr>
          <w:color w:val="auto"/>
        </w:rPr>
        <w:t xml:space="preserve"> to minimize tissue autofluorescence. </w:t>
      </w:r>
    </w:p>
    <w:p w14:paraId="0E8A5B2C" w14:textId="77777777" w:rsidR="00BB6C4E" w:rsidRPr="00CD42FA" w:rsidRDefault="00BB6C4E" w:rsidP="005C35E4">
      <w:pPr>
        <w:pStyle w:val="ListParagraph"/>
        <w:ind w:left="0"/>
        <w:rPr>
          <w:color w:val="auto"/>
        </w:rPr>
      </w:pPr>
    </w:p>
    <w:p w14:paraId="3EC644EF" w14:textId="5810FBF7" w:rsidR="005D77B4" w:rsidRPr="00CD42FA" w:rsidRDefault="005D77B4" w:rsidP="005C35E4">
      <w:pPr>
        <w:pStyle w:val="ListParagraph"/>
        <w:numPr>
          <w:ilvl w:val="1"/>
          <w:numId w:val="2"/>
        </w:numPr>
        <w:ind w:left="0" w:firstLine="0"/>
        <w:rPr>
          <w:color w:val="auto"/>
        </w:rPr>
      </w:pPr>
      <w:r w:rsidRPr="00CD42FA">
        <w:rPr>
          <w:color w:val="auto"/>
        </w:rPr>
        <w:t xml:space="preserve">Allow </w:t>
      </w:r>
      <w:r w:rsidR="00DA3FA0" w:rsidRPr="00CD42FA">
        <w:rPr>
          <w:color w:val="auto"/>
        </w:rPr>
        <w:t>larvae</w:t>
      </w:r>
      <w:r w:rsidRPr="00CD42FA">
        <w:rPr>
          <w:color w:val="auto"/>
        </w:rPr>
        <w:t xml:space="preserve"> to hatch naturally and use at 3 dpf</w:t>
      </w:r>
      <w:r w:rsidR="00593AC3" w:rsidRPr="00CD42FA">
        <w:rPr>
          <w:color w:val="auto"/>
        </w:rPr>
        <w:t xml:space="preserve"> when neutrophils are abundant</w:t>
      </w:r>
      <w:r w:rsidR="0002471A" w:rsidRPr="00CD42FA">
        <w:rPr>
          <w:color w:val="auto"/>
        </w:rPr>
        <w:fldChar w:fldCharType="begin"/>
      </w:r>
      <w:r w:rsidR="0002471A" w:rsidRPr="00CD42FA">
        <w:rPr>
          <w:color w:val="auto"/>
        </w:rPr>
        <w:instrText xml:space="preserve"> ADDIN ZOTERO_ITEM CSL_CITATION {"citationID":"MFCZZtzp","properties":{"formattedCitation":"\\super 21\\nosupersub{}","plainCitation":"21","noteIndex":0},"citationItems":[{"id":875,"uris":["http://zotero.org/users/5010385/items/6YU2YLRF"],"uri":["http://zotero.org/users/5010385/items/6YU2YLRF"],"itemData":{"id":875,"type":"article-journal","abstract":"The first leukocytes that arise in the development of vertebrate embryos are the primitive macrophages, which differentiate in the yolk sac and then quickly invade embryonic tissues. These macrophages have been considered to constitute a separate lineage, giving rise to no other cell type. Using an in vivo photoactivatable cell tracer in the transparent zebrafish (Danio rerio) embryo, we demonstrated that this lineage also gave rise to an equal or higher number of neutrophilic granulocytes. We were surprised to find that the differentiation of these primitive neutrophils occurs only after primitive myeloid progenitors have dispersed in the tissues. By 2 days after fertilization, these neutrophils have become the major leukocyte type found wandering in the epidermis and mesenchyme. Like the primitive macrophages, all primitive and larval neutrophils express PU.1 and L-plastin and they are highly attracted to local infections, yet only a small fraction of them phagocytose microbes, and to a much lesser extent per cell than the macrophages. They are also attracted to variously stressed or malformed tissues, suggesting a wider role than antimicrobial defense.","container-title":"Blood","DOI":"10.1182/blood-2007-06-095398","ISSN":"0006-4971","issue":"1","journalAbbreviation":"Blood","language":"eng","note":"PMID: 17875807","page":"132-141","source":"PubMed","title":"Origins and unconventional behavior of neutrophils in developing zebrafish","volume":"111","author":[{"family":"Le Guyader","given":"Dorothée"},{"family":"Redd","given":"Michael J."},{"family":"Colucci-Guyon","given":"Emma"},{"family":"Murayama","given":"Emi"},{"family":"Kissa","given":"Karima"},{"family":"Briolat","given":"Valérie"},{"family":"Mordelet","given":"Elodie"},{"family":"Zapata","given":"Agustin"},{"family":"Shinomiya","given":"Hiroto"},{"family":"Herbomel","given":"Philippe"}],"issued":{"date-parts":[["2008",1,1]]}}}],"schema":"https://github.com/citation-style-language/schema/raw/master/csl-citation.json"} </w:instrText>
      </w:r>
      <w:r w:rsidR="0002471A" w:rsidRPr="00CD42FA">
        <w:rPr>
          <w:color w:val="auto"/>
        </w:rPr>
        <w:fldChar w:fldCharType="separate"/>
      </w:r>
      <w:r w:rsidR="0002471A" w:rsidRPr="00CD42FA">
        <w:rPr>
          <w:color w:val="auto"/>
          <w:vertAlign w:val="superscript"/>
        </w:rPr>
        <w:t>21</w:t>
      </w:r>
      <w:r w:rsidR="0002471A" w:rsidRPr="00CD42FA">
        <w:rPr>
          <w:color w:val="auto"/>
        </w:rPr>
        <w:fldChar w:fldCharType="end"/>
      </w:r>
      <w:r w:rsidRPr="00CD42FA">
        <w:rPr>
          <w:color w:val="auto"/>
        </w:rPr>
        <w:t>.</w:t>
      </w:r>
    </w:p>
    <w:p w14:paraId="48050D37" w14:textId="77777777" w:rsidR="00E76EBA" w:rsidRPr="00CD42FA" w:rsidRDefault="00E76EBA" w:rsidP="005C35E4">
      <w:pPr>
        <w:jc w:val="both"/>
        <w:rPr>
          <w:rFonts w:ascii="Calibri" w:hAnsi="Calibri" w:cs="Calibri"/>
          <w:lang w:val="en-US"/>
        </w:rPr>
      </w:pPr>
    </w:p>
    <w:p w14:paraId="321598B1" w14:textId="658DF985" w:rsidR="001D3BBE" w:rsidRPr="00CD42FA" w:rsidRDefault="00683586" w:rsidP="005C35E4">
      <w:pPr>
        <w:jc w:val="both"/>
        <w:rPr>
          <w:rFonts w:ascii="Calibri" w:hAnsi="Calibri" w:cs="Calibri"/>
          <w:b/>
          <w:bCs/>
          <w:highlight w:val="yellow"/>
          <w:lang w:val="en-US"/>
        </w:rPr>
      </w:pPr>
      <w:r w:rsidRPr="00CD42FA">
        <w:rPr>
          <w:rFonts w:ascii="Calibri" w:hAnsi="Calibri" w:cs="Calibri"/>
          <w:b/>
          <w:bCs/>
          <w:highlight w:val="yellow"/>
          <w:lang w:val="en-US"/>
        </w:rPr>
        <w:t>3</w:t>
      </w:r>
      <w:r w:rsidR="00CA6E9C" w:rsidRPr="00CD42FA">
        <w:rPr>
          <w:rFonts w:ascii="Calibri" w:hAnsi="Calibri" w:cs="Calibri"/>
          <w:b/>
          <w:bCs/>
          <w:highlight w:val="yellow"/>
          <w:lang w:val="en-US"/>
        </w:rPr>
        <w:t xml:space="preserve">. </w:t>
      </w:r>
      <w:r w:rsidR="00A3251A" w:rsidRPr="00CD42FA">
        <w:rPr>
          <w:rFonts w:ascii="Calibri" w:hAnsi="Calibri" w:cs="Calibri"/>
          <w:b/>
          <w:bCs/>
          <w:highlight w:val="yellow"/>
          <w:lang w:val="en-US"/>
        </w:rPr>
        <w:t>Ventral fin wound</w:t>
      </w:r>
      <w:r w:rsidR="00E76EBA" w:rsidRPr="00CD42FA">
        <w:rPr>
          <w:rFonts w:ascii="Calibri" w:hAnsi="Calibri" w:cs="Calibri"/>
          <w:b/>
          <w:bCs/>
          <w:highlight w:val="yellow"/>
          <w:lang w:val="en-US"/>
        </w:rPr>
        <w:t>ing of larvae</w:t>
      </w:r>
    </w:p>
    <w:p w14:paraId="03B918C5" w14:textId="77777777" w:rsidR="00BB6C4E" w:rsidRPr="00CD42FA" w:rsidRDefault="00BB6C4E" w:rsidP="005C35E4">
      <w:pPr>
        <w:jc w:val="both"/>
        <w:rPr>
          <w:rFonts w:ascii="Calibri" w:hAnsi="Calibri" w:cs="Calibri"/>
          <w:highlight w:val="yellow"/>
          <w:lang w:val="en-US"/>
        </w:rPr>
      </w:pPr>
    </w:p>
    <w:p w14:paraId="78FD31D2" w14:textId="77777777" w:rsidR="00E8301D" w:rsidRPr="00CD42FA" w:rsidRDefault="00BB6C4E" w:rsidP="005C35E4">
      <w:pPr>
        <w:pStyle w:val="ListParagraph"/>
        <w:numPr>
          <w:ilvl w:val="1"/>
          <w:numId w:val="3"/>
        </w:numPr>
        <w:ind w:left="0" w:firstLine="0"/>
        <w:rPr>
          <w:color w:val="auto"/>
          <w:highlight w:val="yellow"/>
        </w:rPr>
      </w:pPr>
      <w:r w:rsidRPr="00CD42FA">
        <w:rPr>
          <w:color w:val="auto"/>
          <w:highlight w:val="yellow"/>
        </w:rPr>
        <w:t xml:space="preserve"> </w:t>
      </w:r>
      <w:r w:rsidR="00A3251A" w:rsidRPr="00CD42FA">
        <w:rPr>
          <w:color w:val="auto"/>
          <w:highlight w:val="yellow"/>
        </w:rPr>
        <w:t xml:space="preserve">Prepare larvae for wounding. Use larvae at </w:t>
      </w:r>
      <w:r w:rsidR="00E92291" w:rsidRPr="00CD42FA">
        <w:rPr>
          <w:color w:val="auto"/>
          <w:highlight w:val="yellow"/>
        </w:rPr>
        <w:t>2.</w:t>
      </w:r>
      <w:r w:rsidR="00240807" w:rsidRPr="00CD42FA">
        <w:rPr>
          <w:color w:val="auto"/>
          <w:highlight w:val="yellow"/>
        </w:rPr>
        <w:t>5-3.5</w:t>
      </w:r>
      <w:r w:rsidR="00E92291" w:rsidRPr="00CD42FA">
        <w:rPr>
          <w:color w:val="auto"/>
          <w:highlight w:val="yellow"/>
        </w:rPr>
        <w:t xml:space="preserve"> dpf</w:t>
      </w:r>
      <w:r w:rsidR="00A3251A" w:rsidRPr="00CD42FA">
        <w:rPr>
          <w:color w:val="auto"/>
          <w:highlight w:val="yellow"/>
        </w:rPr>
        <w:t>,</w:t>
      </w:r>
      <w:r w:rsidR="00E8301D" w:rsidRPr="00CD42FA">
        <w:rPr>
          <w:color w:val="auto"/>
          <w:highlight w:val="yellow"/>
        </w:rPr>
        <w:t xml:space="preserve"> when</w:t>
      </w:r>
      <w:r w:rsidR="00A3251A" w:rsidRPr="00CD42FA">
        <w:rPr>
          <w:color w:val="auto"/>
          <w:highlight w:val="yellow"/>
        </w:rPr>
        <w:t xml:space="preserve"> </w:t>
      </w:r>
      <w:r w:rsidR="00593AC3" w:rsidRPr="00CD42FA">
        <w:rPr>
          <w:color w:val="auto"/>
          <w:highlight w:val="yellow"/>
        </w:rPr>
        <w:t xml:space="preserve">abundant </w:t>
      </w:r>
      <w:r w:rsidR="00A3251A" w:rsidRPr="00CD42FA">
        <w:rPr>
          <w:color w:val="auto"/>
          <w:highlight w:val="yellow"/>
        </w:rPr>
        <w:t>neutrophils</w:t>
      </w:r>
      <w:r w:rsidR="00E8301D" w:rsidRPr="00CD42FA">
        <w:rPr>
          <w:color w:val="auto"/>
          <w:highlight w:val="yellow"/>
        </w:rPr>
        <w:t xml:space="preserve"> are observed</w:t>
      </w:r>
      <w:r w:rsidR="00A3251A" w:rsidRPr="00CD42FA">
        <w:rPr>
          <w:color w:val="auto"/>
          <w:highlight w:val="yellow"/>
        </w:rPr>
        <w:t>.</w:t>
      </w:r>
      <w:r w:rsidR="00A3251A" w:rsidRPr="00CD42FA">
        <w:rPr>
          <w:color w:val="auto"/>
        </w:rPr>
        <w:t xml:space="preserve"> Transfer larvae </w:t>
      </w:r>
      <w:r w:rsidR="00F25CB5" w:rsidRPr="00CD42FA">
        <w:rPr>
          <w:color w:val="auto"/>
        </w:rPr>
        <w:t xml:space="preserve">to </w:t>
      </w:r>
      <w:r w:rsidR="00A3251A" w:rsidRPr="00CD42FA">
        <w:rPr>
          <w:color w:val="auto"/>
        </w:rPr>
        <w:t>E3 medium supplemented with</w:t>
      </w:r>
      <w:r w:rsidR="00E92291" w:rsidRPr="00CD42FA">
        <w:rPr>
          <w:color w:val="auto"/>
        </w:rPr>
        <w:t xml:space="preserve"> </w:t>
      </w:r>
      <w:r w:rsidR="00191F31" w:rsidRPr="00CD42FA">
        <w:rPr>
          <w:color w:val="auto"/>
        </w:rPr>
        <w:t>16</w:t>
      </w:r>
      <w:r w:rsidR="000B3D19" w:rsidRPr="00CD42FA">
        <w:rPr>
          <w:color w:val="auto"/>
        </w:rPr>
        <w:t>0-200</w:t>
      </w:r>
      <w:r w:rsidR="00E92291" w:rsidRPr="00CD42FA">
        <w:rPr>
          <w:color w:val="auto"/>
        </w:rPr>
        <w:t xml:space="preserve"> </w:t>
      </w:r>
      <w:r w:rsidR="00E50D21" w:rsidRPr="00CD42FA">
        <w:rPr>
          <w:color w:val="auto"/>
        </w:rPr>
        <w:t>m</w:t>
      </w:r>
      <w:r w:rsidR="00E92291" w:rsidRPr="00CD42FA">
        <w:rPr>
          <w:color w:val="auto"/>
        </w:rPr>
        <w:t>g/L tricaine MS222.</w:t>
      </w:r>
      <w:r w:rsidR="00A3251A" w:rsidRPr="00CD42FA">
        <w:rPr>
          <w:color w:val="auto"/>
          <w:highlight w:val="yellow"/>
        </w:rPr>
        <w:t xml:space="preserve"> </w:t>
      </w:r>
    </w:p>
    <w:p w14:paraId="458FB031" w14:textId="77777777" w:rsidR="00E8301D" w:rsidRPr="00CD42FA" w:rsidRDefault="00E8301D" w:rsidP="005C35E4">
      <w:pPr>
        <w:pStyle w:val="ListParagraph"/>
        <w:ind w:left="0"/>
        <w:rPr>
          <w:color w:val="auto"/>
        </w:rPr>
      </w:pPr>
    </w:p>
    <w:p w14:paraId="5ED4F8AC" w14:textId="02605B00" w:rsidR="00BB6C4E" w:rsidRPr="00CD42FA" w:rsidRDefault="00F25CB5" w:rsidP="005C35E4">
      <w:pPr>
        <w:pStyle w:val="ListParagraph"/>
        <w:ind w:left="0"/>
        <w:rPr>
          <w:color w:val="auto"/>
          <w:highlight w:val="yellow"/>
        </w:rPr>
      </w:pPr>
      <w:r w:rsidRPr="00CD42FA">
        <w:rPr>
          <w:color w:val="auto"/>
        </w:rPr>
        <w:t>NOTE: C</w:t>
      </w:r>
      <w:r w:rsidR="00A3251A" w:rsidRPr="00CD42FA">
        <w:rPr>
          <w:color w:val="auto"/>
        </w:rPr>
        <w:t xml:space="preserve">oncentrated solutions of tricaine </w:t>
      </w:r>
      <w:r w:rsidRPr="00CD42FA">
        <w:rPr>
          <w:color w:val="auto"/>
        </w:rPr>
        <w:t xml:space="preserve">should be prepared and frozen in aliquots in advance </w:t>
      </w:r>
      <w:r w:rsidR="00A3251A" w:rsidRPr="00CD42FA">
        <w:rPr>
          <w:color w:val="auto"/>
        </w:rPr>
        <w:t>and thaw</w:t>
      </w:r>
      <w:r w:rsidRPr="00CD42FA">
        <w:rPr>
          <w:color w:val="auto"/>
        </w:rPr>
        <w:t xml:space="preserve">ed </w:t>
      </w:r>
      <w:r w:rsidR="00A3251A" w:rsidRPr="00CD42FA">
        <w:rPr>
          <w:color w:val="auto"/>
        </w:rPr>
        <w:t xml:space="preserve">on the day. </w:t>
      </w:r>
    </w:p>
    <w:p w14:paraId="518AA7C6" w14:textId="77777777" w:rsidR="00BB6C4E" w:rsidRPr="00CD42FA" w:rsidRDefault="00BB6C4E" w:rsidP="005C35E4">
      <w:pPr>
        <w:pStyle w:val="ListParagraph"/>
        <w:ind w:left="0"/>
        <w:rPr>
          <w:color w:val="auto"/>
          <w:highlight w:val="yellow"/>
        </w:rPr>
      </w:pPr>
    </w:p>
    <w:p w14:paraId="50E35486" w14:textId="02BB155D" w:rsidR="00BB6C4E" w:rsidRPr="00CD42FA" w:rsidRDefault="00A3251A" w:rsidP="005C35E4">
      <w:pPr>
        <w:pStyle w:val="ListParagraph"/>
        <w:numPr>
          <w:ilvl w:val="1"/>
          <w:numId w:val="3"/>
        </w:numPr>
        <w:ind w:left="0" w:firstLine="0"/>
        <w:rPr>
          <w:rStyle w:val="CommentReference"/>
          <w:color w:val="auto"/>
          <w:sz w:val="24"/>
          <w:szCs w:val="24"/>
          <w:highlight w:val="yellow"/>
        </w:rPr>
      </w:pPr>
      <w:r w:rsidRPr="00CD42FA">
        <w:rPr>
          <w:color w:val="auto"/>
        </w:rPr>
        <w:t>Leave the larvae in E3+tricaine medium for</w:t>
      </w:r>
      <w:r w:rsidR="00E92291" w:rsidRPr="00CD42FA">
        <w:rPr>
          <w:color w:val="auto"/>
        </w:rPr>
        <w:t xml:space="preserve"> 15 min</w:t>
      </w:r>
      <w:r w:rsidRPr="00CD42FA">
        <w:rPr>
          <w:color w:val="auto"/>
        </w:rPr>
        <w:t xml:space="preserve"> to ensure they are anesthetized</w:t>
      </w:r>
      <w:r w:rsidR="00E92291" w:rsidRPr="00CD42FA">
        <w:rPr>
          <w:color w:val="auto"/>
        </w:rPr>
        <w:t>.</w:t>
      </w:r>
      <w:r w:rsidRPr="00CD42FA">
        <w:rPr>
          <w:color w:val="auto"/>
          <w:highlight w:val="yellow"/>
        </w:rPr>
        <w:t xml:space="preserve"> Check their responses by gently touching with a small </w:t>
      </w:r>
      <w:r w:rsidR="00F25CB5" w:rsidRPr="00CD42FA">
        <w:rPr>
          <w:color w:val="auto"/>
          <w:highlight w:val="yellow"/>
        </w:rPr>
        <w:t>paint</w:t>
      </w:r>
      <w:r w:rsidRPr="00CD42FA">
        <w:rPr>
          <w:color w:val="auto"/>
          <w:highlight w:val="yellow"/>
        </w:rPr>
        <w:t>brush</w:t>
      </w:r>
      <w:r w:rsidR="00F25CB5" w:rsidRPr="00CD42FA">
        <w:rPr>
          <w:color w:val="auto"/>
          <w:highlight w:val="yellow"/>
        </w:rPr>
        <w:t xml:space="preserve"> or similar </w:t>
      </w:r>
      <w:r w:rsidR="002827D2" w:rsidRPr="00CD42FA">
        <w:rPr>
          <w:color w:val="auto"/>
          <w:highlight w:val="yellow"/>
        </w:rPr>
        <w:t>tool</w:t>
      </w:r>
      <w:r w:rsidR="00F25CB5" w:rsidRPr="00CD42FA">
        <w:rPr>
          <w:rStyle w:val="CommentReference"/>
          <w:color w:val="auto"/>
          <w:sz w:val="24"/>
          <w:szCs w:val="24"/>
          <w:highlight w:val="yellow"/>
        </w:rPr>
        <w:t>.</w:t>
      </w:r>
    </w:p>
    <w:p w14:paraId="31B06821" w14:textId="77777777" w:rsidR="00BB6C4E" w:rsidRPr="00CD42FA" w:rsidRDefault="00BB6C4E" w:rsidP="005C35E4">
      <w:pPr>
        <w:pStyle w:val="ListParagraph"/>
        <w:ind w:left="0"/>
        <w:rPr>
          <w:color w:val="auto"/>
          <w:highlight w:val="yellow"/>
        </w:rPr>
      </w:pPr>
    </w:p>
    <w:p w14:paraId="60AD8999" w14:textId="77777777" w:rsidR="00BB6C4E" w:rsidRPr="00CD42FA" w:rsidRDefault="00A3251A" w:rsidP="005C35E4">
      <w:pPr>
        <w:pStyle w:val="ListParagraph"/>
        <w:numPr>
          <w:ilvl w:val="1"/>
          <w:numId w:val="3"/>
        </w:numPr>
        <w:ind w:left="0" w:firstLine="0"/>
        <w:rPr>
          <w:color w:val="auto"/>
          <w:highlight w:val="yellow"/>
        </w:rPr>
      </w:pPr>
      <w:r w:rsidRPr="00CD42FA">
        <w:rPr>
          <w:color w:val="auto"/>
          <w:highlight w:val="yellow"/>
        </w:rPr>
        <w:t>Select</w:t>
      </w:r>
      <w:r w:rsidR="00240807" w:rsidRPr="00CD42FA">
        <w:rPr>
          <w:color w:val="auto"/>
          <w:highlight w:val="yellow"/>
        </w:rPr>
        <w:t xml:space="preserve"> </w:t>
      </w:r>
      <w:r w:rsidRPr="00CD42FA">
        <w:rPr>
          <w:color w:val="auto"/>
          <w:highlight w:val="yellow"/>
        </w:rPr>
        <w:t xml:space="preserve">larvae </w:t>
      </w:r>
      <w:r w:rsidR="00240807" w:rsidRPr="00CD42FA">
        <w:rPr>
          <w:color w:val="auto"/>
          <w:highlight w:val="yellow"/>
        </w:rPr>
        <w:t xml:space="preserve">with transgenic receptor expression </w:t>
      </w:r>
      <w:r w:rsidRPr="00CD42FA">
        <w:rPr>
          <w:color w:val="auto"/>
          <w:highlight w:val="yellow"/>
        </w:rPr>
        <w:t>under a fluorescent dissecting scope.</w:t>
      </w:r>
    </w:p>
    <w:p w14:paraId="20BFD98A" w14:textId="77777777" w:rsidR="00BB6C4E" w:rsidRPr="00CD42FA" w:rsidRDefault="00BB6C4E" w:rsidP="005C35E4">
      <w:pPr>
        <w:pStyle w:val="ListParagraph"/>
        <w:ind w:left="0"/>
        <w:rPr>
          <w:color w:val="auto"/>
          <w:highlight w:val="yellow"/>
        </w:rPr>
      </w:pPr>
    </w:p>
    <w:p w14:paraId="07BFBC73" w14:textId="77777777" w:rsidR="00980479" w:rsidRPr="00CD42FA" w:rsidRDefault="00240807" w:rsidP="005C35E4">
      <w:pPr>
        <w:pStyle w:val="ListParagraph"/>
        <w:numPr>
          <w:ilvl w:val="1"/>
          <w:numId w:val="3"/>
        </w:numPr>
        <w:ind w:left="0" w:firstLine="0"/>
        <w:rPr>
          <w:color w:val="auto"/>
          <w:highlight w:val="yellow"/>
        </w:rPr>
      </w:pPr>
      <w:r w:rsidRPr="00CD42FA">
        <w:rPr>
          <w:color w:val="auto"/>
          <w:highlight w:val="yellow"/>
        </w:rPr>
        <w:t xml:space="preserve">Transfer larvae </w:t>
      </w:r>
      <w:r w:rsidR="00E92291" w:rsidRPr="00CD42FA">
        <w:rPr>
          <w:color w:val="auto"/>
          <w:highlight w:val="yellow"/>
        </w:rPr>
        <w:t xml:space="preserve">to a 120 mm </w:t>
      </w:r>
      <w:r w:rsidR="00EC5F95" w:rsidRPr="00CD42FA">
        <w:rPr>
          <w:color w:val="auto"/>
          <w:highlight w:val="yellow"/>
        </w:rPr>
        <w:t>P</w:t>
      </w:r>
      <w:r w:rsidR="00E92291" w:rsidRPr="00CD42FA">
        <w:rPr>
          <w:color w:val="auto"/>
          <w:highlight w:val="yellow"/>
        </w:rPr>
        <w:t xml:space="preserve">etri dish in E3 + tricaine </w:t>
      </w:r>
      <w:r w:rsidRPr="00CD42FA">
        <w:rPr>
          <w:color w:val="auto"/>
          <w:highlight w:val="yellow"/>
        </w:rPr>
        <w:t>for wounding. Using a</w:t>
      </w:r>
      <w:r w:rsidR="00E92291" w:rsidRPr="00CD42FA">
        <w:rPr>
          <w:color w:val="auto"/>
          <w:highlight w:val="yellow"/>
        </w:rPr>
        <w:t xml:space="preserve"> </w:t>
      </w:r>
      <w:r w:rsidR="00A3251A" w:rsidRPr="00CD42FA">
        <w:rPr>
          <w:color w:val="auto"/>
          <w:highlight w:val="yellow"/>
        </w:rPr>
        <w:t xml:space="preserve">sterile </w:t>
      </w:r>
      <w:r w:rsidR="00E92291" w:rsidRPr="00CD42FA">
        <w:rPr>
          <w:color w:val="auto"/>
          <w:highlight w:val="yellow"/>
        </w:rPr>
        <w:t xml:space="preserve">scalpel cut the ventral fin of the </w:t>
      </w:r>
      <w:r w:rsidRPr="00CD42FA">
        <w:rPr>
          <w:color w:val="auto"/>
          <w:highlight w:val="yellow"/>
        </w:rPr>
        <w:t xml:space="preserve">larva, while observing under the dissecting scope </w:t>
      </w:r>
      <w:r w:rsidR="00E92291" w:rsidRPr="00CD42FA">
        <w:rPr>
          <w:color w:val="auto"/>
          <w:highlight w:val="yellow"/>
        </w:rPr>
        <w:t>(</w:t>
      </w:r>
      <w:r w:rsidR="00E92291" w:rsidRPr="00CD42FA">
        <w:rPr>
          <w:b/>
          <w:bCs/>
          <w:color w:val="auto"/>
          <w:highlight w:val="yellow"/>
        </w:rPr>
        <w:t>Figure</w:t>
      </w:r>
      <w:r w:rsidR="00E50D21" w:rsidRPr="00CD42FA">
        <w:rPr>
          <w:b/>
          <w:bCs/>
          <w:color w:val="auto"/>
          <w:highlight w:val="yellow"/>
        </w:rPr>
        <w:t xml:space="preserve"> 1</w:t>
      </w:r>
      <w:r w:rsidR="00E92291" w:rsidRPr="00CD42FA">
        <w:rPr>
          <w:color w:val="auto"/>
          <w:highlight w:val="yellow"/>
        </w:rPr>
        <w:t>).</w:t>
      </w:r>
      <w:r w:rsidRPr="00CD42FA">
        <w:rPr>
          <w:color w:val="auto"/>
          <w:highlight w:val="yellow"/>
        </w:rPr>
        <w:t xml:space="preserve"> </w:t>
      </w:r>
    </w:p>
    <w:p w14:paraId="706D6A92" w14:textId="77777777" w:rsidR="00980479" w:rsidRPr="00CD42FA" w:rsidRDefault="00980479" w:rsidP="005C35E4">
      <w:pPr>
        <w:pStyle w:val="ListParagraph"/>
        <w:ind w:left="0"/>
        <w:rPr>
          <w:color w:val="auto"/>
        </w:rPr>
      </w:pPr>
    </w:p>
    <w:p w14:paraId="4B11CA25" w14:textId="4B18B3AF" w:rsidR="00E92291" w:rsidRPr="00CD42FA" w:rsidRDefault="006D0A8C" w:rsidP="005C35E4">
      <w:pPr>
        <w:pStyle w:val="ListParagraph"/>
        <w:ind w:left="0"/>
        <w:rPr>
          <w:color w:val="auto"/>
          <w:highlight w:val="yellow"/>
        </w:rPr>
      </w:pPr>
      <w:r w:rsidRPr="00CD42FA">
        <w:rPr>
          <w:color w:val="auto"/>
        </w:rPr>
        <w:t xml:space="preserve">NOTE: </w:t>
      </w:r>
      <w:r w:rsidR="00240807" w:rsidRPr="00CD42FA">
        <w:rPr>
          <w:color w:val="auto"/>
        </w:rPr>
        <w:t>The idea is to perform a deep enough cut to cause substantial neutrophil recruitment but without cutting the vessels of the CHT.</w:t>
      </w:r>
      <w:r w:rsidR="00091C33" w:rsidRPr="00CD42FA">
        <w:rPr>
          <w:color w:val="auto"/>
        </w:rPr>
        <w:t xml:space="preserve"> </w:t>
      </w:r>
      <w:r w:rsidR="00734D00" w:rsidRPr="00CD42FA">
        <w:rPr>
          <w:color w:val="auto"/>
        </w:rPr>
        <w:t xml:space="preserve">The cut is made perpendicular to the CHT axis such that the incision </w:t>
      </w:r>
      <w:r w:rsidR="002827D2" w:rsidRPr="00CD42FA">
        <w:rPr>
          <w:color w:val="auto"/>
        </w:rPr>
        <w:t xml:space="preserve">nearly </w:t>
      </w:r>
      <w:r w:rsidR="00734D00" w:rsidRPr="00CD42FA">
        <w:rPr>
          <w:color w:val="auto"/>
        </w:rPr>
        <w:t>reaches the vessels of the CHT.</w:t>
      </w:r>
      <w:r w:rsidRPr="00CD42FA">
        <w:rPr>
          <w:color w:val="auto"/>
        </w:rPr>
        <w:t xml:space="preserve"> </w:t>
      </w:r>
      <w:r w:rsidR="00091C33" w:rsidRPr="00CD42FA">
        <w:rPr>
          <w:color w:val="auto"/>
        </w:rPr>
        <w:t xml:space="preserve">This takes </w:t>
      </w:r>
      <w:r w:rsidR="00F25CB5" w:rsidRPr="00CD42FA">
        <w:rPr>
          <w:color w:val="auto"/>
        </w:rPr>
        <w:t xml:space="preserve">some </w:t>
      </w:r>
      <w:r w:rsidR="00091C33" w:rsidRPr="00CD42FA">
        <w:rPr>
          <w:color w:val="auto"/>
        </w:rPr>
        <w:t xml:space="preserve">practice and </w:t>
      </w:r>
      <w:r w:rsidR="00F25CB5" w:rsidRPr="00CD42FA">
        <w:rPr>
          <w:rStyle w:val="apple-converted-space"/>
          <w:color w:val="auto"/>
          <w:shd w:val="clear" w:color="auto" w:fill="FFFFFF"/>
        </w:rPr>
        <w:t xml:space="preserve">should first be performed </w:t>
      </w:r>
      <w:r w:rsidR="00AC1303" w:rsidRPr="00CD42FA">
        <w:rPr>
          <w:rStyle w:val="apple-converted-space"/>
          <w:color w:val="auto"/>
          <w:shd w:val="clear" w:color="auto" w:fill="FFFFFF"/>
        </w:rPr>
        <w:t>with supervision on larvae that are not generated for this purpose (e.g.</w:t>
      </w:r>
      <w:r w:rsidR="00980479" w:rsidRPr="00CD42FA">
        <w:rPr>
          <w:rStyle w:val="apple-converted-space"/>
          <w:color w:val="auto"/>
          <w:shd w:val="clear" w:color="auto" w:fill="FFFFFF"/>
        </w:rPr>
        <w:t>,</w:t>
      </w:r>
      <w:r w:rsidR="00AC1303" w:rsidRPr="00CD42FA">
        <w:rPr>
          <w:rStyle w:val="apple-converted-space"/>
          <w:color w:val="auto"/>
          <w:shd w:val="clear" w:color="auto" w:fill="FFFFFF"/>
        </w:rPr>
        <w:t xml:space="preserve"> excess larvae from another experiment)</w:t>
      </w:r>
      <w:r w:rsidR="00F25CB5" w:rsidRPr="00CD42FA">
        <w:rPr>
          <w:color w:val="auto"/>
          <w:shd w:val="clear" w:color="auto" w:fill="FFFFFF"/>
        </w:rPr>
        <w:t>.</w:t>
      </w:r>
      <w:r w:rsidR="00F25CB5" w:rsidRPr="00CD42FA">
        <w:rPr>
          <w:rStyle w:val="apple-converted-space"/>
          <w:color w:val="auto"/>
          <w:shd w:val="clear" w:color="auto" w:fill="FFFFFF"/>
        </w:rPr>
        <w:t> </w:t>
      </w:r>
    </w:p>
    <w:p w14:paraId="3A48D05C" w14:textId="77777777" w:rsidR="00A3251A" w:rsidRPr="00CD42FA" w:rsidRDefault="00A3251A" w:rsidP="005C35E4">
      <w:pPr>
        <w:jc w:val="both"/>
        <w:rPr>
          <w:rFonts w:ascii="Calibri" w:hAnsi="Calibri" w:cs="Calibri"/>
          <w:lang w:val="en-US"/>
        </w:rPr>
      </w:pPr>
    </w:p>
    <w:p w14:paraId="0484BE5E" w14:textId="3B2DFB69" w:rsidR="00E92291" w:rsidRPr="00CD42FA" w:rsidRDefault="00683586" w:rsidP="005C35E4">
      <w:pPr>
        <w:jc w:val="both"/>
        <w:rPr>
          <w:rFonts w:ascii="Calibri" w:hAnsi="Calibri" w:cs="Calibri"/>
          <w:b/>
          <w:bCs/>
          <w:highlight w:val="yellow"/>
          <w:lang w:val="en-US"/>
        </w:rPr>
      </w:pPr>
      <w:r w:rsidRPr="00CD42FA">
        <w:rPr>
          <w:rFonts w:ascii="Calibri" w:hAnsi="Calibri" w:cs="Calibri"/>
          <w:b/>
          <w:bCs/>
          <w:highlight w:val="yellow"/>
          <w:lang w:val="en-US"/>
        </w:rPr>
        <w:t>4</w:t>
      </w:r>
      <w:r w:rsidR="00E92291" w:rsidRPr="00CD42FA">
        <w:rPr>
          <w:rFonts w:ascii="Calibri" w:hAnsi="Calibri" w:cs="Calibri"/>
          <w:b/>
          <w:bCs/>
          <w:highlight w:val="yellow"/>
          <w:lang w:val="en-US"/>
        </w:rPr>
        <w:t>. Preparation of larvae for live imaging</w:t>
      </w:r>
    </w:p>
    <w:p w14:paraId="4331F822" w14:textId="77777777" w:rsidR="00B77C34" w:rsidRPr="00CD42FA" w:rsidRDefault="00B77C34" w:rsidP="005C35E4">
      <w:pPr>
        <w:jc w:val="both"/>
        <w:rPr>
          <w:rFonts w:ascii="Calibri" w:hAnsi="Calibri" w:cs="Calibri"/>
          <w:highlight w:val="yellow"/>
          <w:lang w:val="en-US"/>
        </w:rPr>
      </w:pPr>
    </w:p>
    <w:p w14:paraId="2573C7A4" w14:textId="77777777" w:rsidR="00BB6C4E" w:rsidRPr="00CD42FA" w:rsidRDefault="00BB6C4E" w:rsidP="005C35E4">
      <w:pPr>
        <w:pStyle w:val="ListParagraph"/>
        <w:numPr>
          <w:ilvl w:val="1"/>
          <w:numId w:val="4"/>
        </w:numPr>
        <w:ind w:left="0" w:firstLine="0"/>
        <w:rPr>
          <w:color w:val="auto"/>
          <w:highlight w:val="yellow"/>
        </w:rPr>
      </w:pPr>
      <w:r w:rsidRPr="00CD42FA">
        <w:rPr>
          <w:color w:val="auto"/>
          <w:highlight w:val="yellow"/>
        </w:rPr>
        <w:t>D</w:t>
      </w:r>
      <w:r w:rsidR="00091C33" w:rsidRPr="00CD42FA">
        <w:rPr>
          <w:color w:val="auto"/>
          <w:highlight w:val="yellow"/>
        </w:rPr>
        <w:t>issolve low melting point (LMP)</w:t>
      </w:r>
      <w:r w:rsidR="00E92291" w:rsidRPr="00CD42FA">
        <w:rPr>
          <w:color w:val="auto"/>
          <w:highlight w:val="yellow"/>
        </w:rPr>
        <w:t xml:space="preserve"> agarose in E3 medium </w:t>
      </w:r>
      <w:r w:rsidR="00091C33" w:rsidRPr="00CD42FA">
        <w:rPr>
          <w:color w:val="auto"/>
          <w:highlight w:val="yellow"/>
        </w:rPr>
        <w:t>by heating</w:t>
      </w:r>
      <w:r w:rsidR="00E92291" w:rsidRPr="00CD42FA">
        <w:rPr>
          <w:color w:val="auto"/>
          <w:highlight w:val="yellow"/>
        </w:rPr>
        <w:t xml:space="preserve"> to obtain a liquid 2% agarose solution.</w:t>
      </w:r>
    </w:p>
    <w:p w14:paraId="42CC95AE" w14:textId="77777777" w:rsidR="00BB6C4E" w:rsidRPr="00CD42FA" w:rsidRDefault="00BB6C4E" w:rsidP="005C35E4">
      <w:pPr>
        <w:pStyle w:val="ListParagraph"/>
        <w:ind w:left="0"/>
        <w:rPr>
          <w:color w:val="auto"/>
          <w:highlight w:val="yellow"/>
        </w:rPr>
      </w:pPr>
    </w:p>
    <w:p w14:paraId="5D751CC3" w14:textId="4E48D7E5" w:rsidR="00980479" w:rsidRPr="00CD42FA" w:rsidRDefault="00E92291" w:rsidP="005C35E4">
      <w:pPr>
        <w:pStyle w:val="ListParagraph"/>
        <w:numPr>
          <w:ilvl w:val="1"/>
          <w:numId w:val="4"/>
        </w:numPr>
        <w:ind w:left="0" w:firstLine="0"/>
        <w:rPr>
          <w:color w:val="auto"/>
          <w:highlight w:val="yellow"/>
        </w:rPr>
      </w:pPr>
      <w:r w:rsidRPr="00CD42FA">
        <w:rPr>
          <w:color w:val="auto"/>
          <w:highlight w:val="yellow"/>
        </w:rPr>
        <w:lastRenderedPageBreak/>
        <w:t>Allow this solution to cool down to 60</w:t>
      </w:r>
      <w:r w:rsidR="00E707C3" w:rsidRPr="00CD42FA">
        <w:rPr>
          <w:color w:val="auto"/>
          <w:highlight w:val="yellow"/>
        </w:rPr>
        <w:t xml:space="preserve"> </w:t>
      </w:r>
      <w:r w:rsidRPr="00CD42FA">
        <w:rPr>
          <w:color w:val="auto"/>
          <w:highlight w:val="yellow"/>
        </w:rPr>
        <w:t xml:space="preserve">°C. </w:t>
      </w:r>
    </w:p>
    <w:p w14:paraId="7A989DBB" w14:textId="77777777" w:rsidR="00980479" w:rsidRPr="00CD42FA" w:rsidRDefault="00980479" w:rsidP="005C35E4">
      <w:pPr>
        <w:pStyle w:val="ListParagraph"/>
        <w:ind w:left="0"/>
        <w:rPr>
          <w:color w:val="auto"/>
        </w:rPr>
      </w:pPr>
    </w:p>
    <w:p w14:paraId="64E06AFC" w14:textId="2F13E869" w:rsidR="00BB6C4E" w:rsidRPr="00CD42FA" w:rsidRDefault="006D0A8C" w:rsidP="005C35E4">
      <w:pPr>
        <w:pStyle w:val="ListParagraph"/>
        <w:ind w:left="0"/>
        <w:rPr>
          <w:color w:val="auto"/>
          <w:highlight w:val="yellow"/>
        </w:rPr>
      </w:pPr>
      <w:r w:rsidRPr="00CD42FA">
        <w:rPr>
          <w:color w:val="auto"/>
        </w:rPr>
        <w:t xml:space="preserve">NOTE: </w:t>
      </w:r>
      <w:r w:rsidR="00980479" w:rsidRPr="00CD42FA">
        <w:rPr>
          <w:color w:val="auto"/>
        </w:rPr>
        <w:t>K</w:t>
      </w:r>
      <w:r w:rsidR="00091C33" w:rsidRPr="00CD42FA">
        <w:rPr>
          <w:color w:val="auto"/>
        </w:rPr>
        <w:t>eep a flask or tube with agarose in an incubator at 60</w:t>
      </w:r>
      <w:r w:rsidR="00980479" w:rsidRPr="00CD42FA">
        <w:rPr>
          <w:color w:val="auto"/>
        </w:rPr>
        <w:t xml:space="preserve"> </w:t>
      </w:r>
      <w:r w:rsidR="00091C33" w:rsidRPr="00CD42FA">
        <w:rPr>
          <w:color w:val="auto"/>
        </w:rPr>
        <w:t>°C to avoid the agarose setting between the mounting of different larvae.</w:t>
      </w:r>
    </w:p>
    <w:p w14:paraId="27920147" w14:textId="77777777" w:rsidR="00BB6C4E" w:rsidRPr="00CD42FA" w:rsidRDefault="00BB6C4E" w:rsidP="005C35E4">
      <w:pPr>
        <w:pStyle w:val="ListParagraph"/>
        <w:ind w:left="0"/>
        <w:rPr>
          <w:color w:val="auto"/>
          <w:highlight w:val="yellow"/>
        </w:rPr>
      </w:pPr>
    </w:p>
    <w:p w14:paraId="727EB059" w14:textId="5570AE5B" w:rsidR="00BB6C4E" w:rsidRPr="00CD42FA" w:rsidRDefault="00E92291" w:rsidP="005C35E4">
      <w:pPr>
        <w:pStyle w:val="ListParagraph"/>
        <w:numPr>
          <w:ilvl w:val="1"/>
          <w:numId w:val="4"/>
        </w:numPr>
        <w:ind w:left="0" w:firstLine="0"/>
        <w:rPr>
          <w:color w:val="auto"/>
          <w:highlight w:val="yellow"/>
        </w:rPr>
      </w:pPr>
      <w:r w:rsidRPr="00CD42FA">
        <w:rPr>
          <w:color w:val="auto"/>
          <w:highlight w:val="yellow"/>
        </w:rPr>
        <w:t>Pipet</w:t>
      </w:r>
      <w:r w:rsidR="00980479" w:rsidRPr="00CD42FA">
        <w:rPr>
          <w:color w:val="auto"/>
          <w:highlight w:val="yellow"/>
        </w:rPr>
        <w:t>te</w:t>
      </w:r>
      <w:r w:rsidRPr="00CD42FA">
        <w:rPr>
          <w:color w:val="auto"/>
          <w:highlight w:val="yellow"/>
        </w:rPr>
        <w:t xml:space="preserve"> 0.5</w:t>
      </w:r>
      <w:r w:rsidR="003124E5" w:rsidRPr="00CD42FA">
        <w:rPr>
          <w:color w:val="auto"/>
          <w:highlight w:val="yellow"/>
        </w:rPr>
        <w:t xml:space="preserve"> </w:t>
      </w:r>
      <w:r w:rsidRPr="00CD42FA">
        <w:rPr>
          <w:color w:val="auto"/>
          <w:highlight w:val="yellow"/>
        </w:rPr>
        <w:t>mL of the liquid LMP + E3 in a glass bottom dish for microscopy imagin</w:t>
      </w:r>
      <w:r w:rsidR="0010683E" w:rsidRPr="00CD42FA">
        <w:rPr>
          <w:color w:val="auto"/>
          <w:highlight w:val="yellow"/>
        </w:rPr>
        <w:t>g</w:t>
      </w:r>
      <w:r w:rsidRPr="00CD42FA">
        <w:rPr>
          <w:color w:val="auto"/>
          <w:highlight w:val="yellow"/>
        </w:rPr>
        <w:t>.</w:t>
      </w:r>
    </w:p>
    <w:p w14:paraId="2E634878" w14:textId="77777777" w:rsidR="00BB6C4E" w:rsidRPr="00CD42FA" w:rsidRDefault="00BB6C4E" w:rsidP="005C35E4">
      <w:pPr>
        <w:pStyle w:val="ListParagraph"/>
        <w:ind w:left="0"/>
        <w:rPr>
          <w:color w:val="auto"/>
          <w:highlight w:val="yellow"/>
        </w:rPr>
      </w:pPr>
    </w:p>
    <w:p w14:paraId="09D5CCE6" w14:textId="76D8A9A4" w:rsidR="00BB6C4E" w:rsidRPr="00CD42FA" w:rsidRDefault="00E92291" w:rsidP="005C35E4">
      <w:pPr>
        <w:pStyle w:val="ListParagraph"/>
        <w:numPr>
          <w:ilvl w:val="1"/>
          <w:numId w:val="4"/>
        </w:numPr>
        <w:ind w:left="0" w:firstLine="0"/>
        <w:rPr>
          <w:color w:val="auto"/>
          <w:highlight w:val="yellow"/>
        </w:rPr>
      </w:pPr>
      <w:r w:rsidRPr="00CD42FA">
        <w:rPr>
          <w:color w:val="auto"/>
          <w:highlight w:val="yellow"/>
        </w:rPr>
        <w:t>Pipet</w:t>
      </w:r>
      <w:r w:rsidR="00980479" w:rsidRPr="00CD42FA">
        <w:rPr>
          <w:color w:val="auto"/>
          <w:highlight w:val="yellow"/>
        </w:rPr>
        <w:t>te</w:t>
      </w:r>
      <w:r w:rsidRPr="00CD42FA">
        <w:rPr>
          <w:color w:val="auto"/>
          <w:highlight w:val="yellow"/>
        </w:rPr>
        <w:t xml:space="preserve"> a wounded</w:t>
      </w:r>
      <w:r w:rsidR="002827D2" w:rsidRPr="00CD42FA">
        <w:rPr>
          <w:color w:val="auto"/>
          <w:highlight w:val="yellow"/>
        </w:rPr>
        <w:t>,</w:t>
      </w:r>
      <w:r w:rsidRPr="00CD42FA">
        <w:rPr>
          <w:color w:val="auto"/>
          <w:highlight w:val="yellow"/>
        </w:rPr>
        <w:t xml:space="preserve"> anestheti</w:t>
      </w:r>
      <w:r w:rsidR="00E707C3" w:rsidRPr="00CD42FA">
        <w:rPr>
          <w:color w:val="auto"/>
          <w:highlight w:val="yellow"/>
        </w:rPr>
        <w:t>z</w:t>
      </w:r>
      <w:r w:rsidRPr="00CD42FA">
        <w:rPr>
          <w:color w:val="auto"/>
          <w:highlight w:val="yellow"/>
        </w:rPr>
        <w:t>ed zebrafish larva along with 0.5</w:t>
      </w:r>
      <w:r w:rsidR="003124E5" w:rsidRPr="00CD42FA">
        <w:rPr>
          <w:color w:val="auto"/>
          <w:highlight w:val="yellow"/>
        </w:rPr>
        <w:t xml:space="preserve"> </w:t>
      </w:r>
      <w:r w:rsidRPr="00CD42FA">
        <w:rPr>
          <w:color w:val="auto"/>
          <w:highlight w:val="yellow"/>
        </w:rPr>
        <w:t>mL</w:t>
      </w:r>
      <w:r w:rsidR="00091C33" w:rsidRPr="00CD42FA">
        <w:rPr>
          <w:color w:val="auto"/>
          <w:highlight w:val="yellow"/>
        </w:rPr>
        <w:t xml:space="preserve"> </w:t>
      </w:r>
      <w:r w:rsidR="00980479" w:rsidRPr="00CD42FA">
        <w:rPr>
          <w:color w:val="auto"/>
          <w:highlight w:val="yellow"/>
        </w:rPr>
        <w:t xml:space="preserve">of </w:t>
      </w:r>
      <w:r w:rsidRPr="00CD42FA">
        <w:rPr>
          <w:color w:val="auto"/>
          <w:highlight w:val="yellow"/>
        </w:rPr>
        <w:t>E3</w:t>
      </w:r>
      <w:r w:rsidR="002827D2" w:rsidRPr="00CD42FA">
        <w:rPr>
          <w:color w:val="auto"/>
          <w:highlight w:val="yellow"/>
        </w:rPr>
        <w:t xml:space="preserve"> </w:t>
      </w:r>
      <w:r w:rsidRPr="00CD42FA">
        <w:rPr>
          <w:color w:val="auto"/>
          <w:highlight w:val="yellow"/>
        </w:rPr>
        <w:t>+</w:t>
      </w:r>
      <w:r w:rsidR="002827D2" w:rsidRPr="00CD42FA">
        <w:rPr>
          <w:color w:val="auto"/>
          <w:highlight w:val="yellow"/>
        </w:rPr>
        <w:t xml:space="preserve"> </w:t>
      </w:r>
      <w:r w:rsidR="00091C33" w:rsidRPr="00CD42FA">
        <w:rPr>
          <w:color w:val="auto"/>
          <w:highlight w:val="yellow"/>
        </w:rPr>
        <w:t>2x</w:t>
      </w:r>
      <w:r w:rsidR="002827D2" w:rsidRPr="00CD42FA">
        <w:rPr>
          <w:color w:val="auto"/>
          <w:highlight w:val="yellow"/>
        </w:rPr>
        <w:t xml:space="preserve"> </w:t>
      </w:r>
      <w:r w:rsidR="00091C33" w:rsidRPr="00CD42FA">
        <w:rPr>
          <w:color w:val="auto"/>
          <w:highlight w:val="yellow"/>
        </w:rPr>
        <w:t xml:space="preserve">Tricaine </w:t>
      </w:r>
      <w:r w:rsidRPr="00CD42FA">
        <w:rPr>
          <w:color w:val="auto"/>
          <w:highlight w:val="yellow"/>
        </w:rPr>
        <w:t>in the glass bottom dish.</w:t>
      </w:r>
    </w:p>
    <w:p w14:paraId="0E7DCE79" w14:textId="77777777" w:rsidR="00BB6C4E" w:rsidRPr="00CD42FA" w:rsidRDefault="00BB6C4E" w:rsidP="005C35E4">
      <w:pPr>
        <w:pStyle w:val="ListParagraph"/>
        <w:ind w:left="0"/>
        <w:rPr>
          <w:color w:val="auto"/>
          <w:highlight w:val="yellow"/>
        </w:rPr>
      </w:pPr>
    </w:p>
    <w:p w14:paraId="489C7317" w14:textId="77777777" w:rsidR="00980479" w:rsidRPr="00CD42FA" w:rsidRDefault="0010683E" w:rsidP="005C35E4">
      <w:pPr>
        <w:pStyle w:val="ListParagraph"/>
        <w:numPr>
          <w:ilvl w:val="1"/>
          <w:numId w:val="4"/>
        </w:numPr>
        <w:ind w:left="0" w:firstLine="0"/>
        <w:rPr>
          <w:color w:val="auto"/>
          <w:highlight w:val="yellow"/>
        </w:rPr>
      </w:pPr>
      <w:r w:rsidRPr="00CD42FA">
        <w:rPr>
          <w:color w:val="auto"/>
          <w:highlight w:val="yellow"/>
        </w:rPr>
        <w:t>Gently m</w:t>
      </w:r>
      <w:r w:rsidR="00E92291" w:rsidRPr="00CD42FA">
        <w:rPr>
          <w:color w:val="auto"/>
          <w:highlight w:val="yellow"/>
        </w:rPr>
        <w:t>ix the two solution</w:t>
      </w:r>
      <w:r w:rsidR="00310578" w:rsidRPr="00CD42FA">
        <w:rPr>
          <w:color w:val="auto"/>
          <w:highlight w:val="yellow"/>
        </w:rPr>
        <w:t>s</w:t>
      </w:r>
      <w:r w:rsidR="00E92291" w:rsidRPr="00CD42FA">
        <w:rPr>
          <w:color w:val="auto"/>
          <w:highlight w:val="yellow"/>
        </w:rPr>
        <w:t xml:space="preserve"> to obtain a 1% LMP</w:t>
      </w:r>
      <w:r w:rsidRPr="00CD42FA">
        <w:rPr>
          <w:color w:val="auto"/>
          <w:highlight w:val="yellow"/>
        </w:rPr>
        <w:t>/1x Tricaine</w:t>
      </w:r>
      <w:r w:rsidR="00E92291" w:rsidRPr="00CD42FA">
        <w:rPr>
          <w:color w:val="auto"/>
          <w:highlight w:val="yellow"/>
        </w:rPr>
        <w:t xml:space="preserve"> agarose</w:t>
      </w:r>
      <w:r w:rsidRPr="00CD42FA">
        <w:rPr>
          <w:color w:val="auto"/>
          <w:highlight w:val="yellow"/>
        </w:rPr>
        <w:t>/E3</w:t>
      </w:r>
      <w:r w:rsidR="00E92291" w:rsidRPr="00CD42FA">
        <w:rPr>
          <w:color w:val="auto"/>
          <w:highlight w:val="yellow"/>
        </w:rPr>
        <w:t xml:space="preserve"> solution</w:t>
      </w:r>
      <w:r w:rsidRPr="00CD42FA">
        <w:rPr>
          <w:color w:val="auto"/>
          <w:highlight w:val="yellow"/>
        </w:rPr>
        <w:t>, avoiding generation of bubbles.</w:t>
      </w:r>
      <w:r w:rsidR="00E92291" w:rsidRPr="00CD42FA">
        <w:rPr>
          <w:color w:val="auto"/>
          <w:highlight w:val="yellow"/>
        </w:rPr>
        <w:t xml:space="preserve"> </w:t>
      </w:r>
      <w:r w:rsidRPr="00CD42FA">
        <w:rPr>
          <w:color w:val="auto"/>
          <w:highlight w:val="yellow"/>
        </w:rPr>
        <w:t>O</w:t>
      </w:r>
      <w:r w:rsidR="00E92291" w:rsidRPr="00CD42FA">
        <w:rPr>
          <w:color w:val="auto"/>
          <w:highlight w:val="yellow"/>
        </w:rPr>
        <w:t xml:space="preserve">rient the embryo </w:t>
      </w:r>
      <w:r w:rsidRPr="00CD42FA">
        <w:rPr>
          <w:color w:val="auto"/>
          <w:highlight w:val="yellow"/>
        </w:rPr>
        <w:t>laterally an</w:t>
      </w:r>
      <w:r w:rsidR="00310578" w:rsidRPr="00CD42FA">
        <w:rPr>
          <w:color w:val="auto"/>
          <w:highlight w:val="yellow"/>
        </w:rPr>
        <w:t>d</w:t>
      </w:r>
      <w:r w:rsidRPr="00CD42FA">
        <w:rPr>
          <w:color w:val="auto"/>
          <w:highlight w:val="yellow"/>
        </w:rPr>
        <w:t xml:space="preserve"> gently push down so that the caudal part of the fish is as close as possible to the glass. </w:t>
      </w:r>
    </w:p>
    <w:p w14:paraId="20BF53EC" w14:textId="77777777" w:rsidR="00980479" w:rsidRPr="00CD42FA" w:rsidRDefault="00980479" w:rsidP="005C35E4">
      <w:pPr>
        <w:pStyle w:val="ListParagraph"/>
        <w:ind w:left="0"/>
        <w:rPr>
          <w:color w:val="auto"/>
        </w:rPr>
      </w:pPr>
    </w:p>
    <w:p w14:paraId="539DAEF7" w14:textId="4910FD4D" w:rsidR="00BB6C4E" w:rsidRPr="00CD42FA" w:rsidRDefault="0010683E" w:rsidP="005C35E4">
      <w:pPr>
        <w:pStyle w:val="ListParagraph"/>
        <w:ind w:left="0"/>
        <w:rPr>
          <w:color w:val="auto"/>
          <w:highlight w:val="yellow"/>
        </w:rPr>
      </w:pPr>
      <w:r w:rsidRPr="00CD42FA">
        <w:rPr>
          <w:color w:val="auto"/>
        </w:rPr>
        <w:t xml:space="preserve">NOTE: The tissue to </w:t>
      </w:r>
      <w:r w:rsidR="00BC0A9A" w:rsidRPr="00CD42FA">
        <w:rPr>
          <w:color w:val="auto"/>
        </w:rPr>
        <w:t xml:space="preserve">be </w:t>
      </w:r>
      <w:r w:rsidRPr="00CD42FA">
        <w:rPr>
          <w:color w:val="auto"/>
        </w:rPr>
        <w:t xml:space="preserve">imaged </w:t>
      </w:r>
      <w:r w:rsidR="00980479" w:rsidRPr="00CD42FA">
        <w:rPr>
          <w:color w:val="auto"/>
        </w:rPr>
        <w:t>must</w:t>
      </w:r>
      <w:r w:rsidRPr="00CD42FA">
        <w:rPr>
          <w:color w:val="auto"/>
        </w:rPr>
        <w:t xml:space="preserve"> be as close as possible to the glass bottom when imaging with an inverted </w:t>
      </w:r>
      <w:r w:rsidR="00E92291" w:rsidRPr="00CD42FA">
        <w:rPr>
          <w:color w:val="auto"/>
        </w:rPr>
        <w:t xml:space="preserve">microscope. </w:t>
      </w:r>
      <w:r w:rsidRPr="00CD42FA">
        <w:rPr>
          <w:color w:val="auto"/>
        </w:rPr>
        <w:t xml:space="preserve">The </w:t>
      </w:r>
      <w:r w:rsidR="00D57C84" w:rsidRPr="00CD42FA">
        <w:rPr>
          <w:color w:val="auto"/>
        </w:rPr>
        <w:t xml:space="preserve">setting of </w:t>
      </w:r>
      <w:r w:rsidRPr="00CD42FA">
        <w:rPr>
          <w:color w:val="auto"/>
        </w:rPr>
        <w:t xml:space="preserve">orientation </w:t>
      </w:r>
      <w:r w:rsidR="00D57C84" w:rsidRPr="00CD42FA">
        <w:rPr>
          <w:color w:val="auto"/>
        </w:rPr>
        <w:t>for</w:t>
      </w:r>
      <w:r w:rsidRPr="00CD42FA">
        <w:rPr>
          <w:color w:val="auto"/>
        </w:rPr>
        <w:t xml:space="preserve"> the larva </w:t>
      </w:r>
      <w:r w:rsidR="00D57C84" w:rsidRPr="00CD42FA">
        <w:rPr>
          <w:color w:val="auto"/>
        </w:rPr>
        <w:t>must</w:t>
      </w:r>
      <w:r w:rsidRPr="00CD42FA">
        <w:rPr>
          <w:color w:val="auto"/>
        </w:rPr>
        <w:t xml:space="preserve"> be quick so that the agarose does not set before</w:t>
      </w:r>
      <w:r w:rsidR="002827D2" w:rsidRPr="00CD42FA">
        <w:rPr>
          <w:color w:val="auto"/>
        </w:rPr>
        <w:t xml:space="preserve"> the</w:t>
      </w:r>
      <w:r w:rsidRPr="00CD42FA">
        <w:rPr>
          <w:color w:val="auto"/>
        </w:rPr>
        <w:t xml:space="preserve"> larva is positioned.</w:t>
      </w:r>
    </w:p>
    <w:p w14:paraId="54E24B4E" w14:textId="77777777" w:rsidR="00BB6C4E" w:rsidRPr="00CD42FA" w:rsidRDefault="00BB6C4E" w:rsidP="005C35E4">
      <w:pPr>
        <w:pStyle w:val="ListParagraph"/>
        <w:ind w:left="0"/>
        <w:rPr>
          <w:color w:val="auto"/>
          <w:highlight w:val="yellow"/>
        </w:rPr>
      </w:pPr>
    </w:p>
    <w:p w14:paraId="48E48153" w14:textId="77777777" w:rsidR="00BB6C4E" w:rsidRPr="00CD42FA" w:rsidRDefault="00E92291" w:rsidP="005C35E4">
      <w:pPr>
        <w:pStyle w:val="ListParagraph"/>
        <w:numPr>
          <w:ilvl w:val="1"/>
          <w:numId w:val="4"/>
        </w:numPr>
        <w:ind w:left="0" w:firstLine="0"/>
        <w:rPr>
          <w:color w:val="auto"/>
          <w:highlight w:val="yellow"/>
        </w:rPr>
      </w:pPr>
      <w:r w:rsidRPr="00CD42FA">
        <w:rPr>
          <w:color w:val="auto"/>
          <w:highlight w:val="yellow"/>
        </w:rPr>
        <w:t xml:space="preserve">Let the agarose solution cool down and solidify for </w:t>
      </w:r>
      <w:r w:rsidR="0010683E" w:rsidRPr="00CD42FA">
        <w:rPr>
          <w:color w:val="auto"/>
          <w:highlight w:val="yellow"/>
        </w:rPr>
        <w:t>5-</w:t>
      </w:r>
      <w:r w:rsidRPr="00CD42FA">
        <w:rPr>
          <w:color w:val="auto"/>
          <w:highlight w:val="yellow"/>
        </w:rPr>
        <w:t>10 min.</w:t>
      </w:r>
      <w:r w:rsidR="00FE2312" w:rsidRPr="00CD42FA">
        <w:rPr>
          <w:color w:val="auto"/>
          <w:highlight w:val="yellow"/>
        </w:rPr>
        <w:t xml:space="preserve"> Test whether the agarose is set by gently touching the agarose gel with a </w:t>
      </w:r>
      <w:r w:rsidR="00310578" w:rsidRPr="00CD42FA">
        <w:rPr>
          <w:color w:val="auto"/>
          <w:highlight w:val="yellow"/>
        </w:rPr>
        <w:t xml:space="preserve">small </w:t>
      </w:r>
      <w:r w:rsidR="00FE2312" w:rsidRPr="00CD42FA">
        <w:rPr>
          <w:color w:val="auto"/>
          <w:highlight w:val="yellow"/>
        </w:rPr>
        <w:t>paint brush or tip.</w:t>
      </w:r>
    </w:p>
    <w:p w14:paraId="17F1B412" w14:textId="77777777" w:rsidR="00BB6C4E" w:rsidRPr="00CD42FA" w:rsidRDefault="00BB6C4E" w:rsidP="005C35E4">
      <w:pPr>
        <w:pStyle w:val="ListParagraph"/>
        <w:ind w:left="0"/>
        <w:rPr>
          <w:color w:val="auto"/>
          <w:highlight w:val="yellow"/>
        </w:rPr>
      </w:pPr>
    </w:p>
    <w:p w14:paraId="799FD656" w14:textId="2284E554" w:rsidR="00E92291" w:rsidRPr="00CD42FA" w:rsidRDefault="00E92291" w:rsidP="005C35E4">
      <w:pPr>
        <w:pStyle w:val="ListParagraph"/>
        <w:numPr>
          <w:ilvl w:val="1"/>
          <w:numId w:val="4"/>
        </w:numPr>
        <w:ind w:left="0" w:firstLine="0"/>
        <w:rPr>
          <w:color w:val="auto"/>
          <w:highlight w:val="yellow"/>
        </w:rPr>
      </w:pPr>
      <w:r w:rsidRPr="00CD42FA">
        <w:rPr>
          <w:color w:val="auto"/>
          <w:highlight w:val="yellow"/>
        </w:rPr>
        <w:t>Once</w:t>
      </w:r>
      <w:r w:rsidR="0010683E" w:rsidRPr="00CD42FA">
        <w:rPr>
          <w:color w:val="auto"/>
          <w:highlight w:val="yellow"/>
        </w:rPr>
        <w:t xml:space="preserve"> the </w:t>
      </w:r>
      <w:r w:rsidR="00FE2312" w:rsidRPr="00CD42FA">
        <w:rPr>
          <w:color w:val="auto"/>
          <w:highlight w:val="yellow"/>
        </w:rPr>
        <w:t>agarose is</w:t>
      </w:r>
      <w:r w:rsidRPr="00CD42FA">
        <w:rPr>
          <w:color w:val="auto"/>
          <w:highlight w:val="yellow"/>
        </w:rPr>
        <w:t xml:space="preserve"> solid</w:t>
      </w:r>
      <w:r w:rsidR="006D0A8C" w:rsidRPr="00CD42FA">
        <w:rPr>
          <w:color w:val="auto"/>
          <w:highlight w:val="yellow"/>
        </w:rPr>
        <w:t>,</w:t>
      </w:r>
      <w:r w:rsidRPr="00CD42FA">
        <w:rPr>
          <w:color w:val="auto"/>
          <w:highlight w:val="yellow"/>
        </w:rPr>
        <w:t xml:space="preserve"> add 2</w:t>
      </w:r>
      <w:r w:rsidR="002827D2" w:rsidRPr="00CD42FA">
        <w:rPr>
          <w:color w:val="auto"/>
          <w:highlight w:val="yellow"/>
        </w:rPr>
        <w:t xml:space="preserve"> </w:t>
      </w:r>
      <w:r w:rsidRPr="00CD42FA">
        <w:rPr>
          <w:color w:val="auto"/>
          <w:highlight w:val="yellow"/>
        </w:rPr>
        <w:t>mL of E3 supplemented with 0.2 mg/m</w:t>
      </w:r>
      <w:r w:rsidR="00D57C84" w:rsidRPr="00CD42FA">
        <w:rPr>
          <w:color w:val="auto"/>
          <w:highlight w:val="yellow"/>
        </w:rPr>
        <w:t>L of</w:t>
      </w:r>
      <w:r w:rsidRPr="00CD42FA">
        <w:rPr>
          <w:color w:val="auto"/>
          <w:highlight w:val="yellow"/>
        </w:rPr>
        <w:t xml:space="preserve"> tricaine to the imaging plate.</w:t>
      </w:r>
    </w:p>
    <w:p w14:paraId="7837E26E" w14:textId="77777777" w:rsidR="00A3251A" w:rsidRPr="00CD42FA" w:rsidRDefault="00A3251A" w:rsidP="005C35E4">
      <w:pPr>
        <w:jc w:val="both"/>
        <w:rPr>
          <w:rFonts w:ascii="Calibri" w:hAnsi="Calibri" w:cs="Calibri"/>
          <w:highlight w:val="yellow"/>
          <w:lang w:val="en-US"/>
        </w:rPr>
      </w:pPr>
    </w:p>
    <w:p w14:paraId="03EE90AA" w14:textId="515E9799" w:rsidR="00E92291" w:rsidRPr="00CD42FA" w:rsidRDefault="00683586" w:rsidP="005C35E4">
      <w:pPr>
        <w:jc w:val="both"/>
        <w:rPr>
          <w:rFonts w:ascii="Calibri" w:hAnsi="Calibri" w:cs="Calibri"/>
          <w:b/>
          <w:bCs/>
          <w:highlight w:val="yellow"/>
          <w:lang w:val="en-US"/>
        </w:rPr>
      </w:pPr>
      <w:r w:rsidRPr="00CD42FA">
        <w:rPr>
          <w:rFonts w:ascii="Calibri" w:hAnsi="Calibri" w:cs="Calibri"/>
          <w:b/>
          <w:bCs/>
          <w:highlight w:val="yellow"/>
          <w:lang w:val="en-US"/>
        </w:rPr>
        <w:t>5</w:t>
      </w:r>
      <w:r w:rsidR="00E92291" w:rsidRPr="00CD42FA">
        <w:rPr>
          <w:rFonts w:ascii="Calibri" w:hAnsi="Calibri" w:cs="Calibri"/>
          <w:b/>
          <w:bCs/>
          <w:highlight w:val="yellow"/>
          <w:lang w:val="en-US"/>
        </w:rPr>
        <w:t xml:space="preserve">. </w:t>
      </w:r>
      <w:r w:rsidR="00B2233A" w:rsidRPr="00CD42FA">
        <w:rPr>
          <w:rFonts w:ascii="Calibri" w:hAnsi="Calibri" w:cs="Calibri"/>
          <w:b/>
          <w:bCs/>
          <w:highlight w:val="yellow"/>
          <w:lang w:val="en-US"/>
        </w:rPr>
        <w:t>Live</w:t>
      </w:r>
      <w:r w:rsidR="00E92291" w:rsidRPr="00CD42FA">
        <w:rPr>
          <w:rFonts w:ascii="Calibri" w:hAnsi="Calibri" w:cs="Calibri"/>
          <w:b/>
          <w:bCs/>
          <w:highlight w:val="yellow"/>
          <w:lang w:val="en-US"/>
        </w:rPr>
        <w:t xml:space="preserve"> confocal imaging</w:t>
      </w:r>
    </w:p>
    <w:p w14:paraId="0A98CAC0" w14:textId="77777777" w:rsidR="00B77C34" w:rsidRPr="00CD42FA" w:rsidRDefault="00B77C34" w:rsidP="005C35E4">
      <w:pPr>
        <w:jc w:val="both"/>
        <w:rPr>
          <w:rFonts w:ascii="Calibri" w:hAnsi="Calibri" w:cs="Calibri"/>
          <w:lang w:val="en-US"/>
        </w:rPr>
      </w:pPr>
    </w:p>
    <w:p w14:paraId="15280AE3" w14:textId="6693D249" w:rsidR="007730ED" w:rsidRPr="00CD42FA" w:rsidRDefault="003E0531" w:rsidP="005C35E4">
      <w:pPr>
        <w:jc w:val="both"/>
        <w:rPr>
          <w:rFonts w:ascii="Calibri" w:hAnsi="Calibri" w:cs="Calibri"/>
          <w:lang w:val="en-US"/>
        </w:rPr>
      </w:pPr>
      <w:r w:rsidRPr="00CD42FA">
        <w:rPr>
          <w:rFonts w:ascii="Calibri" w:hAnsi="Calibri" w:cs="Calibri"/>
          <w:lang w:val="en-US"/>
        </w:rPr>
        <w:t>NOTE: Image embryos on a spinning disk confocal microscope or equivalent</w:t>
      </w:r>
      <w:r w:rsidR="00367DCC" w:rsidRPr="00CD42FA">
        <w:rPr>
          <w:rFonts w:ascii="Calibri" w:hAnsi="Calibri" w:cs="Calibri"/>
          <w:lang w:val="en-US"/>
        </w:rPr>
        <w:t xml:space="preserve"> (</w:t>
      </w:r>
      <w:r w:rsidR="00367DCC" w:rsidRPr="00CA44AD">
        <w:rPr>
          <w:rFonts w:ascii="Calibri" w:hAnsi="Calibri" w:cs="Calibri"/>
          <w:b/>
          <w:bCs/>
          <w:lang w:val="en-US"/>
        </w:rPr>
        <w:t>Figure 2</w:t>
      </w:r>
      <w:r w:rsidR="00367DCC" w:rsidRPr="00CD42FA">
        <w:rPr>
          <w:rFonts w:ascii="Calibri" w:hAnsi="Calibri" w:cs="Calibri"/>
          <w:lang w:val="en-US"/>
        </w:rPr>
        <w:t>)</w:t>
      </w:r>
      <w:r w:rsidRPr="00CD42FA">
        <w:rPr>
          <w:rFonts w:ascii="Calibri" w:hAnsi="Calibri" w:cs="Calibri"/>
          <w:lang w:val="en-US"/>
        </w:rPr>
        <w:t>.</w:t>
      </w:r>
      <w:r w:rsidR="009E2D5D" w:rsidRPr="00CD42FA">
        <w:rPr>
          <w:rFonts w:ascii="Calibri" w:hAnsi="Calibri" w:cs="Calibri"/>
          <w:lang w:val="en-US"/>
        </w:rPr>
        <w:t xml:space="preserve"> A laser scanning microscope can also be used but the temporal resolution of the dynamics will be more limiting.</w:t>
      </w:r>
      <w:r w:rsidR="00D57C84" w:rsidRPr="00CD42FA">
        <w:rPr>
          <w:rFonts w:ascii="Calibri" w:hAnsi="Calibri" w:cs="Calibri"/>
          <w:lang w:val="en-US"/>
        </w:rPr>
        <w:t xml:space="preserve"> </w:t>
      </w:r>
      <w:r w:rsidR="007730ED" w:rsidRPr="00CD42FA">
        <w:rPr>
          <w:rFonts w:ascii="Calibri" w:hAnsi="Calibri" w:cs="Calibri"/>
          <w:lang w:val="en-US"/>
        </w:rPr>
        <w:t>Prepare the imaging settings before bringing the wounded larva, so th</w:t>
      </w:r>
      <w:r w:rsidR="00D57C84" w:rsidRPr="00CD42FA">
        <w:rPr>
          <w:rFonts w:ascii="Calibri" w:hAnsi="Calibri" w:cs="Calibri"/>
          <w:lang w:val="en-US"/>
        </w:rPr>
        <w:t>e</w:t>
      </w:r>
      <w:r w:rsidR="007730ED" w:rsidRPr="00CD42FA">
        <w:rPr>
          <w:rFonts w:ascii="Calibri" w:hAnsi="Calibri" w:cs="Calibri"/>
          <w:lang w:val="en-US"/>
        </w:rPr>
        <w:t xml:space="preserve"> response </w:t>
      </w:r>
      <w:r w:rsidR="00D57C84" w:rsidRPr="00CD42FA">
        <w:rPr>
          <w:rFonts w:ascii="Calibri" w:hAnsi="Calibri" w:cs="Calibri"/>
          <w:lang w:val="en-US"/>
        </w:rPr>
        <w:t xml:space="preserve">can be imaged </w:t>
      </w:r>
      <w:r w:rsidR="007730ED" w:rsidRPr="00CD42FA">
        <w:rPr>
          <w:rFonts w:ascii="Calibri" w:hAnsi="Calibri" w:cs="Calibri"/>
          <w:lang w:val="en-US"/>
        </w:rPr>
        <w:t>as quickly as possible after wounding. Neutrophils arrive to the wound within 5 min and receptors in the first arriving cells may internalize within this time frame. With practice it is possible to image as early as 15 min post-wounding.</w:t>
      </w:r>
    </w:p>
    <w:p w14:paraId="429C8D90" w14:textId="77777777" w:rsidR="003E0531" w:rsidRPr="00CD42FA" w:rsidRDefault="003E0531" w:rsidP="005C35E4">
      <w:pPr>
        <w:jc w:val="both"/>
        <w:rPr>
          <w:rFonts w:ascii="Calibri" w:hAnsi="Calibri" w:cs="Calibri"/>
          <w:b/>
          <w:bCs/>
          <w:lang w:val="en-US"/>
        </w:rPr>
      </w:pPr>
    </w:p>
    <w:p w14:paraId="13B2DD78" w14:textId="77777777" w:rsidR="00BB6C4E" w:rsidRPr="00CD42FA" w:rsidRDefault="00BB6C4E" w:rsidP="005C35E4">
      <w:pPr>
        <w:pStyle w:val="ListParagraph"/>
        <w:numPr>
          <w:ilvl w:val="1"/>
          <w:numId w:val="5"/>
        </w:numPr>
        <w:ind w:left="0" w:firstLine="0"/>
        <w:rPr>
          <w:color w:val="auto"/>
          <w:highlight w:val="yellow"/>
        </w:rPr>
      </w:pPr>
      <w:r w:rsidRPr="00CD42FA">
        <w:rPr>
          <w:color w:val="auto"/>
          <w:highlight w:val="yellow"/>
        </w:rPr>
        <w:t>T</w:t>
      </w:r>
      <w:r w:rsidR="00E92291" w:rsidRPr="00CD42FA">
        <w:rPr>
          <w:color w:val="auto"/>
          <w:highlight w:val="yellow"/>
        </w:rPr>
        <w:t>urn on the microscope: laser, camera and computer</w:t>
      </w:r>
      <w:r w:rsidR="00310578" w:rsidRPr="00CD42FA">
        <w:rPr>
          <w:color w:val="auto"/>
          <w:highlight w:val="yellow"/>
        </w:rPr>
        <w:t xml:space="preserve"> as per manufacturer instructions.</w:t>
      </w:r>
    </w:p>
    <w:p w14:paraId="343DE248" w14:textId="77777777" w:rsidR="00BB6C4E" w:rsidRPr="00CD42FA" w:rsidRDefault="00BB6C4E" w:rsidP="005C35E4">
      <w:pPr>
        <w:pStyle w:val="ListParagraph"/>
        <w:ind w:left="0"/>
        <w:rPr>
          <w:color w:val="auto"/>
          <w:highlight w:val="yellow"/>
        </w:rPr>
      </w:pPr>
    </w:p>
    <w:p w14:paraId="506BEC7B" w14:textId="26350A1C" w:rsidR="00BB6C4E" w:rsidRPr="00CD42FA" w:rsidRDefault="00E92291" w:rsidP="005C35E4">
      <w:pPr>
        <w:pStyle w:val="ListParagraph"/>
        <w:numPr>
          <w:ilvl w:val="1"/>
          <w:numId w:val="5"/>
        </w:numPr>
        <w:ind w:left="0" w:firstLine="0"/>
        <w:rPr>
          <w:color w:val="auto"/>
          <w:highlight w:val="yellow"/>
        </w:rPr>
      </w:pPr>
      <w:r w:rsidRPr="00CD42FA">
        <w:rPr>
          <w:color w:val="auto"/>
          <w:highlight w:val="yellow"/>
        </w:rPr>
        <w:t xml:space="preserve">Use </w:t>
      </w:r>
      <w:r w:rsidR="00310578" w:rsidRPr="00CD42FA">
        <w:rPr>
          <w:color w:val="auto"/>
          <w:highlight w:val="yellow"/>
        </w:rPr>
        <w:t>acquisition software to set</w:t>
      </w:r>
      <w:r w:rsidR="002827D2" w:rsidRPr="00CD42FA">
        <w:rPr>
          <w:color w:val="auto"/>
          <w:highlight w:val="yellow"/>
        </w:rPr>
        <w:t xml:space="preserve"> </w:t>
      </w:r>
      <w:r w:rsidR="00310578" w:rsidRPr="00CD42FA">
        <w:rPr>
          <w:color w:val="auto"/>
          <w:highlight w:val="yellow"/>
        </w:rPr>
        <w:t>up the imaging settings.</w:t>
      </w:r>
      <w:r w:rsidR="00BC0A9A" w:rsidRPr="00CD42FA">
        <w:rPr>
          <w:color w:val="auto"/>
          <w:highlight w:val="yellow"/>
        </w:rPr>
        <w:t xml:space="preserve"> Choose lasers for the appropriate fluorophores and approximate exposure times based on previous experiments (</w:t>
      </w:r>
      <w:r w:rsidR="002827D2" w:rsidRPr="00CD42FA">
        <w:rPr>
          <w:color w:val="auto"/>
          <w:highlight w:val="yellow"/>
        </w:rPr>
        <w:t>a</w:t>
      </w:r>
      <w:r w:rsidR="00BC0A9A" w:rsidRPr="00CD42FA">
        <w:rPr>
          <w:color w:val="auto"/>
          <w:highlight w:val="yellow"/>
        </w:rPr>
        <w:t>cquire GFP with 488</w:t>
      </w:r>
      <w:r w:rsidR="00D57C84" w:rsidRPr="00CD42FA">
        <w:rPr>
          <w:color w:val="auto"/>
          <w:highlight w:val="yellow"/>
        </w:rPr>
        <w:t xml:space="preserve"> </w:t>
      </w:r>
      <w:r w:rsidR="007619FF" w:rsidRPr="00CD42FA">
        <w:rPr>
          <w:color w:val="auto"/>
          <w:highlight w:val="yellow"/>
        </w:rPr>
        <w:t>nm</w:t>
      </w:r>
      <w:r w:rsidR="00BC0A9A" w:rsidRPr="00CD42FA">
        <w:rPr>
          <w:color w:val="auto"/>
          <w:highlight w:val="yellow"/>
        </w:rPr>
        <w:t xml:space="preserve"> and tagRFP with 561</w:t>
      </w:r>
      <w:r w:rsidR="00300797">
        <w:rPr>
          <w:color w:val="auto"/>
          <w:highlight w:val="yellow"/>
        </w:rPr>
        <w:t xml:space="preserve"> </w:t>
      </w:r>
      <w:r w:rsidR="007619FF" w:rsidRPr="00CD42FA">
        <w:rPr>
          <w:color w:val="auto"/>
          <w:highlight w:val="yellow"/>
        </w:rPr>
        <w:t>nm</w:t>
      </w:r>
      <w:r w:rsidR="00BC0A9A" w:rsidRPr="00CD42FA">
        <w:rPr>
          <w:color w:val="auto"/>
          <w:highlight w:val="yellow"/>
        </w:rPr>
        <w:t xml:space="preserve"> laser).</w:t>
      </w:r>
    </w:p>
    <w:p w14:paraId="3E8799A8" w14:textId="77777777" w:rsidR="00BB6C4E" w:rsidRPr="00CD42FA" w:rsidRDefault="00BB6C4E" w:rsidP="005C35E4">
      <w:pPr>
        <w:pStyle w:val="ListParagraph"/>
        <w:ind w:left="0"/>
        <w:rPr>
          <w:color w:val="auto"/>
          <w:highlight w:val="yellow"/>
        </w:rPr>
      </w:pPr>
    </w:p>
    <w:p w14:paraId="505D42E3" w14:textId="77777777" w:rsidR="00BB6C4E" w:rsidRPr="00CD42FA" w:rsidRDefault="00BC0A9A" w:rsidP="005C35E4">
      <w:pPr>
        <w:pStyle w:val="ListParagraph"/>
        <w:numPr>
          <w:ilvl w:val="1"/>
          <w:numId w:val="5"/>
        </w:numPr>
        <w:ind w:left="0" w:firstLine="0"/>
        <w:rPr>
          <w:color w:val="auto"/>
          <w:highlight w:val="yellow"/>
        </w:rPr>
      </w:pPr>
      <w:r w:rsidRPr="00CD42FA">
        <w:rPr>
          <w:color w:val="auto"/>
          <w:highlight w:val="yellow"/>
        </w:rPr>
        <w:t>Transfer the plate with the mounted embryo, as soon as possible after agarose sets, on</w:t>
      </w:r>
      <w:r w:rsidR="007619FF" w:rsidRPr="00CD42FA">
        <w:rPr>
          <w:color w:val="auto"/>
          <w:highlight w:val="yellow"/>
        </w:rPr>
        <w:t>to</w:t>
      </w:r>
      <w:r w:rsidRPr="00CD42FA">
        <w:rPr>
          <w:color w:val="auto"/>
          <w:highlight w:val="yellow"/>
        </w:rPr>
        <w:t xml:space="preserve"> the confocal imaging spinning disc platform.</w:t>
      </w:r>
    </w:p>
    <w:p w14:paraId="1967B669" w14:textId="77777777" w:rsidR="00BB6C4E" w:rsidRPr="00CD42FA" w:rsidRDefault="00BB6C4E" w:rsidP="005C35E4">
      <w:pPr>
        <w:pStyle w:val="ListParagraph"/>
        <w:ind w:left="0"/>
        <w:rPr>
          <w:color w:val="auto"/>
          <w:highlight w:val="yellow"/>
        </w:rPr>
      </w:pPr>
    </w:p>
    <w:p w14:paraId="1D1665DB" w14:textId="0D117FCE" w:rsidR="00BB6C4E" w:rsidRPr="00CD42FA" w:rsidRDefault="00954704" w:rsidP="005C35E4">
      <w:pPr>
        <w:pStyle w:val="ListParagraph"/>
        <w:numPr>
          <w:ilvl w:val="1"/>
          <w:numId w:val="5"/>
        </w:numPr>
        <w:ind w:left="0" w:firstLine="0"/>
        <w:rPr>
          <w:color w:val="auto"/>
          <w:highlight w:val="yellow"/>
        </w:rPr>
      </w:pPr>
      <w:r w:rsidRPr="00CD42FA">
        <w:rPr>
          <w:color w:val="auto"/>
          <w:highlight w:val="yellow"/>
        </w:rPr>
        <w:t>Use the microscope eye</w:t>
      </w:r>
      <w:r w:rsidR="00D57C84" w:rsidRPr="00CD42FA">
        <w:rPr>
          <w:color w:val="auto"/>
          <w:highlight w:val="yellow"/>
        </w:rPr>
        <w:t xml:space="preserve"> </w:t>
      </w:r>
      <w:r w:rsidRPr="00CD42FA">
        <w:rPr>
          <w:color w:val="auto"/>
          <w:highlight w:val="yellow"/>
        </w:rPr>
        <w:t>piece to find the fish in the dish using the stage joystick.</w:t>
      </w:r>
    </w:p>
    <w:p w14:paraId="0D919E3E" w14:textId="77777777" w:rsidR="00BB6C4E" w:rsidRPr="00CD42FA" w:rsidRDefault="00BB6C4E" w:rsidP="005C35E4">
      <w:pPr>
        <w:pStyle w:val="ListParagraph"/>
        <w:ind w:left="0"/>
        <w:rPr>
          <w:color w:val="auto"/>
          <w:highlight w:val="yellow"/>
        </w:rPr>
      </w:pPr>
    </w:p>
    <w:p w14:paraId="089DD3A4" w14:textId="77777777" w:rsidR="00D57C84" w:rsidRPr="00CD42FA" w:rsidRDefault="00954704" w:rsidP="005C35E4">
      <w:pPr>
        <w:pStyle w:val="ListParagraph"/>
        <w:numPr>
          <w:ilvl w:val="1"/>
          <w:numId w:val="5"/>
        </w:numPr>
        <w:ind w:left="0" w:firstLine="0"/>
        <w:rPr>
          <w:color w:val="auto"/>
          <w:highlight w:val="yellow"/>
        </w:rPr>
      </w:pPr>
      <w:r w:rsidRPr="00CD42FA">
        <w:rPr>
          <w:color w:val="auto"/>
          <w:highlight w:val="yellow"/>
        </w:rPr>
        <w:lastRenderedPageBreak/>
        <w:t>Focus on the wound area, using the focusing knob.</w:t>
      </w:r>
      <w:r w:rsidR="003E0531" w:rsidRPr="00CD42FA">
        <w:rPr>
          <w:color w:val="auto"/>
          <w:highlight w:val="yellow"/>
        </w:rPr>
        <w:t xml:space="preserve"> </w:t>
      </w:r>
    </w:p>
    <w:p w14:paraId="70AE862D" w14:textId="77777777" w:rsidR="00D57C84" w:rsidRPr="00CD42FA" w:rsidRDefault="00D57C84" w:rsidP="005C35E4">
      <w:pPr>
        <w:pStyle w:val="ListParagraph"/>
        <w:ind w:left="0"/>
        <w:rPr>
          <w:color w:val="auto"/>
        </w:rPr>
      </w:pPr>
    </w:p>
    <w:p w14:paraId="717A97FA" w14:textId="6FFAEE88" w:rsidR="00BB6C4E" w:rsidRPr="00CD42FA" w:rsidRDefault="003E0531" w:rsidP="005C35E4">
      <w:pPr>
        <w:pStyle w:val="ListParagraph"/>
        <w:ind w:left="0"/>
        <w:rPr>
          <w:color w:val="auto"/>
          <w:highlight w:val="yellow"/>
        </w:rPr>
      </w:pPr>
      <w:r w:rsidRPr="00CD42FA">
        <w:rPr>
          <w:color w:val="auto"/>
        </w:rPr>
        <w:t>NOTE: To find the area of interest it may be easier to use a low magnification</w:t>
      </w:r>
      <w:r w:rsidR="00F51BD4" w:rsidRPr="00CD42FA">
        <w:rPr>
          <w:color w:val="auto"/>
        </w:rPr>
        <w:t xml:space="preserve"> air</w:t>
      </w:r>
      <w:r w:rsidRPr="00CD42FA">
        <w:rPr>
          <w:color w:val="auto"/>
        </w:rPr>
        <w:t xml:space="preserve"> objective (10x).</w:t>
      </w:r>
    </w:p>
    <w:p w14:paraId="7D3D35EF" w14:textId="77777777" w:rsidR="00BB6C4E" w:rsidRPr="00CD42FA" w:rsidRDefault="00BB6C4E" w:rsidP="005C35E4">
      <w:pPr>
        <w:pStyle w:val="ListParagraph"/>
        <w:ind w:left="0"/>
        <w:rPr>
          <w:color w:val="auto"/>
          <w:highlight w:val="yellow"/>
        </w:rPr>
      </w:pPr>
    </w:p>
    <w:p w14:paraId="4C35D7E7" w14:textId="7B8D0219" w:rsidR="00BB6C4E" w:rsidRPr="00CD42FA" w:rsidRDefault="00310578" w:rsidP="005C35E4">
      <w:pPr>
        <w:pStyle w:val="ListParagraph"/>
        <w:numPr>
          <w:ilvl w:val="1"/>
          <w:numId w:val="5"/>
        </w:numPr>
        <w:ind w:left="0" w:firstLine="0"/>
        <w:rPr>
          <w:color w:val="auto"/>
          <w:highlight w:val="yellow"/>
        </w:rPr>
      </w:pPr>
      <w:r w:rsidRPr="00CD42FA">
        <w:rPr>
          <w:color w:val="auto"/>
          <w:highlight w:val="yellow"/>
        </w:rPr>
        <w:t>Select the field to image around the wound.</w:t>
      </w:r>
      <w:r w:rsidR="003E0531" w:rsidRPr="00CD42FA">
        <w:rPr>
          <w:color w:val="auto"/>
          <w:highlight w:val="yellow"/>
        </w:rPr>
        <w:t xml:space="preserve"> </w:t>
      </w:r>
      <w:r w:rsidR="003E0531" w:rsidRPr="00CD42FA">
        <w:rPr>
          <w:color w:val="auto"/>
        </w:rPr>
        <w:t>Use a 30</w:t>
      </w:r>
      <w:r w:rsidR="00D57C84" w:rsidRPr="00CD42FA">
        <w:rPr>
          <w:color w:val="auto"/>
        </w:rPr>
        <w:t>x</w:t>
      </w:r>
      <w:r w:rsidR="003E0531" w:rsidRPr="00CD42FA">
        <w:rPr>
          <w:color w:val="auto"/>
        </w:rPr>
        <w:t xml:space="preserve">/40x objective with high numerical aperture to obtain </w:t>
      </w:r>
      <w:r w:rsidR="0060238F" w:rsidRPr="00CD42FA">
        <w:rPr>
          <w:color w:val="auto"/>
        </w:rPr>
        <w:t>sufficient</w:t>
      </w:r>
      <w:r w:rsidR="003E0531" w:rsidRPr="00CD42FA">
        <w:rPr>
          <w:color w:val="auto"/>
        </w:rPr>
        <w:t xml:space="preserve"> resolution. </w:t>
      </w:r>
    </w:p>
    <w:p w14:paraId="4D348ED0" w14:textId="77777777" w:rsidR="00BB6C4E" w:rsidRPr="00CD42FA" w:rsidRDefault="00BB6C4E" w:rsidP="005C35E4">
      <w:pPr>
        <w:pStyle w:val="ListParagraph"/>
        <w:ind w:left="0"/>
        <w:rPr>
          <w:color w:val="auto"/>
          <w:highlight w:val="yellow"/>
        </w:rPr>
      </w:pPr>
    </w:p>
    <w:p w14:paraId="637C8BB0" w14:textId="77777777" w:rsidR="00D57C84" w:rsidRPr="00CD42FA" w:rsidRDefault="00954704" w:rsidP="005C35E4">
      <w:pPr>
        <w:pStyle w:val="ListParagraph"/>
        <w:numPr>
          <w:ilvl w:val="1"/>
          <w:numId w:val="5"/>
        </w:numPr>
        <w:ind w:left="0" w:firstLine="0"/>
        <w:rPr>
          <w:color w:val="auto"/>
          <w:highlight w:val="yellow"/>
        </w:rPr>
      </w:pPr>
      <w:r w:rsidRPr="00CD42FA">
        <w:rPr>
          <w:color w:val="auto"/>
          <w:highlight w:val="yellow"/>
        </w:rPr>
        <w:t>Use the software buttons</w:t>
      </w:r>
      <w:r w:rsidR="00310578" w:rsidRPr="00CD42FA">
        <w:rPr>
          <w:color w:val="auto"/>
          <w:highlight w:val="yellow"/>
        </w:rPr>
        <w:t xml:space="preserve"> </w:t>
      </w:r>
      <w:r w:rsidRPr="00CD42FA">
        <w:rPr>
          <w:color w:val="auto"/>
          <w:highlight w:val="yellow"/>
        </w:rPr>
        <w:t xml:space="preserve">to adjust the exposure time </w:t>
      </w:r>
      <w:r w:rsidR="00310578" w:rsidRPr="00CD42FA">
        <w:rPr>
          <w:color w:val="auto"/>
          <w:highlight w:val="yellow"/>
        </w:rPr>
        <w:t xml:space="preserve">so that the fluorescent marker can be seen with good contrast but without saturating the signal. </w:t>
      </w:r>
    </w:p>
    <w:p w14:paraId="270DCBB7" w14:textId="77777777" w:rsidR="00D57C84" w:rsidRPr="00CD42FA" w:rsidRDefault="00D57C84" w:rsidP="005C35E4">
      <w:pPr>
        <w:pStyle w:val="ListParagraph"/>
        <w:ind w:left="0"/>
        <w:rPr>
          <w:color w:val="auto"/>
        </w:rPr>
      </w:pPr>
    </w:p>
    <w:p w14:paraId="6125FD1B" w14:textId="5253F9E4" w:rsidR="00BB6C4E" w:rsidRPr="00CD42FA" w:rsidRDefault="006D0A8C" w:rsidP="005C35E4">
      <w:pPr>
        <w:pStyle w:val="ListParagraph"/>
        <w:ind w:left="0"/>
        <w:rPr>
          <w:color w:val="auto"/>
          <w:highlight w:val="yellow"/>
        </w:rPr>
      </w:pPr>
      <w:r w:rsidRPr="00CD42FA">
        <w:rPr>
          <w:color w:val="auto"/>
        </w:rPr>
        <w:t xml:space="preserve">NOTE: </w:t>
      </w:r>
      <w:r w:rsidR="00310578" w:rsidRPr="00CD42FA">
        <w:rPr>
          <w:color w:val="auto"/>
        </w:rPr>
        <w:t xml:space="preserve">The exposure time </w:t>
      </w:r>
      <w:r w:rsidR="00D57C84" w:rsidRPr="00CD42FA">
        <w:rPr>
          <w:color w:val="auto"/>
        </w:rPr>
        <w:t>must</w:t>
      </w:r>
      <w:r w:rsidR="00310578" w:rsidRPr="00CD42FA">
        <w:rPr>
          <w:color w:val="auto"/>
        </w:rPr>
        <w:t xml:space="preserve"> be as low as possible to minimize fluorescent exposure and maximi</w:t>
      </w:r>
      <w:r w:rsidR="00A853C1" w:rsidRPr="00CD42FA">
        <w:rPr>
          <w:color w:val="auto"/>
        </w:rPr>
        <w:t>z</w:t>
      </w:r>
      <w:r w:rsidR="00310578" w:rsidRPr="00CD42FA">
        <w:rPr>
          <w:color w:val="auto"/>
        </w:rPr>
        <w:t>e temporal resolution in the time-lapse.</w:t>
      </w:r>
      <w:r w:rsidRPr="00CD42FA">
        <w:rPr>
          <w:color w:val="auto"/>
        </w:rPr>
        <w:t xml:space="preserve"> </w:t>
      </w:r>
      <w:r w:rsidR="00850934" w:rsidRPr="00CD42FA">
        <w:rPr>
          <w:color w:val="auto"/>
        </w:rPr>
        <w:t xml:space="preserve">The laser power depends on the condition of the laser but </w:t>
      </w:r>
      <w:r w:rsidR="00D57C84" w:rsidRPr="00CD42FA">
        <w:rPr>
          <w:color w:val="auto"/>
        </w:rPr>
        <w:t>needs to</w:t>
      </w:r>
      <w:r w:rsidR="00850934" w:rsidRPr="00CD42FA">
        <w:rPr>
          <w:color w:val="auto"/>
        </w:rPr>
        <w:t xml:space="preserve"> be adjusted to a level that permits low enough exposure time for dynamic imaging. </w:t>
      </w:r>
    </w:p>
    <w:p w14:paraId="3C2BE2F8" w14:textId="77777777" w:rsidR="00BB6C4E" w:rsidRPr="00CD42FA" w:rsidRDefault="00BB6C4E" w:rsidP="005C35E4">
      <w:pPr>
        <w:pStyle w:val="ListParagraph"/>
        <w:ind w:left="0"/>
        <w:rPr>
          <w:color w:val="auto"/>
          <w:highlight w:val="yellow"/>
        </w:rPr>
      </w:pPr>
    </w:p>
    <w:p w14:paraId="2B4124A9" w14:textId="77777777" w:rsidR="00BB6C4E" w:rsidRPr="00CD42FA" w:rsidRDefault="00310578" w:rsidP="005C35E4">
      <w:pPr>
        <w:pStyle w:val="ListParagraph"/>
        <w:numPr>
          <w:ilvl w:val="1"/>
          <w:numId w:val="5"/>
        </w:numPr>
        <w:ind w:left="0" w:firstLine="0"/>
        <w:rPr>
          <w:color w:val="auto"/>
          <w:highlight w:val="yellow"/>
        </w:rPr>
      </w:pPr>
      <w:r w:rsidRPr="00CD42FA">
        <w:rPr>
          <w:color w:val="auto"/>
          <w:highlight w:val="yellow"/>
        </w:rPr>
        <w:t xml:space="preserve">Use </w:t>
      </w:r>
      <w:r w:rsidR="00954704" w:rsidRPr="00CD42FA">
        <w:rPr>
          <w:color w:val="auto"/>
          <w:highlight w:val="yellow"/>
        </w:rPr>
        <w:t xml:space="preserve">the software buttons to select the </w:t>
      </w:r>
      <w:r w:rsidRPr="00CD42FA">
        <w:rPr>
          <w:color w:val="auto"/>
          <w:highlight w:val="yellow"/>
        </w:rPr>
        <w:t>volume to image</w:t>
      </w:r>
      <w:r w:rsidR="00954704" w:rsidRPr="00CD42FA">
        <w:rPr>
          <w:color w:val="auto"/>
          <w:highlight w:val="yellow"/>
        </w:rPr>
        <w:t xml:space="preserve"> as a z-stack</w:t>
      </w:r>
    </w:p>
    <w:p w14:paraId="08D9D861" w14:textId="77777777" w:rsidR="00BB6C4E" w:rsidRPr="00CD42FA" w:rsidRDefault="00BB6C4E" w:rsidP="005C35E4">
      <w:pPr>
        <w:pStyle w:val="ListParagraph"/>
        <w:ind w:left="0"/>
        <w:rPr>
          <w:color w:val="auto"/>
          <w:highlight w:val="yellow"/>
        </w:rPr>
      </w:pPr>
    </w:p>
    <w:p w14:paraId="2479FF34" w14:textId="77777777" w:rsidR="00D57C84" w:rsidRPr="00CD42FA" w:rsidRDefault="00310578" w:rsidP="005C35E4">
      <w:pPr>
        <w:pStyle w:val="ListParagraph"/>
        <w:numPr>
          <w:ilvl w:val="1"/>
          <w:numId w:val="5"/>
        </w:numPr>
        <w:ind w:left="0" w:firstLine="0"/>
        <w:rPr>
          <w:color w:val="auto"/>
          <w:highlight w:val="yellow"/>
        </w:rPr>
      </w:pPr>
      <w:r w:rsidRPr="00CD42FA">
        <w:rPr>
          <w:color w:val="auto"/>
          <w:highlight w:val="yellow"/>
        </w:rPr>
        <w:t>Set up a time lapse</w:t>
      </w:r>
      <w:r w:rsidR="00E92291" w:rsidRPr="00CD42FA">
        <w:rPr>
          <w:color w:val="auto"/>
          <w:highlight w:val="yellow"/>
        </w:rPr>
        <w:t xml:space="preserve"> every 30</w:t>
      </w:r>
      <w:r w:rsidRPr="00CD42FA">
        <w:rPr>
          <w:color w:val="auto"/>
          <w:highlight w:val="yellow"/>
        </w:rPr>
        <w:t xml:space="preserve"> </w:t>
      </w:r>
      <w:r w:rsidR="00E92291" w:rsidRPr="00CD42FA">
        <w:rPr>
          <w:color w:val="auto"/>
          <w:highlight w:val="yellow"/>
        </w:rPr>
        <w:t xml:space="preserve">s for </w:t>
      </w:r>
      <w:r w:rsidRPr="00CD42FA">
        <w:rPr>
          <w:color w:val="auto"/>
          <w:highlight w:val="yellow"/>
        </w:rPr>
        <w:t>the desired duration</w:t>
      </w:r>
      <w:r w:rsidR="006D0A8C" w:rsidRPr="00CD42FA">
        <w:rPr>
          <w:color w:val="auto"/>
          <w:highlight w:val="yellow"/>
        </w:rPr>
        <w:t>.</w:t>
      </w:r>
    </w:p>
    <w:p w14:paraId="5C383555" w14:textId="77777777" w:rsidR="00D57C84" w:rsidRPr="00CD42FA" w:rsidRDefault="00D57C84" w:rsidP="005C35E4">
      <w:pPr>
        <w:pStyle w:val="ListParagraph"/>
        <w:ind w:left="0"/>
        <w:rPr>
          <w:color w:val="auto"/>
        </w:rPr>
      </w:pPr>
    </w:p>
    <w:p w14:paraId="336B88AA" w14:textId="1814D699" w:rsidR="00BB6C4E" w:rsidRPr="00CD42FA" w:rsidRDefault="006D0A8C" w:rsidP="005C35E4">
      <w:pPr>
        <w:pStyle w:val="ListParagraph"/>
        <w:ind w:left="0"/>
        <w:rPr>
          <w:color w:val="auto"/>
          <w:highlight w:val="yellow"/>
        </w:rPr>
      </w:pPr>
      <w:r w:rsidRPr="00CD42FA">
        <w:rPr>
          <w:color w:val="auto"/>
        </w:rPr>
        <w:t xml:space="preserve">NOTE: </w:t>
      </w:r>
      <w:r w:rsidR="00943629" w:rsidRPr="00CD42FA">
        <w:rPr>
          <w:color w:val="auto"/>
        </w:rPr>
        <w:t>F</w:t>
      </w:r>
      <w:r w:rsidR="00310578" w:rsidRPr="00CD42FA">
        <w:rPr>
          <w:color w:val="auto"/>
        </w:rPr>
        <w:t>or sterile ventral fin wounds, the maximum recruitment is observed by 2-3 h.</w:t>
      </w:r>
      <w:r w:rsidR="00E92291" w:rsidRPr="00CD42FA">
        <w:rPr>
          <w:color w:val="auto"/>
        </w:rPr>
        <w:t xml:space="preserve"> </w:t>
      </w:r>
    </w:p>
    <w:p w14:paraId="6947C030" w14:textId="77777777" w:rsidR="00BB6C4E" w:rsidRPr="00CD42FA" w:rsidRDefault="00BB6C4E" w:rsidP="005C35E4">
      <w:pPr>
        <w:pStyle w:val="ListParagraph"/>
        <w:ind w:left="0"/>
        <w:rPr>
          <w:color w:val="auto"/>
          <w:highlight w:val="yellow"/>
        </w:rPr>
      </w:pPr>
    </w:p>
    <w:p w14:paraId="465E2D18" w14:textId="6FFC0C2A" w:rsidR="00E92291" w:rsidRPr="00CD42FA" w:rsidRDefault="00310578" w:rsidP="005C35E4">
      <w:pPr>
        <w:pStyle w:val="ListParagraph"/>
        <w:numPr>
          <w:ilvl w:val="1"/>
          <w:numId w:val="5"/>
        </w:numPr>
        <w:ind w:left="0" w:firstLine="0"/>
        <w:rPr>
          <w:color w:val="auto"/>
          <w:highlight w:val="yellow"/>
        </w:rPr>
      </w:pPr>
      <w:r w:rsidRPr="00CD42FA">
        <w:rPr>
          <w:color w:val="auto"/>
          <w:highlight w:val="yellow"/>
        </w:rPr>
        <w:t>Before launching the time-lapse, take a bright field snapshot to document the field of view. If possible, acquire bright field within the time-lapse movie.</w:t>
      </w:r>
    </w:p>
    <w:p w14:paraId="652A885B" w14:textId="77777777" w:rsidR="00310578" w:rsidRPr="00300797" w:rsidRDefault="00310578" w:rsidP="005C35E4">
      <w:pPr>
        <w:jc w:val="both"/>
        <w:rPr>
          <w:rFonts w:ascii="Calibri" w:hAnsi="Calibri" w:cs="Calibri"/>
          <w:highlight w:val="yellow"/>
          <w:lang w:val="en-US"/>
        </w:rPr>
      </w:pPr>
    </w:p>
    <w:p w14:paraId="766BAFFF" w14:textId="6B976473" w:rsidR="006023A1" w:rsidRPr="00CD42FA" w:rsidRDefault="00683586" w:rsidP="005C35E4">
      <w:pPr>
        <w:jc w:val="both"/>
        <w:rPr>
          <w:rFonts w:ascii="Calibri" w:hAnsi="Calibri" w:cs="Calibri"/>
          <w:b/>
          <w:bCs/>
          <w:lang w:val="en-US"/>
        </w:rPr>
      </w:pPr>
      <w:r w:rsidRPr="00300797">
        <w:rPr>
          <w:rFonts w:ascii="Calibri" w:hAnsi="Calibri" w:cs="Calibri"/>
          <w:b/>
          <w:bCs/>
          <w:highlight w:val="yellow"/>
          <w:lang w:val="en-US"/>
        </w:rPr>
        <w:t>6</w:t>
      </w:r>
      <w:r w:rsidR="006023A1" w:rsidRPr="00300797">
        <w:rPr>
          <w:rFonts w:ascii="Calibri" w:hAnsi="Calibri" w:cs="Calibri"/>
          <w:b/>
          <w:bCs/>
          <w:highlight w:val="yellow"/>
          <w:lang w:val="en-US"/>
        </w:rPr>
        <w:t>. Quantification of receptor internalization in zebrafish neutrophils</w:t>
      </w:r>
    </w:p>
    <w:p w14:paraId="2E1FB6FE" w14:textId="77777777" w:rsidR="00B77C34" w:rsidRPr="00CD42FA" w:rsidRDefault="00B77C34" w:rsidP="005C35E4">
      <w:pPr>
        <w:jc w:val="both"/>
        <w:rPr>
          <w:rFonts w:ascii="Calibri" w:hAnsi="Calibri" w:cs="Calibri"/>
          <w:lang w:val="en-US"/>
        </w:rPr>
      </w:pPr>
    </w:p>
    <w:p w14:paraId="008C3EBF" w14:textId="77777777" w:rsidR="00BB6C4E" w:rsidRPr="00CD42FA" w:rsidRDefault="00720057" w:rsidP="005C35E4">
      <w:pPr>
        <w:pStyle w:val="ListParagraph"/>
        <w:numPr>
          <w:ilvl w:val="1"/>
          <w:numId w:val="6"/>
        </w:numPr>
        <w:ind w:left="0" w:firstLine="0"/>
        <w:rPr>
          <w:color w:val="auto"/>
        </w:rPr>
      </w:pPr>
      <w:r w:rsidRPr="00CD42FA">
        <w:rPr>
          <w:color w:val="auto"/>
        </w:rPr>
        <w:t xml:space="preserve">Record the time-interval of image acquisition and the pixel size of the image. </w:t>
      </w:r>
      <w:r w:rsidR="00D120D2" w:rsidRPr="00CD42FA">
        <w:rPr>
          <w:color w:val="auto"/>
        </w:rPr>
        <w:t>K</w:t>
      </w:r>
      <w:r w:rsidR="007619FF" w:rsidRPr="00CD42FA">
        <w:rPr>
          <w:color w:val="auto"/>
        </w:rPr>
        <w:t xml:space="preserve">eep </w:t>
      </w:r>
      <w:r w:rsidR="006E5990" w:rsidRPr="00CD42FA">
        <w:rPr>
          <w:color w:val="auto"/>
        </w:rPr>
        <w:t xml:space="preserve">a record of how many minutes </w:t>
      </w:r>
      <w:r w:rsidR="008E4778" w:rsidRPr="00CD42FA">
        <w:rPr>
          <w:color w:val="auto"/>
        </w:rPr>
        <w:t>post-</w:t>
      </w:r>
      <w:r w:rsidR="006E5990" w:rsidRPr="00CD42FA">
        <w:rPr>
          <w:color w:val="auto"/>
        </w:rPr>
        <w:t>wounding the imaging started.</w:t>
      </w:r>
    </w:p>
    <w:p w14:paraId="5766FA42" w14:textId="77777777" w:rsidR="00BB6C4E" w:rsidRPr="00CD42FA" w:rsidRDefault="00BB6C4E" w:rsidP="005C35E4">
      <w:pPr>
        <w:pStyle w:val="ListParagraph"/>
        <w:ind w:left="0"/>
        <w:rPr>
          <w:color w:val="auto"/>
        </w:rPr>
      </w:pPr>
    </w:p>
    <w:p w14:paraId="3348EB57" w14:textId="19B030BB" w:rsidR="00BB6C4E" w:rsidRPr="00CD42FA" w:rsidRDefault="00ED3013" w:rsidP="005C35E4">
      <w:pPr>
        <w:pStyle w:val="ListParagraph"/>
        <w:numPr>
          <w:ilvl w:val="1"/>
          <w:numId w:val="6"/>
        </w:numPr>
        <w:ind w:left="0" w:firstLine="0"/>
        <w:rPr>
          <w:color w:val="auto"/>
        </w:rPr>
      </w:pPr>
      <w:r w:rsidRPr="00CD42FA">
        <w:rPr>
          <w:color w:val="auto"/>
          <w:highlight w:val="yellow"/>
        </w:rPr>
        <w:t xml:space="preserve">Open </w:t>
      </w:r>
      <w:r w:rsidR="00720057" w:rsidRPr="00CD42FA">
        <w:rPr>
          <w:color w:val="auto"/>
          <w:highlight w:val="yellow"/>
        </w:rPr>
        <w:t>the image dataset</w:t>
      </w:r>
      <w:r w:rsidR="00F3160B" w:rsidRPr="00CD42FA">
        <w:rPr>
          <w:color w:val="auto"/>
          <w:highlight w:val="yellow"/>
        </w:rPr>
        <w:t>s</w:t>
      </w:r>
      <w:r w:rsidR="00720057" w:rsidRPr="00CD42FA">
        <w:rPr>
          <w:color w:val="auto"/>
          <w:highlight w:val="yellow"/>
        </w:rPr>
        <w:t xml:space="preserve"> </w:t>
      </w:r>
      <w:r w:rsidRPr="00CD42FA">
        <w:rPr>
          <w:color w:val="auto"/>
          <w:highlight w:val="yellow"/>
        </w:rPr>
        <w:t xml:space="preserve">using </w:t>
      </w:r>
      <w:r w:rsidR="00720057" w:rsidRPr="00CD42FA">
        <w:rPr>
          <w:color w:val="auto"/>
          <w:highlight w:val="yellow"/>
        </w:rPr>
        <w:t xml:space="preserve">Fiji </w:t>
      </w:r>
      <w:r w:rsidRPr="00CD42FA">
        <w:rPr>
          <w:color w:val="auto"/>
          <w:highlight w:val="yellow"/>
        </w:rPr>
        <w:t>by dragging the image onto the software interface</w:t>
      </w:r>
      <w:r w:rsidR="00156CCB" w:rsidRPr="00CD42FA">
        <w:rPr>
          <w:color w:val="auto"/>
          <w:highlight w:val="yellow"/>
        </w:rPr>
        <w:t xml:space="preserve">, select </w:t>
      </w:r>
      <w:r w:rsidR="0083556F" w:rsidRPr="00CD42FA">
        <w:rPr>
          <w:color w:val="auto"/>
          <w:highlight w:val="yellow"/>
        </w:rPr>
        <w:t>a</w:t>
      </w:r>
      <w:r w:rsidR="00156CCB" w:rsidRPr="00CD42FA">
        <w:rPr>
          <w:color w:val="auto"/>
          <w:highlight w:val="yellow"/>
        </w:rPr>
        <w:t xml:space="preserve"> </w:t>
      </w:r>
      <w:r w:rsidR="00B3350C" w:rsidRPr="00CD42FA">
        <w:rPr>
          <w:color w:val="auto"/>
          <w:highlight w:val="yellow"/>
        </w:rPr>
        <w:t xml:space="preserve">representative </w:t>
      </w:r>
      <w:r w:rsidR="00156CCB" w:rsidRPr="00CD42FA">
        <w:rPr>
          <w:color w:val="auto"/>
          <w:highlight w:val="yellow"/>
        </w:rPr>
        <w:t>frame of interest</w:t>
      </w:r>
      <w:r w:rsidR="00F3160B" w:rsidRPr="00CD42FA">
        <w:rPr>
          <w:color w:val="auto"/>
          <w:highlight w:val="yellow"/>
        </w:rPr>
        <w:t xml:space="preserve"> for each dataset</w:t>
      </w:r>
      <w:r w:rsidRPr="00CD42FA">
        <w:rPr>
          <w:color w:val="auto"/>
          <w:highlight w:val="yellow"/>
        </w:rPr>
        <w:t xml:space="preserve"> using the time slider</w:t>
      </w:r>
      <w:r w:rsidR="00B3350C" w:rsidRPr="00CD42FA">
        <w:rPr>
          <w:color w:val="auto"/>
          <w:highlight w:val="yellow"/>
        </w:rPr>
        <w:t>,</w:t>
      </w:r>
      <w:r w:rsidR="00B3350C" w:rsidRPr="00CD42FA">
        <w:rPr>
          <w:color w:val="auto"/>
        </w:rPr>
        <w:t xml:space="preserve"> </w:t>
      </w:r>
      <w:r w:rsidR="0083556F" w:rsidRPr="00CD42FA">
        <w:rPr>
          <w:color w:val="auto"/>
        </w:rPr>
        <w:t>e.g.</w:t>
      </w:r>
      <w:r w:rsidR="00300797">
        <w:rPr>
          <w:color w:val="auto"/>
        </w:rPr>
        <w:t>,</w:t>
      </w:r>
      <w:r w:rsidR="0083556F" w:rsidRPr="00CD42FA">
        <w:rPr>
          <w:color w:val="auto"/>
        </w:rPr>
        <w:t xml:space="preserve"> </w:t>
      </w:r>
      <w:r w:rsidR="00B3350C" w:rsidRPr="00CD42FA">
        <w:rPr>
          <w:color w:val="auto"/>
        </w:rPr>
        <w:t>at 1-1.5 h</w:t>
      </w:r>
      <w:r w:rsidR="00170637" w:rsidRPr="00CD42FA">
        <w:rPr>
          <w:color w:val="auto"/>
        </w:rPr>
        <w:t xml:space="preserve"> post-wound</w:t>
      </w:r>
      <w:r w:rsidR="00C42B11" w:rsidRPr="00CD42FA">
        <w:rPr>
          <w:color w:val="auto"/>
        </w:rPr>
        <w:t>ing</w:t>
      </w:r>
      <w:r w:rsidR="00B3350C" w:rsidRPr="00CD42FA">
        <w:rPr>
          <w:color w:val="auto"/>
        </w:rPr>
        <w:t xml:space="preserve">, </w:t>
      </w:r>
      <w:r w:rsidR="00F3160B" w:rsidRPr="00CD42FA">
        <w:rPr>
          <w:color w:val="auto"/>
          <w:highlight w:val="yellow"/>
        </w:rPr>
        <w:t>and save it.</w:t>
      </w:r>
      <w:r w:rsidR="00F3160B" w:rsidRPr="00CD42FA">
        <w:rPr>
          <w:color w:val="auto"/>
        </w:rPr>
        <w:t xml:space="preserve"> </w:t>
      </w:r>
    </w:p>
    <w:p w14:paraId="4F2114DC" w14:textId="77777777" w:rsidR="00BB6C4E" w:rsidRPr="00CD42FA" w:rsidRDefault="00BB6C4E" w:rsidP="005C35E4">
      <w:pPr>
        <w:pStyle w:val="ListParagraph"/>
        <w:ind w:left="0"/>
        <w:rPr>
          <w:color w:val="auto"/>
        </w:rPr>
      </w:pPr>
    </w:p>
    <w:p w14:paraId="462DEB71" w14:textId="24FDE005" w:rsidR="00BB6C4E" w:rsidRPr="00CD42FA" w:rsidRDefault="00F3160B" w:rsidP="005C35E4">
      <w:pPr>
        <w:pStyle w:val="ListParagraph"/>
        <w:numPr>
          <w:ilvl w:val="1"/>
          <w:numId w:val="6"/>
        </w:numPr>
        <w:ind w:left="0" w:firstLine="0"/>
        <w:rPr>
          <w:color w:val="auto"/>
        </w:rPr>
      </w:pPr>
      <w:r w:rsidRPr="00CD42FA">
        <w:rPr>
          <w:color w:val="auto"/>
        </w:rPr>
        <w:t>Proceed with MATLAB to process the image dataset.</w:t>
      </w:r>
      <w:r w:rsidR="0049398F" w:rsidRPr="00CD42FA">
        <w:rPr>
          <w:color w:val="auto"/>
        </w:rPr>
        <w:t xml:space="preserve"> </w:t>
      </w:r>
    </w:p>
    <w:p w14:paraId="1D77F824" w14:textId="77777777" w:rsidR="00BB6C4E" w:rsidRPr="00CD42FA" w:rsidRDefault="00BB6C4E" w:rsidP="005C35E4">
      <w:pPr>
        <w:pStyle w:val="ListParagraph"/>
        <w:ind w:left="0"/>
        <w:rPr>
          <w:color w:val="auto"/>
        </w:rPr>
      </w:pPr>
    </w:p>
    <w:p w14:paraId="1BFAECC8" w14:textId="114DED9A" w:rsidR="00BB6C4E" w:rsidRPr="00CD42FA" w:rsidRDefault="00ED3013" w:rsidP="005C35E4">
      <w:pPr>
        <w:pStyle w:val="ListParagraph"/>
        <w:numPr>
          <w:ilvl w:val="1"/>
          <w:numId w:val="6"/>
        </w:numPr>
        <w:ind w:left="0" w:firstLine="0"/>
        <w:rPr>
          <w:color w:val="auto"/>
        </w:rPr>
      </w:pPr>
      <w:r w:rsidRPr="00CD42FA">
        <w:rPr>
          <w:color w:val="auto"/>
          <w:highlight w:val="yellow"/>
        </w:rPr>
        <w:t>Create a new script and include functions for image reading</w:t>
      </w:r>
      <w:r w:rsidR="00526C9B" w:rsidRPr="00CD42FA">
        <w:rPr>
          <w:color w:val="auto"/>
        </w:rPr>
        <w:t xml:space="preserve"> (line 6</w:t>
      </w:r>
      <w:r w:rsidR="00C84E31" w:rsidRPr="00CD42FA">
        <w:rPr>
          <w:color w:val="auto"/>
        </w:rPr>
        <w:t xml:space="preserve"> in</w:t>
      </w:r>
      <w:r w:rsidR="002632FF" w:rsidRPr="00CD42FA">
        <w:rPr>
          <w:color w:val="auto"/>
        </w:rPr>
        <w:t xml:space="preserve"> script</w:t>
      </w:r>
      <w:r w:rsidR="00C84E31" w:rsidRPr="00CD42FA">
        <w:rPr>
          <w:color w:val="auto"/>
        </w:rPr>
        <w:t xml:space="preserve"> called</w:t>
      </w:r>
      <w:r w:rsidR="002632FF" w:rsidRPr="00CD42FA">
        <w:rPr>
          <w:color w:val="auto"/>
        </w:rPr>
        <w:t xml:space="preserve"> ‘select_neutrophils.m’ for centroid definition in </w:t>
      </w:r>
      <w:r w:rsidR="002632FF" w:rsidRPr="00CD42FA">
        <w:rPr>
          <w:b/>
          <w:bCs/>
          <w:color w:val="auto"/>
        </w:rPr>
        <w:t>Supplementary File 1</w:t>
      </w:r>
      <w:r w:rsidR="002632FF" w:rsidRPr="00CD42FA">
        <w:rPr>
          <w:color w:val="auto"/>
        </w:rPr>
        <w:t>)</w:t>
      </w:r>
      <w:r w:rsidRPr="00CD42FA">
        <w:rPr>
          <w:color w:val="auto"/>
        </w:rPr>
        <w:t>, opening</w:t>
      </w:r>
      <w:r w:rsidR="00526C9B" w:rsidRPr="00CD42FA">
        <w:rPr>
          <w:color w:val="auto"/>
        </w:rPr>
        <w:t xml:space="preserve"> (line 11</w:t>
      </w:r>
      <w:r w:rsidR="002632FF" w:rsidRPr="00CD42FA">
        <w:rPr>
          <w:color w:val="auto"/>
        </w:rPr>
        <w:t xml:space="preserve"> in </w:t>
      </w:r>
      <w:r w:rsidR="002632FF" w:rsidRPr="00CD42FA">
        <w:rPr>
          <w:b/>
          <w:bCs/>
          <w:color w:val="auto"/>
        </w:rPr>
        <w:t>Supplementary File 1</w:t>
      </w:r>
      <w:r w:rsidR="00526C9B" w:rsidRPr="00CD42FA">
        <w:rPr>
          <w:color w:val="auto"/>
        </w:rPr>
        <w:t>)</w:t>
      </w:r>
      <w:r w:rsidRPr="00CD42FA">
        <w:rPr>
          <w:color w:val="auto"/>
        </w:rPr>
        <w:t xml:space="preserve"> </w:t>
      </w:r>
      <w:r w:rsidRPr="00CD42FA">
        <w:rPr>
          <w:color w:val="auto"/>
          <w:highlight w:val="yellow"/>
        </w:rPr>
        <w:t>and manual selection of points on the image</w:t>
      </w:r>
      <w:r w:rsidR="00526C9B" w:rsidRPr="00CD42FA">
        <w:rPr>
          <w:color w:val="auto"/>
        </w:rPr>
        <w:t xml:space="preserve"> (line 12</w:t>
      </w:r>
      <w:r w:rsidR="002632FF" w:rsidRPr="00CD42FA">
        <w:rPr>
          <w:color w:val="auto"/>
        </w:rPr>
        <w:t xml:space="preserve"> in </w:t>
      </w:r>
      <w:r w:rsidR="002632FF" w:rsidRPr="00CD42FA">
        <w:rPr>
          <w:b/>
          <w:bCs/>
          <w:color w:val="auto"/>
        </w:rPr>
        <w:t>Supplementary File 1</w:t>
      </w:r>
      <w:r w:rsidR="00526C9B" w:rsidRPr="00CD42FA">
        <w:rPr>
          <w:color w:val="auto"/>
        </w:rPr>
        <w:t>)</w:t>
      </w:r>
      <w:r w:rsidRPr="00CD42FA">
        <w:rPr>
          <w:color w:val="auto"/>
        </w:rPr>
        <w:t>.</w:t>
      </w:r>
      <w:r w:rsidR="000A5BBD" w:rsidRPr="00CD42FA">
        <w:rPr>
          <w:color w:val="auto"/>
        </w:rPr>
        <w:t xml:space="preserve"> </w:t>
      </w:r>
    </w:p>
    <w:p w14:paraId="116CBE2C" w14:textId="77777777" w:rsidR="00BB6C4E" w:rsidRPr="00CD42FA" w:rsidRDefault="00BB6C4E" w:rsidP="005C35E4">
      <w:pPr>
        <w:pStyle w:val="ListParagraph"/>
        <w:ind w:left="0"/>
        <w:rPr>
          <w:color w:val="auto"/>
        </w:rPr>
      </w:pPr>
    </w:p>
    <w:p w14:paraId="03A8797A" w14:textId="4672C060" w:rsidR="00D57C84" w:rsidRPr="00CD42FA" w:rsidRDefault="00ED3013" w:rsidP="005C35E4">
      <w:pPr>
        <w:pStyle w:val="ListParagraph"/>
        <w:numPr>
          <w:ilvl w:val="1"/>
          <w:numId w:val="6"/>
        </w:numPr>
        <w:ind w:left="0" w:firstLine="0"/>
        <w:rPr>
          <w:color w:val="auto"/>
        </w:rPr>
      </w:pPr>
      <w:r w:rsidRPr="00CD42FA">
        <w:rPr>
          <w:color w:val="auto"/>
          <w:highlight w:val="yellow"/>
        </w:rPr>
        <w:t xml:space="preserve">Open </w:t>
      </w:r>
      <w:r w:rsidR="00F3160B" w:rsidRPr="00CD42FA">
        <w:rPr>
          <w:color w:val="auto"/>
          <w:highlight w:val="yellow"/>
        </w:rPr>
        <w:t>the frame of interest</w:t>
      </w:r>
      <w:r w:rsidR="003F6E12" w:rsidRPr="00CD42FA">
        <w:rPr>
          <w:color w:val="auto"/>
          <w:highlight w:val="yellow"/>
        </w:rPr>
        <w:t xml:space="preserve"> </w:t>
      </w:r>
      <w:r w:rsidRPr="00CD42FA">
        <w:rPr>
          <w:color w:val="auto"/>
          <w:highlight w:val="yellow"/>
        </w:rPr>
        <w:t xml:space="preserve">by running </w:t>
      </w:r>
      <w:r w:rsidR="00C84E31" w:rsidRPr="00CD42FA">
        <w:rPr>
          <w:color w:val="auto"/>
          <w:highlight w:val="yellow"/>
        </w:rPr>
        <w:t>th</w:t>
      </w:r>
      <w:r w:rsidR="00576BD0" w:rsidRPr="00CD42FA">
        <w:rPr>
          <w:color w:val="auto"/>
          <w:highlight w:val="yellow"/>
        </w:rPr>
        <w:t>is</w:t>
      </w:r>
      <w:r w:rsidR="00C84E31" w:rsidRPr="00CD42FA">
        <w:rPr>
          <w:color w:val="auto"/>
          <w:highlight w:val="yellow"/>
        </w:rPr>
        <w:t xml:space="preserve"> script</w:t>
      </w:r>
      <w:r w:rsidR="00576BD0" w:rsidRPr="00CD42FA">
        <w:rPr>
          <w:color w:val="auto"/>
        </w:rPr>
        <w:t xml:space="preserve"> (</w:t>
      </w:r>
      <w:r w:rsidR="00C84E31" w:rsidRPr="00CD42FA">
        <w:rPr>
          <w:b/>
          <w:bCs/>
          <w:color w:val="auto"/>
        </w:rPr>
        <w:t>Supplementary file 1</w:t>
      </w:r>
      <w:r w:rsidR="00576BD0" w:rsidRPr="00CD42FA">
        <w:rPr>
          <w:color w:val="auto"/>
        </w:rPr>
        <w:t>)</w:t>
      </w:r>
      <w:r w:rsidR="00F3160B" w:rsidRPr="00CD42FA">
        <w:rPr>
          <w:color w:val="auto"/>
        </w:rPr>
        <w:t xml:space="preserve">, </w:t>
      </w:r>
      <w:r w:rsidR="00F3160B" w:rsidRPr="00CD42FA">
        <w:rPr>
          <w:color w:val="auto"/>
          <w:highlight w:val="yellow"/>
        </w:rPr>
        <w:t xml:space="preserve">identify the neutrophils to </w:t>
      </w:r>
      <w:r w:rsidRPr="00CD42FA">
        <w:rPr>
          <w:color w:val="auto"/>
          <w:highlight w:val="yellow"/>
        </w:rPr>
        <w:t>analy</w:t>
      </w:r>
      <w:r w:rsidR="00D57C84" w:rsidRPr="00CD42FA">
        <w:rPr>
          <w:color w:val="auto"/>
          <w:highlight w:val="yellow"/>
        </w:rPr>
        <w:t>z</w:t>
      </w:r>
      <w:r w:rsidRPr="00CD42FA">
        <w:rPr>
          <w:color w:val="auto"/>
          <w:highlight w:val="yellow"/>
        </w:rPr>
        <w:t>e by visual inspection, click on them</w:t>
      </w:r>
      <w:r w:rsidR="00F3160B" w:rsidRPr="00CD42FA">
        <w:rPr>
          <w:color w:val="auto"/>
          <w:highlight w:val="yellow"/>
        </w:rPr>
        <w:t xml:space="preserve"> and record an estimation of their centroids, </w:t>
      </w:r>
      <w:r w:rsidR="00552B4A" w:rsidRPr="00CD42FA">
        <w:rPr>
          <w:color w:val="auto"/>
          <w:highlight w:val="yellow"/>
        </w:rPr>
        <w:t xml:space="preserve">both </w:t>
      </w:r>
      <w:r w:rsidR="00156CCB" w:rsidRPr="00CD42FA">
        <w:rPr>
          <w:color w:val="auto"/>
          <w:highlight w:val="yellow"/>
        </w:rPr>
        <w:t>in</w:t>
      </w:r>
      <w:r w:rsidR="00552B4A" w:rsidRPr="00CD42FA">
        <w:rPr>
          <w:color w:val="auto"/>
          <w:highlight w:val="yellow"/>
        </w:rPr>
        <w:t xml:space="preserve"> the </w:t>
      </w:r>
      <w:r w:rsidR="0083556F" w:rsidRPr="00CD42FA">
        <w:rPr>
          <w:color w:val="auto"/>
          <w:highlight w:val="yellow"/>
        </w:rPr>
        <w:t xml:space="preserve">ventral </w:t>
      </w:r>
      <w:r w:rsidR="00552B4A" w:rsidRPr="00CD42FA">
        <w:rPr>
          <w:color w:val="auto"/>
          <w:highlight w:val="yellow"/>
        </w:rPr>
        <w:t xml:space="preserve">fin </w:t>
      </w:r>
      <w:r w:rsidR="00F33BD0" w:rsidRPr="00CD42FA">
        <w:rPr>
          <w:color w:val="auto"/>
          <w:highlight w:val="yellow"/>
        </w:rPr>
        <w:t xml:space="preserve">wound </w:t>
      </w:r>
      <w:r w:rsidR="00552B4A" w:rsidRPr="00CD42FA">
        <w:rPr>
          <w:color w:val="auto"/>
          <w:highlight w:val="yellow"/>
        </w:rPr>
        <w:t xml:space="preserve">and </w:t>
      </w:r>
      <w:r w:rsidR="00156CCB" w:rsidRPr="00CD42FA">
        <w:rPr>
          <w:color w:val="auto"/>
          <w:highlight w:val="yellow"/>
        </w:rPr>
        <w:t xml:space="preserve">in </w:t>
      </w:r>
      <w:r w:rsidR="00552B4A" w:rsidRPr="00CD42FA">
        <w:rPr>
          <w:color w:val="auto"/>
          <w:highlight w:val="yellow"/>
        </w:rPr>
        <w:t>the CHT.</w:t>
      </w:r>
      <w:r w:rsidR="0083556F" w:rsidRPr="00CD42FA">
        <w:rPr>
          <w:color w:val="auto"/>
        </w:rPr>
        <w:t xml:space="preserve"> </w:t>
      </w:r>
    </w:p>
    <w:p w14:paraId="2349438F" w14:textId="77777777" w:rsidR="00D57C84" w:rsidRPr="00CD42FA" w:rsidRDefault="00D57C84" w:rsidP="005C35E4">
      <w:pPr>
        <w:pStyle w:val="ListParagraph"/>
        <w:ind w:left="0"/>
        <w:rPr>
          <w:color w:val="auto"/>
        </w:rPr>
      </w:pPr>
    </w:p>
    <w:p w14:paraId="68A0BD59" w14:textId="70D59857" w:rsidR="00BB6C4E" w:rsidRPr="00CD42FA" w:rsidRDefault="0083556F" w:rsidP="005C35E4">
      <w:pPr>
        <w:pStyle w:val="ListParagraph"/>
        <w:ind w:left="0"/>
        <w:rPr>
          <w:color w:val="auto"/>
        </w:rPr>
      </w:pPr>
      <w:r w:rsidRPr="00CD42FA">
        <w:rPr>
          <w:color w:val="auto"/>
        </w:rPr>
        <w:lastRenderedPageBreak/>
        <w:t>NOTE: The non-mobili</w:t>
      </w:r>
      <w:r w:rsidR="00C42B11" w:rsidRPr="00CD42FA">
        <w:rPr>
          <w:color w:val="auto"/>
        </w:rPr>
        <w:t>z</w:t>
      </w:r>
      <w:r w:rsidRPr="00CD42FA">
        <w:rPr>
          <w:color w:val="auto"/>
        </w:rPr>
        <w:t>ed neutrophils in the CHT serve as an internal reference for neutrophils whose receptor distribution remains constant. This allows normali</w:t>
      </w:r>
      <w:r w:rsidR="005F4899" w:rsidRPr="00CD42FA">
        <w:rPr>
          <w:color w:val="auto"/>
        </w:rPr>
        <w:t>z</w:t>
      </w:r>
      <w:r w:rsidRPr="00CD42FA">
        <w:rPr>
          <w:color w:val="auto"/>
        </w:rPr>
        <w:t xml:space="preserve">ation of </w:t>
      </w:r>
      <w:r w:rsidR="00F33BD0" w:rsidRPr="00CD42FA">
        <w:rPr>
          <w:color w:val="auto"/>
        </w:rPr>
        <w:t xml:space="preserve">contrast </w:t>
      </w:r>
      <w:r w:rsidRPr="00CD42FA">
        <w:rPr>
          <w:color w:val="auto"/>
        </w:rPr>
        <w:t>values</w:t>
      </w:r>
      <w:r w:rsidR="00F33BD0" w:rsidRPr="00CD42FA">
        <w:rPr>
          <w:color w:val="auto"/>
        </w:rPr>
        <w:t xml:space="preserve"> of cells at the wound</w:t>
      </w:r>
      <w:r w:rsidRPr="00CD42FA">
        <w:rPr>
          <w:color w:val="auto"/>
        </w:rPr>
        <w:t xml:space="preserve"> to an internal reference. </w:t>
      </w:r>
    </w:p>
    <w:p w14:paraId="77243962" w14:textId="77777777" w:rsidR="00BB6C4E" w:rsidRPr="00CD42FA" w:rsidRDefault="00BB6C4E" w:rsidP="005C35E4">
      <w:pPr>
        <w:pStyle w:val="ListParagraph"/>
        <w:ind w:left="0"/>
        <w:rPr>
          <w:color w:val="auto"/>
        </w:rPr>
      </w:pPr>
    </w:p>
    <w:p w14:paraId="715FEE87" w14:textId="25FA16E3" w:rsidR="00BB6C4E" w:rsidRPr="00CD42FA" w:rsidRDefault="00F3160B" w:rsidP="005C35E4">
      <w:pPr>
        <w:pStyle w:val="ListParagraph"/>
        <w:numPr>
          <w:ilvl w:val="1"/>
          <w:numId w:val="6"/>
        </w:numPr>
        <w:ind w:left="0" w:firstLine="0"/>
        <w:rPr>
          <w:color w:val="auto"/>
          <w:highlight w:val="yellow"/>
        </w:rPr>
      </w:pPr>
      <w:r w:rsidRPr="00CD42FA">
        <w:rPr>
          <w:color w:val="auto"/>
          <w:highlight w:val="yellow"/>
        </w:rPr>
        <w:t xml:space="preserve">Proceed with segmentation of </w:t>
      </w:r>
      <w:r w:rsidR="00247529" w:rsidRPr="00CD42FA">
        <w:rPr>
          <w:color w:val="auto"/>
          <w:highlight w:val="yellow"/>
        </w:rPr>
        <w:t xml:space="preserve">the neutrophils </w:t>
      </w:r>
      <w:r w:rsidRPr="00CD42FA">
        <w:rPr>
          <w:color w:val="auto"/>
          <w:highlight w:val="yellow"/>
        </w:rPr>
        <w:t>in</w:t>
      </w:r>
      <w:r w:rsidR="00247529" w:rsidRPr="00CD42FA">
        <w:rPr>
          <w:color w:val="auto"/>
          <w:highlight w:val="yellow"/>
        </w:rPr>
        <w:t xml:space="preserve"> each frame using active contours technique</w:t>
      </w:r>
      <w:r w:rsidR="003D0FBF" w:rsidRPr="00CD42FA">
        <w:rPr>
          <w:color w:val="auto"/>
          <w:highlight w:val="yellow"/>
        </w:rPr>
        <w:fldChar w:fldCharType="begin"/>
      </w:r>
      <w:r w:rsidR="0002471A" w:rsidRPr="00CD42FA">
        <w:rPr>
          <w:color w:val="auto"/>
          <w:highlight w:val="yellow"/>
        </w:rPr>
        <w:instrText xml:space="preserve"> ADDIN ZOTERO_ITEM CSL_CITATION {"citationID":"7AD0kEIk","properties":{"formattedCitation":"\\super 22\\nosupersub{}","plainCitation":"22","noteIndex":0},"citationItems":[{"id":335,"uris":["http://zotero.org/users/5010385/items/6VQ45A2X"],"uri":["http://zotero.org/users/5010385/items/6VQ45A2X"],"itemData":{"id":335,"type":"article-journal","abstract":"We propose a new model for active contours to detect objects in a given image, based on techniques of curve evolution, Mumford-Shah (1989) functional for segmentation and level sets. Our model can detect objects whose boundaries are not necessarily defined by the gradient. We minimize an energy which can be seen as a particular case of the minimal partition problem. In the level set formulation, the problem becomes a \"mean-curvature flow\"-like evolving the active contour, which will stop on the desired boundary. However, the stopping term does not depend on the gradient of the image, as in the classical active contour models, but is instead related to a particular segmentation of the image. We give a numerical algorithm using finite differences. Finally, we present various experimental results and in particular some examples for which the classical snakes methods based on the gradient are not applicable. Also, the initial curve can be anywhere in the image, and interior contours are automatically detected.","container-title":"IEEE Trans Image Process","DOI":"10.1109/83.902291","ISSN":"1057-7149","issue":"2","journalAbbreviation":"IEEE Trans Image Process","language":"eng","note":"PMID: 18249617","page":"266-277","source":"PubMed","title":"Active contours without edges","volume":"10","author":[{"family":"Chan","given":"T. F."},{"family":"Vese","given":"L. A."}],"issued":{"date-parts":[["2001"]]}}}],"schema":"https://github.com/citation-style-language/schema/raw/master/csl-citation.json"} </w:instrText>
      </w:r>
      <w:r w:rsidR="003D0FBF" w:rsidRPr="00CD42FA">
        <w:rPr>
          <w:color w:val="auto"/>
          <w:highlight w:val="yellow"/>
        </w:rPr>
        <w:fldChar w:fldCharType="separate"/>
      </w:r>
      <w:r w:rsidR="0002471A" w:rsidRPr="00CD42FA">
        <w:rPr>
          <w:color w:val="auto"/>
          <w:highlight w:val="yellow"/>
          <w:vertAlign w:val="superscript"/>
        </w:rPr>
        <w:t>22</w:t>
      </w:r>
      <w:r w:rsidR="003D0FBF" w:rsidRPr="00CD42FA">
        <w:rPr>
          <w:color w:val="auto"/>
          <w:highlight w:val="yellow"/>
        </w:rPr>
        <w:fldChar w:fldCharType="end"/>
      </w:r>
      <w:r w:rsidR="00576BD0" w:rsidRPr="00CD42FA">
        <w:rPr>
          <w:color w:val="auto"/>
          <w:highlight w:val="yellow"/>
        </w:rPr>
        <w:t xml:space="preserve"> </w:t>
      </w:r>
      <w:r w:rsidR="00576BD0" w:rsidRPr="00CD42FA">
        <w:rPr>
          <w:color w:val="auto"/>
        </w:rPr>
        <w:t>as described in steps below</w:t>
      </w:r>
      <w:r w:rsidR="00BB6C4E" w:rsidRPr="00CD42FA">
        <w:rPr>
          <w:color w:val="auto"/>
        </w:rPr>
        <w:t>.</w:t>
      </w:r>
    </w:p>
    <w:p w14:paraId="18DA6716" w14:textId="77777777" w:rsidR="00BB6C4E" w:rsidRPr="00CD42FA" w:rsidRDefault="00BB6C4E" w:rsidP="005C35E4">
      <w:pPr>
        <w:pStyle w:val="ListParagraph"/>
        <w:ind w:left="0"/>
        <w:rPr>
          <w:color w:val="auto"/>
        </w:rPr>
      </w:pPr>
    </w:p>
    <w:p w14:paraId="2AFB5C45" w14:textId="4F7567EF" w:rsidR="00BB6C4E" w:rsidRPr="00CD42FA" w:rsidRDefault="00720057" w:rsidP="005C35E4">
      <w:pPr>
        <w:pStyle w:val="ListParagraph"/>
        <w:numPr>
          <w:ilvl w:val="1"/>
          <w:numId w:val="6"/>
        </w:numPr>
        <w:ind w:left="0" w:firstLine="0"/>
        <w:rPr>
          <w:color w:val="auto"/>
        </w:rPr>
      </w:pPr>
      <w:r w:rsidRPr="00CD42FA">
        <w:rPr>
          <w:color w:val="auto"/>
        </w:rPr>
        <w:t xml:space="preserve">Create a function to include the </w:t>
      </w:r>
      <w:r w:rsidR="00157CBD" w:rsidRPr="00CD42FA">
        <w:rPr>
          <w:color w:val="auto"/>
        </w:rPr>
        <w:t xml:space="preserve">metadata required for segmentation by active contours </w:t>
      </w:r>
      <w:r w:rsidR="00247529" w:rsidRPr="00CD42FA">
        <w:rPr>
          <w:color w:val="auto"/>
        </w:rPr>
        <w:t>(i.e.</w:t>
      </w:r>
      <w:r w:rsidR="003602D9" w:rsidRPr="00CD42FA">
        <w:rPr>
          <w:color w:val="auto"/>
        </w:rPr>
        <w:t>,</w:t>
      </w:r>
      <w:r w:rsidR="00247529" w:rsidRPr="00CD42FA">
        <w:rPr>
          <w:color w:val="auto"/>
        </w:rPr>
        <w:t xml:space="preserve"> number of iterations, bias of contour</w:t>
      </w:r>
      <w:r w:rsidR="00157CBD" w:rsidRPr="00CD42FA">
        <w:rPr>
          <w:color w:val="auto"/>
        </w:rPr>
        <w:t>, estimated centroid etc)</w:t>
      </w:r>
      <w:r w:rsidR="00157CBD" w:rsidRPr="00CD42FA">
        <w:rPr>
          <w:color w:val="auto"/>
        </w:rPr>
        <w:fldChar w:fldCharType="begin"/>
      </w:r>
      <w:r w:rsidR="00157CBD" w:rsidRPr="00CD42FA">
        <w:rPr>
          <w:color w:val="auto"/>
        </w:rPr>
        <w:instrText xml:space="preserve"> ADDIN ZOTERO_ITEM CSL_CITATION {"citationID":"7AD0kEIk","properties":{"formattedCitation":"\\super 22\\nosupersub{}","plainCitation":"22","noteIndex":0},"citationItems":[{"id":335,"uris":["http://zotero.org/users/5010385/items/6VQ45A2X"],"uri":["http://zotero.org/users/5010385/items/6VQ45A2X"],"itemData":{"id":335,"type":"article-journal","abstract":"We propose a new model for active contours to detect objects in a given image, based on techniques of curve evolution, Mumford-Shah (1989) functional for segmentation and level sets. Our model can detect objects whose boundaries are not necessarily defined by the gradient. We minimize an energy which can be seen as a particular case of the minimal partition problem. In the level set formulation, the problem becomes a \"mean-curvature flow\"-like evolving the active contour, which will stop on the desired boundary. However, the stopping term does not depend on the gradient of the image, as in the classical active contour models, but is instead related to a particular segmentation of the image. We give a numerical algorithm using finite differences. Finally, we present various experimental results and in particular some examples for which the classical snakes methods based on the gradient are not applicable. Also, the initial curve can be anywhere in the image, and interior contours are automatically detected.","container-title":"IEEE Trans Image Process","DOI":"10.1109/83.902291","ISSN":"1057-7149","issue":"2","journalAbbreviation":"IEEE Trans Image Process","language":"eng","note":"PMID: 18249617","page":"266-277","source":"PubMed","title":"Active contours without edges","volume":"10","author":[{"family":"Chan","given":"T. F."},{"family":"Vese","given":"L. A."}],"issued":{"date-parts":[["2001"]]}}}],"schema":"https://github.com/citation-style-language/schema/raw/master/csl-citation.json"} </w:instrText>
      </w:r>
      <w:r w:rsidR="00157CBD" w:rsidRPr="00CD42FA">
        <w:rPr>
          <w:color w:val="auto"/>
        </w:rPr>
        <w:fldChar w:fldCharType="separate"/>
      </w:r>
      <w:r w:rsidR="00157CBD" w:rsidRPr="00CD42FA">
        <w:rPr>
          <w:color w:val="auto"/>
          <w:vertAlign w:val="superscript"/>
        </w:rPr>
        <w:t>22</w:t>
      </w:r>
      <w:r w:rsidR="00157CBD" w:rsidRPr="00CD42FA">
        <w:rPr>
          <w:color w:val="auto"/>
        </w:rPr>
        <w:fldChar w:fldCharType="end"/>
      </w:r>
      <w:r w:rsidR="00157CBD" w:rsidRPr="00CD42FA">
        <w:rPr>
          <w:color w:val="auto"/>
        </w:rPr>
        <w:t xml:space="preserve"> (see ‘wound data.m’ in </w:t>
      </w:r>
      <w:r w:rsidR="00157CBD" w:rsidRPr="00CD42FA">
        <w:rPr>
          <w:b/>
          <w:bCs/>
          <w:color w:val="auto"/>
        </w:rPr>
        <w:t xml:space="preserve">Supplementary </w:t>
      </w:r>
      <w:r w:rsidR="003602D9" w:rsidRPr="00CD42FA">
        <w:rPr>
          <w:b/>
          <w:bCs/>
          <w:color w:val="auto"/>
        </w:rPr>
        <w:t>F</w:t>
      </w:r>
      <w:r w:rsidR="00157CBD" w:rsidRPr="00CD42FA">
        <w:rPr>
          <w:b/>
          <w:bCs/>
          <w:color w:val="auto"/>
        </w:rPr>
        <w:t>ile 2</w:t>
      </w:r>
      <w:r w:rsidR="00157CBD" w:rsidRPr="00CD42FA">
        <w:rPr>
          <w:color w:val="auto"/>
        </w:rPr>
        <w:t>).</w:t>
      </w:r>
    </w:p>
    <w:p w14:paraId="303C21FB" w14:textId="77777777" w:rsidR="00BB6C4E" w:rsidRPr="00CD42FA" w:rsidRDefault="00BB6C4E" w:rsidP="005C35E4">
      <w:pPr>
        <w:pStyle w:val="ListParagraph"/>
        <w:ind w:left="0"/>
        <w:rPr>
          <w:color w:val="auto"/>
        </w:rPr>
      </w:pPr>
    </w:p>
    <w:p w14:paraId="029C6EB8" w14:textId="65E01A4A" w:rsidR="00BB6C4E" w:rsidRPr="00CD42FA" w:rsidRDefault="00247529" w:rsidP="005C35E4">
      <w:pPr>
        <w:pStyle w:val="ListParagraph"/>
        <w:numPr>
          <w:ilvl w:val="1"/>
          <w:numId w:val="6"/>
        </w:numPr>
        <w:ind w:left="0" w:firstLine="0"/>
        <w:rPr>
          <w:color w:val="auto"/>
        </w:rPr>
      </w:pPr>
      <w:r w:rsidRPr="00CD42FA">
        <w:rPr>
          <w:color w:val="auto"/>
        </w:rPr>
        <w:t xml:space="preserve">Create a script that calls the function </w:t>
      </w:r>
      <w:r w:rsidR="0083556F" w:rsidRPr="00CD42FA">
        <w:rPr>
          <w:color w:val="auto"/>
        </w:rPr>
        <w:t>‘</w:t>
      </w:r>
      <w:r w:rsidR="00EC5D29" w:rsidRPr="00CD42FA">
        <w:rPr>
          <w:color w:val="auto"/>
        </w:rPr>
        <w:t>wound</w:t>
      </w:r>
      <w:r w:rsidRPr="00CD42FA">
        <w:rPr>
          <w:color w:val="auto"/>
        </w:rPr>
        <w:t>_data.m</w:t>
      </w:r>
      <w:r w:rsidR="0083556F" w:rsidRPr="00CD42FA">
        <w:rPr>
          <w:color w:val="auto"/>
        </w:rPr>
        <w:t>’</w:t>
      </w:r>
      <w:r w:rsidRPr="00CD42FA">
        <w:rPr>
          <w:color w:val="auto"/>
        </w:rPr>
        <w:t xml:space="preserve"> to </w:t>
      </w:r>
      <w:r w:rsidR="0005465F" w:rsidRPr="00CD42FA">
        <w:rPr>
          <w:color w:val="auto"/>
        </w:rPr>
        <w:t xml:space="preserve">input </w:t>
      </w:r>
      <w:r w:rsidRPr="00CD42FA">
        <w:rPr>
          <w:color w:val="auto"/>
        </w:rPr>
        <w:t xml:space="preserve">the necessary information for </w:t>
      </w:r>
      <w:r w:rsidR="00F32865" w:rsidRPr="00CD42FA">
        <w:rPr>
          <w:color w:val="auto"/>
        </w:rPr>
        <w:t xml:space="preserve">segmentation of </w:t>
      </w:r>
      <w:r w:rsidRPr="00CD42FA">
        <w:rPr>
          <w:color w:val="auto"/>
        </w:rPr>
        <w:t>each neutrophil</w:t>
      </w:r>
      <w:r w:rsidR="007038A9" w:rsidRPr="00CD42FA">
        <w:rPr>
          <w:color w:val="auto"/>
        </w:rPr>
        <w:t xml:space="preserve"> (line 28</w:t>
      </w:r>
      <w:r w:rsidR="0005465F" w:rsidRPr="00CD42FA">
        <w:rPr>
          <w:color w:val="auto"/>
        </w:rPr>
        <w:t xml:space="preserve"> in </w:t>
      </w:r>
      <w:r w:rsidR="00F33BD0" w:rsidRPr="00CD42FA">
        <w:rPr>
          <w:color w:val="auto"/>
        </w:rPr>
        <w:t>script called ‘calc_</w:t>
      </w:r>
      <w:r w:rsidR="008858C7" w:rsidRPr="00CD42FA">
        <w:rPr>
          <w:color w:val="auto"/>
        </w:rPr>
        <w:t>contrast</w:t>
      </w:r>
      <w:r w:rsidR="00F33BD0" w:rsidRPr="00CD42FA">
        <w:rPr>
          <w:color w:val="auto"/>
        </w:rPr>
        <w:t xml:space="preserve">.m’ in </w:t>
      </w:r>
      <w:r w:rsidR="00F33BD0" w:rsidRPr="00CD42FA">
        <w:rPr>
          <w:b/>
          <w:bCs/>
          <w:color w:val="auto"/>
        </w:rPr>
        <w:t xml:space="preserve">Supplementary </w:t>
      </w:r>
      <w:r w:rsidR="003602D9" w:rsidRPr="00CD42FA">
        <w:rPr>
          <w:b/>
          <w:bCs/>
          <w:color w:val="auto"/>
        </w:rPr>
        <w:t>F</w:t>
      </w:r>
      <w:r w:rsidR="00F33BD0" w:rsidRPr="00CD42FA">
        <w:rPr>
          <w:b/>
          <w:bCs/>
          <w:color w:val="auto"/>
        </w:rPr>
        <w:t>ile 3</w:t>
      </w:r>
      <w:r w:rsidR="007038A9" w:rsidRPr="00CD42FA">
        <w:rPr>
          <w:color w:val="auto"/>
        </w:rPr>
        <w:t>)</w:t>
      </w:r>
      <w:r w:rsidR="007309BD" w:rsidRPr="00CD42FA">
        <w:rPr>
          <w:color w:val="auto"/>
        </w:rPr>
        <w:t xml:space="preserve">. </w:t>
      </w:r>
    </w:p>
    <w:p w14:paraId="66FBB62F" w14:textId="77777777" w:rsidR="00BB6C4E" w:rsidRPr="00CD42FA" w:rsidRDefault="00BB6C4E" w:rsidP="005C35E4">
      <w:pPr>
        <w:pStyle w:val="ListParagraph"/>
        <w:ind w:left="0"/>
        <w:rPr>
          <w:color w:val="auto"/>
        </w:rPr>
      </w:pPr>
    </w:p>
    <w:p w14:paraId="70CFA24A" w14:textId="3A119BAF" w:rsidR="00BB6C4E" w:rsidRPr="00CD42FA" w:rsidRDefault="00247529" w:rsidP="005C35E4">
      <w:pPr>
        <w:pStyle w:val="ListParagraph"/>
        <w:numPr>
          <w:ilvl w:val="1"/>
          <w:numId w:val="6"/>
        </w:numPr>
        <w:ind w:left="0" w:firstLine="0"/>
        <w:rPr>
          <w:color w:val="auto"/>
        </w:rPr>
      </w:pPr>
      <w:r w:rsidRPr="00CD42FA">
        <w:rPr>
          <w:color w:val="auto"/>
        </w:rPr>
        <w:t xml:space="preserve">Include in the script </w:t>
      </w:r>
      <w:r w:rsidR="00C504A4" w:rsidRPr="00CD42FA">
        <w:rPr>
          <w:color w:val="auto"/>
        </w:rPr>
        <w:t xml:space="preserve">commands for </w:t>
      </w:r>
      <w:r w:rsidRPr="00CD42FA">
        <w:rPr>
          <w:color w:val="auto"/>
        </w:rPr>
        <w:t xml:space="preserve">image reading </w:t>
      </w:r>
      <w:r w:rsidR="009E3E1C" w:rsidRPr="00CD42FA">
        <w:rPr>
          <w:color w:val="auto"/>
        </w:rPr>
        <w:t>(line 32</w:t>
      </w:r>
      <w:r w:rsidR="002632FF" w:rsidRPr="00CD42FA">
        <w:rPr>
          <w:color w:val="auto"/>
        </w:rPr>
        <w:t xml:space="preserve"> in </w:t>
      </w:r>
      <w:r w:rsidR="002632FF" w:rsidRPr="00CD42FA">
        <w:rPr>
          <w:b/>
          <w:bCs/>
          <w:color w:val="auto"/>
        </w:rPr>
        <w:t xml:space="preserve">Supplementary </w:t>
      </w:r>
      <w:r w:rsidR="003602D9" w:rsidRPr="00CD42FA">
        <w:rPr>
          <w:b/>
          <w:bCs/>
          <w:color w:val="auto"/>
        </w:rPr>
        <w:t>F</w:t>
      </w:r>
      <w:r w:rsidR="002632FF" w:rsidRPr="00CD42FA">
        <w:rPr>
          <w:b/>
          <w:bCs/>
          <w:color w:val="auto"/>
        </w:rPr>
        <w:t>ile 3</w:t>
      </w:r>
      <w:r w:rsidR="009E3E1C" w:rsidRPr="00CD42FA">
        <w:rPr>
          <w:color w:val="auto"/>
        </w:rPr>
        <w:t>)</w:t>
      </w:r>
      <w:r w:rsidR="00291182" w:rsidRPr="00CD42FA">
        <w:rPr>
          <w:color w:val="auto"/>
        </w:rPr>
        <w:t>.</w:t>
      </w:r>
    </w:p>
    <w:p w14:paraId="17E08B84" w14:textId="77777777" w:rsidR="00BB6C4E" w:rsidRPr="00CD42FA" w:rsidRDefault="00BB6C4E" w:rsidP="005C35E4">
      <w:pPr>
        <w:pStyle w:val="ListParagraph"/>
        <w:ind w:left="0"/>
        <w:rPr>
          <w:color w:val="auto"/>
        </w:rPr>
      </w:pPr>
    </w:p>
    <w:p w14:paraId="7BADE88C" w14:textId="38021831" w:rsidR="00BB6C4E" w:rsidRPr="00CD42FA" w:rsidRDefault="00697805" w:rsidP="005C35E4">
      <w:pPr>
        <w:pStyle w:val="ListParagraph"/>
        <w:numPr>
          <w:ilvl w:val="1"/>
          <w:numId w:val="6"/>
        </w:numPr>
        <w:ind w:left="0" w:firstLine="0"/>
        <w:rPr>
          <w:color w:val="auto"/>
        </w:rPr>
      </w:pPr>
      <w:r w:rsidRPr="00CD42FA">
        <w:rPr>
          <w:color w:val="auto"/>
        </w:rPr>
        <w:t xml:space="preserve"> </w:t>
      </w:r>
      <w:r w:rsidR="00576BD0" w:rsidRPr="00CD42FA">
        <w:rPr>
          <w:color w:val="auto"/>
        </w:rPr>
        <w:t>Add</w:t>
      </w:r>
      <w:r w:rsidRPr="00CD42FA">
        <w:rPr>
          <w:color w:val="auto"/>
        </w:rPr>
        <w:t xml:space="preserve"> the generation of</w:t>
      </w:r>
      <w:r w:rsidR="00247529" w:rsidRPr="00CD42FA">
        <w:rPr>
          <w:color w:val="auto"/>
        </w:rPr>
        <w:t xml:space="preserve"> a black </w:t>
      </w:r>
      <w:r w:rsidR="00C504A4" w:rsidRPr="00CD42FA">
        <w:rPr>
          <w:color w:val="auto"/>
        </w:rPr>
        <w:t xml:space="preserve">image </w:t>
      </w:r>
      <w:r w:rsidR="00247529" w:rsidRPr="00CD42FA">
        <w:rPr>
          <w:color w:val="auto"/>
        </w:rPr>
        <w:t xml:space="preserve">(i.e. image </w:t>
      </w:r>
      <w:r w:rsidR="00C504A4" w:rsidRPr="00CD42FA">
        <w:rPr>
          <w:color w:val="auto"/>
        </w:rPr>
        <w:t>where pixel values are</w:t>
      </w:r>
      <w:r w:rsidR="00247529" w:rsidRPr="00CD42FA">
        <w:rPr>
          <w:color w:val="auto"/>
        </w:rPr>
        <w:t xml:space="preserve"> zeros) </w:t>
      </w:r>
      <w:r w:rsidR="00F3160B" w:rsidRPr="00CD42FA">
        <w:rPr>
          <w:color w:val="auto"/>
        </w:rPr>
        <w:t xml:space="preserve">with </w:t>
      </w:r>
      <w:r w:rsidR="00C504A4" w:rsidRPr="00CD42FA">
        <w:rPr>
          <w:color w:val="auto"/>
        </w:rPr>
        <w:t xml:space="preserve">an equal </w:t>
      </w:r>
      <w:r w:rsidR="00F3160B" w:rsidRPr="00CD42FA">
        <w:rPr>
          <w:color w:val="auto"/>
        </w:rPr>
        <w:t xml:space="preserve">size </w:t>
      </w:r>
      <w:r w:rsidR="00C504A4" w:rsidRPr="00CD42FA">
        <w:rPr>
          <w:color w:val="auto"/>
        </w:rPr>
        <w:t>to the input image</w:t>
      </w:r>
      <w:r w:rsidR="009E3E1C" w:rsidRPr="00CD42FA">
        <w:rPr>
          <w:color w:val="auto"/>
        </w:rPr>
        <w:t xml:space="preserve"> (line 4</w:t>
      </w:r>
      <w:r w:rsidR="00B738C0" w:rsidRPr="00CD42FA">
        <w:rPr>
          <w:color w:val="auto"/>
        </w:rPr>
        <w:t>4</w:t>
      </w:r>
      <w:r w:rsidR="002632FF" w:rsidRPr="00CD42FA">
        <w:rPr>
          <w:color w:val="auto"/>
        </w:rPr>
        <w:t xml:space="preserve"> in </w:t>
      </w:r>
      <w:r w:rsidR="002632FF" w:rsidRPr="00CD42FA">
        <w:rPr>
          <w:b/>
          <w:bCs/>
          <w:color w:val="auto"/>
        </w:rPr>
        <w:t xml:space="preserve">Supplementary </w:t>
      </w:r>
      <w:r w:rsidR="003602D9" w:rsidRPr="00CD42FA">
        <w:rPr>
          <w:b/>
          <w:bCs/>
          <w:color w:val="auto"/>
        </w:rPr>
        <w:t>F</w:t>
      </w:r>
      <w:r w:rsidR="002632FF" w:rsidRPr="00CD42FA">
        <w:rPr>
          <w:b/>
          <w:bCs/>
          <w:color w:val="auto"/>
        </w:rPr>
        <w:t>ile 3</w:t>
      </w:r>
      <w:r w:rsidR="009E3E1C" w:rsidRPr="00CD42FA">
        <w:rPr>
          <w:color w:val="auto"/>
        </w:rPr>
        <w:t>)</w:t>
      </w:r>
      <w:r w:rsidR="00576BD0" w:rsidRPr="00CD42FA">
        <w:rPr>
          <w:color w:val="auto"/>
        </w:rPr>
        <w:t xml:space="preserve"> and the </w:t>
      </w:r>
      <w:r w:rsidR="00C504A4" w:rsidRPr="00CD42FA">
        <w:rPr>
          <w:color w:val="auto"/>
        </w:rPr>
        <w:t xml:space="preserve">definition of </w:t>
      </w:r>
      <w:r w:rsidR="00247529" w:rsidRPr="00CD42FA">
        <w:rPr>
          <w:color w:val="auto"/>
        </w:rPr>
        <w:t>a square of 10</w:t>
      </w:r>
      <w:r w:rsidR="00D57C84" w:rsidRPr="00CD42FA">
        <w:rPr>
          <w:color w:val="auto"/>
        </w:rPr>
        <w:t xml:space="preserve"> </w:t>
      </w:r>
      <w:r w:rsidR="00943629" w:rsidRPr="00CD42FA">
        <w:rPr>
          <w:color w:val="auto"/>
        </w:rPr>
        <w:t>×</w:t>
      </w:r>
      <w:r w:rsidR="00D57C84" w:rsidRPr="00CD42FA">
        <w:rPr>
          <w:color w:val="auto"/>
        </w:rPr>
        <w:t xml:space="preserve"> </w:t>
      </w:r>
      <w:r w:rsidR="00247529" w:rsidRPr="00CD42FA">
        <w:rPr>
          <w:color w:val="auto"/>
        </w:rPr>
        <w:t xml:space="preserve">10 pixels </w:t>
      </w:r>
      <w:r w:rsidR="00F3160B" w:rsidRPr="00CD42FA">
        <w:rPr>
          <w:color w:val="auto"/>
        </w:rPr>
        <w:t xml:space="preserve">around the centroid </w:t>
      </w:r>
      <w:r w:rsidR="00247529" w:rsidRPr="00CD42FA">
        <w:rPr>
          <w:color w:val="auto"/>
        </w:rPr>
        <w:t>of each neutrophil</w:t>
      </w:r>
      <w:r w:rsidR="009E3E1C" w:rsidRPr="00CD42FA">
        <w:rPr>
          <w:color w:val="auto"/>
        </w:rPr>
        <w:t xml:space="preserve"> (line 4</w:t>
      </w:r>
      <w:r w:rsidR="00B738C0" w:rsidRPr="00CD42FA">
        <w:rPr>
          <w:color w:val="auto"/>
        </w:rPr>
        <w:t>5</w:t>
      </w:r>
      <w:r w:rsidR="0051530C" w:rsidRPr="00CD42FA">
        <w:rPr>
          <w:color w:val="auto"/>
        </w:rPr>
        <w:t xml:space="preserve"> in </w:t>
      </w:r>
      <w:r w:rsidR="0051530C" w:rsidRPr="00CD42FA">
        <w:rPr>
          <w:b/>
          <w:bCs/>
          <w:color w:val="auto"/>
        </w:rPr>
        <w:t xml:space="preserve">Supplementary </w:t>
      </w:r>
      <w:r w:rsidR="003602D9" w:rsidRPr="00CD42FA">
        <w:rPr>
          <w:b/>
          <w:bCs/>
          <w:color w:val="auto"/>
        </w:rPr>
        <w:t>F</w:t>
      </w:r>
      <w:r w:rsidR="0051530C" w:rsidRPr="00CD42FA">
        <w:rPr>
          <w:b/>
          <w:bCs/>
          <w:color w:val="auto"/>
        </w:rPr>
        <w:t>ile 3</w:t>
      </w:r>
      <w:r w:rsidR="009E3E1C" w:rsidRPr="00CD42FA">
        <w:rPr>
          <w:color w:val="auto"/>
        </w:rPr>
        <w:t>)</w:t>
      </w:r>
      <w:r w:rsidR="00247529" w:rsidRPr="00CD42FA">
        <w:rPr>
          <w:color w:val="auto"/>
        </w:rPr>
        <w:t>.</w:t>
      </w:r>
    </w:p>
    <w:p w14:paraId="345996ED" w14:textId="77777777" w:rsidR="00BB6C4E" w:rsidRPr="00CD42FA" w:rsidRDefault="00BB6C4E" w:rsidP="005C35E4">
      <w:pPr>
        <w:pStyle w:val="ListParagraph"/>
        <w:ind w:left="0"/>
        <w:rPr>
          <w:color w:val="auto"/>
        </w:rPr>
      </w:pPr>
    </w:p>
    <w:p w14:paraId="51586C2E" w14:textId="3B52F61A" w:rsidR="00D57C84" w:rsidRPr="00CD42FA" w:rsidRDefault="00697805" w:rsidP="005C35E4">
      <w:pPr>
        <w:pStyle w:val="ListParagraph"/>
        <w:numPr>
          <w:ilvl w:val="1"/>
          <w:numId w:val="6"/>
        </w:numPr>
        <w:ind w:left="0" w:firstLine="0"/>
        <w:rPr>
          <w:color w:val="auto"/>
        </w:rPr>
      </w:pPr>
      <w:r w:rsidRPr="00CD42FA">
        <w:rPr>
          <w:color w:val="auto"/>
        </w:rPr>
        <w:t xml:space="preserve">Include the neutrophil </w:t>
      </w:r>
      <w:r w:rsidR="00247529" w:rsidRPr="00CD42FA">
        <w:rPr>
          <w:color w:val="auto"/>
        </w:rPr>
        <w:t xml:space="preserve">segmentation </w:t>
      </w:r>
      <w:r w:rsidR="0094693D" w:rsidRPr="00CD42FA">
        <w:rPr>
          <w:color w:val="auto"/>
        </w:rPr>
        <w:t>using active contours</w:t>
      </w:r>
      <w:r w:rsidR="009E3E1C" w:rsidRPr="00CD42FA">
        <w:rPr>
          <w:color w:val="auto"/>
        </w:rPr>
        <w:t xml:space="preserve"> (lines </w:t>
      </w:r>
      <w:r w:rsidR="00B738C0" w:rsidRPr="00CD42FA">
        <w:rPr>
          <w:color w:val="auto"/>
        </w:rPr>
        <w:t>48-49</w:t>
      </w:r>
      <w:r w:rsidR="002632FF" w:rsidRPr="00CD42FA">
        <w:rPr>
          <w:color w:val="auto"/>
        </w:rPr>
        <w:t xml:space="preserve"> in Supplementary file 3</w:t>
      </w:r>
      <w:r w:rsidR="009E3E1C" w:rsidRPr="00CD42FA">
        <w:rPr>
          <w:color w:val="auto"/>
        </w:rPr>
        <w:t>)</w:t>
      </w:r>
      <w:r w:rsidR="00585A08" w:rsidRPr="00CD42FA">
        <w:rPr>
          <w:color w:val="auto"/>
        </w:rPr>
        <w:t xml:space="preserve"> and the removal of small false detected objects (line 5</w:t>
      </w:r>
      <w:r w:rsidR="00B738C0" w:rsidRPr="00CD42FA">
        <w:rPr>
          <w:color w:val="auto"/>
        </w:rPr>
        <w:t>2</w:t>
      </w:r>
      <w:r w:rsidR="002632FF" w:rsidRPr="00CD42FA">
        <w:rPr>
          <w:color w:val="auto"/>
        </w:rPr>
        <w:t xml:space="preserve"> in </w:t>
      </w:r>
      <w:r w:rsidR="002632FF" w:rsidRPr="00CD42FA">
        <w:rPr>
          <w:b/>
          <w:bCs/>
          <w:color w:val="auto"/>
        </w:rPr>
        <w:t xml:space="preserve">Supplementary </w:t>
      </w:r>
      <w:r w:rsidR="003602D9" w:rsidRPr="00CD42FA">
        <w:rPr>
          <w:b/>
          <w:bCs/>
          <w:color w:val="auto"/>
        </w:rPr>
        <w:t>F</w:t>
      </w:r>
      <w:r w:rsidR="002632FF" w:rsidRPr="00CD42FA">
        <w:rPr>
          <w:b/>
          <w:bCs/>
          <w:color w:val="auto"/>
        </w:rPr>
        <w:t>ile 3</w:t>
      </w:r>
      <w:r w:rsidR="00585A08" w:rsidRPr="00CD42FA">
        <w:rPr>
          <w:color w:val="auto"/>
        </w:rPr>
        <w:t>)</w:t>
      </w:r>
      <w:r w:rsidR="00943629" w:rsidRPr="00CD42FA">
        <w:rPr>
          <w:color w:val="auto"/>
        </w:rPr>
        <w:t>.</w:t>
      </w:r>
      <w:r w:rsidR="00F32865" w:rsidRPr="00CD42FA">
        <w:rPr>
          <w:color w:val="auto"/>
        </w:rPr>
        <w:t xml:space="preserve"> </w:t>
      </w:r>
    </w:p>
    <w:p w14:paraId="724E7A1B" w14:textId="77777777" w:rsidR="00D57C84" w:rsidRPr="00CD42FA" w:rsidRDefault="00D57C84" w:rsidP="005C35E4">
      <w:pPr>
        <w:pStyle w:val="ListParagraph"/>
        <w:ind w:left="0"/>
        <w:rPr>
          <w:color w:val="auto"/>
        </w:rPr>
      </w:pPr>
    </w:p>
    <w:p w14:paraId="0CAFC12C" w14:textId="2C434B32" w:rsidR="00BB6C4E" w:rsidRPr="00CD42FA" w:rsidRDefault="00943629" w:rsidP="005C35E4">
      <w:pPr>
        <w:pStyle w:val="ListParagraph"/>
        <w:ind w:left="0"/>
        <w:rPr>
          <w:color w:val="auto"/>
        </w:rPr>
      </w:pPr>
      <w:r w:rsidRPr="00CD42FA">
        <w:rPr>
          <w:color w:val="auto"/>
        </w:rPr>
        <w:t>NOTE: T</w:t>
      </w:r>
      <w:r w:rsidR="00F32865" w:rsidRPr="00CD42FA">
        <w:rPr>
          <w:color w:val="auto"/>
        </w:rPr>
        <w:t xml:space="preserve">he initial segmentation contour is the square around the centroid, which </w:t>
      </w:r>
      <w:r w:rsidR="00D57463" w:rsidRPr="00CD42FA">
        <w:rPr>
          <w:color w:val="auto"/>
        </w:rPr>
        <w:t xml:space="preserve">evolves by </w:t>
      </w:r>
      <w:r w:rsidR="00F32865" w:rsidRPr="00CD42FA">
        <w:rPr>
          <w:color w:val="auto"/>
        </w:rPr>
        <w:t xml:space="preserve">active contour technique based on the pixel intensities, the number </w:t>
      </w:r>
      <w:r w:rsidR="00C42B11" w:rsidRPr="00CD42FA">
        <w:rPr>
          <w:color w:val="auto"/>
        </w:rPr>
        <w:t>o</w:t>
      </w:r>
      <w:r w:rsidR="00F32865" w:rsidRPr="00CD42FA">
        <w:rPr>
          <w:color w:val="auto"/>
        </w:rPr>
        <w:t>f iterations and the bias of contour.</w:t>
      </w:r>
      <w:r w:rsidR="00D57463" w:rsidRPr="00CD42FA">
        <w:rPr>
          <w:color w:val="auto"/>
        </w:rPr>
        <w:t xml:space="preserve"> </w:t>
      </w:r>
      <w:r w:rsidR="0034679F" w:rsidRPr="00CD42FA">
        <w:rPr>
          <w:color w:val="auto"/>
          <w:highlight w:val="yellow"/>
        </w:rPr>
        <w:t>The result of segmentation is a binary mask where all pixels have value 0 apart from the neutrophil area whose pixels have value 1.</w:t>
      </w:r>
      <w:r w:rsidR="0034679F" w:rsidRPr="00CD42FA">
        <w:rPr>
          <w:color w:val="auto"/>
        </w:rPr>
        <w:t xml:space="preserve"> </w:t>
      </w:r>
    </w:p>
    <w:p w14:paraId="0792D95A" w14:textId="77777777" w:rsidR="00BB6C4E" w:rsidRPr="00CD42FA" w:rsidRDefault="00BB6C4E" w:rsidP="005C35E4">
      <w:pPr>
        <w:pStyle w:val="ListParagraph"/>
        <w:ind w:left="0"/>
        <w:rPr>
          <w:color w:val="auto"/>
        </w:rPr>
      </w:pPr>
    </w:p>
    <w:p w14:paraId="5A3457F9" w14:textId="34B1269D" w:rsidR="00BB6C4E" w:rsidRPr="00CD42FA" w:rsidRDefault="00697805" w:rsidP="005C35E4">
      <w:pPr>
        <w:pStyle w:val="ListParagraph"/>
        <w:numPr>
          <w:ilvl w:val="1"/>
          <w:numId w:val="6"/>
        </w:numPr>
        <w:ind w:left="0" w:firstLine="0"/>
        <w:rPr>
          <w:color w:val="auto"/>
        </w:rPr>
      </w:pPr>
      <w:r w:rsidRPr="00CD42FA">
        <w:rPr>
          <w:color w:val="auto"/>
        </w:rPr>
        <w:t xml:space="preserve">Include </w:t>
      </w:r>
      <w:r w:rsidR="00C504A4" w:rsidRPr="00CD42FA">
        <w:rPr>
          <w:color w:val="auto"/>
        </w:rPr>
        <w:t xml:space="preserve">the </w:t>
      </w:r>
      <w:r w:rsidRPr="00CD42FA">
        <w:rPr>
          <w:color w:val="auto"/>
        </w:rPr>
        <w:t xml:space="preserve">multiplication of </w:t>
      </w:r>
      <w:r w:rsidR="00247529" w:rsidRPr="00CD42FA">
        <w:rPr>
          <w:color w:val="auto"/>
        </w:rPr>
        <w:t xml:space="preserve">the segmented binary image with the original one to get the </w:t>
      </w:r>
      <w:r w:rsidR="00713A42" w:rsidRPr="00CD42FA">
        <w:rPr>
          <w:color w:val="auto"/>
        </w:rPr>
        <w:t>pixel intensities</w:t>
      </w:r>
      <w:r w:rsidR="00247529" w:rsidRPr="00CD42FA">
        <w:rPr>
          <w:color w:val="auto"/>
        </w:rPr>
        <w:t xml:space="preserve"> of the neutrophil only, with the rest of the image being </w:t>
      </w:r>
      <w:r w:rsidR="00713A42" w:rsidRPr="00CD42FA">
        <w:rPr>
          <w:color w:val="auto"/>
        </w:rPr>
        <w:t>not-a-number</w:t>
      </w:r>
      <w:r w:rsidR="00766E15" w:rsidRPr="00CD42FA">
        <w:rPr>
          <w:color w:val="auto"/>
        </w:rPr>
        <w:t>,</w:t>
      </w:r>
      <w:r w:rsidR="00713A42" w:rsidRPr="00CD42FA">
        <w:rPr>
          <w:color w:val="auto"/>
        </w:rPr>
        <w:t xml:space="preserve"> so it does not contribute to calculations</w:t>
      </w:r>
      <w:r w:rsidR="009E3E1C" w:rsidRPr="00CD42FA">
        <w:rPr>
          <w:color w:val="auto"/>
        </w:rPr>
        <w:t xml:space="preserve"> (lines 5</w:t>
      </w:r>
      <w:r w:rsidR="00B738C0" w:rsidRPr="00CD42FA">
        <w:rPr>
          <w:color w:val="auto"/>
        </w:rPr>
        <w:t>6-57</w:t>
      </w:r>
      <w:r w:rsidR="002632FF" w:rsidRPr="00CD42FA">
        <w:rPr>
          <w:color w:val="auto"/>
        </w:rPr>
        <w:t xml:space="preserve"> in </w:t>
      </w:r>
      <w:r w:rsidR="002632FF" w:rsidRPr="00CD42FA">
        <w:rPr>
          <w:b/>
          <w:bCs/>
          <w:color w:val="auto"/>
        </w:rPr>
        <w:t xml:space="preserve">Supplementary </w:t>
      </w:r>
      <w:r w:rsidR="003602D9" w:rsidRPr="00CD42FA">
        <w:rPr>
          <w:b/>
          <w:bCs/>
          <w:color w:val="auto"/>
        </w:rPr>
        <w:t>F</w:t>
      </w:r>
      <w:r w:rsidR="002632FF" w:rsidRPr="00CD42FA">
        <w:rPr>
          <w:b/>
          <w:bCs/>
          <w:color w:val="auto"/>
        </w:rPr>
        <w:t>ile 3</w:t>
      </w:r>
      <w:r w:rsidR="009E3E1C" w:rsidRPr="00CD42FA">
        <w:rPr>
          <w:color w:val="auto"/>
        </w:rPr>
        <w:t>)</w:t>
      </w:r>
      <w:r w:rsidR="00247529" w:rsidRPr="00CD42FA">
        <w:rPr>
          <w:color w:val="auto"/>
        </w:rPr>
        <w:t>.</w:t>
      </w:r>
    </w:p>
    <w:p w14:paraId="13F76751" w14:textId="77777777" w:rsidR="00F35EAB" w:rsidRPr="00CD42FA" w:rsidRDefault="00F35EAB" w:rsidP="005C35E4">
      <w:pPr>
        <w:pStyle w:val="ListParagraph"/>
        <w:ind w:left="0"/>
        <w:rPr>
          <w:color w:val="auto"/>
        </w:rPr>
      </w:pPr>
    </w:p>
    <w:p w14:paraId="64906005" w14:textId="28C9EFCC" w:rsidR="00BB6C4E" w:rsidRPr="00CD42FA" w:rsidRDefault="00C504A4" w:rsidP="005C35E4">
      <w:pPr>
        <w:pStyle w:val="ListParagraph"/>
        <w:numPr>
          <w:ilvl w:val="1"/>
          <w:numId w:val="6"/>
        </w:numPr>
        <w:ind w:left="0" w:firstLine="0"/>
        <w:rPr>
          <w:color w:val="auto"/>
        </w:rPr>
      </w:pPr>
      <w:r w:rsidRPr="00CD42FA">
        <w:rPr>
          <w:color w:val="auto"/>
          <w:highlight w:val="yellow"/>
        </w:rPr>
        <w:t xml:space="preserve">Add </w:t>
      </w:r>
      <w:r w:rsidR="00697805" w:rsidRPr="00CD42FA">
        <w:rPr>
          <w:color w:val="auto"/>
          <w:highlight w:val="yellow"/>
        </w:rPr>
        <w:t xml:space="preserve">the calculation of </w:t>
      </w:r>
      <w:r w:rsidR="00247529" w:rsidRPr="00CD42FA">
        <w:rPr>
          <w:color w:val="auto"/>
          <w:highlight w:val="yellow"/>
        </w:rPr>
        <w:t>the gr</w:t>
      </w:r>
      <w:r w:rsidR="00775CCD" w:rsidRPr="00CD42FA">
        <w:rPr>
          <w:color w:val="auto"/>
          <w:highlight w:val="yellow"/>
        </w:rPr>
        <w:t>a</w:t>
      </w:r>
      <w:r w:rsidR="00247529" w:rsidRPr="00CD42FA">
        <w:rPr>
          <w:color w:val="auto"/>
          <w:highlight w:val="yellow"/>
        </w:rPr>
        <w:t>y-level co-occurrence matrix</w:t>
      </w:r>
      <w:r w:rsidR="0083556F" w:rsidRPr="00CD42FA">
        <w:rPr>
          <w:color w:val="auto"/>
          <w:highlight w:val="yellow"/>
        </w:rPr>
        <w:t xml:space="preserve"> for each neutrophil</w:t>
      </w:r>
      <w:r w:rsidR="00247529" w:rsidRPr="00CD42FA">
        <w:rPr>
          <w:color w:val="auto"/>
          <w:highlight w:val="yellow"/>
        </w:rPr>
        <w:t xml:space="preserve"> (GLCM)</w:t>
      </w:r>
      <w:r w:rsidR="005449D1" w:rsidRPr="00CD42FA">
        <w:rPr>
          <w:color w:val="auto"/>
          <w:highlight w:val="yellow"/>
        </w:rPr>
        <w:fldChar w:fldCharType="begin"/>
      </w:r>
      <w:r w:rsidR="0002471A" w:rsidRPr="00CD42FA">
        <w:rPr>
          <w:color w:val="auto"/>
          <w:highlight w:val="yellow"/>
        </w:rPr>
        <w:instrText xml:space="preserve"> ADDIN ZOTERO_ITEM CSL_CITATION {"citationID":"cWkAxjIM","properties":{"formattedCitation":"\\super 14, 23\\nosupersub{}","plainCitation":"14, 23","noteIndex":0},"citationItems":[{"id":711,"uris":["http://zotero.org/users/5010385/items/22KQ8LRX"],"uri":["http://zotero.org/users/5010385/items/22KQ8LRX"],"itemData":{"id":711,"type":"article-journal","abstract":"Immune cells congregate at specific loci to fight infections during inflammatory responses, a process that must be transient and self-resolving. Cell dispersal promotes resolution, but it remains unclear how transition from clustering to dispersal is regulated. Here we show, using quantitative live imaging in zebrafish, that differential ligand-induced trafficking of chemokine receptors such as Cxcr1 and Cxcr2 orchestrates the state of neutrophil congregation at sites of tissue damage. Through receptor mutagenesis and biosensors, we show that Cxcr1 promotes clustering at wound sites, but is promptly desensitized and internalized, which prevents excess congregation. By contrast, Cxcr2 promotes bidirectional motility and is sustained at the plasma membrane. Persistent plasma membrane residence of Cxcr2 prolongs downstream signaling and is required for sustained exploratory motion conducive to dispersal. Thus, differential trafficking of two chemokine receptors allows coordination of antagonistic cell behaviors, promoting a self-resolving migratory response.","container-title":"Nature Communications","DOI":"10.1038/s41467-019-13107-3","ISSN":"2041-1723","issue":"1","journalAbbreviation":"Nat Commun","language":"eng","note":"PMID: 31727891\nPMCID: PMC6856356","page":"5166","source":"PubMed","title":"Chemokine receptor trafficking coordinates neutrophil clustering and dispersal at wounds in zebrafish","volume":"10","author":[{"family":"Coombs","given":"Caroline"},{"family":"Georgantzoglou","given":"Antonios"},{"family":"Walker","given":"Hazel A."},{"family":"Patt","given":"Julian"},{"family":"Merten","given":"Nicole"},{"family":"Poplimont","given":"Hugo"},{"family":"Busch-Nentwich","given":"Elisabeth M."},{"family":"Williams","given":"Sarah"},{"family":"Kotsi","given":"Christina"},{"family":"Kostenis","given":"Evi"},{"family":"Sarris","given":"Milka"}],"issued":{"date-parts":[["2019",11,14]]}}},{"id":333,"uris":["http://zotero.org/users/5010385/items/RGD4YERH"],"uri":["http://zotero.org/users/5010385/items/RGD4YERH"],"itemData":{"id":333,"type":"article-journal","issue":"6","journalAbbreviation":"IEEE Trans Syst Man Cyber","page":"610-621","title":"Textural Features for Image Classification","volume":"SMC-3","author":[{"family":"Haralick, R. M., Shanmugam, K. &amp; Dinstein","given":""}],"issued":{"date-parts":[["1973"]]}}}],"schema":"https://github.com/citation-style-language/schema/raw/master/csl-citation.json"} </w:instrText>
      </w:r>
      <w:r w:rsidR="005449D1" w:rsidRPr="00CD42FA">
        <w:rPr>
          <w:color w:val="auto"/>
          <w:highlight w:val="yellow"/>
        </w:rPr>
        <w:fldChar w:fldCharType="separate"/>
      </w:r>
      <w:r w:rsidR="0002471A" w:rsidRPr="00CD42FA">
        <w:rPr>
          <w:color w:val="auto"/>
          <w:highlight w:val="yellow"/>
          <w:vertAlign w:val="superscript"/>
        </w:rPr>
        <w:t>14, 23</w:t>
      </w:r>
      <w:r w:rsidR="005449D1" w:rsidRPr="00CD42FA">
        <w:rPr>
          <w:color w:val="auto"/>
          <w:highlight w:val="yellow"/>
        </w:rPr>
        <w:fldChar w:fldCharType="end"/>
      </w:r>
      <w:r w:rsidR="00F35EAB" w:rsidRPr="00CD42FA">
        <w:rPr>
          <w:color w:val="auto"/>
        </w:rPr>
        <w:t xml:space="preserve"> (line </w:t>
      </w:r>
      <w:r w:rsidR="00B738C0" w:rsidRPr="00CD42FA">
        <w:rPr>
          <w:color w:val="auto"/>
        </w:rPr>
        <w:t>61</w:t>
      </w:r>
      <w:r w:rsidR="002632FF" w:rsidRPr="00CD42FA">
        <w:rPr>
          <w:color w:val="auto"/>
        </w:rPr>
        <w:t xml:space="preserve"> in </w:t>
      </w:r>
      <w:r w:rsidR="002632FF" w:rsidRPr="00CD42FA">
        <w:rPr>
          <w:b/>
          <w:bCs/>
          <w:color w:val="auto"/>
        </w:rPr>
        <w:t xml:space="preserve">Supplementary </w:t>
      </w:r>
      <w:r w:rsidR="003602D9" w:rsidRPr="00CD42FA">
        <w:rPr>
          <w:b/>
          <w:bCs/>
          <w:color w:val="auto"/>
        </w:rPr>
        <w:t>F</w:t>
      </w:r>
      <w:r w:rsidR="002632FF" w:rsidRPr="00CD42FA">
        <w:rPr>
          <w:b/>
          <w:bCs/>
          <w:color w:val="auto"/>
        </w:rPr>
        <w:t>ile 3</w:t>
      </w:r>
      <w:r w:rsidR="00F35EAB" w:rsidRPr="00CD42FA">
        <w:rPr>
          <w:color w:val="auto"/>
        </w:rPr>
        <w:t>)</w:t>
      </w:r>
      <w:r w:rsidR="00247529" w:rsidRPr="00CD42FA">
        <w:rPr>
          <w:color w:val="auto"/>
        </w:rPr>
        <w:t>.</w:t>
      </w:r>
      <w:r w:rsidR="00F25DCB" w:rsidRPr="00CD42FA">
        <w:rPr>
          <w:color w:val="auto"/>
        </w:rPr>
        <w:t xml:space="preserve"> </w:t>
      </w:r>
      <w:r w:rsidR="00F25DCB" w:rsidRPr="00CD42FA">
        <w:rPr>
          <w:color w:val="auto"/>
          <w:highlight w:val="yellow"/>
        </w:rPr>
        <w:t>GLCM is another representation of the image showing relative position of pixels in terms of pixel intensity.</w:t>
      </w:r>
    </w:p>
    <w:p w14:paraId="2D07026C" w14:textId="77777777" w:rsidR="00BB6C4E" w:rsidRPr="00CD42FA" w:rsidRDefault="00BB6C4E" w:rsidP="005C35E4">
      <w:pPr>
        <w:pStyle w:val="ListParagraph"/>
        <w:ind w:left="0"/>
        <w:rPr>
          <w:color w:val="auto"/>
        </w:rPr>
      </w:pPr>
    </w:p>
    <w:p w14:paraId="4E049199" w14:textId="3101EF0B" w:rsidR="00BB6C4E" w:rsidRPr="00CD42FA" w:rsidRDefault="00697805" w:rsidP="005C35E4">
      <w:pPr>
        <w:pStyle w:val="ListParagraph"/>
        <w:numPr>
          <w:ilvl w:val="1"/>
          <w:numId w:val="6"/>
        </w:numPr>
        <w:ind w:left="0" w:firstLine="0"/>
        <w:rPr>
          <w:color w:val="auto"/>
        </w:rPr>
      </w:pPr>
      <w:r w:rsidRPr="00CD42FA">
        <w:rPr>
          <w:color w:val="auto"/>
          <w:highlight w:val="yellow"/>
        </w:rPr>
        <w:t xml:space="preserve">Include the calculation of </w:t>
      </w:r>
      <w:r w:rsidR="00247529" w:rsidRPr="00CD42FA">
        <w:rPr>
          <w:color w:val="auto"/>
          <w:highlight w:val="yellow"/>
        </w:rPr>
        <w:t>contrast of the neutrophil based on the GLCM</w:t>
      </w:r>
      <w:r w:rsidR="00F35EAB" w:rsidRPr="00CD42FA">
        <w:rPr>
          <w:highlight w:val="yellow"/>
        </w:rPr>
        <w:t xml:space="preserve"> (line</w:t>
      </w:r>
      <w:r w:rsidR="001206F7" w:rsidRPr="00CD42FA">
        <w:rPr>
          <w:highlight w:val="yellow"/>
        </w:rPr>
        <w:t>s</w:t>
      </w:r>
      <w:r w:rsidR="00F35EAB" w:rsidRPr="00CD42FA">
        <w:rPr>
          <w:highlight w:val="yellow"/>
        </w:rPr>
        <w:t xml:space="preserve"> 6</w:t>
      </w:r>
      <w:r w:rsidR="00B738C0" w:rsidRPr="00CD42FA">
        <w:rPr>
          <w:highlight w:val="yellow"/>
        </w:rPr>
        <w:t>2,65</w:t>
      </w:r>
      <w:r w:rsidR="002632FF" w:rsidRPr="00CD42FA">
        <w:rPr>
          <w:highlight w:val="yellow"/>
        </w:rPr>
        <w:t xml:space="preserve"> in </w:t>
      </w:r>
      <w:r w:rsidR="002632FF" w:rsidRPr="00CD42FA">
        <w:rPr>
          <w:b/>
          <w:bCs/>
          <w:highlight w:val="yellow"/>
        </w:rPr>
        <w:t xml:space="preserve">Supplementary </w:t>
      </w:r>
      <w:r w:rsidR="003602D9" w:rsidRPr="00CD42FA">
        <w:rPr>
          <w:b/>
          <w:bCs/>
          <w:highlight w:val="yellow"/>
        </w:rPr>
        <w:t>F</w:t>
      </w:r>
      <w:r w:rsidR="002632FF" w:rsidRPr="00CD42FA">
        <w:rPr>
          <w:b/>
          <w:bCs/>
          <w:highlight w:val="yellow"/>
        </w:rPr>
        <w:t>ile 3</w:t>
      </w:r>
      <w:r w:rsidR="00F35EAB" w:rsidRPr="00CD42FA">
        <w:rPr>
          <w:highlight w:val="yellow"/>
        </w:rPr>
        <w:t>)</w:t>
      </w:r>
      <w:r w:rsidR="00871A65" w:rsidRPr="00CD42FA">
        <w:rPr>
          <w:color w:val="auto"/>
          <w:highlight w:val="yellow"/>
        </w:rPr>
        <w:t>.</w:t>
      </w:r>
      <w:r w:rsidR="003602D9" w:rsidRPr="00CD42FA">
        <w:rPr>
          <w:color w:val="auto"/>
          <w:highlight w:val="yellow"/>
        </w:rPr>
        <w:t xml:space="preserve"> </w:t>
      </w:r>
      <w:r w:rsidR="00162D7B" w:rsidRPr="00CD42FA">
        <w:rPr>
          <w:color w:val="auto"/>
          <w:highlight w:val="yellow"/>
        </w:rPr>
        <w:t>The</w:t>
      </w:r>
      <w:r w:rsidR="003602D9" w:rsidRPr="00CD42FA">
        <w:rPr>
          <w:color w:val="auto"/>
          <w:highlight w:val="yellow"/>
        </w:rPr>
        <w:t xml:space="preserve"> </w:t>
      </w:r>
      <w:r w:rsidR="00162D7B" w:rsidRPr="00CD42FA">
        <w:rPr>
          <w:color w:val="auto"/>
          <w:highlight w:val="yellow"/>
        </w:rPr>
        <w:t>contrast metric measures differences in intensity between neighb</w:t>
      </w:r>
      <w:r w:rsidR="00162D7B" w:rsidRPr="00CD42FA">
        <w:rPr>
          <w:highlight w:val="yellow"/>
        </w:rPr>
        <w:t>oring pixel</w:t>
      </w:r>
      <w:r w:rsidR="0090758B" w:rsidRPr="00CD42FA">
        <w:rPr>
          <w:highlight w:val="yellow"/>
        </w:rPr>
        <w:t>s</w:t>
      </w:r>
      <w:r w:rsidR="00162D7B" w:rsidRPr="00CD42FA">
        <w:rPr>
          <w:highlight w:val="yellow"/>
        </w:rPr>
        <w:t>.</w:t>
      </w:r>
      <w:r w:rsidR="00162D7B" w:rsidRPr="00CD42FA">
        <w:t xml:space="preserve"> </w:t>
      </w:r>
      <w:r w:rsidR="000E70C7" w:rsidRPr="00CD42FA">
        <w:rPr>
          <w:color w:val="auto"/>
        </w:rPr>
        <w:t xml:space="preserve">Pixels are compared with pixels certain distance apart, which </w:t>
      </w:r>
      <w:r w:rsidR="005D6238" w:rsidRPr="00CD42FA">
        <w:rPr>
          <w:color w:val="auto"/>
        </w:rPr>
        <w:t xml:space="preserve">can be </w:t>
      </w:r>
      <w:r w:rsidR="00E55F65" w:rsidRPr="00CD42FA">
        <w:rPr>
          <w:color w:val="auto"/>
        </w:rPr>
        <w:t>adjusted</w:t>
      </w:r>
      <w:r w:rsidR="00162D7B" w:rsidRPr="00CD42FA">
        <w:rPr>
          <w:color w:val="auto"/>
        </w:rPr>
        <w:t xml:space="preserve"> empirically based on the size of local peaks in intensity. As an indication, for </w:t>
      </w:r>
      <w:r w:rsidR="003602D9" w:rsidRPr="00CD42FA">
        <w:rPr>
          <w:color w:val="auto"/>
        </w:rPr>
        <w:t>the</w:t>
      </w:r>
      <w:r w:rsidR="00162D7B" w:rsidRPr="00CD42FA">
        <w:rPr>
          <w:color w:val="auto"/>
        </w:rPr>
        <w:t xml:space="preserve"> images, with a pixel size of 0.389 µm, when the receptor showed vesicular distribution each bright dot was in the range of 5 pixels. </w:t>
      </w:r>
      <w:r w:rsidR="003602D9" w:rsidRPr="00CD42FA">
        <w:rPr>
          <w:color w:val="auto"/>
        </w:rPr>
        <w:t>T</w:t>
      </w:r>
      <w:r w:rsidR="00162D7B" w:rsidRPr="00CD42FA">
        <w:rPr>
          <w:color w:val="auto"/>
        </w:rPr>
        <w:t>herefore</w:t>
      </w:r>
      <w:r w:rsidR="003602D9" w:rsidRPr="00CD42FA">
        <w:rPr>
          <w:color w:val="auto"/>
        </w:rPr>
        <w:t>,</w:t>
      </w:r>
      <w:r w:rsidR="00162D7B" w:rsidRPr="00CD42FA">
        <w:rPr>
          <w:color w:val="auto"/>
        </w:rPr>
        <w:t xml:space="preserve"> intensities</w:t>
      </w:r>
      <w:r w:rsidR="003602D9" w:rsidRPr="00CD42FA">
        <w:rPr>
          <w:color w:val="auto"/>
        </w:rPr>
        <w:t xml:space="preserve"> were compared</w:t>
      </w:r>
      <w:r w:rsidR="00162D7B" w:rsidRPr="00CD42FA">
        <w:rPr>
          <w:color w:val="auto"/>
        </w:rPr>
        <w:t xml:space="preserve"> </w:t>
      </w:r>
      <w:r w:rsidR="005D6238" w:rsidRPr="00CD42FA">
        <w:rPr>
          <w:color w:val="auto"/>
        </w:rPr>
        <w:t>in pixels spaced</w:t>
      </w:r>
      <w:r w:rsidR="00162D7B" w:rsidRPr="00CD42FA">
        <w:rPr>
          <w:color w:val="auto"/>
        </w:rPr>
        <w:t xml:space="preserve"> 5 pixels apart.</w:t>
      </w:r>
    </w:p>
    <w:p w14:paraId="5C02FEE9" w14:textId="77777777" w:rsidR="003602D9" w:rsidRPr="00CD42FA" w:rsidRDefault="003602D9" w:rsidP="005C35E4">
      <w:pPr>
        <w:pStyle w:val="ListParagraph"/>
        <w:ind w:left="0"/>
        <w:rPr>
          <w:color w:val="auto"/>
        </w:rPr>
      </w:pPr>
    </w:p>
    <w:p w14:paraId="7E9715D0" w14:textId="523CEC1D" w:rsidR="00BB6C4E" w:rsidRPr="00CD42FA" w:rsidRDefault="00C504A4" w:rsidP="005C35E4">
      <w:pPr>
        <w:pStyle w:val="ListParagraph"/>
        <w:numPr>
          <w:ilvl w:val="1"/>
          <w:numId w:val="6"/>
        </w:numPr>
        <w:ind w:left="0" w:firstLine="0"/>
        <w:rPr>
          <w:color w:val="auto"/>
        </w:rPr>
      </w:pPr>
      <w:r w:rsidRPr="00CD42FA">
        <w:rPr>
          <w:color w:val="auto"/>
          <w:highlight w:val="yellow"/>
        </w:rPr>
        <w:lastRenderedPageBreak/>
        <w:t>Add commands to save</w:t>
      </w:r>
      <w:r w:rsidR="00697805" w:rsidRPr="00CD42FA">
        <w:rPr>
          <w:color w:val="auto"/>
          <w:highlight w:val="yellow"/>
        </w:rPr>
        <w:t xml:space="preserve"> </w:t>
      </w:r>
      <w:r w:rsidR="00552B4A" w:rsidRPr="00CD42FA">
        <w:rPr>
          <w:color w:val="auto"/>
          <w:highlight w:val="yellow"/>
        </w:rPr>
        <w:t xml:space="preserve">the values separately for </w:t>
      </w:r>
      <w:r w:rsidR="0083556F" w:rsidRPr="00CD42FA">
        <w:rPr>
          <w:color w:val="auto"/>
          <w:highlight w:val="yellow"/>
        </w:rPr>
        <w:t xml:space="preserve">individual </w:t>
      </w:r>
      <w:r w:rsidR="00552B4A" w:rsidRPr="00CD42FA">
        <w:rPr>
          <w:color w:val="auto"/>
          <w:highlight w:val="yellow"/>
        </w:rPr>
        <w:t xml:space="preserve">neutrophils in </w:t>
      </w:r>
      <w:r w:rsidR="0083556F" w:rsidRPr="00CD42FA">
        <w:rPr>
          <w:color w:val="auto"/>
          <w:highlight w:val="yellow"/>
        </w:rPr>
        <w:t xml:space="preserve">the ventral </w:t>
      </w:r>
      <w:r w:rsidR="00552B4A" w:rsidRPr="00CD42FA">
        <w:rPr>
          <w:color w:val="auto"/>
          <w:highlight w:val="yellow"/>
        </w:rPr>
        <w:t>fin</w:t>
      </w:r>
      <w:r w:rsidR="00D45D29" w:rsidRPr="00CD42FA">
        <w:rPr>
          <w:color w:val="auto"/>
        </w:rPr>
        <w:t xml:space="preserve"> (line </w:t>
      </w:r>
      <w:r w:rsidR="00B738C0" w:rsidRPr="00CD42FA">
        <w:rPr>
          <w:color w:val="auto"/>
        </w:rPr>
        <w:t>68</w:t>
      </w:r>
      <w:r w:rsidR="002632FF" w:rsidRPr="00CD42FA">
        <w:rPr>
          <w:color w:val="auto"/>
        </w:rPr>
        <w:t xml:space="preserve"> in </w:t>
      </w:r>
      <w:r w:rsidR="002632FF" w:rsidRPr="00CD42FA">
        <w:rPr>
          <w:b/>
          <w:bCs/>
          <w:color w:val="auto"/>
        </w:rPr>
        <w:t xml:space="preserve">Supplementary </w:t>
      </w:r>
      <w:r w:rsidR="003602D9" w:rsidRPr="00CD42FA">
        <w:rPr>
          <w:b/>
          <w:bCs/>
          <w:color w:val="auto"/>
        </w:rPr>
        <w:t>F</w:t>
      </w:r>
      <w:r w:rsidR="002632FF" w:rsidRPr="00CD42FA">
        <w:rPr>
          <w:b/>
          <w:bCs/>
          <w:color w:val="auto"/>
        </w:rPr>
        <w:t>ile 3</w:t>
      </w:r>
      <w:r w:rsidR="00D45D29" w:rsidRPr="00CD42FA">
        <w:rPr>
          <w:color w:val="auto"/>
        </w:rPr>
        <w:t>)</w:t>
      </w:r>
      <w:r w:rsidR="00552B4A" w:rsidRPr="00CD42FA">
        <w:rPr>
          <w:color w:val="auto"/>
        </w:rPr>
        <w:t>.</w:t>
      </w:r>
    </w:p>
    <w:p w14:paraId="1EE184BC" w14:textId="77777777" w:rsidR="00BB6C4E" w:rsidRPr="00CD42FA" w:rsidRDefault="00BB6C4E" w:rsidP="005C35E4">
      <w:pPr>
        <w:pStyle w:val="ListParagraph"/>
        <w:ind w:left="0"/>
        <w:rPr>
          <w:color w:val="auto"/>
        </w:rPr>
      </w:pPr>
    </w:p>
    <w:p w14:paraId="2F011EFA" w14:textId="785AEE12" w:rsidR="00BB6C4E" w:rsidRPr="00CD42FA" w:rsidRDefault="00697805" w:rsidP="005C35E4">
      <w:pPr>
        <w:pStyle w:val="ListParagraph"/>
        <w:numPr>
          <w:ilvl w:val="1"/>
          <w:numId w:val="6"/>
        </w:numPr>
        <w:ind w:left="0" w:firstLine="0"/>
        <w:rPr>
          <w:color w:val="auto"/>
        </w:rPr>
      </w:pPr>
      <w:r w:rsidRPr="00CD42FA">
        <w:rPr>
          <w:color w:val="auto"/>
          <w:highlight w:val="yellow"/>
        </w:rPr>
        <w:t xml:space="preserve">Include the calculation of </w:t>
      </w:r>
      <w:r w:rsidR="00AB2ACC" w:rsidRPr="00CD42FA">
        <w:rPr>
          <w:color w:val="auto"/>
          <w:highlight w:val="yellow"/>
        </w:rPr>
        <w:t>the mean neutrophil contrast value from all CHT neutrophils</w:t>
      </w:r>
      <w:r w:rsidR="005A6745" w:rsidRPr="00CD42FA">
        <w:rPr>
          <w:color w:val="auto"/>
        </w:rPr>
        <w:t xml:space="preserve"> the same way as for</w:t>
      </w:r>
      <w:r w:rsidR="003602D9" w:rsidRPr="00CD42FA">
        <w:rPr>
          <w:color w:val="auto"/>
        </w:rPr>
        <w:t xml:space="preserve"> </w:t>
      </w:r>
      <w:r w:rsidR="005A6745" w:rsidRPr="00CD42FA">
        <w:rPr>
          <w:color w:val="auto"/>
        </w:rPr>
        <w:t>neutrophils</w:t>
      </w:r>
      <w:r w:rsidR="00F33BD0" w:rsidRPr="00CD42FA">
        <w:rPr>
          <w:color w:val="auto"/>
        </w:rPr>
        <w:t xml:space="preserve"> at the wound</w:t>
      </w:r>
      <w:r w:rsidR="005A6745" w:rsidRPr="00CD42FA">
        <w:rPr>
          <w:color w:val="auto"/>
        </w:rPr>
        <w:t xml:space="preserve"> (lines 7</w:t>
      </w:r>
      <w:r w:rsidR="00B738C0" w:rsidRPr="00CD42FA">
        <w:rPr>
          <w:color w:val="auto"/>
        </w:rPr>
        <w:t>2</w:t>
      </w:r>
      <w:r w:rsidR="005A6745" w:rsidRPr="00CD42FA">
        <w:rPr>
          <w:color w:val="auto"/>
        </w:rPr>
        <w:t>-1</w:t>
      </w:r>
      <w:r w:rsidR="00B738C0" w:rsidRPr="00CD42FA">
        <w:rPr>
          <w:color w:val="auto"/>
        </w:rPr>
        <w:t>19</w:t>
      </w:r>
      <w:r w:rsidR="002632FF" w:rsidRPr="00CD42FA">
        <w:rPr>
          <w:color w:val="auto"/>
        </w:rPr>
        <w:t xml:space="preserve"> in Supplementary file 3</w:t>
      </w:r>
      <w:r w:rsidR="005A6745" w:rsidRPr="00CD42FA">
        <w:rPr>
          <w:color w:val="auto"/>
        </w:rPr>
        <w:t>)</w:t>
      </w:r>
      <w:r w:rsidR="00AB2ACC" w:rsidRPr="00CD42FA">
        <w:rPr>
          <w:color w:val="auto"/>
        </w:rPr>
        <w:t>.</w:t>
      </w:r>
      <w:r w:rsidR="0060489B" w:rsidRPr="00CD42FA">
        <w:rPr>
          <w:color w:val="auto"/>
        </w:rPr>
        <w:t xml:space="preserve"> </w:t>
      </w:r>
      <w:r w:rsidR="005C5A8C" w:rsidRPr="00CD42FA">
        <w:rPr>
          <w:color w:val="auto"/>
        </w:rPr>
        <w:t>For CHT neutrophils, c</w:t>
      </w:r>
      <w:r w:rsidR="0060489B" w:rsidRPr="00CD42FA">
        <w:rPr>
          <w:color w:val="auto"/>
        </w:rPr>
        <w:t>all the function ‘cht_data.m’ (line 77</w:t>
      </w:r>
      <w:r w:rsidR="00F33BD0" w:rsidRPr="00CD42FA">
        <w:rPr>
          <w:color w:val="auto"/>
        </w:rPr>
        <w:t xml:space="preserve"> in </w:t>
      </w:r>
      <w:r w:rsidR="00F33BD0" w:rsidRPr="00CD42FA">
        <w:rPr>
          <w:b/>
          <w:bCs/>
          <w:color w:val="auto"/>
        </w:rPr>
        <w:t xml:space="preserve">Supplementary </w:t>
      </w:r>
      <w:r w:rsidR="003602D9" w:rsidRPr="00CD42FA">
        <w:rPr>
          <w:b/>
          <w:bCs/>
          <w:color w:val="auto"/>
        </w:rPr>
        <w:t>F</w:t>
      </w:r>
      <w:r w:rsidR="00F33BD0" w:rsidRPr="00CD42FA">
        <w:rPr>
          <w:b/>
          <w:bCs/>
          <w:color w:val="auto"/>
        </w:rPr>
        <w:t>ile 4</w:t>
      </w:r>
      <w:r w:rsidR="0060489B" w:rsidRPr="00CD42FA">
        <w:rPr>
          <w:color w:val="auto"/>
        </w:rPr>
        <w:t>).</w:t>
      </w:r>
    </w:p>
    <w:p w14:paraId="2FB3BA98" w14:textId="77777777" w:rsidR="00BB6C4E" w:rsidRPr="00CD42FA" w:rsidRDefault="00BB6C4E" w:rsidP="005C35E4">
      <w:pPr>
        <w:pStyle w:val="ListParagraph"/>
        <w:ind w:left="0"/>
        <w:rPr>
          <w:color w:val="auto"/>
        </w:rPr>
      </w:pPr>
    </w:p>
    <w:p w14:paraId="30C7341E" w14:textId="38EE79C3" w:rsidR="00BB6C4E" w:rsidRPr="00CD42FA" w:rsidRDefault="00697805" w:rsidP="005C35E4">
      <w:pPr>
        <w:pStyle w:val="ListParagraph"/>
        <w:numPr>
          <w:ilvl w:val="1"/>
          <w:numId w:val="6"/>
        </w:numPr>
        <w:ind w:left="0" w:firstLine="0"/>
        <w:rPr>
          <w:color w:val="auto"/>
          <w:highlight w:val="yellow"/>
        </w:rPr>
      </w:pPr>
      <w:r w:rsidRPr="00CD42FA">
        <w:rPr>
          <w:color w:val="auto"/>
          <w:highlight w:val="yellow"/>
        </w:rPr>
        <w:t>Include the normali</w:t>
      </w:r>
      <w:r w:rsidR="00D45D29" w:rsidRPr="00CD42FA">
        <w:rPr>
          <w:color w:val="auto"/>
          <w:highlight w:val="yellow"/>
        </w:rPr>
        <w:t>z</w:t>
      </w:r>
      <w:r w:rsidRPr="00CD42FA">
        <w:rPr>
          <w:color w:val="auto"/>
          <w:highlight w:val="yellow"/>
        </w:rPr>
        <w:t xml:space="preserve">ation of </w:t>
      </w:r>
      <w:r w:rsidR="00AB2ACC" w:rsidRPr="00CD42FA">
        <w:rPr>
          <w:color w:val="auto"/>
          <w:highlight w:val="yellow"/>
        </w:rPr>
        <w:t xml:space="preserve">the contrast value </w:t>
      </w:r>
      <w:r w:rsidR="0083556F" w:rsidRPr="00CD42FA">
        <w:rPr>
          <w:color w:val="auto"/>
          <w:highlight w:val="yellow"/>
        </w:rPr>
        <w:t xml:space="preserve">of individual neutrophils </w:t>
      </w:r>
      <w:r w:rsidR="00F33BD0" w:rsidRPr="00CD42FA">
        <w:rPr>
          <w:color w:val="auto"/>
          <w:highlight w:val="yellow"/>
        </w:rPr>
        <w:t>at the wound</w:t>
      </w:r>
      <w:r w:rsidR="0083556F" w:rsidRPr="00CD42FA">
        <w:rPr>
          <w:color w:val="auto"/>
          <w:highlight w:val="yellow"/>
        </w:rPr>
        <w:t xml:space="preserve"> </w:t>
      </w:r>
      <w:r w:rsidR="00F33BD0" w:rsidRPr="00CD42FA">
        <w:rPr>
          <w:color w:val="auto"/>
          <w:highlight w:val="yellow"/>
        </w:rPr>
        <w:t xml:space="preserve">to the mean contrast of CHT neutrophils calculated </w:t>
      </w:r>
      <w:r w:rsidR="0034679F" w:rsidRPr="00CD42FA">
        <w:rPr>
          <w:color w:val="auto"/>
          <w:highlight w:val="yellow"/>
        </w:rPr>
        <w:t xml:space="preserve">above </w:t>
      </w:r>
      <w:r w:rsidR="00F33BD0" w:rsidRPr="00CD42FA">
        <w:rPr>
          <w:color w:val="auto"/>
        </w:rPr>
        <w:t>in step 6.16</w:t>
      </w:r>
      <w:r w:rsidR="00AB2ACC" w:rsidRPr="00CD42FA">
        <w:rPr>
          <w:color w:val="auto"/>
        </w:rPr>
        <w:t xml:space="preserve"> (i.e.</w:t>
      </w:r>
      <w:r w:rsidR="003602D9" w:rsidRPr="00CD42FA">
        <w:rPr>
          <w:color w:val="auto"/>
        </w:rPr>
        <w:t>,</w:t>
      </w:r>
      <w:r w:rsidR="00AB2ACC" w:rsidRPr="00CD42FA">
        <w:rPr>
          <w:color w:val="auto"/>
        </w:rPr>
        <w:t xml:space="preserve"> division)</w:t>
      </w:r>
      <w:r w:rsidR="00D45D29" w:rsidRPr="00CD42FA">
        <w:rPr>
          <w:color w:val="auto"/>
        </w:rPr>
        <w:t xml:space="preserve"> (line 1</w:t>
      </w:r>
      <w:r w:rsidR="00B738C0" w:rsidRPr="00CD42FA">
        <w:rPr>
          <w:color w:val="auto"/>
        </w:rPr>
        <w:t>22</w:t>
      </w:r>
      <w:r w:rsidR="00F33BD0" w:rsidRPr="00CD42FA">
        <w:rPr>
          <w:color w:val="auto"/>
        </w:rPr>
        <w:t xml:space="preserve"> in </w:t>
      </w:r>
      <w:r w:rsidR="00F33BD0" w:rsidRPr="00CD42FA">
        <w:rPr>
          <w:b/>
          <w:bCs/>
          <w:color w:val="auto"/>
        </w:rPr>
        <w:t xml:space="preserve">Supplementary </w:t>
      </w:r>
      <w:r w:rsidR="003602D9" w:rsidRPr="00CD42FA">
        <w:rPr>
          <w:b/>
          <w:bCs/>
          <w:color w:val="auto"/>
        </w:rPr>
        <w:t>F</w:t>
      </w:r>
      <w:r w:rsidR="00F33BD0" w:rsidRPr="00CD42FA">
        <w:rPr>
          <w:b/>
          <w:bCs/>
          <w:color w:val="auto"/>
        </w:rPr>
        <w:t>ile 3</w:t>
      </w:r>
      <w:r w:rsidR="00D45D29" w:rsidRPr="00CD42FA">
        <w:rPr>
          <w:color w:val="auto"/>
        </w:rPr>
        <w:t>)</w:t>
      </w:r>
      <w:r w:rsidR="0083556F" w:rsidRPr="00CD42FA">
        <w:rPr>
          <w:color w:val="auto"/>
        </w:rPr>
        <w:t xml:space="preserve">. </w:t>
      </w:r>
      <w:r w:rsidR="0083556F" w:rsidRPr="00CD42FA">
        <w:rPr>
          <w:color w:val="auto"/>
          <w:highlight w:val="yellow"/>
        </w:rPr>
        <w:t xml:space="preserve">This gives a </w:t>
      </w:r>
      <w:r w:rsidR="00766E15" w:rsidRPr="00CD42FA">
        <w:rPr>
          <w:color w:val="auto"/>
          <w:highlight w:val="yellow"/>
        </w:rPr>
        <w:t xml:space="preserve">normalized </w:t>
      </w:r>
      <w:r w:rsidR="0083556F" w:rsidRPr="00CD42FA">
        <w:rPr>
          <w:color w:val="auto"/>
          <w:highlight w:val="yellow"/>
        </w:rPr>
        <w:t>contrast that reflects how ‘dotty’ the appearance of receptor is in individual responding cells relative to control non-responding cells</w:t>
      </w:r>
      <w:r w:rsidR="002403B6" w:rsidRPr="00CD42FA">
        <w:rPr>
          <w:color w:val="auto"/>
          <w:highlight w:val="yellow"/>
        </w:rPr>
        <w:t xml:space="preserve"> (</w:t>
      </w:r>
      <w:r w:rsidR="002403B6" w:rsidRPr="00CA44AD">
        <w:rPr>
          <w:b/>
          <w:bCs/>
          <w:color w:val="auto"/>
          <w:highlight w:val="yellow"/>
        </w:rPr>
        <w:t>Figure 3</w:t>
      </w:r>
      <w:r w:rsidR="002403B6" w:rsidRPr="00CD42FA">
        <w:rPr>
          <w:color w:val="auto"/>
          <w:highlight w:val="yellow"/>
        </w:rPr>
        <w:t xml:space="preserve"> and </w:t>
      </w:r>
      <w:r w:rsidR="00CA44AD" w:rsidRPr="00CA44AD">
        <w:rPr>
          <w:b/>
          <w:bCs/>
          <w:color w:val="auto"/>
          <w:highlight w:val="yellow"/>
        </w:rPr>
        <w:t xml:space="preserve">Figure </w:t>
      </w:r>
      <w:r w:rsidR="002403B6" w:rsidRPr="00CA44AD">
        <w:rPr>
          <w:b/>
          <w:bCs/>
          <w:color w:val="auto"/>
          <w:highlight w:val="yellow"/>
        </w:rPr>
        <w:t>4</w:t>
      </w:r>
      <w:r w:rsidR="002403B6" w:rsidRPr="00CD42FA">
        <w:rPr>
          <w:color w:val="auto"/>
          <w:highlight w:val="yellow"/>
        </w:rPr>
        <w:t>)</w:t>
      </w:r>
      <w:r w:rsidR="0083556F" w:rsidRPr="00CD42FA">
        <w:rPr>
          <w:color w:val="auto"/>
          <w:highlight w:val="yellow"/>
        </w:rPr>
        <w:t>.</w:t>
      </w:r>
    </w:p>
    <w:p w14:paraId="18BCB575" w14:textId="77777777" w:rsidR="00BB6C4E" w:rsidRPr="00CD42FA" w:rsidRDefault="00BB6C4E" w:rsidP="005C35E4">
      <w:pPr>
        <w:pStyle w:val="ListParagraph"/>
        <w:ind w:left="0"/>
        <w:rPr>
          <w:color w:val="auto"/>
        </w:rPr>
      </w:pPr>
    </w:p>
    <w:p w14:paraId="1EDAD4A7" w14:textId="76A10D02" w:rsidR="00BB6C4E" w:rsidRPr="00CD42FA" w:rsidRDefault="00697805" w:rsidP="005C35E4">
      <w:pPr>
        <w:pStyle w:val="ListParagraph"/>
        <w:numPr>
          <w:ilvl w:val="1"/>
          <w:numId w:val="6"/>
        </w:numPr>
        <w:ind w:left="0" w:firstLine="0"/>
        <w:rPr>
          <w:color w:val="auto"/>
        </w:rPr>
      </w:pPr>
      <w:r w:rsidRPr="00CD42FA">
        <w:rPr>
          <w:color w:val="auto"/>
          <w:highlight w:val="yellow"/>
        </w:rPr>
        <w:t>Run the script</w:t>
      </w:r>
      <w:r w:rsidR="0062378C" w:rsidRPr="00CD42FA">
        <w:rPr>
          <w:color w:val="auto"/>
        </w:rPr>
        <w:t xml:space="preserve"> </w:t>
      </w:r>
      <w:r w:rsidR="00F33BD0" w:rsidRPr="00CD42FA">
        <w:rPr>
          <w:color w:val="auto"/>
        </w:rPr>
        <w:t>(</w:t>
      </w:r>
      <w:r w:rsidR="00F33BD0" w:rsidRPr="00CD42FA">
        <w:rPr>
          <w:b/>
          <w:bCs/>
          <w:color w:val="auto"/>
        </w:rPr>
        <w:t xml:space="preserve">Supplementary </w:t>
      </w:r>
      <w:r w:rsidR="003602D9" w:rsidRPr="00CD42FA">
        <w:rPr>
          <w:b/>
          <w:bCs/>
          <w:color w:val="auto"/>
        </w:rPr>
        <w:t>F</w:t>
      </w:r>
      <w:r w:rsidR="00F33BD0" w:rsidRPr="00CD42FA">
        <w:rPr>
          <w:b/>
          <w:bCs/>
          <w:color w:val="auto"/>
        </w:rPr>
        <w:t>ile 3</w:t>
      </w:r>
      <w:r w:rsidR="00F33BD0" w:rsidRPr="00CD42FA">
        <w:rPr>
          <w:color w:val="auto"/>
        </w:rPr>
        <w:t xml:space="preserve">) </w:t>
      </w:r>
      <w:r w:rsidR="0062378C" w:rsidRPr="00CD42FA">
        <w:rPr>
          <w:color w:val="auto"/>
          <w:highlight w:val="yellow"/>
        </w:rPr>
        <w:t>by clicking the run symbol in the software</w:t>
      </w:r>
      <w:r w:rsidR="0062378C" w:rsidRPr="00CD42FA">
        <w:rPr>
          <w:color w:val="auto"/>
        </w:rPr>
        <w:t>.</w:t>
      </w:r>
    </w:p>
    <w:p w14:paraId="7F508055" w14:textId="77777777" w:rsidR="00BB6C4E" w:rsidRPr="00CD42FA" w:rsidRDefault="00BB6C4E" w:rsidP="005C35E4">
      <w:pPr>
        <w:pStyle w:val="ListParagraph"/>
        <w:ind w:left="0"/>
        <w:rPr>
          <w:color w:val="auto"/>
        </w:rPr>
      </w:pPr>
    </w:p>
    <w:p w14:paraId="6E0574B7" w14:textId="77777777" w:rsidR="00BB6C4E" w:rsidRPr="00CD42FA" w:rsidRDefault="00713A42" w:rsidP="005C35E4">
      <w:pPr>
        <w:pStyle w:val="ListParagraph"/>
        <w:numPr>
          <w:ilvl w:val="1"/>
          <w:numId w:val="6"/>
        </w:numPr>
        <w:ind w:left="0" w:firstLine="0"/>
        <w:rPr>
          <w:color w:val="auto"/>
        </w:rPr>
      </w:pPr>
      <w:r w:rsidRPr="00CD42FA">
        <w:rPr>
          <w:color w:val="auto"/>
        </w:rPr>
        <w:t>Repeat all steps for different conditions.</w:t>
      </w:r>
    </w:p>
    <w:p w14:paraId="7940FBFF" w14:textId="77777777" w:rsidR="00BB6C4E" w:rsidRPr="00CD42FA" w:rsidRDefault="00BB6C4E" w:rsidP="005C35E4">
      <w:pPr>
        <w:pStyle w:val="ListParagraph"/>
        <w:ind w:left="0"/>
        <w:rPr>
          <w:color w:val="auto"/>
        </w:rPr>
      </w:pPr>
    </w:p>
    <w:p w14:paraId="19AF7224" w14:textId="6B863635" w:rsidR="00AB2ACC" w:rsidRPr="00CD42FA" w:rsidRDefault="00AB2ACC" w:rsidP="005C35E4">
      <w:pPr>
        <w:pStyle w:val="ListParagraph"/>
        <w:numPr>
          <w:ilvl w:val="1"/>
          <w:numId w:val="6"/>
        </w:numPr>
        <w:ind w:left="0" w:firstLine="0"/>
        <w:rPr>
          <w:color w:val="auto"/>
        </w:rPr>
      </w:pPr>
      <w:r w:rsidRPr="00CD42FA">
        <w:rPr>
          <w:color w:val="auto"/>
        </w:rPr>
        <w:t xml:space="preserve">Use </w:t>
      </w:r>
      <w:r w:rsidR="00D57C84" w:rsidRPr="00CD42FA">
        <w:rPr>
          <w:color w:val="auto"/>
        </w:rPr>
        <w:t xml:space="preserve">statistical software (see </w:t>
      </w:r>
      <w:r w:rsidR="00D57C84" w:rsidRPr="00CD42FA">
        <w:rPr>
          <w:b/>
          <w:bCs/>
          <w:color w:val="auto"/>
        </w:rPr>
        <w:t>Table of Materials</w:t>
      </w:r>
      <w:r w:rsidR="00D57C84" w:rsidRPr="00CD42FA">
        <w:rPr>
          <w:color w:val="auto"/>
        </w:rPr>
        <w:t>)</w:t>
      </w:r>
      <w:r w:rsidRPr="00CD42FA">
        <w:rPr>
          <w:color w:val="auto"/>
        </w:rPr>
        <w:t xml:space="preserve"> </w:t>
      </w:r>
      <w:r w:rsidR="00730743" w:rsidRPr="00CD42FA">
        <w:rPr>
          <w:color w:val="auto"/>
        </w:rPr>
        <w:t>to import the results for the different condition</w:t>
      </w:r>
      <w:r w:rsidR="0083556F" w:rsidRPr="00CD42FA">
        <w:rPr>
          <w:color w:val="auto"/>
        </w:rPr>
        <w:t>s</w:t>
      </w:r>
      <w:r w:rsidR="00730743" w:rsidRPr="00CD42FA">
        <w:rPr>
          <w:color w:val="auto"/>
        </w:rPr>
        <w:t xml:space="preserve"> by </w:t>
      </w:r>
      <w:r w:rsidRPr="00CD42FA">
        <w:rPr>
          <w:color w:val="auto"/>
        </w:rPr>
        <w:t>creating a column table</w:t>
      </w:r>
      <w:r w:rsidR="00730743" w:rsidRPr="00CD42FA">
        <w:rPr>
          <w:color w:val="auto"/>
        </w:rPr>
        <w:t>, plot the results and perform statistical test to check significance</w:t>
      </w:r>
      <w:r w:rsidR="00854375" w:rsidRPr="00CD42FA">
        <w:rPr>
          <w:color w:val="auto"/>
        </w:rPr>
        <w:t xml:space="preserve"> </w:t>
      </w:r>
      <w:r w:rsidR="00EE7698" w:rsidRPr="00CD42FA">
        <w:rPr>
          <w:color w:val="auto"/>
        </w:rPr>
        <w:t>of</w:t>
      </w:r>
      <w:r w:rsidR="00854375" w:rsidRPr="00CD42FA">
        <w:rPr>
          <w:color w:val="auto"/>
        </w:rPr>
        <w:t xml:space="preserve"> difference</w:t>
      </w:r>
      <w:r w:rsidR="00083624" w:rsidRPr="00CD42FA">
        <w:rPr>
          <w:color w:val="auto"/>
        </w:rPr>
        <w:t xml:space="preserve"> </w:t>
      </w:r>
      <w:r w:rsidR="00766E15" w:rsidRPr="00CD42FA">
        <w:rPr>
          <w:color w:val="auto"/>
        </w:rPr>
        <w:t xml:space="preserve">between </w:t>
      </w:r>
      <w:r w:rsidR="00EE7698" w:rsidRPr="00CD42FA">
        <w:rPr>
          <w:color w:val="auto"/>
        </w:rPr>
        <w:t xml:space="preserve">the </w:t>
      </w:r>
      <w:r w:rsidR="00083624" w:rsidRPr="00CD42FA">
        <w:rPr>
          <w:color w:val="auto"/>
        </w:rPr>
        <w:t>mean values.</w:t>
      </w:r>
    </w:p>
    <w:p w14:paraId="65365B70" w14:textId="77777777" w:rsidR="008858C7" w:rsidRPr="00CD42FA" w:rsidRDefault="008858C7" w:rsidP="005C35E4">
      <w:pPr>
        <w:pStyle w:val="ListParagraph"/>
        <w:ind w:left="0"/>
        <w:rPr>
          <w:color w:val="auto"/>
        </w:rPr>
      </w:pPr>
    </w:p>
    <w:p w14:paraId="16DA8259" w14:textId="2E4B68B4" w:rsidR="008858C7" w:rsidRPr="00CD42FA" w:rsidRDefault="008858C7" w:rsidP="005C35E4">
      <w:pPr>
        <w:jc w:val="both"/>
        <w:rPr>
          <w:rFonts w:ascii="Calibri" w:hAnsi="Calibri" w:cs="Calibri"/>
          <w:lang w:val="en-US"/>
        </w:rPr>
      </w:pPr>
      <w:r w:rsidRPr="00CD42FA">
        <w:rPr>
          <w:rFonts w:ascii="Calibri" w:hAnsi="Calibri" w:cs="Calibri"/>
          <w:lang w:val="en-US"/>
        </w:rPr>
        <w:t>NOTE:</w:t>
      </w:r>
      <w:r w:rsidR="008A59F8" w:rsidRPr="00CD42FA">
        <w:rPr>
          <w:rFonts w:ascii="Calibri" w:hAnsi="Calibri" w:cs="Calibri"/>
          <w:lang w:val="en-US"/>
        </w:rPr>
        <w:t xml:space="preserve"> The codes for the analysis can also be found in GitHub at https://github.com/LeukocyteMotionAndDynamics/ReceptorTraffic</w:t>
      </w:r>
    </w:p>
    <w:p w14:paraId="25F4B9E0" w14:textId="7C1FF007" w:rsidR="00E92291" w:rsidRPr="00CD42FA" w:rsidRDefault="00E92291" w:rsidP="005C35E4">
      <w:pPr>
        <w:jc w:val="both"/>
        <w:rPr>
          <w:rFonts w:ascii="Calibri" w:hAnsi="Calibri" w:cs="Calibri"/>
          <w:lang w:val="en-US"/>
        </w:rPr>
      </w:pPr>
    </w:p>
    <w:p w14:paraId="2F586B15" w14:textId="11C026F5" w:rsidR="002B6097" w:rsidRPr="00CD42FA" w:rsidRDefault="00683586" w:rsidP="005C35E4">
      <w:pPr>
        <w:jc w:val="both"/>
        <w:rPr>
          <w:rFonts w:ascii="Calibri" w:hAnsi="Calibri" w:cs="Calibri"/>
          <w:b/>
          <w:bCs/>
          <w:lang w:val="en-US"/>
        </w:rPr>
      </w:pPr>
      <w:r w:rsidRPr="00CD42FA">
        <w:rPr>
          <w:rFonts w:ascii="Calibri" w:hAnsi="Calibri" w:cs="Calibri"/>
          <w:b/>
          <w:bCs/>
          <w:lang w:val="en-US"/>
        </w:rPr>
        <w:t>7</w:t>
      </w:r>
      <w:r w:rsidR="007619FF" w:rsidRPr="00CD42FA">
        <w:rPr>
          <w:rFonts w:ascii="Calibri" w:hAnsi="Calibri" w:cs="Calibri"/>
          <w:b/>
          <w:bCs/>
          <w:lang w:val="en-US"/>
        </w:rPr>
        <w:t>.</w:t>
      </w:r>
      <w:r w:rsidR="002B6097" w:rsidRPr="00CD42FA">
        <w:rPr>
          <w:rFonts w:ascii="Calibri" w:hAnsi="Calibri" w:cs="Calibri"/>
          <w:b/>
          <w:bCs/>
          <w:lang w:val="en-US"/>
        </w:rPr>
        <w:t xml:space="preserve"> </w:t>
      </w:r>
      <w:r w:rsidR="00722C55" w:rsidRPr="00CD42FA">
        <w:rPr>
          <w:rFonts w:ascii="Calibri" w:hAnsi="Calibri" w:cs="Calibri"/>
          <w:b/>
          <w:bCs/>
          <w:lang w:val="en-US"/>
        </w:rPr>
        <w:t xml:space="preserve">Chemokine </w:t>
      </w:r>
      <w:r w:rsidR="002429E9" w:rsidRPr="00CD42FA">
        <w:rPr>
          <w:rFonts w:ascii="Calibri" w:hAnsi="Calibri" w:cs="Calibri"/>
          <w:b/>
          <w:bCs/>
          <w:lang w:val="en-US"/>
        </w:rPr>
        <w:t>response</w:t>
      </w:r>
      <w:r w:rsidR="002B6097" w:rsidRPr="00CD42FA">
        <w:rPr>
          <w:rFonts w:ascii="Calibri" w:hAnsi="Calibri" w:cs="Calibri"/>
          <w:b/>
          <w:bCs/>
          <w:lang w:val="en-US"/>
        </w:rPr>
        <w:t xml:space="preserve"> assays in early embryos</w:t>
      </w:r>
    </w:p>
    <w:p w14:paraId="5F54616D" w14:textId="77777777" w:rsidR="00B77C34" w:rsidRPr="00CD42FA" w:rsidRDefault="00B77C34" w:rsidP="005C35E4">
      <w:pPr>
        <w:jc w:val="both"/>
        <w:rPr>
          <w:rFonts w:ascii="Calibri" w:hAnsi="Calibri" w:cs="Calibri"/>
          <w:lang w:val="en-US"/>
        </w:rPr>
      </w:pPr>
    </w:p>
    <w:p w14:paraId="4B15E754" w14:textId="5630A1EE" w:rsidR="001237BD" w:rsidRPr="00CD42FA" w:rsidRDefault="001237BD" w:rsidP="005C35E4">
      <w:pPr>
        <w:jc w:val="both"/>
        <w:rPr>
          <w:rFonts w:ascii="Calibri" w:hAnsi="Calibri" w:cs="Calibri"/>
          <w:lang w:val="en-US"/>
        </w:rPr>
      </w:pPr>
      <w:r w:rsidRPr="00CD42FA">
        <w:rPr>
          <w:rFonts w:ascii="Calibri" w:hAnsi="Calibri" w:cs="Calibri"/>
          <w:lang w:val="en-US"/>
        </w:rPr>
        <w:t xml:space="preserve">NOTE: This is an optional </w:t>
      </w:r>
      <w:r w:rsidR="00AE176E" w:rsidRPr="00CD42FA">
        <w:rPr>
          <w:rFonts w:ascii="Calibri" w:hAnsi="Calibri" w:cs="Calibri"/>
          <w:lang w:val="en-US"/>
        </w:rPr>
        <w:t xml:space="preserve">side experiment </w:t>
      </w:r>
      <w:r w:rsidRPr="00CD42FA">
        <w:rPr>
          <w:rFonts w:ascii="Calibri" w:hAnsi="Calibri" w:cs="Calibri"/>
          <w:lang w:val="en-US"/>
        </w:rPr>
        <w:t xml:space="preserve">that allows testing of </w:t>
      </w:r>
      <w:r w:rsidR="00683586" w:rsidRPr="00CD42FA">
        <w:rPr>
          <w:rFonts w:ascii="Calibri" w:hAnsi="Calibri" w:cs="Calibri"/>
          <w:lang w:val="en-US"/>
        </w:rPr>
        <w:t>receptor distribution changes</w:t>
      </w:r>
      <w:r w:rsidRPr="00CD42FA">
        <w:rPr>
          <w:rFonts w:ascii="Calibri" w:hAnsi="Calibri" w:cs="Calibri"/>
          <w:lang w:val="en-US"/>
        </w:rPr>
        <w:t xml:space="preserve"> in response to a </w:t>
      </w:r>
      <w:r w:rsidR="00896FC5" w:rsidRPr="00CD42FA">
        <w:rPr>
          <w:rFonts w:ascii="Calibri" w:hAnsi="Calibri" w:cs="Calibri"/>
          <w:lang w:val="en-US"/>
        </w:rPr>
        <w:t xml:space="preserve">candidate </w:t>
      </w:r>
      <w:r w:rsidRPr="00CD42FA">
        <w:rPr>
          <w:rFonts w:ascii="Calibri" w:hAnsi="Calibri" w:cs="Calibri"/>
          <w:lang w:val="en-US"/>
        </w:rPr>
        <w:t>chemokine</w:t>
      </w:r>
      <w:r w:rsidR="00116479" w:rsidRPr="00CD42FA">
        <w:rPr>
          <w:rFonts w:ascii="Calibri" w:hAnsi="Calibri" w:cs="Calibri"/>
          <w:lang w:val="en-US"/>
        </w:rPr>
        <w:t xml:space="preserve"> and is independent from the experiments described above concerning neutrophil expression of the receptor constructs</w:t>
      </w:r>
      <w:r w:rsidRPr="00CD42FA">
        <w:rPr>
          <w:rFonts w:ascii="Calibri" w:hAnsi="Calibri" w:cs="Calibri"/>
          <w:lang w:val="en-US"/>
        </w:rPr>
        <w:t>.</w:t>
      </w:r>
      <w:r w:rsidR="00D57C84" w:rsidRPr="00CD42FA">
        <w:rPr>
          <w:rFonts w:ascii="Calibri" w:hAnsi="Calibri" w:cs="Calibri"/>
          <w:lang w:val="en-US"/>
        </w:rPr>
        <w:t xml:space="preserve"> </w:t>
      </w:r>
      <w:r w:rsidR="002429E9" w:rsidRPr="00CD42FA">
        <w:rPr>
          <w:rFonts w:ascii="Calibri" w:hAnsi="Calibri" w:cs="Calibri"/>
          <w:lang w:val="en-US"/>
        </w:rPr>
        <w:t>Differences in ligand-induced trafficking between receptors are difficult to establish with this technique as the ligand levels are saturating</w:t>
      </w:r>
      <w:r w:rsidR="00E50D21" w:rsidRPr="00CD42FA">
        <w:rPr>
          <w:rFonts w:ascii="Calibri" w:hAnsi="Calibri" w:cs="Calibri"/>
          <w:lang w:val="en-US"/>
        </w:rPr>
        <w:fldChar w:fldCharType="begin"/>
      </w:r>
      <w:r w:rsidR="0002471A" w:rsidRPr="00CD42FA">
        <w:rPr>
          <w:rFonts w:ascii="Calibri" w:hAnsi="Calibri" w:cs="Calibri"/>
          <w:lang w:val="en-US"/>
        </w:rPr>
        <w:instrText xml:space="preserve"> ADDIN ZOTERO_ITEM CSL_CITATION {"citationID":"YNdsY2H8","properties":{"formattedCitation":"\\super 14\\nosupersub{}","plainCitation":"14","noteIndex":0},"citationItems":[{"id":711,"uris":["http://zotero.org/users/5010385/items/22KQ8LRX"],"uri":["http://zotero.org/users/5010385/items/22KQ8LRX"],"itemData":{"id":711,"type":"article-journal","abstract":"Immune cells congregate at specific loci to fight infections during inflammatory responses, a process that must be transient and self-resolving. Cell dispersal promotes resolution, but it remains unclear how transition from clustering to dispersal is regulated. Here we show, using quantitative live imaging in zebrafish, that differential ligand-induced trafficking of chemokine receptors such as Cxcr1 and Cxcr2 orchestrates the state of neutrophil congregation at sites of tissue damage. Through receptor mutagenesis and biosensors, we show that Cxcr1 promotes clustering at wound sites, but is promptly desensitized and internalized, which prevents excess congregation. By contrast, Cxcr2 promotes bidirectional motility and is sustained at the plasma membrane. Persistent plasma membrane residence of Cxcr2 prolongs downstream signaling and is required for sustained exploratory motion conducive to dispersal. Thus, differential trafficking of two chemokine receptors allows coordination of antagonistic cell behaviors, promoting a self-resolving migratory response.","container-title":"Nature Communications","DOI":"10.1038/s41467-019-13107-3","ISSN":"2041-1723","issue":"1","journalAbbreviation":"Nat Commun","language":"eng","note":"PMID: 31727891\nPMCID: PMC6856356","page":"5166","source":"PubMed","title":"Chemokine receptor trafficking coordinates neutrophil clustering and dispersal at wounds in zebrafish","volume":"10","author":[{"family":"Coombs","given":"Caroline"},{"family":"Georgantzoglou","given":"Antonios"},{"family":"Walker","given":"Hazel A."},{"family":"Patt","given":"Julian"},{"family":"Merten","given":"Nicole"},{"family":"Poplimont","given":"Hugo"},{"family":"Busch-Nentwich","given":"Elisabeth M."},{"family":"Williams","given":"Sarah"},{"family":"Kotsi","given":"Christina"},{"family":"Kostenis","given":"Evi"},{"family":"Sarris","given":"Milka"}],"issued":{"date-parts":[["2019",11,14]]}}}],"schema":"https://github.com/citation-style-language/schema/raw/master/csl-citation.json"} </w:instrText>
      </w:r>
      <w:r w:rsidR="00E50D21" w:rsidRPr="00CD42FA">
        <w:rPr>
          <w:rFonts w:ascii="Calibri" w:hAnsi="Calibri" w:cs="Calibri"/>
          <w:lang w:val="en-US"/>
        </w:rPr>
        <w:fldChar w:fldCharType="separate"/>
      </w:r>
      <w:r w:rsidR="000D4262" w:rsidRPr="00CD42FA">
        <w:rPr>
          <w:rFonts w:ascii="Calibri" w:hAnsi="Calibri" w:cs="Calibri"/>
          <w:vertAlign w:val="superscript"/>
          <w:lang w:val="en-US"/>
        </w:rPr>
        <w:t>14</w:t>
      </w:r>
      <w:r w:rsidR="00E50D21" w:rsidRPr="00CD42FA">
        <w:rPr>
          <w:rFonts w:ascii="Calibri" w:hAnsi="Calibri" w:cs="Calibri"/>
          <w:lang w:val="en-US"/>
        </w:rPr>
        <w:fldChar w:fldCharType="end"/>
      </w:r>
      <w:r w:rsidRPr="00CD42FA">
        <w:rPr>
          <w:rFonts w:ascii="Calibri" w:hAnsi="Calibri" w:cs="Calibri"/>
          <w:lang w:val="en-US"/>
        </w:rPr>
        <w:t xml:space="preserve">. However, if one sees ligand-internalization of a receptor in this system, this can be </w:t>
      </w:r>
      <w:r w:rsidR="007A756E" w:rsidRPr="00CD42FA">
        <w:rPr>
          <w:rFonts w:ascii="Calibri" w:hAnsi="Calibri" w:cs="Calibri"/>
          <w:lang w:val="en-US"/>
        </w:rPr>
        <w:t>an indication that</w:t>
      </w:r>
      <w:r w:rsidRPr="00CD42FA">
        <w:rPr>
          <w:rFonts w:ascii="Calibri" w:hAnsi="Calibri" w:cs="Calibri"/>
          <w:lang w:val="en-US"/>
        </w:rPr>
        <w:t xml:space="preserve"> the ligand is recognized by the receptor</w:t>
      </w:r>
      <w:r w:rsidR="002429E9" w:rsidRPr="00CD42FA">
        <w:rPr>
          <w:rFonts w:ascii="Calibri" w:hAnsi="Calibri" w:cs="Calibri"/>
          <w:lang w:val="en-US"/>
        </w:rPr>
        <w:t xml:space="preserve"> </w:t>
      </w:r>
      <w:r w:rsidRPr="00CD42FA">
        <w:rPr>
          <w:rFonts w:ascii="Calibri" w:hAnsi="Calibri" w:cs="Calibri"/>
          <w:lang w:val="en-US"/>
        </w:rPr>
        <w:t>in instances where the ligand identity is unclear.</w:t>
      </w:r>
      <w:r w:rsidR="002429E9" w:rsidRPr="00CD42FA">
        <w:rPr>
          <w:rFonts w:ascii="Calibri" w:hAnsi="Calibri" w:cs="Calibri"/>
          <w:lang w:val="en-US"/>
        </w:rPr>
        <w:t xml:space="preserve"> This is useful, because expression of chemokine receptors in established cell lines such as HEK293T cells</w:t>
      </w:r>
      <w:r w:rsidR="00DA44AE" w:rsidRPr="00CD42FA">
        <w:rPr>
          <w:rFonts w:ascii="Calibri" w:hAnsi="Calibri" w:cs="Calibri"/>
          <w:lang w:val="en-US"/>
        </w:rPr>
        <w:fldChar w:fldCharType="begin"/>
      </w:r>
      <w:r w:rsidR="0002471A" w:rsidRPr="00CD42FA">
        <w:rPr>
          <w:rFonts w:ascii="Calibri" w:hAnsi="Calibri" w:cs="Calibri"/>
          <w:lang w:val="en-US"/>
        </w:rPr>
        <w:instrText xml:space="preserve"> ADDIN ZOTERO_ITEM CSL_CITATION {"citationID":"sin38oOH","properties":{"formattedCitation":"\\super 14\\nosupersub{}","plainCitation":"14","noteIndex":0},"citationItems":[{"id":711,"uris":["http://zotero.org/users/5010385/items/22KQ8LRX"],"uri":["http://zotero.org/users/5010385/items/22KQ8LRX"],"itemData":{"id":711,"type":"article-journal","abstract":"Immune cells congregate at specific loci to fight infections during inflammatory responses, a process that must be transient and self-resolving. Cell dispersal promotes resolution, but it remains unclear how transition from clustering to dispersal is regulated. Here we show, using quantitative live imaging in zebrafish, that differential ligand-induced trafficking of chemokine receptors such as Cxcr1 and Cxcr2 orchestrates the state of neutrophil congregation at sites of tissue damage. Through receptor mutagenesis and biosensors, we show that Cxcr1 promotes clustering at wound sites, but is promptly desensitized and internalized, which prevents excess congregation. By contrast, Cxcr2 promotes bidirectional motility and is sustained at the plasma membrane. Persistent plasma membrane residence of Cxcr2 prolongs downstream signaling and is required for sustained exploratory motion conducive to dispersal. Thus, differential trafficking of two chemokine receptors allows coordination of antagonistic cell behaviors, promoting a self-resolving migratory response.","container-title":"Nature Communications","DOI":"10.1038/s41467-019-13107-3","ISSN":"2041-1723","issue":"1","journalAbbreviation":"Nat Commun","language":"eng","note":"PMID: 31727891\nPMCID: PMC6856356","page":"5166","source":"PubMed","title":"Chemokine receptor trafficking coordinates neutrophil clustering and dispersal at wounds in zebrafish","volume":"10","author":[{"family":"Coombs","given":"Caroline"},{"family":"Georgantzoglou","given":"Antonios"},{"family":"Walker","given":"Hazel A."},{"family":"Patt","given":"Julian"},{"family":"Merten","given":"Nicole"},{"family":"Poplimont","given":"Hugo"},{"family":"Busch-Nentwich","given":"Elisabeth M."},{"family":"Williams","given":"Sarah"},{"family":"Kotsi","given":"Christina"},{"family":"Kostenis","given":"Evi"},{"family":"Sarris","given":"Milka"}],"issued":{"date-parts":[["2019",11,14]]}}}],"schema":"https://github.com/citation-style-language/schema/raw/master/csl-citation.json"} </w:instrText>
      </w:r>
      <w:r w:rsidR="00DA44AE" w:rsidRPr="00CD42FA">
        <w:rPr>
          <w:rFonts w:ascii="Calibri" w:hAnsi="Calibri" w:cs="Calibri"/>
          <w:lang w:val="en-US"/>
        </w:rPr>
        <w:fldChar w:fldCharType="separate"/>
      </w:r>
      <w:r w:rsidR="00DA44AE" w:rsidRPr="00CD42FA">
        <w:rPr>
          <w:rFonts w:ascii="Calibri" w:hAnsi="Calibri" w:cs="Calibri"/>
          <w:vertAlign w:val="superscript"/>
          <w:lang w:val="en-US"/>
        </w:rPr>
        <w:t>14</w:t>
      </w:r>
      <w:r w:rsidR="00DA44AE" w:rsidRPr="00CD42FA">
        <w:rPr>
          <w:rFonts w:ascii="Calibri" w:hAnsi="Calibri" w:cs="Calibri"/>
          <w:lang w:val="en-US"/>
        </w:rPr>
        <w:fldChar w:fldCharType="end"/>
      </w:r>
      <w:r w:rsidR="002429E9" w:rsidRPr="00CD42FA">
        <w:rPr>
          <w:rFonts w:ascii="Calibri" w:hAnsi="Calibri" w:cs="Calibri"/>
          <w:lang w:val="en-US"/>
        </w:rPr>
        <w:t xml:space="preserve"> can be cumbersome.</w:t>
      </w:r>
    </w:p>
    <w:p w14:paraId="77A695B1" w14:textId="77777777" w:rsidR="001237BD" w:rsidRPr="00CD42FA" w:rsidRDefault="001237BD" w:rsidP="005C35E4">
      <w:pPr>
        <w:jc w:val="both"/>
        <w:rPr>
          <w:rFonts w:ascii="Calibri" w:hAnsi="Calibri" w:cs="Calibri"/>
          <w:lang w:val="en-US"/>
        </w:rPr>
      </w:pPr>
    </w:p>
    <w:p w14:paraId="0CCBFD41" w14:textId="6DDB3D23" w:rsidR="00BB6C4E" w:rsidRPr="00CD42FA" w:rsidRDefault="001237BD" w:rsidP="005C35E4">
      <w:pPr>
        <w:pStyle w:val="ListParagraph"/>
        <w:numPr>
          <w:ilvl w:val="1"/>
          <w:numId w:val="7"/>
        </w:numPr>
        <w:ind w:left="0" w:firstLine="0"/>
        <w:rPr>
          <w:color w:val="auto"/>
        </w:rPr>
      </w:pPr>
      <w:r w:rsidRPr="00CD42FA">
        <w:rPr>
          <w:color w:val="auto"/>
        </w:rPr>
        <w:t>Set up a cross of wild type fish (e.g.</w:t>
      </w:r>
      <w:r w:rsidR="00D57C84" w:rsidRPr="00CD42FA">
        <w:rPr>
          <w:color w:val="auto"/>
        </w:rPr>
        <w:t>,</w:t>
      </w:r>
      <w:r w:rsidRPr="00CD42FA">
        <w:rPr>
          <w:color w:val="auto"/>
        </w:rPr>
        <w:t xml:space="preserve"> AB) and collect eggs the next morning shortly after lifting the separators (as described</w:t>
      </w:r>
      <w:r w:rsidR="00683586" w:rsidRPr="00CD42FA">
        <w:rPr>
          <w:color w:val="auto"/>
        </w:rPr>
        <w:t xml:space="preserve"> above</w:t>
      </w:r>
      <w:r w:rsidRPr="00CD42FA">
        <w:rPr>
          <w:color w:val="auto"/>
        </w:rPr>
        <w:t>).</w:t>
      </w:r>
    </w:p>
    <w:p w14:paraId="534F3FCC" w14:textId="77777777" w:rsidR="00BB6C4E" w:rsidRPr="00CD42FA" w:rsidRDefault="00BB6C4E" w:rsidP="005C35E4">
      <w:pPr>
        <w:pStyle w:val="ListParagraph"/>
        <w:ind w:left="0"/>
        <w:rPr>
          <w:color w:val="auto"/>
        </w:rPr>
      </w:pPr>
    </w:p>
    <w:p w14:paraId="195D2790" w14:textId="77777777" w:rsidR="00D57C84" w:rsidRPr="00CD42FA" w:rsidRDefault="00683586" w:rsidP="005C35E4">
      <w:pPr>
        <w:pStyle w:val="ListParagraph"/>
        <w:numPr>
          <w:ilvl w:val="1"/>
          <w:numId w:val="7"/>
        </w:numPr>
        <w:ind w:left="0" w:firstLine="0"/>
        <w:rPr>
          <w:color w:val="auto"/>
        </w:rPr>
      </w:pPr>
      <w:r w:rsidRPr="00CD42FA">
        <w:rPr>
          <w:color w:val="auto"/>
        </w:rPr>
        <w:t xml:space="preserve">Inject </w:t>
      </w:r>
      <w:r w:rsidR="002B6097" w:rsidRPr="00CD42FA">
        <w:rPr>
          <w:color w:val="auto"/>
        </w:rPr>
        <w:t>100</w:t>
      </w:r>
      <w:r w:rsidR="007619FF" w:rsidRPr="00CD42FA">
        <w:rPr>
          <w:color w:val="auto"/>
        </w:rPr>
        <w:t xml:space="preserve"> </w:t>
      </w:r>
      <w:r w:rsidR="002B6097" w:rsidRPr="00CD42FA">
        <w:rPr>
          <w:color w:val="auto"/>
        </w:rPr>
        <w:t xml:space="preserve">pg of </w:t>
      </w:r>
      <w:r w:rsidR="00FD10BD" w:rsidRPr="00CD42FA">
        <w:rPr>
          <w:color w:val="auto"/>
        </w:rPr>
        <w:t>fluorescently</w:t>
      </w:r>
      <w:r w:rsidR="00D57C84" w:rsidRPr="00CD42FA">
        <w:rPr>
          <w:color w:val="auto"/>
        </w:rPr>
        <w:t xml:space="preserve"> </w:t>
      </w:r>
      <w:r w:rsidR="00FD10BD" w:rsidRPr="00CD42FA">
        <w:rPr>
          <w:color w:val="auto"/>
        </w:rPr>
        <w:t xml:space="preserve">tagged </w:t>
      </w:r>
      <w:r w:rsidRPr="00CD42FA">
        <w:rPr>
          <w:color w:val="auto"/>
        </w:rPr>
        <w:t>receptor mRNA</w:t>
      </w:r>
      <w:r w:rsidR="00FD10BD" w:rsidRPr="00CD42FA">
        <w:rPr>
          <w:color w:val="auto"/>
        </w:rPr>
        <w:t xml:space="preserve"> (e.g.</w:t>
      </w:r>
      <w:r w:rsidR="00D57C84" w:rsidRPr="00CD42FA">
        <w:rPr>
          <w:color w:val="auto"/>
        </w:rPr>
        <w:t>,</w:t>
      </w:r>
      <w:r w:rsidR="00FD10BD" w:rsidRPr="00CD42FA">
        <w:rPr>
          <w:color w:val="auto"/>
        </w:rPr>
        <w:t xml:space="preserve"> Cxcr1-FT)</w:t>
      </w:r>
      <w:r w:rsidRPr="00CD42FA">
        <w:rPr>
          <w:color w:val="auto"/>
        </w:rPr>
        <w:t>, together with 100</w:t>
      </w:r>
      <w:r w:rsidR="007619FF" w:rsidRPr="00CD42FA">
        <w:rPr>
          <w:color w:val="auto"/>
        </w:rPr>
        <w:t xml:space="preserve"> </w:t>
      </w:r>
      <w:r w:rsidRPr="00CD42FA">
        <w:rPr>
          <w:color w:val="auto"/>
        </w:rPr>
        <w:t>pg of mRNA for a membrane marker</w:t>
      </w:r>
      <w:r w:rsidR="002B6097" w:rsidRPr="00CD42FA">
        <w:rPr>
          <w:color w:val="auto"/>
        </w:rPr>
        <w:t xml:space="preserve"> </w:t>
      </w:r>
      <w:r w:rsidRPr="00CD42FA">
        <w:rPr>
          <w:color w:val="auto"/>
        </w:rPr>
        <w:t>(e.g</w:t>
      </w:r>
      <w:r w:rsidR="00D57C84" w:rsidRPr="00CD42FA">
        <w:rPr>
          <w:color w:val="auto"/>
        </w:rPr>
        <w:t>.,</w:t>
      </w:r>
      <w:r w:rsidR="002B6097" w:rsidRPr="00CD42FA">
        <w:rPr>
          <w:color w:val="auto"/>
        </w:rPr>
        <w:t xml:space="preserve"> m</w:t>
      </w:r>
      <w:r w:rsidRPr="00CD42FA">
        <w:rPr>
          <w:color w:val="auto"/>
        </w:rPr>
        <w:t xml:space="preserve">embrane </w:t>
      </w:r>
      <w:r w:rsidR="002B6097" w:rsidRPr="00CD42FA">
        <w:rPr>
          <w:color w:val="auto"/>
        </w:rPr>
        <w:t>CFP</w:t>
      </w:r>
      <w:r w:rsidRPr="00CD42FA">
        <w:rPr>
          <w:color w:val="auto"/>
        </w:rPr>
        <w:t>). Include in the mixture</w:t>
      </w:r>
      <w:r w:rsidR="002B6097" w:rsidRPr="00CD42FA">
        <w:rPr>
          <w:color w:val="auto"/>
        </w:rPr>
        <w:t xml:space="preserve"> </w:t>
      </w:r>
      <w:r w:rsidRPr="00CD42FA">
        <w:rPr>
          <w:color w:val="auto"/>
        </w:rPr>
        <w:t>varying doses of mRNA for chemokine ligand</w:t>
      </w:r>
      <w:r w:rsidR="00FD10BD" w:rsidRPr="00CD42FA">
        <w:rPr>
          <w:color w:val="auto"/>
        </w:rPr>
        <w:t xml:space="preserve">. </w:t>
      </w:r>
    </w:p>
    <w:p w14:paraId="1EDD1FB9" w14:textId="77777777" w:rsidR="00D57C84" w:rsidRPr="00CD42FA" w:rsidRDefault="00D57C84" w:rsidP="005C35E4">
      <w:pPr>
        <w:pStyle w:val="ListParagraph"/>
        <w:ind w:left="0"/>
        <w:rPr>
          <w:color w:val="auto"/>
        </w:rPr>
      </w:pPr>
    </w:p>
    <w:p w14:paraId="3CF36943" w14:textId="12F57E7B" w:rsidR="00BB6C4E" w:rsidRPr="00CD42FA" w:rsidRDefault="00FD10BD" w:rsidP="005C35E4">
      <w:pPr>
        <w:pStyle w:val="ListParagraph"/>
        <w:ind w:left="0"/>
        <w:rPr>
          <w:color w:val="auto"/>
        </w:rPr>
      </w:pPr>
      <w:r w:rsidRPr="00CD42FA">
        <w:rPr>
          <w:color w:val="auto"/>
        </w:rPr>
        <w:t>NOTE: A</w:t>
      </w:r>
      <w:r w:rsidR="00683586" w:rsidRPr="00CD42FA">
        <w:rPr>
          <w:color w:val="auto"/>
        </w:rPr>
        <w:t>s an indication</w:t>
      </w:r>
      <w:r w:rsidR="002B6097" w:rsidRPr="00CD42FA">
        <w:rPr>
          <w:color w:val="auto"/>
        </w:rPr>
        <w:t xml:space="preserve"> 150 pg Cxcl8a mRNA </w:t>
      </w:r>
      <w:r w:rsidR="00683586" w:rsidRPr="00CD42FA">
        <w:rPr>
          <w:color w:val="auto"/>
        </w:rPr>
        <w:t xml:space="preserve">gave </w:t>
      </w:r>
      <w:r w:rsidR="00E50D21" w:rsidRPr="00CD42FA">
        <w:rPr>
          <w:color w:val="auto"/>
        </w:rPr>
        <w:t>prominent</w:t>
      </w:r>
      <w:r w:rsidR="00683586" w:rsidRPr="00CD42FA">
        <w:rPr>
          <w:color w:val="auto"/>
        </w:rPr>
        <w:t xml:space="preserve"> internali</w:t>
      </w:r>
      <w:r w:rsidR="003602D9" w:rsidRPr="00CD42FA">
        <w:rPr>
          <w:color w:val="auto"/>
        </w:rPr>
        <w:t>z</w:t>
      </w:r>
      <w:r w:rsidR="00683586" w:rsidRPr="00CD42FA">
        <w:rPr>
          <w:color w:val="auto"/>
        </w:rPr>
        <w:t>ation of fluorescent Cxcr1</w:t>
      </w:r>
      <w:r w:rsidR="007619FF" w:rsidRPr="00CD42FA">
        <w:rPr>
          <w:color w:val="auto"/>
        </w:rPr>
        <w:t>-FT</w:t>
      </w:r>
      <w:r w:rsidR="003602D9" w:rsidRPr="00CD42FA">
        <w:rPr>
          <w:color w:val="auto"/>
        </w:rPr>
        <w:t xml:space="preserve"> (see </w:t>
      </w:r>
      <w:r w:rsidR="00CA44AD">
        <w:rPr>
          <w:b/>
          <w:bCs/>
          <w:color w:val="auto"/>
        </w:rPr>
        <w:t>Figure 5</w:t>
      </w:r>
      <w:r w:rsidR="003602D9" w:rsidRPr="00CD42FA">
        <w:rPr>
          <w:color w:val="auto"/>
        </w:rPr>
        <w:t>)</w:t>
      </w:r>
      <w:r w:rsidR="006E5990" w:rsidRPr="00CD42FA">
        <w:rPr>
          <w:color w:val="auto"/>
        </w:rPr>
        <w:t>.</w:t>
      </w:r>
    </w:p>
    <w:p w14:paraId="314CB4B0" w14:textId="77777777" w:rsidR="00BB6C4E" w:rsidRPr="00CD42FA" w:rsidRDefault="00BB6C4E" w:rsidP="005C35E4">
      <w:pPr>
        <w:jc w:val="both"/>
        <w:rPr>
          <w:rFonts w:ascii="Calibri" w:hAnsi="Calibri" w:cs="Calibri"/>
          <w:lang w:val="en-US"/>
        </w:rPr>
      </w:pPr>
    </w:p>
    <w:p w14:paraId="13859211" w14:textId="77777777" w:rsidR="00BB6C4E" w:rsidRPr="00CD42FA" w:rsidRDefault="00683586" w:rsidP="005C35E4">
      <w:pPr>
        <w:pStyle w:val="ListParagraph"/>
        <w:numPr>
          <w:ilvl w:val="1"/>
          <w:numId w:val="7"/>
        </w:numPr>
        <w:ind w:left="0" w:firstLine="0"/>
        <w:rPr>
          <w:color w:val="auto"/>
        </w:rPr>
      </w:pPr>
      <w:r w:rsidRPr="00CD42FA">
        <w:rPr>
          <w:color w:val="auto"/>
        </w:rPr>
        <w:t>Rinse embryos with E3 medium and incubate at</w:t>
      </w:r>
      <w:r w:rsidR="002B6097" w:rsidRPr="00CD42FA">
        <w:rPr>
          <w:color w:val="auto"/>
        </w:rPr>
        <w:t xml:space="preserve"> 28°C.</w:t>
      </w:r>
    </w:p>
    <w:p w14:paraId="09CEF83E" w14:textId="77777777" w:rsidR="00BB6C4E" w:rsidRPr="00CD42FA" w:rsidRDefault="00BB6C4E" w:rsidP="005C35E4">
      <w:pPr>
        <w:pStyle w:val="ListParagraph"/>
        <w:ind w:left="0"/>
        <w:rPr>
          <w:color w:val="auto"/>
        </w:rPr>
      </w:pPr>
    </w:p>
    <w:p w14:paraId="359D146A" w14:textId="77777777" w:rsidR="00BB6C4E" w:rsidRPr="00CD42FA" w:rsidRDefault="002B6097" w:rsidP="005C35E4">
      <w:pPr>
        <w:pStyle w:val="ListParagraph"/>
        <w:numPr>
          <w:ilvl w:val="1"/>
          <w:numId w:val="7"/>
        </w:numPr>
        <w:ind w:left="0" w:firstLine="0"/>
        <w:rPr>
          <w:color w:val="auto"/>
        </w:rPr>
      </w:pPr>
      <w:r w:rsidRPr="00CD42FA">
        <w:rPr>
          <w:color w:val="auto"/>
        </w:rPr>
        <w:t xml:space="preserve">At about 7 </w:t>
      </w:r>
      <w:r w:rsidR="00DE00CA" w:rsidRPr="00CD42FA">
        <w:rPr>
          <w:color w:val="auto"/>
        </w:rPr>
        <w:t>hpf</w:t>
      </w:r>
      <w:r w:rsidR="00683586" w:rsidRPr="00CD42FA">
        <w:rPr>
          <w:color w:val="auto"/>
        </w:rPr>
        <w:t xml:space="preserve">, </w:t>
      </w:r>
      <w:r w:rsidR="00675547" w:rsidRPr="00CD42FA">
        <w:rPr>
          <w:color w:val="auto"/>
        </w:rPr>
        <w:t xml:space="preserve">test expression of the </w:t>
      </w:r>
      <w:r w:rsidR="007619FF" w:rsidRPr="00CD42FA">
        <w:rPr>
          <w:color w:val="auto"/>
        </w:rPr>
        <w:t>m</w:t>
      </w:r>
      <w:r w:rsidR="00675547" w:rsidRPr="00CD42FA">
        <w:rPr>
          <w:color w:val="auto"/>
        </w:rPr>
        <w:t>RNA on a fluorescent dissecting scope and select the embryos to image.</w:t>
      </w:r>
    </w:p>
    <w:p w14:paraId="78312F91" w14:textId="77777777" w:rsidR="00BB6C4E" w:rsidRPr="00CD42FA" w:rsidRDefault="00BB6C4E" w:rsidP="005C35E4">
      <w:pPr>
        <w:pStyle w:val="ListParagraph"/>
        <w:ind w:left="0"/>
        <w:rPr>
          <w:color w:val="auto"/>
        </w:rPr>
      </w:pPr>
    </w:p>
    <w:p w14:paraId="6CCD2AC9" w14:textId="0710581E" w:rsidR="00BB6C4E" w:rsidRPr="00CD42FA" w:rsidRDefault="00683586" w:rsidP="005C35E4">
      <w:pPr>
        <w:pStyle w:val="ListParagraph"/>
        <w:numPr>
          <w:ilvl w:val="1"/>
          <w:numId w:val="7"/>
        </w:numPr>
        <w:ind w:left="0" w:firstLine="0"/>
        <w:rPr>
          <w:color w:val="auto"/>
        </w:rPr>
      </w:pPr>
      <w:r w:rsidRPr="00CD42FA">
        <w:rPr>
          <w:color w:val="auto"/>
        </w:rPr>
        <w:t xml:space="preserve">Prepare </w:t>
      </w:r>
      <w:r w:rsidR="00675547" w:rsidRPr="00CD42FA">
        <w:rPr>
          <w:color w:val="auto"/>
        </w:rPr>
        <w:t>0.8</w:t>
      </w:r>
      <w:r w:rsidR="007619FF" w:rsidRPr="00CD42FA">
        <w:rPr>
          <w:color w:val="auto"/>
        </w:rPr>
        <w:t xml:space="preserve"> </w:t>
      </w:r>
      <w:r w:rsidR="00675547" w:rsidRPr="00CD42FA">
        <w:rPr>
          <w:color w:val="auto"/>
        </w:rPr>
        <w:t xml:space="preserve">% </w:t>
      </w:r>
      <w:r w:rsidRPr="00CD42FA">
        <w:rPr>
          <w:color w:val="auto"/>
        </w:rPr>
        <w:t>LMP agarose in advance and keep in glass tube in a hea</w:t>
      </w:r>
      <w:r w:rsidR="007619FF" w:rsidRPr="00CD42FA">
        <w:rPr>
          <w:color w:val="auto"/>
        </w:rPr>
        <w:t>tblock</w:t>
      </w:r>
      <w:r w:rsidRPr="00CD42FA">
        <w:rPr>
          <w:color w:val="auto"/>
        </w:rPr>
        <w:t xml:space="preserve"> at 60</w:t>
      </w:r>
      <w:r w:rsidR="007619FF" w:rsidRPr="00CD42FA">
        <w:rPr>
          <w:color w:val="auto"/>
        </w:rPr>
        <w:t xml:space="preserve"> </w:t>
      </w:r>
      <w:r w:rsidR="00923B8B" w:rsidRPr="00CD42FA">
        <w:rPr>
          <w:color w:val="auto"/>
        </w:rPr>
        <w:t>˚</w:t>
      </w:r>
      <w:r w:rsidR="00871A65" w:rsidRPr="00CD42FA">
        <w:rPr>
          <w:color w:val="auto"/>
        </w:rPr>
        <w:t>C</w:t>
      </w:r>
      <w:r w:rsidR="00675547" w:rsidRPr="00CD42FA">
        <w:rPr>
          <w:color w:val="auto"/>
        </w:rPr>
        <w:t xml:space="preserve">. Use a glass pipette to manipulate the embryos. Gently dechorionate embryos using a pair of forceps in each hand. </w:t>
      </w:r>
    </w:p>
    <w:p w14:paraId="6D183159" w14:textId="77777777" w:rsidR="00BB6C4E" w:rsidRPr="00CD42FA" w:rsidRDefault="00BB6C4E" w:rsidP="005C35E4">
      <w:pPr>
        <w:pStyle w:val="ListParagraph"/>
        <w:ind w:left="0"/>
        <w:rPr>
          <w:color w:val="auto"/>
        </w:rPr>
      </w:pPr>
    </w:p>
    <w:p w14:paraId="5B96B7B4" w14:textId="77777777" w:rsidR="00BB6C4E" w:rsidRPr="00CD42FA" w:rsidRDefault="00675547" w:rsidP="005C35E4">
      <w:pPr>
        <w:pStyle w:val="ListParagraph"/>
        <w:numPr>
          <w:ilvl w:val="1"/>
          <w:numId w:val="7"/>
        </w:numPr>
        <w:ind w:left="0" w:firstLine="0"/>
        <w:rPr>
          <w:color w:val="auto"/>
        </w:rPr>
      </w:pPr>
      <w:r w:rsidRPr="00CD42FA">
        <w:rPr>
          <w:color w:val="auto"/>
        </w:rPr>
        <w:t>Aspirate an individual dechorionated embryo with the glass pipette ensuring no bubbles are at the tip. Gently release the embryo into the tube of agarose allowing it to sink into the tube.</w:t>
      </w:r>
    </w:p>
    <w:p w14:paraId="69D6CF8E" w14:textId="77777777" w:rsidR="00BB6C4E" w:rsidRPr="00CD42FA" w:rsidRDefault="00BB6C4E" w:rsidP="005C35E4">
      <w:pPr>
        <w:pStyle w:val="ListParagraph"/>
        <w:ind w:left="0"/>
        <w:rPr>
          <w:color w:val="auto"/>
        </w:rPr>
      </w:pPr>
    </w:p>
    <w:p w14:paraId="04AB0929" w14:textId="21AA1640" w:rsidR="00923B8B" w:rsidRPr="00CD42FA" w:rsidRDefault="00675547" w:rsidP="005C35E4">
      <w:pPr>
        <w:pStyle w:val="ListParagraph"/>
        <w:numPr>
          <w:ilvl w:val="1"/>
          <w:numId w:val="7"/>
        </w:numPr>
        <w:ind w:left="0" w:firstLine="0"/>
        <w:rPr>
          <w:color w:val="auto"/>
        </w:rPr>
      </w:pPr>
      <w:r w:rsidRPr="00CD42FA">
        <w:rPr>
          <w:color w:val="auto"/>
        </w:rPr>
        <w:t xml:space="preserve">Aspirate the embryo from the agarose tube, collecting some liquid agarose along the way. Gently release embryo onto </w:t>
      </w:r>
      <w:r w:rsidR="00FD10BD" w:rsidRPr="00CD42FA">
        <w:rPr>
          <w:color w:val="auto"/>
        </w:rPr>
        <w:t>the center of a</w:t>
      </w:r>
      <w:r w:rsidRPr="00CD42FA">
        <w:rPr>
          <w:color w:val="auto"/>
        </w:rPr>
        <w:t xml:space="preserve"> </w:t>
      </w:r>
      <w:r w:rsidR="00FD10BD" w:rsidRPr="00CD42FA">
        <w:rPr>
          <w:color w:val="auto"/>
        </w:rPr>
        <w:t>glass-bottomed imaging dish</w:t>
      </w:r>
      <w:r w:rsidR="00871A65" w:rsidRPr="00CD42FA">
        <w:rPr>
          <w:color w:val="auto"/>
        </w:rPr>
        <w:t xml:space="preserve">. </w:t>
      </w:r>
      <w:r w:rsidRPr="00CD42FA">
        <w:rPr>
          <w:color w:val="auto"/>
        </w:rPr>
        <w:t xml:space="preserve">Quickly rotate embryo so that the animal pole is facing the bottom of the dish (this side </w:t>
      </w:r>
      <w:r w:rsidR="003602D9" w:rsidRPr="00CD42FA">
        <w:rPr>
          <w:color w:val="auto"/>
        </w:rPr>
        <w:t>must</w:t>
      </w:r>
      <w:r w:rsidRPr="00CD42FA">
        <w:rPr>
          <w:color w:val="auto"/>
        </w:rPr>
        <w:t xml:space="preserve"> be closest to the objective when using an inverted microscope). </w:t>
      </w:r>
    </w:p>
    <w:p w14:paraId="5E567CD2" w14:textId="77777777" w:rsidR="00923B8B" w:rsidRPr="00CD42FA" w:rsidRDefault="00923B8B" w:rsidP="005C35E4">
      <w:pPr>
        <w:pStyle w:val="ListParagraph"/>
        <w:ind w:left="0"/>
        <w:rPr>
          <w:color w:val="auto"/>
        </w:rPr>
      </w:pPr>
    </w:p>
    <w:p w14:paraId="0C7A088C" w14:textId="664A5881" w:rsidR="00BB6C4E" w:rsidRPr="00CD42FA" w:rsidRDefault="007325FE" w:rsidP="005C35E4">
      <w:pPr>
        <w:pStyle w:val="ListParagraph"/>
        <w:ind w:left="0"/>
        <w:rPr>
          <w:color w:val="auto"/>
        </w:rPr>
      </w:pPr>
      <w:r w:rsidRPr="00CD42FA">
        <w:rPr>
          <w:color w:val="auto"/>
        </w:rPr>
        <w:t xml:space="preserve">NOTE: </w:t>
      </w:r>
      <w:r w:rsidR="00923B8B" w:rsidRPr="00CD42FA">
        <w:rPr>
          <w:color w:val="auto"/>
        </w:rPr>
        <w:t xml:space="preserve">One </w:t>
      </w:r>
      <w:r w:rsidRPr="00CD42FA">
        <w:rPr>
          <w:color w:val="auto"/>
        </w:rPr>
        <w:t>may need to readjust the orientation of embryos while the agarose is still setting</w:t>
      </w:r>
      <w:r w:rsidR="00BB6C4E" w:rsidRPr="00CD42FA">
        <w:rPr>
          <w:color w:val="auto"/>
        </w:rPr>
        <w:t>.</w:t>
      </w:r>
    </w:p>
    <w:p w14:paraId="0D9E6349" w14:textId="77777777" w:rsidR="00BB6C4E" w:rsidRPr="00CD42FA" w:rsidRDefault="00BB6C4E" w:rsidP="005C35E4">
      <w:pPr>
        <w:pStyle w:val="ListParagraph"/>
        <w:ind w:left="0"/>
        <w:rPr>
          <w:color w:val="auto"/>
        </w:rPr>
      </w:pPr>
    </w:p>
    <w:p w14:paraId="5ABE6222" w14:textId="77777777" w:rsidR="00923B8B" w:rsidRPr="00CD42FA" w:rsidRDefault="007325FE" w:rsidP="005C35E4">
      <w:pPr>
        <w:pStyle w:val="ListParagraph"/>
        <w:numPr>
          <w:ilvl w:val="1"/>
          <w:numId w:val="7"/>
        </w:numPr>
        <w:ind w:left="0" w:firstLine="0"/>
        <w:rPr>
          <w:color w:val="auto"/>
        </w:rPr>
      </w:pPr>
      <w:r w:rsidRPr="00CD42FA">
        <w:rPr>
          <w:color w:val="auto"/>
        </w:rPr>
        <w:t>After the agarose is set, supplement with 2 m</w:t>
      </w:r>
      <w:r w:rsidR="00923B8B" w:rsidRPr="00CD42FA">
        <w:rPr>
          <w:color w:val="auto"/>
        </w:rPr>
        <w:t>L of</w:t>
      </w:r>
      <w:r w:rsidRPr="00CD42FA">
        <w:rPr>
          <w:color w:val="auto"/>
        </w:rPr>
        <w:t xml:space="preserve"> E3 medium. </w:t>
      </w:r>
    </w:p>
    <w:p w14:paraId="19583AF2" w14:textId="77777777" w:rsidR="00923B8B" w:rsidRPr="00CD42FA" w:rsidRDefault="00923B8B" w:rsidP="005C35E4">
      <w:pPr>
        <w:pStyle w:val="ListParagraph"/>
        <w:ind w:left="0"/>
        <w:rPr>
          <w:color w:val="auto"/>
        </w:rPr>
      </w:pPr>
    </w:p>
    <w:p w14:paraId="01600E5D" w14:textId="78CE31C5" w:rsidR="00BB6C4E" w:rsidRPr="00CD42FA" w:rsidRDefault="007325FE" w:rsidP="005C35E4">
      <w:pPr>
        <w:pStyle w:val="ListParagraph"/>
        <w:ind w:left="0"/>
        <w:rPr>
          <w:color w:val="auto"/>
        </w:rPr>
      </w:pPr>
      <w:r w:rsidRPr="00CD42FA">
        <w:rPr>
          <w:color w:val="auto"/>
        </w:rPr>
        <w:t>NOTE: The embryos at this stage are very fragile in comparison to larvae and it takes some practice to dechorionate and mount. It is important to aspirate and release as gently as possible, to avoid embryo rupture.</w:t>
      </w:r>
    </w:p>
    <w:p w14:paraId="3C2E7FBF" w14:textId="77777777" w:rsidR="00BB6C4E" w:rsidRPr="00CD42FA" w:rsidRDefault="00BB6C4E" w:rsidP="005C35E4">
      <w:pPr>
        <w:pStyle w:val="ListParagraph"/>
        <w:ind w:left="0"/>
        <w:rPr>
          <w:color w:val="auto"/>
        </w:rPr>
      </w:pPr>
    </w:p>
    <w:p w14:paraId="28BC4150" w14:textId="77777777" w:rsidR="00BB6C4E" w:rsidRPr="00CD42FA" w:rsidRDefault="00675547" w:rsidP="005C35E4">
      <w:pPr>
        <w:pStyle w:val="ListParagraph"/>
        <w:numPr>
          <w:ilvl w:val="1"/>
          <w:numId w:val="7"/>
        </w:numPr>
        <w:ind w:left="0" w:firstLine="0"/>
        <w:rPr>
          <w:color w:val="auto"/>
        </w:rPr>
      </w:pPr>
      <w:r w:rsidRPr="00CD42FA">
        <w:rPr>
          <w:color w:val="auto"/>
        </w:rPr>
        <w:t xml:space="preserve">Repeat the process aiming to load 3-5 embryos per dish. </w:t>
      </w:r>
    </w:p>
    <w:p w14:paraId="2F7B1EEF" w14:textId="77777777" w:rsidR="00BB6C4E" w:rsidRPr="00CD42FA" w:rsidRDefault="00BB6C4E" w:rsidP="005C35E4">
      <w:pPr>
        <w:pStyle w:val="ListParagraph"/>
        <w:ind w:left="0"/>
        <w:rPr>
          <w:color w:val="auto"/>
        </w:rPr>
      </w:pPr>
    </w:p>
    <w:p w14:paraId="7A05ABF1" w14:textId="344B3A6B" w:rsidR="00BB6C4E" w:rsidRPr="00CD42FA" w:rsidRDefault="00675547" w:rsidP="005C35E4">
      <w:pPr>
        <w:pStyle w:val="ListParagraph"/>
        <w:numPr>
          <w:ilvl w:val="1"/>
          <w:numId w:val="7"/>
        </w:numPr>
        <w:ind w:left="0" w:firstLine="0"/>
        <w:rPr>
          <w:color w:val="auto"/>
        </w:rPr>
      </w:pPr>
      <w:r w:rsidRPr="00CD42FA">
        <w:rPr>
          <w:color w:val="auto"/>
        </w:rPr>
        <w:t>Image embryos</w:t>
      </w:r>
      <w:r w:rsidR="00FF7729" w:rsidRPr="00CD42FA">
        <w:rPr>
          <w:color w:val="auto"/>
        </w:rPr>
        <w:t xml:space="preserve"> on an inverted confocal microscope</w:t>
      </w:r>
      <w:r w:rsidRPr="00CD42FA">
        <w:rPr>
          <w:color w:val="auto"/>
        </w:rPr>
        <w:t xml:space="preserve"> </w:t>
      </w:r>
      <w:r w:rsidR="00923B8B" w:rsidRPr="00CD42FA">
        <w:rPr>
          <w:color w:val="auto"/>
        </w:rPr>
        <w:t xml:space="preserve">(see </w:t>
      </w:r>
      <w:r w:rsidR="00923B8B" w:rsidRPr="00CD42FA">
        <w:rPr>
          <w:b/>
          <w:bCs/>
          <w:color w:val="auto"/>
        </w:rPr>
        <w:t>Table of Materials</w:t>
      </w:r>
      <w:r w:rsidR="00923B8B" w:rsidRPr="00CD42FA">
        <w:rPr>
          <w:color w:val="auto"/>
        </w:rPr>
        <w:t>)</w:t>
      </w:r>
      <w:r w:rsidRPr="00CD42FA">
        <w:rPr>
          <w:color w:val="auto"/>
        </w:rPr>
        <w:t xml:space="preserve">. Use </w:t>
      </w:r>
      <w:r w:rsidR="00FF7729" w:rsidRPr="00CD42FA">
        <w:rPr>
          <w:color w:val="auto"/>
        </w:rPr>
        <w:t>a 40</w:t>
      </w:r>
      <w:r w:rsidR="003602D9" w:rsidRPr="00CD42FA">
        <w:rPr>
          <w:color w:val="auto"/>
        </w:rPr>
        <w:t>x</w:t>
      </w:r>
      <w:r w:rsidR="00FF7729" w:rsidRPr="00CD42FA">
        <w:rPr>
          <w:color w:val="auto"/>
        </w:rPr>
        <w:t>/1.3 NA oil objective</w:t>
      </w:r>
      <w:r w:rsidRPr="00CD42FA">
        <w:rPr>
          <w:color w:val="auto"/>
        </w:rPr>
        <w:t xml:space="preserve"> to obtain high enough resolution</w:t>
      </w:r>
      <w:r w:rsidR="00FF7729" w:rsidRPr="00CD42FA">
        <w:rPr>
          <w:color w:val="auto"/>
        </w:rPr>
        <w:t xml:space="preserve">. </w:t>
      </w:r>
      <w:r w:rsidRPr="00CD42FA">
        <w:rPr>
          <w:color w:val="auto"/>
        </w:rPr>
        <w:t>Visuali</w:t>
      </w:r>
      <w:r w:rsidR="00DE00CA" w:rsidRPr="00CD42FA">
        <w:rPr>
          <w:color w:val="auto"/>
        </w:rPr>
        <w:t>z</w:t>
      </w:r>
      <w:r w:rsidRPr="00CD42FA">
        <w:rPr>
          <w:color w:val="auto"/>
        </w:rPr>
        <w:t>e</w:t>
      </w:r>
      <w:r w:rsidR="00FF7729" w:rsidRPr="00CD42FA">
        <w:rPr>
          <w:color w:val="auto"/>
        </w:rPr>
        <w:t xml:space="preserve"> mCFP, sfGFP, and tagRFP </w:t>
      </w:r>
      <w:r w:rsidRPr="00CD42FA">
        <w:rPr>
          <w:color w:val="auto"/>
        </w:rPr>
        <w:t>with</w:t>
      </w:r>
      <w:r w:rsidR="00FF7729" w:rsidRPr="00CD42FA">
        <w:rPr>
          <w:color w:val="auto"/>
        </w:rPr>
        <w:t xml:space="preserve"> 405, 488, and 552 nm, respectively, on the Leica scope.</w:t>
      </w:r>
      <w:r w:rsidRPr="00CD42FA">
        <w:rPr>
          <w:color w:val="auto"/>
        </w:rPr>
        <w:t xml:space="preserve"> Adjust filters and settings to have high contrast </w:t>
      </w:r>
      <w:r w:rsidR="007619FF" w:rsidRPr="00CD42FA">
        <w:rPr>
          <w:color w:val="auto"/>
        </w:rPr>
        <w:t xml:space="preserve">while </w:t>
      </w:r>
      <w:r w:rsidRPr="00CD42FA">
        <w:rPr>
          <w:color w:val="auto"/>
        </w:rPr>
        <w:t xml:space="preserve">avoiding saturation and </w:t>
      </w:r>
      <w:r w:rsidR="00FD10BD" w:rsidRPr="00CD42FA">
        <w:rPr>
          <w:color w:val="auto"/>
        </w:rPr>
        <w:t>minimi</w:t>
      </w:r>
      <w:r w:rsidR="00DE00CA" w:rsidRPr="00CD42FA">
        <w:rPr>
          <w:color w:val="auto"/>
        </w:rPr>
        <w:t>z</w:t>
      </w:r>
      <w:r w:rsidR="00FD10BD" w:rsidRPr="00CD42FA">
        <w:rPr>
          <w:color w:val="auto"/>
        </w:rPr>
        <w:t xml:space="preserve">e </w:t>
      </w:r>
      <w:r w:rsidRPr="00CD42FA">
        <w:rPr>
          <w:color w:val="auto"/>
        </w:rPr>
        <w:t xml:space="preserve">leak through between the channels. </w:t>
      </w:r>
    </w:p>
    <w:p w14:paraId="7E59D7EE" w14:textId="77777777" w:rsidR="00BB6C4E" w:rsidRPr="00CD42FA" w:rsidRDefault="00BB6C4E" w:rsidP="005C35E4">
      <w:pPr>
        <w:pStyle w:val="ListParagraph"/>
        <w:ind w:left="0"/>
        <w:rPr>
          <w:color w:val="auto"/>
        </w:rPr>
      </w:pPr>
    </w:p>
    <w:p w14:paraId="6D79FF2B" w14:textId="654743EC" w:rsidR="002B6097" w:rsidRPr="00CD42FA" w:rsidRDefault="00675547" w:rsidP="005C35E4">
      <w:pPr>
        <w:pStyle w:val="ListParagraph"/>
        <w:numPr>
          <w:ilvl w:val="1"/>
          <w:numId w:val="7"/>
        </w:numPr>
        <w:ind w:left="0" w:firstLine="0"/>
        <w:rPr>
          <w:color w:val="auto"/>
        </w:rPr>
      </w:pPr>
      <w:r w:rsidRPr="00CD42FA">
        <w:rPr>
          <w:color w:val="auto"/>
        </w:rPr>
        <w:t xml:space="preserve">Repeat the </w:t>
      </w:r>
      <w:r w:rsidR="00FD10BD" w:rsidRPr="00CD42FA">
        <w:rPr>
          <w:color w:val="auto"/>
        </w:rPr>
        <w:t>mounting and imaging</w:t>
      </w:r>
      <w:r w:rsidRPr="00CD42FA">
        <w:rPr>
          <w:color w:val="auto"/>
        </w:rPr>
        <w:t xml:space="preserve"> for different conditions.</w:t>
      </w:r>
      <w:r w:rsidR="00FD10BD" w:rsidRPr="00CD42FA">
        <w:rPr>
          <w:color w:val="auto"/>
        </w:rPr>
        <w:t xml:space="preserve"> </w:t>
      </w:r>
    </w:p>
    <w:bookmarkEnd w:id="0"/>
    <w:p w14:paraId="496AB0B4" w14:textId="77777777" w:rsidR="001C1E49" w:rsidRPr="00CD42FA" w:rsidRDefault="001C1E49" w:rsidP="005C35E4">
      <w:pPr>
        <w:pStyle w:val="NormalWeb"/>
        <w:spacing w:before="0" w:beforeAutospacing="0" w:after="0" w:afterAutospacing="0"/>
        <w:rPr>
          <w:b/>
          <w:color w:val="auto"/>
        </w:rPr>
      </w:pPr>
    </w:p>
    <w:p w14:paraId="3E79FCA8" w14:textId="3C985B95" w:rsidR="006305D7" w:rsidRPr="00CD42FA" w:rsidRDefault="006305D7" w:rsidP="005C35E4">
      <w:pPr>
        <w:pStyle w:val="NormalWeb"/>
        <w:spacing w:before="0" w:beforeAutospacing="0" w:after="0" w:afterAutospacing="0"/>
        <w:rPr>
          <w:b/>
          <w:bCs/>
          <w:color w:val="auto"/>
        </w:rPr>
      </w:pPr>
      <w:r w:rsidRPr="00CD42FA">
        <w:rPr>
          <w:b/>
          <w:color w:val="auto"/>
        </w:rPr>
        <w:t>REPRESENTATIVE RESULTS</w:t>
      </w:r>
      <w:r w:rsidR="00EF1462" w:rsidRPr="00CD42FA">
        <w:rPr>
          <w:b/>
          <w:color w:val="auto"/>
        </w:rPr>
        <w:t xml:space="preserve">: </w:t>
      </w:r>
    </w:p>
    <w:p w14:paraId="35CC89F8" w14:textId="015A9ABE" w:rsidR="00923B8B" w:rsidRPr="00CD42FA" w:rsidRDefault="00C6039A" w:rsidP="005C35E4">
      <w:pPr>
        <w:jc w:val="both"/>
        <w:rPr>
          <w:rFonts w:ascii="Calibri" w:hAnsi="Calibri" w:cs="Calibri"/>
          <w:lang w:val="en-US"/>
        </w:rPr>
      </w:pPr>
      <w:r w:rsidRPr="00CD42FA">
        <w:rPr>
          <w:rFonts w:ascii="Calibri" w:hAnsi="Calibri" w:cs="Calibri"/>
          <w:lang w:val="en-US"/>
        </w:rPr>
        <w:t xml:space="preserve">Ventral fin wounding is followed by rapid neutrophil </w:t>
      </w:r>
      <w:r w:rsidR="00ED5626" w:rsidRPr="00CD42FA">
        <w:rPr>
          <w:rFonts w:ascii="Calibri" w:hAnsi="Calibri" w:cs="Calibri"/>
          <w:lang w:val="en-US"/>
        </w:rPr>
        <w:t xml:space="preserve">mobilization </w:t>
      </w:r>
      <w:r w:rsidRPr="00CD42FA">
        <w:rPr>
          <w:rFonts w:ascii="Calibri" w:hAnsi="Calibri" w:cs="Calibri"/>
          <w:lang w:val="en-US"/>
        </w:rPr>
        <w:t>from the CHT into the ventral fin and clustering at the wound margin, within 30-60 min (</w:t>
      </w:r>
      <w:r w:rsidRPr="00CD42FA">
        <w:rPr>
          <w:rFonts w:ascii="Calibri" w:hAnsi="Calibri" w:cs="Calibri"/>
          <w:b/>
          <w:bCs/>
          <w:lang w:val="en-US"/>
        </w:rPr>
        <w:t>Figure 1</w:t>
      </w:r>
      <w:r w:rsidRPr="00CD42FA">
        <w:rPr>
          <w:rFonts w:ascii="Calibri" w:hAnsi="Calibri" w:cs="Calibri"/>
          <w:lang w:val="en-US"/>
        </w:rPr>
        <w:t>). We visuali</w:t>
      </w:r>
      <w:r w:rsidR="00ED5626" w:rsidRPr="00CD42FA">
        <w:rPr>
          <w:rFonts w:ascii="Calibri" w:hAnsi="Calibri" w:cs="Calibri"/>
          <w:lang w:val="en-US"/>
        </w:rPr>
        <w:t>z</w:t>
      </w:r>
      <w:r w:rsidRPr="00CD42FA">
        <w:rPr>
          <w:rFonts w:ascii="Calibri" w:hAnsi="Calibri" w:cs="Calibri"/>
          <w:lang w:val="en-US"/>
        </w:rPr>
        <w:t xml:space="preserve">ed the distribution of two chemokine receptors, Cxcr1 and Cxcr2, which </w:t>
      </w:r>
      <w:r w:rsidR="00911804" w:rsidRPr="00CD42FA">
        <w:rPr>
          <w:rFonts w:ascii="Calibri" w:hAnsi="Calibri" w:cs="Calibri"/>
          <w:lang w:val="en-US"/>
        </w:rPr>
        <w:t>are expressed by zebrafish neutrophils</w:t>
      </w:r>
      <w:r w:rsidR="00911804" w:rsidRPr="00CD42FA">
        <w:rPr>
          <w:rFonts w:ascii="Calibri" w:hAnsi="Calibri" w:cs="Calibri"/>
          <w:lang w:val="en-US"/>
        </w:rPr>
        <w:fldChar w:fldCharType="begin"/>
      </w:r>
      <w:r w:rsidR="0002471A" w:rsidRPr="00CD42FA">
        <w:rPr>
          <w:rFonts w:ascii="Calibri" w:hAnsi="Calibri" w:cs="Calibri"/>
          <w:lang w:val="en-US"/>
        </w:rPr>
        <w:instrText xml:space="preserve"> ADDIN ZOTERO_ITEM CSL_CITATION {"citationID":"XlONQAQg","properties":{"formattedCitation":"\\super 24\\nosupersub{}","plainCitation":"24","noteIndex":0},"citationItems":[{"id":53,"uris":["http://zotero.org/users/5010385/items/WAFBWE45"],"uri":["http://zotero.org/users/5010385/items/WAFBWE45"],"itemData":{"id":53,"type":"article-journal","abstract":"Direct visualization and characterization of Cxcr2 signaling as a mediator of systemic neutrophil reaction to a local infection., Neutrophils are the first line of defense against tissue damage and are rapidly mobilized to sites of bacterial infection. However, the signals that regulate neutrophil recruitment are not well defined. Here, using photolabel-enabled fate mapping in zebrafish larvae, we show that localized otic infection with Pseudomonas aeruginosa induces systemic activation and mobilization of neutrophils from the CHT through Cxcr2 signaling. We have cloned the zebrafish Cxcr1 and Cxcr2 receptors and show that Cxcr2 functions as a Cxcl8 receptor in live zebrafish. With the use of morpholino-mediated depletion, we show that infection-induced neutrophil mobilization from the CHT is mediated by Cxcr2 but not Cxcr1. By contrast, Cxcr2 depletion does not affect neutrophil recruitment to the chemoattractant LTB4. Taken together, our findings identify Cxcl8-Cxcr2 signaling as an infection-induced long-range cue that mediates neutrophil motility and mobilization from hematopoietic tissues, positioning Cxcr2 as a critical pathway that mediates infection-induced systemic activation of neutrophils.","container-title":"Journal of Leukocyte Biology","DOI":"10.1189/jlb.1012534","ISSN":"0741-5400","issue":"5","journalAbbreviation":"J Leukoc Biol","note":"PMID: 23475575\nPMCID: PMC4050646","page":"761-769","source":"PubMed Central","title":"Localized bacterial infection induces systemic activation of neutrophils through Cxcr2 signaling in zebrafish","volume":"93","author":[{"family":"Deng","given":"Qing"},{"family":"Sarris","given":"Milka"},{"family":"Bennin","given":"David A."},{"family":"Green","given":"Julie M."},{"family":"Herbomel","given":"Philippe"},{"family":"Huttenlocher","given":"Anna"}],"issued":{"date-parts":[["2013",5]]}}}],"schema":"https://github.com/citation-style-language/schema/raw/master/csl-citation.json"} </w:instrText>
      </w:r>
      <w:r w:rsidR="00911804" w:rsidRPr="00CD42FA">
        <w:rPr>
          <w:rFonts w:ascii="Calibri" w:hAnsi="Calibri" w:cs="Calibri"/>
          <w:lang w:val="en-US"/>
        </w:rPr>
        <w:fldChar w:fldCharType="separate"/>
      </w:r>
      <w:r w:rsidR="0002471A" w:rsidRPr="00CD42FA">
        <w:rPr>
          <w:rFonts w:ascii="Calibri" w:hAnsi="Calibri" w:cs="Calibri"/>
          <w:vertAlign w:val="superscript"/>
          <w:lang w:val="en-US"/>
        </w:rPr>
        <w:t>24</w:t>
      </w:r>
      <w:r w:rsidR="00911804" w:rsidRPr="00CD42FA">
        <w:rPr>
          <w:rFonts w:ascii="Calibri" w:hAnsi="Calibri" w:cs="Calibri"/>
          <w:lang w:val="en-US"/>
        </w:rPr>
        <w:fldChar w:fldCharType="end"/>
      </w:r>
      <w:r w:rsidR="00911804" w:rsidRPr="00CD42FA">
        <w:rPr>
          <w:rFonts w:ascii="Calibri" w:hAnsi="Calibri" w:cs="Calibri"/>
          <w:lang w:val="en-US"/>
        </w:rPr>
        <w:t xml:space="preserve"> and </w:t>
      </w:r>
      <w:r w:rsidRPr="00CD42FA">
        <w:rPr>
          <w:rFonts w:ascii="Calibri" w:hAnsi="Calibri" w:cs="Calibri"/>
          <w:lang w:val="en-US"/>
        </w:rPr>
        <w:t>recogni</w:t>
      </w:r>
      <w:r w:rsidR="00ED5626" w:rsidRPr="00CD42FA">
        <w:rPr>
          <w:rFonts w:ascii="Calibri" w:hAnsi="Calibri" w:cs="Calibri"/>
          <w:lang w:val="en-US"/>
        </w:rPr>
        <w:t>z</w:t>
      </w:r>
      <w:r w:rsidRPr="00CD42FA">
        <w:rPr>
          <w:rFonts w:ascii="Calibri" w:hAnsi="Calibri" w:cs="Calibri"/>
          <w:lang w:val="en-US"/>
        </w:rPr>
        <w:t>e Cxcl8a and Cxcl8b</w:t>
      </w:r>
      <w:r w:rsidR="00670AFC" w:rsidRPr="00CD42FA">
        <w:rPr>
          <w:rFonts w:ascii="Calibri" w:hAnsi="Calibri" w:cs="Calibri"/>
          <w:lang w:val="en-US"/>
        </w:rPr>
        <w:fldChar w:fldCharType="begin"/>
      </w:r>
      <w:r w:rsidR="0002471A" w:rsidRPr="00CD42FA">
        <w:rPr>
          <w:rFonts w:ascii="Calibri" w:hAnsi="Calibri" w:cs="Calibri"/>
          <w:lang w:val="en-US"/>
        </w:rPr>
        <w:instrText xml:space="preserve"> ADDIN ZOTERO_ITEM CSL_CITATION {"citationID":"yahqNUnN","properties":{"formattedCitation":"\\super 14\\nosupersub{}","plainCitation":"14","noteIndex":0},"citationItems":[{"id":711,"uris":["http://zotero.org/users/5010385/items/22KQ8LRX"],"uri":["http://zotero.org/users/5010385/items/22KQ8LRX"],"itemData":{"id":711,"type":"article-journal","abstract":"Immune cells congregate at specific loci to fight infections during inflammatory responses, a process that must be transient and self-resolving. Cell dispersal promotes resolution, but it remains unclear how transition from clustering to dispersal is regulated. Here we show, using quantitative live imaging in zebrafish, that differential ligand-induced trafficking of chemokine receptors such as Cxcr1 and Cxcr2 orchestrates the state of neutrophil congregation at sites of tissue damage. Through receptor mutagenesis and biosensors, we show that Cxcr1 promotes clustering at wound sites, but is promptly desensitized and internalized, which prevents excess congregation. By contrast, Cxcr2 promotes bidirectional motility and is sustained at the plasma membrane. Persistent plasma membrane residence of Cxcr2 prolongs downstream signaling and is required for sustained exploratory motion conducive to dispersal. Thus, differential trafficking of two chemokine receptors allows coordination of antagonistic cell behaviors, promoting a self-resolving migratory response.","container-title":"Nature Communications","DOI":"10.1038/s41467-019-13107-3","ISSN":"2041-1723","issue":"1","journalAbbreviation":"Nat Commun","language":"eng","note":"PMID: 31727891\nPMCID: PMC6856356","page":"5166","source":"PubMed","title":"Chemokine receptor trafficking coordinates neutrophil clustering and dispersal at wounds in zebrafish","volume":"10","author":[{"family":"Coombs","given":"Caroline"},{"family":"Georgantzoglou","given":"Antonios"},{"family":"Walker","given":"Hazel A."},{"family":"Patt","given":"Julian"},{"family":"Merten","given":"Nicole"},{"family":"Poplimont","given":"Hugo"},{"family":"Busch-Nentwich","given":"Elisabeth M."},{"family":"Williams","given":"Sarah"},{"family":"Kotsi","given":"Christina"},{"family":"Kostenis","given":"Evi"},{"family":"Sarris","given":"Milka"}],"issued":{"date-parts":[["2019",11,14]]}}}],"schema":"https://github.com/citation-style-language/schema/raw/master/csl-citation.json"} </w:instrText>
      </w:r>
      <w:r w:rsidR="00670AFC" w:rsidRPr="00CD42FA">
        <w:rPr>
          <w:rFonts w:ascii="Calibri" w:hAnsi="Calibri" w:cs="Calibri"/>
          <w:lang w:val="en-US"/>
        </w:rPr>
        <w:fldChar w:fldCharType="separate"/>
      </w:r>
      <w:r w:rsidR="00670AFC" w:rsidRPr="00CD42FA">
        <w:rPr>
          <w:rFonts w:ascii="Calibri" w:hAnsi="Calibri" w:cs="Calibri"/>
          <w:vertAlign w:val="superscript"/>
          <w:lang w:val="en-US"/>
        </w:rPr>
        <w:t>14</w:t>
      </w:r>
      <w:r w:rsidR="00670AFC" w:rsidRPr="00CD42FA">
        <w:rPr>
          <w:rFonts w:ascii="Calibri" w:hAnsi="Calibri" w:cs="Calibri"/>
          <w:lang w:val="en-US"/>
        </w:rPr>
        <w:fldChar w:fldCharType="end"/>
      </w:r>
      <w:r w:rsidRPr="00CD42FA">
        <w:rPr>
          <w:rFonts w:ascii="Calibri" w:hAnsi="Calibri" w:cs="Calibri"/>
          <w:lang w:val="en-US"/>
        </w:rPr>
        <w:t>, using spinning-disk confocal microscopy. We generated two corresponding transgenic lines, Tg(</w:t>
      </w:r>
      <w:r w:rsidRPr="00CD42FA">
        <w:rPr>
          <w:rFonts w:ascii="Calibri" w:hAnsi="Calibri" w:cs="Calibri"/>
          <w:i/>
          <w:iCs/>
          <w:lang w:val="en-US"/>
        </w:rPr>
        <w:t>lyz</w:t>
      </w:r>
      <w:r w:rsidRPr="00CD42FA">
        <w:rPr>
          <w:rFonts w:ascii="Calibri" w:hAnsi="Calibri" w:cs="Calibri"/>
          <w:lang w:val="en-US"/>
        </w:rPr>
        <w:t>:Cxcr1-FT) and Tg(</w:t>
      </w:r>
      <w:r w:rsidRPr="00CD42FA">
        <w:rPr>
          <w:rFonts w:ascii="Calibri" w:hAnsi="Calibri" w:cs="Calibri"/>
          <w:i/>
          <w:iCs/>
          <w:lang w:val="en-US"/>
        </w:rPr>
        <w:t>lyz</w:t>
      </w:r>
      <w:r w:rsidRPr="00CD42FA">
        <w:rPr>
          <w:rFonts w:ascii="Calibri" w:hAnsi="Calibri" w:cs="Calibri"/>
          <w:lang w:val="en-US"/>
        </w:rPr>
        <w:t>:Cxcr2-FT), in which neutrophils express a fluorescent timer (FT) construct of the receptor, i.e. a fusion with a tandem of sfGFP and tagRFP</w:t>
      </w:r>
      <w:r w:rsidR="008A0F5E" w:rsidRPr="00CD42FA">
        <w:rPr>
          <w:rFonts w:ascii="Calibri" w:hAnsi="Calibri" w:cs="Calibri"/>
          <w:lang w:val="en-US"/>
        </w:rPr>
        <w:t xml:space="preserve"> (</w:t>
      </w:r>
      <w:r w:rsidR="008A0F5E" w:rsidRPr="00CD42FA">
        <w:rPr>
          <w:rFonts w:ascii="Calibri" w:hAnsi="Calibri" w:cs="Calibri"/>
          <w:b/>
          <w:bCs/>
          <w:lang w:val="en-US"/>
        </w:rPr>
        <w:t>Figure 2</w:t>
      </w:r>
      <w:r w:rsidR="00871A65" w:rsidRPr="00CD42FA">
        <w:rPr>
          <w:rFonts w:ascii="Calibri" w:hAnsi="Calibri" w:cs="Calibri"/>
          <w:lang w:val="en-US"/>
        </w:rPr>
        <w:t xml:space="preserve"> and reference</w:t>
      </w:r>
      <w:r w:rsidR="00DD5B46" w:rsidRPr="00CD42FA">
        <w:rPr>
          <w:rFonts w:ascii="Calibri" w:hAnsi="Calibri" w:cs="Calibri"/>
          <w:lang w:val="en-US"/>
        </w:rPr>
        <w:fldChar w:fldCharType="begin"/>
      </w:r>
      <w:r w:rsidR="0002471A" w:rsidRPr="00CD42FA">
        <w:rPr>
          <w:rFonts w:ascii="Calibri" w:hAnsi="Calibri" w:cs="Calibri"/>
          <w:lang w:val="en-US"/>
        </w:rPr>
        <w:instrText xml:space="preserve"> ADDIN ZOTERO_ITEM CSL_CITATION {"citationID":"TUWedIac","properties":{"formattedCitation":"\\super 14\\nosupersub{}","plainCitation":"14","noteIndex":0},"citationItems":[{"id":711,"uris":["http://zotero.org/users/5010385/items/22KQ8LRX"],"uri":["http://zotero.org/users/5010385/items/22KQ8LRX"],"itemData":{"id":711,"type":"article-journal","abstract":"Immune cells congregate at specific loci to fight infections during inflammatory responses, a process that must be transient and self-resolving. Cell dispersal promotes resolution, but it remains unclear how transition from clustering to dispersal is regulated. Here we show, using quantitative live imaging in zebrafish, that differential ligand-induced trafficking of chemokine receptors such as Cxcr1 and Cxcr2 orchestrates the state of neutrophil congregation at sites of tissue damage. Through receptor mutagenesis and biosensors, we show that Cxcr1 promotes clustering at wound sites, but is promptly desensitized and internalized, which prevents excess congregation. By contrast, Cxcr2 promotes bidirectional motility and is sustained at the plasma membrane. Persistent plasma membrane residence of Cxcr2 prolongs downstream signaling and is required for sustained exploratory motion conducive to dispersal. Thus, differential trafficking of two chemokine receptors allows coordination of antagonistic cell behaviors, promoting a self-resolving migratory response.","container-title":"Nature Communications","DOI":"10.1038/s41467-019-13107-3","ISSN":"2041-1723","issue":"1","journalAbbreviation":"Nat Commun","language":"eng","note":"PMID: 31727891\nPMCID: PMC6856356","page":"5166","source":"PubMed","title":"Chemokine receptor trafficking coordinates neutrophil clustering and dispersal at wounds in zebrafish","volume":"10","author":[{"family":"Coombs","given":"Caroline"},{"family":"Georgantzoglou","given":"Antonios"},{"family":"Walker","given":"Hazel A."},{"family":"Patt","given":"Julian"},{"family":"Merten","given":"Nicole"},{"family":"Poplimont","given":"Hugo"},{"family":"Busch-Nentwich","given":"Elisabeth M."},{"family":"Williams","given":"Sarah"},{"family":"Kotsi","given":"Christina"},{"family":"Kostenis","given":"Evi"},{"family":"Sarris","given":"Milka"}],"issued":{"date-parts":[["2019",11,14]]}}}],"schema":"https://github.com/citation-style-language/schema/raw/master/csl-citation.json"} </w:instrText>
      </w:r>
      <w:r w:rsidR="00DD5B46" w:rsidRPr="00CD42FA">
        <w:rPr>
          <w:rFonts w:ascii="Calibri" w:hAnsi="Calibri" w:cs="Calibri"/>
          <w:lang w:val="en-US"/>
        </w:rPr>
        <w:fldChar w:fldCharType="separate"/>
      </w:r>
      <w:r w:rsidR="000D4262" w:rsidRPr="00CD42FA">
        <w:rPr>
          <w:rFonts w:ascii="Calibri" w:hAnsi="Calibri" w:cs="Calibri"/>
          <w:vertAlign w:val="superscript"/>
          <w:lang w:val="en-US"/>
        </w:rPr>
        <w:t>14</w:t>
      </w:r>
      <w:r w:rsidR="00DD5B46" w:rsidRPr="00CD42FA">
        <w:rPr>
          <w:rFonts w:ascii="Calibri" w:hAnsi="Calibri" w:cs="Calibri"/>
          <w:lang w:val="en-US"/>
        </w:rPr>
        <w:fldChar w:fldCharType="end"/>
      </w:r>
      <w:r w:rsidR="00EC61C3" w:rsidRPr="00CD42FA">
        <w:rPr>
          <w:rFonts w:ascii="Calibri" w:hAnsi="Calibri" w:cs="Calibri"/>
          <w:lang w:val="en-US"/>
        </w:rPr>
        <w:t>)</w:t>
      </w:r>
      <w:r w:rsidRPr="00CD42FA">
        <w:rPr>
          <w:rFonts w:ascii="Calibri" w:hAnsi="Calibri" w:cs="Calibri"/>
          <w:lang w:val="en-US"/>
        </w:rPr>
        <w:t xml:space="preserve">. </w:t>
      </w:r>
      <w:r w:rsidR="0028300F" w:rsidRPr="00CD42FA">
        <w:rPr>
          <w:rFonts w:ascii="Calibri" w:hAnsi="Calibri" w:cs="Calibri"/>
          <w:shd w:val="clear" w:color="auto" w:fill="FFFFFF"/>
          <w:lang w:val="en-US"/>
        </w:rPr>
        <w:t xml:space="preserve">The use of the two fluorophores was intended to allow monitoring of a broad range of receptor fates and provide estimates of protein turnover </w:t>
      </w:r>
      <w:r w:rsidR="0028300F" w:rsidRPr="00CD42FA">
        <w:rPr>
          <w:rFonts w:ascii="Calibri" w:hAnsi="Calibri" w:cs="Calibri"/>
          <w:shd w:val="clear" w:color="auto" w:fill="FFFFFF"/>
          <w:lang w:val="en-US"/>
        </w:rPr>
        <w:lastRenderedPageBreak/>
        <w:t>time at the plasma membrane, as newly synthesized receptors would fluoresce in green and progressively become red as they age</w:t>
      </w:r>
      <w:r w:rsidR="00DD5B46" w:rsidRPr="00CD42FA">
        <w:rPr>
          <w:rFonts w:ascii="Calibri" w:hAnsi="Calibri" w:cs="Calibri"/>
          <w:lang w:val="en-US"/>
        </w:rPr>
        <w:fldChar w:fldCharType="begin"/>
      </w:r>
      <w:r w:rsidR="0002471A" w:rsidRPr="00CD42FA">
        <w:rPr>
          <w:rFonts w:ascii="Calibri" w:hAnsi="Calibri" w:cs="Calibri"/>
          <w:lang w:val="en-US"/>
        </w:rPr>
        <w:instrText xml:space="preserve"> ADDIN ZOTERO_ITEM CSL_CITATION {"citationID":"4t4FpBA2","properties":{"formattedCitation":"\\super 8, 14\\nosupersub{}","plainCitation":"8, 14","noteIndex":0},"citationItems":[{"id":232,"uris":["http://zotero.org/users/5010385/items/GK9EJ8K3"],"uri":["http://zotero.org/users/5010385/items/GK9EJ8K3"],"itemData":{"id":232,"type":"article-journal","abstract":"The directed migration of cell collectives is a driving force of embryogenesis. The predominant view in the field is that cells in embryos navigate along pre-patterned chemoattractant gradients. One hypothetical way to free migrating collectives from the requirement of long-range gradients would be through the self-generation of local gradients that travel with them, a strategy that potentially allows self-determined directionality. However, a lack of tools for the visualization of endogenous guidance cues has prevented the demonstration of such self-generated gradients in vivo. Here we define the in vivo dynamics of one key guidance molecule, the chemokine Cxcl12a, by applying a fluorescent timer approach to measure ligand-triggered receptor turnover in living animals. Using the zebrafish lateral line primordium as a model, we show that migrating cell collectives can self-generate gradients of chemokine activity across their length via polarized receptor-mediated internalization. Finally, by engineering an external source of the atypical receptor Cxcr7 that moves with the primordium, we show that a self-generated gradient mechanism is sufficient to direct robust collective migration. This study thus provides, to our knowledge, the first in vivo proof for self-directed tissue migration through local shaping of an extracellular cue and provides a framework for investigating self-directed migration in many other contexts including cancer invasion.","container-title":"Nature","DOI":"10.1038/nature12635","ISSN":"1476-4687","issue":"7475","journalAbbreviation":"Nature","language":"eng","note":"PMID: 24067609","page":"285-289","source":"PubMed","title":"Directional tissue migration through a self-generated chemokine gradient","volume":"503","author":[{"family":"Donà","given":"Erika"},{"family":"Barry","given":"Joseph D."},{"family":"Valentin","given":"Guillaume"},{"family":"Quirin","given":"Charlotte"},{"family":"Khmelinskii","given":"Anton"},{"family":"Kunze","given":"Andreas"},{"family":"Durdu","given":"Sevi"},{"family":"Newton","given":"Lionel R."},{"family":"Fernandez-Minan","given":"Ana"},{"family":"Huber","given":"Wolfgang"},{"family":"Knop","given":"Michael"},{"family":"Gilmour","given":"Darren"}],"issued":{"date-parts":[["2013",11,14]]}}},{"id":711,"uris":["http://zotero.org/users/5010385/items/22KQ8LRX"],"uri":["http://zotero.org/users/5010385/items/22KQ8LRX"],"itemData":{"id":711,"type":"article-journal","abstract":"Immune cells congregate at specific loci to fight infections during inflammatory responses, a process that must be transient and self-resolving. Cell dispersal promotes resolution, but it remains unclear how transition from clustering to dispersal is regulated. Here we show, using quantitative live imaging in zebrafish, that differential ligand-induced trafficking of chemokine receptors such as Cxcr1 and Cxcr2 orchestrates the state of neutrophil congregation at sites of tissue damage. Through receptor mutagenesis and biosensors, we show that Cxcr1 promotes clustering at wound sites, but is promptly desensitized and internalized, which prevents excess congregation. By contrast, Cxcr2 promotes bidirectional motility and is sustained at the plasma membrane. Persistent plasma membrane residence of Cxcr2 prolongs downstream signaling and is required for sustained exploratory motion conducive to dispersal. Thus, differential trafficking of two chemokine receptors allows coordination of antagonistic cell behaviors, promoting a self-resolving migratory response.","container-title":"Nature Communications","DOI":"10.1038/s41467-019-13107-3","ISSN":"2041-1723","issue":"1","journalAbbreviation":"Nat Commun","language":"eng","note":"PMID: 31727891\nPMCID: PMC6856356","page":"5166","source":"PubMed","title":"Chemokine receptor trafficking coordinates neutrophil clustering and dispersal at wounds in zebrafish","volume":"10","author":[{"family":"Coombs","given":"Caroline"},{"family":"Georgantzoglou","given":"Antonios"},{"family":"Walker","given":"Hazel A."},{"family":"Patt","given":"Julian"},{"family":"Merten","given":"Nicole"},{"family":"Poplimont","given":"Hugo"},{"family":"Busch-Nentwich","given":"Elisabeth M."},{"family":"Williams","given":"Sarah"},{"family":"Kotsi","given":"Christina"},{"family":"Kostenis","given":"Evi"},{"family":"Sarris","given":"Milka"}],"issued":{"date-parts":[["2019",11,14]]}}}],"schema":"https://github.com/citation-style-language/schema/raw/master/csl-citation.json"} </w:instrText>
      </w:r>
      <w:r w:rsidR="00DD5B46" w:rsidRPr="00CD42FA">
        <w:rPr>
          <w:rFonts w:ascii="Calibri" w:hAnsi="Calibri" w:cs="Calibri"/>
          <w:lang w:val="en-US"/>
        </w:rPr>
        <w:fldChar w:fldCharType="separate"/>
      </w:r>
      <w:r w:rsidR="0002471A" w:rsidRPr="00CD42FA">
        <w:rPr>
          <w:rFonts w:ascii="Calibri" w:hAnsi="Calibri" w:cs="Calibri"/>
          <w:vertAlign w:val="superscript"/>
          <w:lang w:val="en-US"/>
        </w:rPr>
        <w:t>8,14</w:t>
      </w:r>
      <w:r w:rsidR="00DD5B46" w:rsidRPr="00CD42FA">
        <w:rPr>
          <w:rFonts w:ascii="Calibri" w:hAnsi="Calibri" w:cs="Calibri"/>
          <w:lang w:val="en-US"/>
        </w:rPr>
        <w:fldChar w:fldCharType="end"/>
      </w:r>
      <w:r w:rsidR="0028300F" w:rsidRPr="00CD42FA">
        <w:rPr>
          <w:rFonts w:ascii="Calibri" w:hAnsi="Calibri" w:cs="Calibri"/>
          <w:shd w:val="clear" w:color="auto" w:fill="FFFFFF"/>
          <w:lang w:val="en-US"/>
        </w:rPr>
        <w:t xml:space="preserve">. However, these receptors </w:t>
      </w:r>
      <w:r w:rsidR="00923B8B" w:rsidRPr="00CD42FA">
        <w:rPr>
          <w:rFonts w:ascii="Calibri" w:hAnsi="Calibri" w:cs="Calibri"/>
          <w:shd w:val="clear" w:color="auto" w:fill="FFFFFF"/>
          <w:lang w:val="en-US"/>
        </w:rPr>
        <w:t xml:space="preserve">were found </w:t>
      </w:r>
      <w:r w:rsidR="0028300F" w:rsidRPr="00CD42FA">
        <w:rPr>
          <w:rFonts w:ascii="Calibri" w:hAnsi="Calibri" w:cs="Calibri"/>
          <w:shd w:val="clear" w:color="auto" w:fill="FFFFFF"/>
          <w:lang w:val="en-US"/>
        </w:rPr>
        <w:t xml:space="preserve">to have fast </w:t>
      </w:r>
      <w:r w:rsidR="00DD5B46" w:rsidRPr="00CD42FA">
        <w:rPr>
          <w:rFonts w:ascii="Calibri" w:hAnsi="Calibri" w:cs="Calibri"/>
          <w:shd w:val="clear" w:color="auto" w:fill="FFFFFF"/>
          <w:lang w:val="en-US"/>
        </w:rPr>
        <w:t xml:space="preserve">constitutive </w:t>
      </w:r>
      <w:r w:rsidR="0028300F" w:rsidRPr="00CD42FA">
        <w:rPr>
          <w:rFonts w:ascii="Calibri" w:hAnsi="Calibri" w:cs="Calibri"/>
          <w:shd w:val="clear" w:color="auto" w:fill="FFFFFF"/>
          <w:lang w:val="en-US"/>
        </w:rPr>
        <w:t>turnover at the neutrophil plasma membrane and that the residence time was shorter than the maturation time of tagRFP, with sfGFP showing membrane localisation and tagRFP showing vesicular locali</w:t>
      </w:r>
      <w:r w:rsidR="00923B8B" w:rsidRPr="00CD42FA">
        <w:rPr>
          <w:rFonts w:ascii="Calibri" w:hAnsi="Calibri" w:cs="Calibri"/>
          <w:shd w:val="clear" w:color="auto" w:fill="FFFFFF"/>
          <w:lang w:val="en-US"/>
        </w:rPr>
        <w:t>z</w:t>
      </w:r>
      <w:r w:rsidR="0028300F" w:rsidRPr="00CD42FA">
        <w:rPr>
          <w:rFonts w:ascii="Calibri" w:hAnsi="Calibri" w:cs="Calibri"/>
          <w:shd w:val="clear" w:color="auto" w:fill="FFFFFF"/>
          <w:lang w:val="en-US"/>
        </w:rPr>
        <w:t>ation at steady state</w:t>
      </w:r>
      <w:r w:rsidR="00EC61C3" w:rsidRPr="00CD42FA">
        <w:rPr>
          <w:rFonts w:ascii="Calibri" w:hAnsi="Calibri" w:cs="Calibri"/>
          <w:shd w:val="clear" w:color="auto" w:fill="FFFFFF"/>
          <w:lang w:val="en-US"/>
        </w:rPr>
        <w:t xml:space="preserve"> (</w:t>
      </w:r>
      <w:r w:rsidR="00EC61C3" w:rsidRPr="00CD42FA">
        <w:rPr>
          <w:rFonts w:ascii="Calibri" w:hAnsi="Calibri" w:cs="Calibri"/>
          <w:b/>
          <w:bCs/>
          <w:shd w:val="clear" w:color="auto" w:fill="FFFFFF"/>
          <w:lang w:val="en-US"/>
        </w:rPr>
        <w:t>Supplementary Video 1</w:t>
      </w:r>
      <w:r w:rsidR="00EC61C3" w:rsidRPr="00CD42FA">
        <w:rPr>
          <w:rFonts w:ascii="Calibri" w:hAnsi="Calibri" w:cs="Calibri"/>
          <w:shd w:val="clear" w:color="auto" w:fill="FFFFFF"/>
          <w:lang w:val="en-US"/>
        </w:rPr>
        <w:t xml:space="preserve"> and ref</w:t>
      </w:r>
      <w:r w:rsidR="0028300F" w:rsidRPr="00CD42FA">
        <w:rPr>
          <w:rFonts w:ascii="Calibri" w:hAnsi="Calibri" w:cs="Calibri"/>
          <w:lang w:val="en-US"/>
        </w:rPr>
        <w:fldChar w:fldCharType="begin"/>
      </w:r>
      <w:r w:rsidR="0002471A" w:rsidRPr="00CD42FA">
        <w:rPr>
          <w:rFonts w:ascii="Calibri" w:hAnsi="Calibri" w:cs="Calibri"/>
          <w:lang w:val="en-US"/>
        </w:rPr>
        <w:instrText xml:space="preserve"> ADDIN ZOTERO_ITEM CSL_CITATION {"citationID":"vQKx06T3","properties":{"formattedCitation":"\\super 14\\nosupersub{}","plainCitation":"14","noteIndex":0},"citationItems":[{"id":711,"uris":["http://zotero.org/users/5010385/items/22KQ8LRX"],"uri":["http://zotero.org/users/5010385/items/22KQ8LRX"],"itemData":{"id":711,"type":"article-journal","abstract":"Immune cells congregate at specific loci to fight infections during inflammatory responses, a process that must be transient and self-resolving. Cell dispersal promotes resolution, but it remains unclear how transition from clustering to dispersal is regulated. Here we show, using quantitative live imaging in zebrafish, that differential ligand-induced trafficking of chemokine receptors such as Cxcr1 and Cxcr2 orchestrates the state of neutrophil congregation at sites of tissue damage. Through receptor mutagenesis and biosensors, we show that Cxcr1 promotes clustering at wound sites, but is promptly desensitized and internalized, which prevents excess congregation. By contrast, Cxcr2 promotes bidirectional motility and is sustained at the plasma membrane. Persistent plasma membrane residence of Cxcr2 prolongs downstream signaling and is required for sustained exploratory motion conducive to dispersal. Thus, differential trafficking of two chemokine receptors allows coordination of antagonistic cell behaviors, promoting a self-resolving migratory response.","container-title":"Nature Communications","DOI":"10.1038/s41467-019-13107-3","ISSN":"2041-1723","issue":"1","journalAbbreviation":"Nat Commun","language":"eng","note":"PMID: 31727891\nPMCID: PMC6856356","page":"5166","source":"PubMed","title":"Chemokine receptor trafficking coordinates neutrophil clustering and dispersal at wounds in zebrafish","volume":"10","author":[{"family":"Coombs","given":"Caroline"},{"family":"Georgantzoglou","given":"Antonios"},{"family":"Walker","given":"Hazel A."},{"family":"Patt","given":"Julian"},{"family":"Merten","given":"Nicole"},{"family":"Poplimont","given":"Hugo"},{"family":"Busch-Nentwich","given":"Elisabeth M."},{"family":"Williams","given":"Sarah"},{"family":"Kotsi","given":"Christina"},{"family":"Kostenis","given":"Evi"},{"family":"Sarris","given":"Milka"}],"issued":{"date-parts":[["2019",11,14]]}}}],"schema":"https://github.com/citation-style-language/schema/raw/master/csl-citation.json"} </w:instrText>
      </w:r>
      <w:r w:rsidR="0028300F" w:rsidRPr="00CD42FA">
        <w:rPr>
          <w:rFonts w:ascii="Calibri" w:hAnsi="Calibri" w:cs="Calibri"/>
          <w:lang w:val="en-US"/>
        </w:rPr>
        <w:fldChar w:fldCharType="separate"/>
      </w:r>
      <w:r w:rsidR="000D4262" w:rsidRPr="00CD42FA">
        <w:rPr>
          <w:rFonts w:ascii="Calibri" w:hAnsi="Calibri" w:cs="Calibri"/>
          <w:vertAlign w:val="superscript"/>
          <w:lang w:val="en-US"/>
        </w:rPr>
        <w:t>14</w:t>
      </w:r>
      <w:r w:rsidR="0028300F" w:rsidRPr="00CD42FA">
        <w:rPr>
          <w:rFonts w:ascii="Calibri" w:hAnsi="Calibri" w:cs="Calibri"/>
          <w:lang w:val="en-US"/>
        </w:rPr>
        <w:fldChar w:fldCharType="end"/>
      </w:r>
      <w:r w:rsidR="00EC61C3" w:rsidRPr="00CD42FA">
        <w:rPr>
          <w:rFonts w:ascii="Calibri" w:hAnsi="Calibri" w:cs="Calibri"/>
          <w:lang w:val="en-US"/>
        </w:rPr>
        <w:t>)</w:t>
      </w:r>
      <w:r w:rsidR="0028300F" w:rsidRPr="00CD42FA">
        <w:rPr>
          <w:rFonts w:ascii="Calibri" w:hAnsi="Calibri" w:cs="Calibri"/>
          <w:shd w:val="clear" w:color="auto" w:fill="FFFFFF"/>
          <w:lang w:val="en-US"/>
        </w:rPr>
        <w:t xml:space="preserve">. </w:t>
      </w:r>
      <w:r w:rsidR="009E0B0F" w:rsidRPr="00CD42FA">
        <w:rPr>
          <w:rFonts w:ascii="Calibri" w:hAnsi="Calibri" w:cs="Calibri"/>
          <w:shd w:val="clear" w:color="auto" w:fill="FFFFFF"/>
          <w:lang w:val="en-US"/>
        </w:rPr>
        <w:t xml:space="preserve">Therefore, </w:t>
      </w:r>
      <w:r w:rsidRPr="00CD42FA">
        <w:rPr>
          <w:rFonts w:ascii="Calibri" w:hAnsi="Calibri" w:cs="Calibri"/>
          <w:lang w:val="en-US"/>
        </w:rPr>
        <w:t xml:space="preserve">we </w:t>
      </w:r>
      <w:r w:rsidR="008A0F5E" w:rsidRPr="00CD42FA">
        <w:rPr>
          <w:rFonts w:ascii="Calibri" w:hAnsi="Calibri" w:cs="Calibri"/>
          <w:lang w:val="en-US"/>
        </w:rPr>
        <w:t>focus</w:t>
      </w:r>
      <w:r w:rsidR="00EC61C3" w:rsidRPr="00CD42FA">
        <w:rPr>
          <w:rFonts w:ascii="Calibri" w:hAnsi="Calibri" w:cs="Calibri"/>
          <w:lang w:val="en-US"/>
        </w:rPr>
        <w:t>ed</w:t>
      </w:r>
      <w:r w:rsidR="008A0F5E" w:rsidRPr="00CD42FA">
        <w:rPr>
          <w:rFonts w:ascii="Calibri" w:hAnsi="Calibri" w:cs="Calibri"/>
          <w:lang w:val="en-US"/>
        </w:rPr>
        <w:t xml:space="preserve"> on</w:t>
      </w:r>
      <w:r w:rsidRPr="00CD42FA">
        <w:rPr>
          <w:rFonts w:ascii="Calibri" w:hAnsi="Calibri" w:cs="Calibri"/>
          <w:lang w:val="en-US"/>
        </w:rPr>
        <w:t xml:space="preserve"> the distribution</w:t>
      </w:r>
      <w:r w:rsidR="00EC61C3" w:rsidRPr="00CD42FA">
        <w:rPr>
          <w:rFonts w:ascii="Calibri" w:hAnsi="Calibri" w:cs="Calibri"/>
          <w:lang w:val="en-US"/>
        </w:rPr>
        <w:t xml:space="preserve"> of sfGFP to monitor</w:t>
      </w:r>
      <w:r w:rsidRPr="00CD42FA">
        <w:rPr>
          <w:rFonts w:ascii="Calibri" w:hAnsi="Calibri" w:cs="Calibri"/>
          <w:lang w:val="en-US"/>
        </w:rPr>
        <w:t xml:space="preserve"> ligand-induced internali</w:t>
      </w:r>
      <w:r w:rsidR="00FA4EC9" w:rsidRPr="00CD42FA">
        <w:rPr>
          <w:rFonts w:ascii="Calibri" w:hAnsi="Calibri" w:cs="Calibri"/>
          <w:lang w:val="en-US"/>
        </w:rPr>
        <w:t>z</w:t>
      </w:r>
      <w:r w:rsidRPr="00CD42FA">
        <w:rPr>
          <w:rFonts w:ascii="Calibri" w:hAnsi="Calibri" w:cs="Calibri"/>
          <w:lang w:val="en-US"/>
        </w:rPr>
        <w:t xml:space="preserve">ation </w:t>
      </w:r>
      <w:r w:rsidR="00EC61C3" w:rsidRPr="00CD42FA">
        <w:rPr>
          <w:rFonts w:ascii="Calibri" w:hAnsi="Calibri" w:cs="Calibri"/>
          <w:lang w:val="en-US"/>
        </w:rPr>
        <w:t>at sites of tissue damage</w:t>
      </w:r>
      <w:r w:rsidRPr="00CD42FA">
        <w:rPr>
          <w:rFonts w:ascii="Calibri" w:hAnsi="Calibri" w:cs="Calibri"/>
          <w:lang w:val="en-US"/>
        </w:rPr>
        <w:t xml:space="preserve">. </w:t>
      </w:r>
      <w:r w:rsidR="00923B8B" w:rsidRPr="00CD42FA">
        <w:rPr>
          <w:rFonts w:ascii="Calibri" w:hAnsi="Calibri" w:cs="Calibri"/>
          <w:lang w:val="en-US"/>
        </w:rPr>
        <w:t>T</w:t>
      </w:r>
      <w:r w:rsidRPr="00CD42FA">
        <w:rPr>
          <w:rFonts w:ascii="Calibri" w:hAnsi="Calibri" w:cs="Calibri"/>
          <w:lang w:val="en-US"/>
        </w:rPr>
        <w:t>he pattern of receptor distribution</w:t>
      </w:r>
      <w:r w:rsidR="00923B8B" w:rsidRPr="00CD42FA">
        <w:rPr>
          <w:rFonts w:ascii="Calibri" w:hAnsi="Calibri" w:cs="Calibri"/>
          <w:lang w:val="en-US"/>
        </w:rPr>
        <w:t xml:space="preserve"> was quantified</w:t>
      </w:r>
      <w:r w:rsidRPr="00CD42FA">
        <w:rPr>
          <w:rFonts w:ascii="Calibri" w:hAnsi="Calibri" w:cs="Calibri"/>
          <w:lang w:val="en-US"/>
        </w:rPr>
        <w:t xml:space="preserve"> using the contrast metric, which reports differences in intensity between neighboring pixels. </w:t>
      </w:r>
      <w:r w:rsidR="004B2841" w:rsidRPr="00CD42FA">
        <w:rPr>
          <w:rFonts w:ascii="Calibri" w:hAnsi="Calibri" w:cs="Calibri"/>
          <w:lang w:val="en-US"/>
        </w:rPr>
        <w:t>The rationale is that w</w:t>
      </w:r>
      <w:r w:rsidRPr="00CD42FA">
        <w:rPr>
          <w:rFonts w:ascii="Calibri" w:hAnsi="Calibri" w:cs="Calibri"/>
          <w:lang w:val="en-US"/>
        </w:rPr>
        <w:t xml:space="preserve">hen the receptor distribution is membranous and smooth, the contrast value is low. When the receptor distribution is vesicular and more punctate, then the contrast value is </w:t>
      </w:r>
      <w:r w:rsidR="00627BC7" w:rsidRPr="00CD42FA">
        <w:rPr>
          <w:rFonts w:ascii="Calibri" w:hAnsi="Calibri" w:cs="Calibri"/>
          <w:lang w:val="en-US"/>
        </w:rPr>
        <w:t>high</w:t>
      </w:r>
      <w:r w:rsidR="008A0F5E" w:rsidRPr="00CD42FA">
        <w:rPr>
          <w:rFonts w:ascii="Calibri" w:hAnsi="Calibri" w:cs="Calibri"/>
          <w:lang w:val="en-US"/>
        </w:rPr>
        <w:t xml:space="preserve"> (</w:t>
      </w:r>
      <w:r w:rsidR="008A0F5E" w:rsidRPr="00CD42FA">
        <w:rPr>
          <w:rFonts w:ascii="Calibri" w:hAnsi="Calibri" w:cs="Calibri"/>
          <w:b/>
          <w:bCs/>
          <w:lang w:val="en-US"/>
        </w:rPr>
        <w:t>Figure 3</w:t>
      </w:r>
      <w:r w:rsidR="008A0F5E" w:rsidRPr="00CD42FA">
        <w:rPr>
          <w:rFonts w:ascii="Calibri" w:hAnsi="Calibri" w:cs="Calibri"/>
          <w:lang w:val="en-US"/>
        </w:rPr>
        <w:t>)</w:t>
      </w:r>
      <w:r w:rsidRPr="00CD42FA">
        <w:rPr>
          <w:rFonts w:ascii="Calibri" w:hAnsi="Calibri" w:cs="Calibri"/>
          <w:lang w:val="en-US"/>
        </w:rPr>
        <w:t xml:space="preserve">. </w:t>
      </w:r>
    </w:p>
    <w:p w14:paraId="3D527A52" w14:textId="77777777" w:rsidR="00923B8B" w:rsidRPr="00CD42FA" w:rsidRDefault="00923B8B" w:rsidP="005C35E4">
      <w:pPr>
        <w:jc w:val="both"/>
        <w:rPr>
          <w:rFonts w:ascii="Calibri" w:hAnsi="Calibri" w:cs="Calibri"/>
          <w:lang w:val="en-US"/>
        </w:rPr>
      </w:pPr>
    </w:p>
    <w:p w14:paraId="7F5815FC" w14:textId="4BDE1658" w:rsidR="004A71E4" w:rsidRPr="00CD42FA" w:rsidRDefault="008A0F5E" w:rsidP="005C35E4">
      <w:pPr>
        <w:jc w:val="both"/>
        <w:rPr>
          <w:rFonts w:ascii="Calibri" w:hAnsi="Calibri" w:cs="Calibri"/>
          <w:shd w:val="clear" w:color="auto" w:fill="FFFFFF"/>
          <w:lang w:val="en-US"/>
        </w:rPr>
      </w:pPr>
      <w:r w:rsidRPr="00CD42FA">
        <w:rPr>
          <w:rFonts w:ascii="Calibri" w:hAnsi="Calibri" w:cs="Calibri"/>
          <w:lang w:val="en-US"/>
        </w:rPr>
        <w:t xml:space="preserve">An alternative method is to quantify the ratio of receptor levels (sfGFP intensity) over the levels of a control membrane marker </w:t>
      </w:r>
      <w:r w:rsidR="007619FF" w:rsidRPr="00CD42FA">
        <w:rPr>
          <w:rFonts w:ascii="Calibri" w:hAnsi="Calibri" w:cs="Calibri"/>
          <w:lang w:val="en-US"/>
        </w:rPr>
        <w:t xml:space="preserve">e.g. </w:t>
      </w:r>
      <w:r w:rsidRPr="00CD42FA">
        <w:rPr>
          <w:rFonts w:ascii="Calibri" w:hAnsi="Calibri" w:cs="Calibri"/>
          <w:lang w:val="en-US"/>
        </w:rPr>
        <w:t>membrane</w:t>
      </w:r>
      <w:r w:rsidR="007619FF" w:rsidRPr="00CD42FA">
        <w:rPr>
          <w:rFonts w:ascii="Calibri" w:hAnsi="Calibri" w:cs="Calibri"/>
          <w:lang w:val="en-US"/>
        </w:rPr>
        <w:t xml:space="preserve"> CFP (m</w:t>
      </w:r>
      <w:r w:rsidRPr="00CD42FA">
        <w:rPr>
          <w:rFonts w:ascii="Calibri" w:hAnsi="Calibri" w:cs="Calibri"/>
          <w:lang w:val="en-US"/>
        </w:rPr>
        <w:t>CFP)</w:t>
      </w:r>
      <w:r w:rsidR="00FA4EC9" w:rsidRPr="00CD42FA">
        <w:rPr>
          <w:rFonts w:ascii="Calibri" w:hAnsi="Calibri" w:cs="Calibri"/>
          <w:lang w:val="en-US"/>
        </w:rPr>
        <w:t xml:space="preserve"> </w:t>
      </w:r>
      <w:r w:rsidRPr="00CD42FA">
        <w:rPr>
          <w:rFonts w:ascii="Calibri" w:hAnsi="Calibri" w:cs="Calibri"/>
          <w:lang w:val="en-US"/>
        </w:rPr>
        <w:t>(</w:t>
      </w:r>
      <w:r w:rsidRPr="00CD42FA">
        <w:rPr>
          <w:rFonts w:ascii="Calibri" w:hAnsi="Calibri" w:cs="Calibri"/>
          <w:b/>
          <w:bCs/>
          <w:lang w:val="en-US"/>
        </w:rPr>
        <w:t>Figure 3</w:t>
      </w:r>
      <w:r w:rsidRPr="00CD42FA">
        <w:rPr>
          <w:rFonts w:ascii="Calibri" w:hAnsi="Calibri" w:cs="Calibri"/>
          <w:lang w:val="en-US"/>
        </w:rPr>
        <w:t>). Both methods could detect receptor internali</w:t>
      </w:r>
      <w:r w:rsidR="00FA4EC9" w:rsidRPr="00CD42FA">
        <w:rPr>
          <w:rFonts w:ascii="Calibri" w:hAnsi="Calibri" w:cs="Calibri"/>
          <w:lang w:val="en-US"/>
        </w:rPr>
        <w:t>z</w:t>
      </w:r>
      <w:r w:rsidRPr="00CD42FA">
        <w:rPr>
          <w:rFonts w:ascii="Calibri" w:hAnsi="Calibri" w:cs="Calibri"/>
          <w:lang w:val="en-US"/>
        </w:rPr>
        <w:t>ation</w:t>
      </w:r>
      <w:r w:rsidR="00FA7FD0" w:rsidRPr="00CD42FA">
        <w:rPr>
          <w:rFonts w:ascii="Calibri" w:hAnsi="Calibri" w:cs="Calibri"/>
          <w:lang w:val="en-US"/>
        </w:rPr>
        <w:t xml:space="preserve">, </w:t>
      </w:r>
      <w:r w:rsidR="00346161" w:rsidRPr="00CD42FA">
        <w:rPr>
          <w:rFonts w:ascii="Calibri" w:hAnsi="Calibri" w:cs="Calibri"/>
          <w:lang w:val="en-US"/>
        </w:rPr>
        <w:t xml:space="preserve">as </w:t>
      </w:r>
      <w:r w:rsidR="00FA7FD0" w:rsidRPr="00CD42FA">
        <w:rPr>
          <w:rFonts w:ascii="Calibri" w:hAnsi="Calibri" w:cs="Calibri"/>
          <w:lang w:val="en-US"/>
        </w:rPr>
        <w:t>indicated by more</w:t>
      </w:r>
      <w:r w:rsidRPr="00CD42FA">
        <w:rPr>
          <w:rFonts w:ascii="Calibri" w:hAnsi="Calibri" w:cs="Calibri"/>
          <w:lang w:val="en-US"/>
        </w:rPr>
        <w:t xml:space="preserve"> vesicular</w:t>
      </w:r>
      <w:r w:rsidR="00FA7FD0" w:rsidRPr="00CD42FA">
        <w:rPr>
          <w:rFonts w:ascii="Calibri" w:hAnsi="Calibri" w:cs="Calibri"/>
          <w:lang w:val="en-US"/>
        </w:rPr>
        <w:t xml:space="preserve"> receptor</w:t>
      </w:r>
      <w:r w:rsidRPr="00CD42FA">
        <w:rPr>
          <w:rFonts w:ascii="Calibri" w:hAnsi="Calibri" w:cs="Calibri"/>
          <w:lang w:val="en-US"/>
        </w:rPr>
        <w:t xml:space="preserve"> distribution</w:t>
      </w:r>
      <w:r w:rsidR="00FA7FD0" w:rsidRPr="00CD42FA">
        <w:rPr>
          <w:rFonts w:ascii="Calibri" w:hAnsi="Calibri" w:cs="Calibri"/>
          <w:lang w:val="en-US"/>
        </w:rPr>
        <w:t xml:space="preserve"> pattern globally in the cell</w:t>
      </w:r>
      <w:r w:rsidRPr="00CD42FA">
        <w:rPr>
          <w:rFonts w:ascii="Calibri" w:hAnsi="Calibri" w:cs="Calibri"/>
          <w:lang w:val="en-US"/>
        </w:rPr>
        <w:t xml:space="preserve"> </w:t>
      </w:r>
      <w:r w:rsidR="001F3251" w:rsidRPr="00CD42FA">
        <w:rPr>
          <w:rFonts w:ascii="Calibri" w:hAnsi="Calibri" w:cs="Calibri"/>
          <w:lang w:val="en-US"/>
        </w:rPr>
        <w:t>(</w:t>
      </w:r>
      <w:r w:rsidRPr="00CD42FA">
        <w:rPr>
          <w:rFonts w:ascii="Calibri" w:hAnsi="Calibri" w:cs="Calibri"/>
          <w:lang w:val="en-US"/>
        </w:rPr>
        <w:t>higher contrast value</w:t>
      </w:r>
      <w:r w:rsidR="001F3251" w:rsidRPr="00CD42FA">
        <w:rPr>
          <w:rFonts w:ascii="Calibri" w:hAnsi="Calibri" w:cs="Calibri"/>
          <w:lang w:val="en-US"/>
        </w:rPr>
        <w:t>)</w:t>
      </w:r>
      <w:r w:rsidRPr="00CD42FA">
        <w:rPr>
          <w:rFonts w:ascii="Calibri" w:hAnsi="Calibri" w:cs="Calibri"/>
          <w:lang w:val="en-US"/>
        </w:rPr>
        <w:t xml:space="preserve"> or lower </w:t>
      </w:r>
      <w:r w:rsidR="00FA7FD0" w:rsidRPr="00CD42FA">
        <w:rPr>
          <w:rFonts w:ascii="Calibri" w:hAnsi="Calibri" w:cs="Calibri"/>
          <w:lang w:val="en-US"/>
        </w:rPr>
        <w:t>receptor</w:t>
      </w:r>
      <w:r w:rsidRPr="00CD42FA">
        <w:rPr>
          <w:rFonts w:ascii="Calibri" w:hAnsi="Calibri" w:cs="Calibri"/>
          <w:lang w:val="en-US"/>
        </w:rPr>
        <w:t xml:space="preserve"> levels</w:t>
      </w:r>
      <w:r w:rsidR="00FA7FD0" w:rsidRPr="00CD42FA">
        <w:rPr>
          <w:rFonts w:ascii="Calibri" w:hAnsi="Calibri" w:cs="Calibri"/>
          <w:lang w:val="en-US"/>
        </w:rPr>
        <w:t xml:space="preserve"> at the membrane</w:t>
      </w:r>
      <w:r w:rsidRPr="00CD42FA">
        <w:rPr>
          <w:rFonts w:ascii="Calibri" w:hAnsi="Calibri" w:cs="Calibri"/>
          <w:lang w:val="en-US"/>
        </w:rPr>
        <w:t xml:space="preserve"> </w:t>
      </w:r>
      <w:r w:rsidR="001F3251" w:rsidRPr="00CD42FA">
        <w:rPr>
          <w:rFonts w:ascii="Calibri" w:hAnsi="Calibri" w:cs="Calibri"/>
          <w:lang w:val="en-US"/>
        </w:rPr>
        <w:t>(</w:t>
      </w:r>
      <w:r w:rsidRPr="00CD42FA">
        <w:rPr>
          <w:rFonts w:ascii="Calibri" w:hAnsi="Calibri" w:cs="Calibri"/>
          <w:lang w:val="en-US"/>
        </w:rPr>
        <w:t>lower sfGFP/mCFP</w:t>
      </w:r>
      <w:r w:rsidR="00FA7FD0" w:rsidRPr="00CD42FA">
        <w:rPr>
          <w:rFonts w:ascii="Calibri" w:hAnsi="Calibri" w:cs="Calibri"/>
          <w:lang w:val="en-US"/>
        </w:rPr>
        <w:t xml:space="preserve"> ratio</w:t>
      </w:r>
      <w:r w:rsidR="001F3251" w:rsidRPr="00CD42FA">
        <w:rPr>
          <w:rFonts w:ascii="Calibri" w:hAnsi="Calibri" w:cs="Calibri"/>
          <w:lang w:val="en-US"/>
        </w:rPr>
        <w:t>)</w:t>
      </w:r>
      <w:r w:rsidRPr="00CD42FA">
        <w:rPr>
          <w:rFonts w:ascii="Calibri" w:hAnsi="Calibri" w:cs="Calibri"/>
          <w:lang w:val="en-US"/>
        </w:rPr>
        <w:t>. However</w:t>
      </w:r>
      <w:r w:rsidR="007619FF" w:rsidRPr="00CD42FA">
        <w:rPr>
          <w:rFonts w:ascii="Calibri" w:hAnsi="Calibri" w:cs="Calibri"/>
          <w:lang w:val="en-US"/>
        </w:rPr>
        <w:t>,</w:t>
      </w:r>
      <w:r w:rsidRPr="00CD42FA">
        <w:rPr>
          <w:rFonts w:ascii="Calibri" w:hAnsi="Calibri" w:cs="Calibri"/>
          <w:lang w:val="en-US"/>
        </w:rPr>
        <w:t xml:space="preserve"> the contrast metric could also detect </w:t>
      </w:r>
      <w:r w:rsidR="00FA7FD0" w:rsidRPr="00CD42FA">
        <w:rPr>
          <w:rFonts w:ascii="Calibri" w:hAnsi="Calibri" w:cs="Calibri"/>
          <w:lang w:val="en-US"/>
        </w:rPr>
        <w:t>receptor internalization</w:t>
      </w:r>
      <w:r w:rsidRPr="00CD42FA">
        <w:rPr>
          <w:rFonts w:ascii="Calibri" w:hAnsi="Calibri" w:cs="Calibri"/>
          <w:lang w:val="en-US"/>
        </w:rPr>
        <w:t xml:space="preserve"> in </w:t>
      </w:r>
      <w:r w:rsidR="00FA7FD0" w:rsidRPr="00CD42FA">
        <w:rPr>
          <w:rFonts w:ascii="Calibri" w:hAnsi="Calibri" w:cs="Calibri"/>
          <w:lang w:val="en-US"/>
        </w:rPr>
        <w:t>neutrophil clusters</w:t>
      </w:r>
      <w:r w:rsidRPr="00CD42FA">
        <w:rPr>
          <w:rFonts w:ascii="Calibri" w:hAnsi="Calibri" w:cs="Calibri"/>
          <w:lang w:val="en-US"/>
        </w:rPr>
        <w:t xml:space="preserve"> at the wound, in which membrane segmentation was less </w:t>
      </w:r>
      <w:r w:rsidR="00F558D7" w:rsidRPr="00CD42FA">
        <w:rPr>
          <w:rFonts w:ascii="Calibri" w:hAnsi="Calibri" w:cs="Calibri"/>
          <w:lang w:val="en-US"/>
        </w:rPr>
        <w:t>accurate</w:t>
      </w:r>
      <w:r w:rsidRPr="00CD42FA">
        <w:rPr>
          <w:rFonts w:ascii="Calibri" w:hAnsi="Calibri" w:cs="Calibri"/>
          <w:lang w:val="en-US"/>
        </w:rPr>
        <w:t xml:space="preserve"> </w:t>
      </w:r>
      <w:r w:rsidR="00FA7FD0" w:rsidRPr="00CD42FA">
        <w:rPr>
          <w:rFonts w:ascii="Calibri" w:hAnsi="Calibri" w:cs="Calibri"/>
          <w:lang w:val="en-US"/>
        </w:rPr>
        <w:t>and not applicable</w:t>
      </w:r>
      <w:r w:rsidRPr="00CD42FA">
        <w:rPr>
          <w:rFonts w:ascii="Calibri" w:hAnsi="Calibri" w:cs="Calibri"/>
          <w:lang w:val="en-US"/>
        </w:rPr>
        <w:t xml:space="preserve"> (</w:t>
      </w:r>
      <w:r w:rsidRPr="00CD42FA">
        <w:rPr>
          <w:rFonts w:ascii="Calibri" w:hAnsi="Calibri" w:cs="Calibri"/>
          <w:b/>
          <w:bCs/>
          <w:lang w:val="en-US"/>
        </w:rPr>
        <w:t>Figure 3</w:t>
      </w:r>
      <w:r w:rsidRPr="00CD42FA">
        <w:rPr>
          <w:rFonts w:ascii="Calibri" w:hAnsi="Calibri" w:cs="Calibri"/>
          <w:lang w:val="en-US"/>
        </w:rPr>
        <w:t>).</w:t>
      </w:r>
      <w:r w:rsidR="00923B8B" w:rsidRPr="00CD42FA">
        <w:rPr>
          <w:rFonts w:ascii="Calibri" w:hAnsi="Calibri" w:cs="Calibri"/>
          <w:lang w:val="en-US"/>
        </w:rPr>
        <w:t xml:space="preserve"> </w:t>
      </w:r>
      <w:r w:rsidR="004B2841" w:rsidRPr="00CD42FA">
        <w:rPr>
          <w:rFonts w:ascii="Calibri" w:hAnsi="Calibri" w:cs="Calibri"/>
          <w:lang w:val="en-US"/>
        </w:rPr>
        <w:t>Using this metric, we were</w:t>
      </w:r>
      <w:r w:rsidR="00C6039A" w:rsidRPr="00CD42FA">
        <w:rPr>
          <w:rFonts w:ascii="Calibri" w:hAnsi="Calibri" w:cs="Calibri"/>
          <w:lang w:val="en-US"/>
        </w:rPr>
        <w:t xml:space="preserve"> able to </w:t>
      </w:r>
      <w:r w:rsidR="00280F7A" w:rsidRPr="00CD42FA">
        <w:rPr>
          <w:rFonts w:ascii="Calibri" w:hAnsi="Calibri" w:cs="Calibri"/>
          <w:lang w:val="en-US"/>
        </w:rPr>
        <w:t xml:space="preserve">quantify visible </w:t>
      </w:r>
      <w:r w:rsidR="00392C0A" w:rsidRPr="00CD42FA">
        <w:rPr>
          <w:rFonts w:ascii="Calibri" w:hAnsi="Calibri" w:cs="Calibri"/>
          <w:lang w:val="en-US"/>
        </w:rPr>
        <w:t>differences between Cxcr1 and Cxcr2 trafficking in neutrophils at wounds</w:t>
      </w:r>
      <w:r w:rsidR="00EC61C3" w:rsidRPr="00CD42FA">
        <w:rPr>
          <w:rFonts w:ascii="Calibri" w:hAnsi="Calibri" w:cs="Calibri"/>
          <w:lang w:val="en-US"/>
        </w:rPr>
        <w:t xml:space="preserve"> (</w:t>
      </w:r>
      <w:r w:rsidR="00EC61C3" w:rsidRPr="00CD42FA">
        <w:rPr>
          <w:rFonts w:ascii="Calibri" w:hAnsi="Calibri" w:cs="Calibri"/>
          <w:b/>
          <w:bCs/>
          <w:lang w:val="en-US"/>
        </w:rPr>
        <w:t xml:space="preserve">Figure 4 </w:t>
      </w:r>
      <w:r w:rsidR="00EC61C3" w:rsidRPr="00CD42FA">
        <w:rPr>
          <w:rFonts w:ascii="Calibri" w:hAnsi="Calibri" w:cs="Calibri"/>
          <w:lang w:val="en-US"/>
        </w:rPr>
        <w:t xml:space="preserve">and </w:t>
      </w:r>
      <w:r w:rsidR="00EC61C3" w:rsidRPr="00CD42FA">
        <w:rPr>
          <w:rFonts w:ascii="Calibri" w:hAnsi="Calibri" w:cs="Calibri"/>
          <w:b/>
          <w:bCs/>
          <w:lang w:val="en-US"/>
        </w:rPr>
        <w:t>Supplementary Video 2</w:t>
      </w:r>
      <w:r w:rsidR="00EC61C3" w:rsidRPr="00CD42FA">
        <w:rPr>
          <w:rFonts w:ascii="Calibri" w:hAnsi="Calibri" w:cs="Calibri"/>
          <w:lang w:val="en-US"/>
        </w:rPr>
        <w:t>)</w:t>
      </w:r>
      <w:r w:rsidR="00C6039A" w:rsidRPr="00CD42FA">
        <w:rPr>
          <w:rFonts w:ascii="Calibri" w:hAnsi="Calibri" w:cs="Calibri"/>
          <w:lang w:val="en-US"/>
        </w:rPr>
        <w:t xml:space="preserve">. </w:t>
      </w:r>
      <w:r w:rsidR="004B2841" w:rsidRPr="00CD42FA">
        <w:rPr>
          <w:rFonts w:ascii="Calibri" w:hAnsi="Calibri" w:cs="Calibri"/>
          <w:lang w:val="en-US"/>
        </w:rPr>
        <w:t xml:space="preserve">Cxcr1-FT </w:t>
      </w:r>
      <w:r w:rsidR="00FA4EC9" w:rsidRPr="00CD42FA">
        <w:rPr>
          <w:rFonts w:ascii="Calibri" w:hAnsi="Calibri" w:cs="Calibri"/>
          <w:lang w:val="en-US"/>
        </w:rPr>
        <w:t xml:space="preserve">internalized </w:t>
      </w:r>
      <w:r w:rsidR="004B2841" w:rsidRPr="00CD42FA">
        <w:rPr>
          <w:rFonts w:ascii="Calibri" w:hAnsi="Calibri" w:cs="Calibri"/>
          <w:lang w:val="en-US"/>
        </w:rPr>
        <w:t>in cells located at the wound</w:t>
      </w:r>
      <w:r w:rsidR="00392C0A" w:rsidRPr="00CD42FA">
        <w:rPr>
          <w:rFonts w:ascii="Calibri" w:hAnsi="Calibri" w:cs="Calibri"/>
          <w:lang w:val="en-US"/>
        </w:rPr>
        <w:t xml:space="preserve"> whereas</w:t>
      </w:r>
      <w:r w:rsidR="004B2841" w:rsidRPr="00CD42FA">
        <w:rPr>
          <w:rFonts w:ascii="Calibri" w:hAnsi="Calibri" w:cs="Calibri"/>
          <w:lang w:val="en-US"/>
        </w:rPr>
        <w:t xml:space="preserve"> Cxcr2-FT remained membranous in neutrophils at the wound (</w:t>
      </w:r>
      <w:r w:rsidR="004B2841" w:rsidRPr="00CD42FA">
        <w:rPr>
          <w:rFonts w:ascii="Calibri" w:hAnsi="Calibri" w:cs="Calibri"/>
          <w:b/>
          <w:bCs/>
          <w:lang w:val="en-US"/>
        </w:rPr>
        <w:t xml:space="preserve">Figure </w:t>
      </w:r>
      <w:r w:rsidR="00392C0A" w:rsidRPr="00CD42FA">
        <w:rPr>
          <w:rFonts w:ascii="Calibri" w:hAnsi="Calibri" w:cs="Calibri"/>
          <w:b/>
          <w:bCs/>
          <w:lang w:val="en-US"/>
        </w:rPr>
        <w:t>4</w:t>
      </w:r>
      <w:r w:rsidR="00D65351" w:rsidRPr="00CD42FA">
        <w:rPr>
          <w:rFonts w:ascii="Calibri" w:hAnsi="Calibri" w:cs="Calibri"/>
          <w:b/>
          <w:bCs/>
          <w:lang w:val="en-US"/>
        </w:rPr>
        <w:t>A-C</w:t>
      </w:r>
      <w:r w:rsidR="00923B8B" w:rsidRPr="00CD42FA">
        <w:rPr>
          <w:rFonts w:ascii="Calibri" w:hAnsi="Calibri" w:cs="Calibri"/>
          <w:lang w:val="en-US"/>
        </w:rPr>
        <w:t xml:space="preserve">, </w:t>
      </w:r>
      <w:r w:rsidR="00EC61C3" w:rsidRPr="00CD42FA">
        <w:rPr>
          <w:rFonts w:ascii="Calibri" w:hAnsi="Calibri" w:cs="Calibri"/>
          <w:b/>
          <w:bCs/>
          <w:lang w:val="en-US"/>
        </w:rPr>
        <w:t xml:space="preserve">Supplementary Video 2 </w:t>
      </w:r>
      <w:r w:rsidR="00EC61C3" w:rsidRPr="00CD42FA">
        <w:rPr>
          <w:rFonts w:ascii="Calibri" w:hAnsi="Calibri" w:cs="Calibri"/>
          <w:lang w:val="en-US"/>
        </w:rPr>
        <w:t>and</w:t>
      </w:r>
      <w:r w:rsidR="00EC61C3" w:rsidRPr="00CD42FA">
        <w:rPr>
          <w:rFonts w:ascii="Calibri" w:hAnsi="Calibri" w:cs="Calibri"/>
          <w:b/>
          <w:bCs/>
          <w:lang w:val="en-US"/>
        </w:rPr>
        <w:t xml:space="preserve"> </w:t>
      </w:r>
      <w:r w:rsidR="00923B8B" w:rsidRPr="00CD42FA">
        <w:rPr>
          <w:rFonts w:ascii="Calibri" w:hAnsi="Calibri" w:cs="Calibri"/>
          <w:b/>
          <w:bCs/>
          <w:lang w:val="en-US"/>
        </w:rPr>
        <w:t xml:space="preserve">Supplementary Video </w:t>
      </w:r>
      <w:r w:rsidR="00EC61C3" w:rsidRPr="00CD42FA">
        <w:rPr>
          <w:rFonts w:ascii="Calibri" w:hAnsi="Calibri" w:cs="Calibri"/>
          <w:b/>
          <w:bCs/>
          <w:lang w:val="en-US"/>
        </w:rPr>
        <w:t>3</w:t>
      </w:r>
      <w:r w:rsidR="004B2841" w:rsidRPr="00CD42FA">
        <w:rPr>
          <w:rFonts w:ascii="Calibri" w:hAnsi="Calibri" w:cs="Calibri"/>
          <w:lang w:val="en-US"/>
        </w:rPr>
        <w:t xml:space="preserve">). Suppression of Cxcl8a and Cxcl8b, through morpholino treatment, </w:t>
      </w:r>
      <w:r w:rsidR="00C7516E" w:rsidRPr="00CD42FA">
        <w:rPr>
          <w:rFonts w:ascii="Calibri" w:hAnsi="Calibri" w:cs="Calibri"/>
          <w:lang w:val="en-US"/>
        </w:rPr>
        <w:t>differentially affected</w:t>
      </w:r>
      <w:r w:rsidR="004B2841" w:rsidRPr="00CD42FA">
        <w:rPr>
          <w:rFonts w:ascii="Calibri" w:hAnsi="Calibri" w:cs="Calibri"/>
          <w:lang w:val="en-US"/>
        </w:rPr>
        <w:t xml:space="preserve"> Cxcr1-FT internali</w:t>
      </w:r>
      <w:r w:rsidR="00FA4EC9" w:rsidRPr="00CD42FA">
        <w:rPr>
          <w:rFonts w:ascii="Calibri" w:hAnsi="Calibri" w:cs="Calibri"/>
          <w:lang w:val="en-US"/>
        </w:rPr>
        <w:t>z</w:t>
      </w:r>
      <w:r w:rsidR="00C7516E" w:rsidRPr="00CD42FA">
        <w:rPr>
          <w:rFonts w:ascii="Calibri" w:hAnsi="Calibri" w:cs="Calibri"/>
          <w:lang w:val="en-US"/>
        </w:rPr>
        <w:t>ation</w:t>
      </w:r>
      <w:r w:rsidR="004B2841" w:rsidRPr="00CD42FA">
        <w:rPr>
          <w:rFonts w:ascii="Calibri" w:hAnsi="Calibri" w:cs="Calibri"/>
          <w:lang w:val="en-US"/>
        </w:rPr>
        <w:t xml:space="preserve"> at wounds (</w:t>
      </w:r>
      <w:r w:rsidR="004B2841" w:rsidRPr="00CD42FA">
        <w:rPr>
          <w:rFonts w:ascii="Calibri" w:hAnsi="Calibri" w:cs="Calibri"/>
          <w:b/>
          <w:bCs/>
          <w:lang w:val="en-US"/>
        </w:rPr>
        <w:t xml:space="preserve">Figure </w:t>
      </w:r>
      <w:r w:rsidR="008264C1" w:rsidRPr="00CD42FA">
        <w:rPr>
          <w:rFonts w:ascii="Calibri" w:hAnsi="Calibri" w:cs="Calibri"/>
          <w:b/>
          <w:bCs/>
          <w:lang w:val="en-US"/>
        </w:rPr>
        <w:t>4C</w:t>
      </w:r>
      <w:r w:rsidR="00923B8B" w:rsidRPr="00CD42FA">
        <w:rPr>
          <w:rFonts w:ascii="Calibri" w:hAnsi="Calibri" w:cs="Calibri"/>
          <w:b/>
          <w:bCs/>
          <w:lang w:val="en-US"/>
        </w:rPr>
        <w:t>,</w:t>
      </w:r>
      <w:r w:rsidR="008264C1" w:rsidRPr="00CD42FA">
        <w:rPr>
          <w:rFonts w:ascii="Calibri" w:hAnsi="Calibri" w:cs="Calibri"/>
          <w:b/>
          <w:bCs/>
          <w:lang w:val="en-US"/>
        </w:rPr>
        <w:t>D</w:t>
      </w:r>
      <w:r w:rsidR="004B2841" w:rsidRPr="00CD42FA">
        <w:rPr>
          <w:rFonts w:ascii="Calibri" w:hAnsi="Calibri" w:cs="Calibri"/>
          <w:lang w:val="en-US"/>
        </w:rPr>
        <w:t>).</w:t>
      </w:r>
      <w:r w:rsidR="000154C5" w:rsidRPr="00CD42FA">
        <w:rPr>
          <w:rFonts w:ascii="Calibri" w:hAnsi="Calibri" w:cs="Calibri"/>
          <w:lang w:val="en-US"/>
        </w:rPr>
        <w:t xml:space="preserve"> To further validate that Cxcr1-FT responds to Cxcl8a</w:t>
      </w:r>
      <w:r w:rsidR="00FA4EC9" w:rsidRPr="00CD42FA">
        <w:rPr>
          <w:rFonts w:ascii="Calibri" w:hAnsi="Calibri" w:cs="Calibri"/>
          <w:lang w:val="en-US"/>
        </w:rPr>
        <w:t>,</w:t>
      </w:r>
      <w:r w:rsidR="000154C5" w:rsidRPr="00CD42FA">
        <w:rPr>
          <w:rFonts w:ascii="Calibri" w:hAnsi="Calibri" w:cs="Calibri"/>
          <w:lang w:val="en-US"/>
        </w:rPr>
        <w:t xml:space="preserve"> we performed chemokine response assays in early embryos. We found that Cxcr1-FT markedly </w:t>
      </w:r>
      <w:r w:rsidR="00FA4EC9" w:rsidRPr="00CD42FA">
        <w:rPr>
          <w:rFonts w:ascii="Calibri" w:hAnsi="Calibri" w:cs="Calibri"/>
          <w:lang w:val="en-US"/>
        </w:rPr>
        <w:t xml:space="preserve">internalized </w:t>
      </w:r>
      <w:r w:rsidR="000154C5" w:rsidRPr="00CD42FA">
        <w:rPr>
          <w:rFonts w:ascii="Calibri" w:hAnsi="Calibri" w:cs="Calibri"/>
          <w:lang w:val="en-US"/>
        </w:rPr>
        <w:t>in embryos in which Cxcl8a was co-expressed</w:t>
      </w:r>
      <w:r w:rsidR="002C68EA" w:rsidRPr="00CD42FA">
        <w:rPr>
          <w:rFonts w:ascii="Calibri" w:hAnsi="Calibri" w:cs="Calibri"/>
          <w:lang w:val="en-US"/>
        </w:rPr>
        <w:t xml:space="preserve"> (</w:t>
      </w:r>
      <w:r w:rsidR="002C68EA" w:rsidRPr="00CD42FA">
        <w:rPr>
          <w:rFonts w:ascii="Calibri" w:hAnsi="Calibri" w:cs="Calibri"/>
          <w:b/>
          <w:bCs/>
          <w:lang w:val="en-US"/>
        </w:rPr>
        <w:t xml:space="preserve">Figure </w:t>
      </w:r>
      <w:r w:rsidR="008264C1" w:rsidRPr="00CD42FA">
        <w:rPr>
          <w:rFonts w:ascii="Calibri" w:hAnsi="Calibri" w:cs="Calibri"/>
          <w:b/>
          <w:bCs/>
          <w:lang w:val="en-US"/>
        </w:rPr>
        <w:t>5</w:t>
      </w:r>
      <w:r w:rsidR="002C68EA" w:rsidRPr="00CD42FA">
        <w:rPr>
          <w:rFonts w:ascii="Calibri" w:hAnsi="Calibri" w:cs="Calibri"/>
          <w:lang w:val="en-US"/>
        </w:rPr>
        <w:t>)</w:t>
      </w:r>
      <w:r w:rsidR="000154C5" w:rsidRPr="00CD42FA">
        <w:rPr>
          <w:rFonts w:ascii="Calibri" w:hAnsi="Calibri" w:cs="Calibri"/>
          <w:lang w:val="en-US"/>
        </w:rPr>
        <w:t xml:space="preserve">. Altogether these results indicate </w:t>
      </w:r>
      <w:r w:rsidR="00627BC7" w:rsidRPr="00CD42FA">
        <w:rPr>
          <w:rFonts w:ascii="Calibri" w:hAnsi="Calibri" w:cs="Calibri"/>
          <w:lang w:val="en-US"/>
        </w:rPr>
        <w:t>that</w:t>
      </w:r>
      <w:r w:rsidR="000154C5" w:rsidRPr="00CD42FA">
        <w:rPr>
          <w:rFonts w:ascii="Calibri" w:hAnsi="Calibri" w:cs="Calibri"/>
          <w:lang w:val="en-US"/>
        </w:rPr>
        <w:t xml:space="preserve"> the </w:t>
      </w:r>
      <w:r w:rsidR="002C68EA" w:rsidRPr="00CD42FA">
        <w:rPr>
          <w:rFonts w:ascii="Calibri" w:hAnsi="Calibri" w:cs="Calibri"/>
          <w:lang w:val="en-US"/>
        </w:rPr>
        <w:t xml:space="preserve">described </w:t>
      </w:r>
      <w:r w:rsidR="000154C5" w:rsidRPr="00CD42FA">
        <w:rPr>
          <w:rFonts w:ascii="Calibri" w:hAnsi="Calibri" w:cs="Calibri"/>
          <w:lang w:val="en-US"/>
        </w:rPr>
        <w:t>method</w:t>
      </w:r>
      <w:r w:rsidR="002C68EA" w:rsidRPr="00CD42FA">
        <w:rPr>
          <w:rFonts w:ascii="Calibri" w:hAnsi="Calibri" w:cs="Calibri"/>
          <w:lang w:val="en-US"/>
        </w:rPr>
        <w:t>s</w:t>
      </w:r>
      <w:r w:rsidR="000154C5" w:rsidRPr="00CD42FA">
        <w:rPr>
          <w:rFonts w:ascii="Calibri" w:hAnsi="Calibri" w:cs="Calibri"/>
          <w:lang w:val="en-US"/>
        </w:rPr>
        <w:t xml:space="preserve"> can be </w:t>
      </w:r>
      <w:r w:rsidR="002C68EA" w:rsidRPr="00CD42FA">
        <w:rPr>
          <w:rFonts w:ascii="Calibri" w:hAnsi="Calibri" w:cs="Calibri"/>
          <w:lang w:val="en-US"/>
        </w:rPr>
        <w:t>deployed</w:t>
      </w:r>
      <w:r w:rsidR="000154C5" w:rsidRPr="00CD42FA">
        <w:rPr>
          <w:rFonts w:ascii="Calibri" w:hAnsi="Calibri" w:cs="Calibri"/>
          <w:lang w:val="en-US"/>
        </w:rPr>
        <w:t xml:space="preserve"> to </w:t>
      </w:r>
      <w:r w:rsidR="002C68EA" w:rsidRPr="00CD42FA">
        <w:rPr>
          <w:rFonts w:ascii="Calibri" w:hAnsi="Calibri" w:cs="Calibri"/>
          <w:lang w:val="en-US"/>
        </w:rPr>
        <w:t>measure</w:t>
      </w:r>
      <w:r w:rsidR="000154C5" w:rsidRPr="00CD42FA">
        <w:rPr>
          <w:rFonts w:ascii="Calibri" w:hAnsi="Calibri" w:cs="Calibri"/>
          <w:lang w:val="en-US"/>
        </w:rPr>
        <w:t xml:space="preserve"> </w:t>
      </w:r>
      <w:r w:rsidR="002C68EA" w:rsidRPr="00CD42FA">
        <w:rPr>
          <w:rFonts w:ascii="Calibri" w:hAnsi="Calibri" w:cs="Calibri"/>
          <w:lang w:val="en-US"/>
        </w:rPr>
        <w:t>chemokine</w:t>
      </w:r>
      <w:r w:rsidR="000154C5" w:rsidRPr="00CD42FA">
        <w:rPr>
          <w:rFonts w:ascii="Calibri" w:hAnsi="Calibri" w:cs="Calibri"/>
          <w:lang w:val="en-US"/>
        </w:rPr>
        <w:t xml:space="preserve">-induced </w:t>
      </w:r>
      <w:r w:rsidR="002C68EA" w:rsidRPr="00CD42FA">
        <w:rPr>
          <w:rFonts w:ascii="Calibri" w:hAnsi="Calibri" w:cs="Calibri"/>
          <w:lang w:val="en-US"/>
        </w:rPr>
        <w:t xml:space="preserve">receptor </w:t>
      </w:r>
      <w:r w:rsidR="00FA4EC9" w:rsidRPr="00CD42FA">
        <w:rPr>
          <w:rFonts w:ascii="Calibri" w:hAnsi="Calibri" w:cs="Calibri"/>
          <w:lang w:val="en-US"/>
        </w:rPr>
        <w:t xml:space="preserve">internalization </w:t>
      </w:r>
      <w:r w:rsidR="002C68EA" w:rsidRPr="00CD42FA">
        <w:rPr>
          <w:rFonts w:ascii="Calibri" w:hAnsi="Calibri" w:cs="Calibri"/>
          <w:lang w:val="en-US"/>
        </w:rPr>
        <w:t>in neutrophils</w:t>
      </w:r>
      <w:r w:rsidR="000154C5" w:rsidRPr="00CD42FA">
        <w:rPr>
          <w:rFonts w:ascii="Calibri" w:hAnsi="Calibri" w:cs="Calibri"/>
          <w:lang w:val="en-US"/>
        </w:rPr>
        <w:t xml:space="preserve"> and </w:t>
      </w:r>
      <w:r w:rsidR="002C68EA" w:rsidRPr="00CD42FA">
        <w:rPr>
          <w:rFonts w:ascii="Calibri" w:hAnsi="Calibri" w:cs="Calibri"/>
          <w:lang w:val="en-US"/>
        </w:rPr>
        <w:t xml:space="preserve">establish </w:t>
      </w:r>
      <w:r w:rsidR="000154C5" w:rsidRPr="00CD42FA">
        <w:rPr>
          <w:rFonts w:ascii="Calibri" w:hAnsi="Calibri" w:cs="Calibri"/>
          <w:lang w:val="en-US"/>
        </w:rPr>
        <w:t>the</w:t>
      </w:r>
      <w:r w:rsidR="002C68EA" w:rsidRPr="00CD42FA">
        <w:rPr>
          <w:rFonts w:ascii="Calibri" w:hAnsi="Calibri" w:cs="Calibri"/>
          <w:lang w:val="en-US"/>
        </w:rPr>
        <w:t xml:space="preserve"> identity of the ligand mediating these effects</w:t>
      </w:r>
      <w:r w:rsidR="000154C5" w:rsidRPr="00CD42FA">
        <w:rPr>
          <w:rFonts w:ascii="Calibri" w:hAnsi="Calibri" w:cs="Calibri"/>
          <w:lang w:val="en-US"/>
        </w:rPr>
        <w:t xml:space="preserve">. </w:t>
      </w:r>
    </w:p>
    <w:p w14:paraId="13167946" w14:textId="77777777" w:rsidR="004B2841" w:rsidRPr="00CD42FA" w:rsidRDefault="004B2841" w:rsidP="005C35E4">
      <w:pPr>
        <w:jc w:val="both"/>
        <w:rPr>
          <w:rFonts w:ascii="Calibri" w:hAnsi="Calibri" w:cs="Calibri"/>
          <w:lang w:val="en-US"/>
        </w:rPr>
      </w:pPr>
    </w:p>
    <w:p w14:paraId="3C9083F6" w14:textId="7E54463A" w:rsidR="00B32616" w:rsidRPr="00CD42FA" w:rsidRDefault="00B32616" w:rsidP="005C35E4">
      <w:pPr>
        <w:jc w:val="both"/>
        <w:rPr>
          <w:rFonts w:ascii="Calibri" w:hAnsi="Calibri" w:cs="Calibri"/>
          <w:b/>
          <w:lang w:val="en-US"/>
        </w:rPr>
      </w:pPr>
      <w:r w:rsidRPr="00CD42FA">
        <w:rPr>
          <w:rFonts w:ascii="Calibri" w:hAnsi="Calibri" w:cs="Calibri"/>
          <w:b/>
          <w:lang w:val="en-US"/>
        </w:rPr>
        <w:t xml:space="preserve">FIGURE </w:t>
      </w:r>
      <w:r w:rsidR="0013621E" w:rsidRPr="00CD42FA">
        <w:rPr>
          <w:rFonts w:ascii="Calibri" w:hAnsi="Calibri" w:cs="Calibri"/>
          <w:b/>
          <w:lang w:val="en-US"/>
        </w:rPr>
        <w:t xml:space="preserve">AND TABLE </w:t>
      </w:r>
      <w:r w:rsidRPr="00CD42FA">
        <w:rPr>
          <w:rFonts w:ascii="Calibri" w:hAnsi="Calibri" w:cs="Calibri"/>
          <w:b/>
          <w:lang w:val="en-US"/>
        </w:rPr>
        <w:t>LEGENDS:</w:t>
      </w:r>
    </w:p>
    <w:p w14:paraId="0217159C" w14:textId="5B85ACB6" w:rsidR="00195AA0" w:rsidRPr="00CD42FA" w:rsidRDefault="00195AA0" w:rsidP="005C35E4">
      <w:pPr>
        <w:jc w:val="both"/>
        <w:rPr>
          <w:rFonts w:ascii="Calibri" w:hAnsi="Calibri" w:cs="Calibri"/>
          <w:b/>
          <w:lang w:val="en-US"/>
        </w:rPr>
      </w:pPr>
    </w:p>
    <w:p w14:paraId="6764545A" w14:textId="7B8EB327" w:rsidR="00B763E6" w:rsidRPr="00CD42FA" w:rsidRDefault="00195AA0" w:rsidP="005C35E4">
      <w:pPr>
        <w:jc w:val="both"/>
        <w:rPr>
          <w:rFonts w:ascii="Calibri" w:hAnsi="Calibri" w:cs="Calibri"/>
          <w:lang w:val="en-US"/>
        </w:rPr>
      </w:pPr>
      <w:r w:rsidRPr="00CD42FA">
        <w:rPr>
          <w:rFonts w:ascii="Calibri" w:hAnsi="Calibri" w:cs="Calibri"/>
          <w:b/>
          <w:bCs/>
          <w:lang w:val="en-US"/>
        </w:rPr>
        <w:t>Figure 1</w:t>
      </w:r>
      <w:r w:rsidR="00923B8B" w:rsidRPr="00CD42FA">
        <w:rPr>
          <w:rFonts w:ascii="Calibri" w:hAnsi="Calibri" w:cs="Calibri"/>
          <w:b/>
          <w:bCs/>
          <w:lang w:val="en-US"/>
        </w:rPr>
        <w:t xml:space="preserve">: </w:t>
      </w:r>
      <w:r w:rsidRPr="00CD42FA">
        <w:rPr>
          <w:rFonts w:ascii="Calibri" w:hAnsi="Calibri" w:cs="Calibri"/>
          <w:b/>
          <w:bCs/>
          <w:lang w:val="en-US"/>
        </w:rPr>
        <w:t>Neutrophil migration to ventral fin wounds</w:t>
      </w:r>
      <w:r w:rsidR="00923B8B" w:rsidRPr="00CD42FA">
        <w:rPr>
          <w:rFonts w:ascii="Calibri" w:hAnsi="Calibri" w:cs="Calibri"/>
          <w:b/>
          <w:bCs/>
          <w:lang w:val="en-US"/>
        </w:rPr>
        <w:t xml:space="preserve">. </w:t>
      </w:r>
      <w:r w:rsidR="00923B8B" w:rsidRPr="00CD42FA">
        <w:rPr>
          <w:rFonts w:ascii="Calibri" w:hAnsi="Calibri" w:cs="Calibri"/>
          <w:lang w:val="en-US"/>
        </w:rPr>
        <w:t>(</w:t>
      </w:r>
      <w:r w:rsidR="000536FC" w:rsidRPr="00CD42FA">
        <w:rPr>
          <w:rFonts w:ascii="Calibri" w:hAnsi="Calibri" w:cs="Calibri"/>
          <w:b/>
          <w:bCs/>
          <w:lang w:val="en-US"/>
        </w:rPr>
        <w:t>A</w:t>
      </w:r>
      <w:r w:rsidR="000536FC" w:rsidRPr="00CD42FA">
        <w:rPr>
          <w:rFonts w:ascii="Calibri" w:hAnsi="Calibri" w:cs="Calibri"/>
          <w:lang w:val="en-US"/>
        </w:rPr>
        <w:t xml:space="preserve">) </w:t>
      </w:r>
      <w:r w:rsidRPr="00CD42FA">
        <w:rPr>
          <w:rFonts w:ascii="Calibri" w:hAnsi="Calibri" w:cs="Calibri"/>
          <w:lang w:val="en-US"/>
        </w:rPr>
        <w:t xml:space="preserve">(Left) Cartoon of 3 dpf larva showing the location of the caudal hematopoietic tissue (CHT), the venus circulation (VC, blue), the ventral fin (VF) and the wound site. (Right) Cartoon depicting the area of the wound (W) with neutrophils getting mobilized from the CHT and clustering at the wound. The </w:t>
      </w:r>
      <w:r w:rsidR="00CC3903" w:rsidRPr="00CD42FA">
        <w:rPr>
          <w:rFonts w:ascii="Calibri" w:hAnsi="Calibri" w:cs="Calibri"/>
          <w:lang w:val="en-US"/>
        </w:rPr>
        <w:t>c</w:t>
      </w:r>
      <w:r w:rsidRPr="00CD42FA">
        <w:rPr>
          <w:rFonts w:ascii="Calibri" w:hAnsi="Calibri" w:cs="Calibri"/>
          <w:lang w:val="en-US"/>
        </w:rPr>
        <w:t xml:space="preserve">audal </w:t>
      </w:r>
      <w:r w:rsidR="00CC3903" w:rsidRPr="00CD42FA">
        <w:rPr>
          <w:rFonts w:ascii="Calibri" w:hAnsi="Calibri" w:cs="Calibri"/>
          <w:lang w:val="en-US"/>
        </w:rPr>
        <w:t>v</w:t>
      </w:r>
      <w:r w:rsidRPr="00CD42FA">
        <w:rPr>
          <w:rFonts w:ascii="Calibri" w:hAnsi="Calibri" w:cs="Calibri"/>
          <w:lang w:val="en-US"/>
        </w:rPr>
        <w:t xml:space="preserve">ein plexus (CVP) of the CHT tissue is drawn in blue. </w:t>
      </w:r>
      <w:r w:rsidR="00923B8B" w:rsidRPr="00CD42FA">
        <w:rPr>
          <w:rFonts w:ascii="Calibri" w:hAnsi="Calibri" w:cs="Calibri"/>
          <w:lang w:val="en-US"/>
        </w:rPr>
        <w:t>(</w:t>
      </w:r>
      <w:r w:rsidR="000536FC" w:rsidRPr="00CD42FA">
        <w:rPr>
          <w:rFonts w:ascii="Calibri" w:hAnsi="Calibri" w:cs="Calibri"/>
          <w:b/>
          <w:bCs/>
          <w:lang w:val="en-US"/>
        </w:rPr>
        <w:t>B</w:t>
      </w:r>
      <w:r w:rsidR="000536FC" w:rsidRPr="00CD42FA">
        <w:rPr>
          <w:rFonts w:ascii="Calibri" w:hAnsi="Calibri" w:cs="Calibri"/>
          <w:lang w:val="en-US"/>
        </w:rPr>
        <w:t xml:space="preserve">) </w:t>
      </w:r>
      <w:r w:rsidRPr="00CD42FA">
        <w:rPr>
          <w:rFonts w:ascii="Calibri" w:hAnsi="Calibri" w:cs="Calibri"/>
          <w:lang w:val="en-US"/>
        </w:rPr>
        <w:t>Bright field image (left) and confocal projection (right) showing the ventral fin wound and the distribution of neutrophils in Tg(</w:t>
      </w:r>
      <w:r w:rsidRPr="00CD42FA">
        <w:rPr>
          <w:rFonts w:ascii="Calibri" w:hAnsi="Calibri" w:cs="Calibri"/>
          <w:i/>
          <w:lang w:val="en-US"/>
        </w:rPr>
        <w:t>mpx</w:t>
      </w:r>
      <w:r w:rsidRPr="00CD42FA">
        <w:rPr>
          <w:rFonts w:ascii="Calibri" w:hAnsi="Calibri" w:cs="Calibri"/>
          <w:lang w:val="en-US"/>
        </w:rPr>
        <w:t>:GFP) larvae at 2 h post-wounding. Dashed lines show VF and CHT outlines. Scale bar</w:t>
      </w:r>
      <w:r w:rsidR="000536FC" w:rsidRPr="00CD42FA">
        <w:rPr>
          <w:rFonts w:ascii="Calibri" w:hAnsi="Calibri" w:cs="Calibri"/>
          <w:lang w:val="en-US"/>
        </w:rPr>
        <w:t xml:space="preserve"> </w:t>
      </w:r>
      <w:r w:rsidRPr="00CD42FA">
        <w:rPr>
          <w:rFonts w:ascii="Calibri" w:hAnsi="Calibri" w:cs="Calibri"/>
          <w:lang w:val="en-US"/>
        </w:rPr>
        <w:t>=</w:t>
      </w:r>
      <w:r w:rsidR="000536FC" w:rsidRPr="00CD42FA">
        <w:rPr>
          <w:rFonts w:ascii="Calibri" w:hAnsi="Calibri" w:cs="Calibri"/>
          <w:lang w:val="en-US"/>
        </w:rPr>
        <w:t xml:space="preserve"> </w:t>
      </w:r>
      <w:r w:rsidRPr="00CD42FA">
        <w:rPr>
          <w:rFonts w:ascii="Calibri" w:hAnsi="Calibri" w:cs="Calibri"/>
          <w:lang w:val="en-US"/>
        </w:rPr>
        <w:t>25</w:t>
      </w:r>
      <w:r w:rsidR="00923B8B" w:rsidRPr="00CD42FA">
        <w:rPr>
          <w:rFonts w:ascii="Calibri" w:hAnsi="Calibri" w:cs="Calibri"/>
          <w:lang w:val="en-US"/>
        </w:rPr>
        <w:t xml:space="preserve"> </w:t>
      </w:r>
      <w:r w:rsidRPr="00CD42FA">
        <w:rPr>
          <w:rFonts w:ascii="Calibri" w:hAnsi="Calibri" w:cs="Calibri"/>
          <w:lang w:val="en-US"/>
        </w:rPr>
        <w:t>µm.</w:t>
      </w:r>
      <w:r w:rsidR="00923B8B" w:rsidRPr="00CD42FA">
        <w:rPr>
          <w:rFonts w:ascii="Calibri" w:hAnsi="Calibri" w:cs="Calibri"/>
          <w:lang w:val="en-US"/>
        </w:rPr>
        <w:t xml:space="preserve"> </w:t>
      </w:r>
      <w:r w:rsidR="00B763E6" w:rsidRPr="00CD42FA">
        <w:rPr>
          <w:rFonts w:ascii="Calibri" w:hAnsi="Calibri" w:cs="Calibri"/>
          <w:lang w:val="en-US"/>
        </w:rPr>
        <w:t>Cartoon and fluorescent image modified from ref</w:t>
      </w:r>
      <w:r w:rsidR="00923B8B" w:rsidRPr="00CD42FA">
        <w:rPr>
          <w:rFonts w:ascii="Calibri" w:hAnsi="Calibri" w:cs="Calibri"/>
          <w:lang w:val="en-US"/>
        </w:rPr>
        <w:t>.</w:t>
      </w:r>
      <w:r w:rsidR="00C727C5" w:rsidRPr="00CD42FA">
        <w:rPr>
          <w:rFonts w:ascii="Calibri" w:hAnsi="Calibri" w:cs="Calibri"/>
          <w:vertAlign w:val="superscript"/>
          <w:lang w:val="en-US"/>
        </w:rPr>
        <w:t>14</w:t>
      </w:r>
      <w:r w:rsidR="00515ED5" w:rsidRPr="00CD42FA">
        <w:rPr>
          <w:rFonts w:ascii="Calibri" w:hAnsi="Calibri" w:cs="Calibri"/>
          <w:vertAlign w:val="superscript"/>
          <w:lang w:val="en-US"/>
        </w:rPr>
        <w:t xml:space="preserve"> </w:t>
      </w:r>
      <w:r w:rsidR="00515ED5" w:rsidRPr="00CD42FA">
        <w:rPr>
          <w:rFonts w:ascii="Calibri" w:hAnsi="Calibri" w:cs="Calibri"/>
          <w:lang w:val="en-US"/>
        </w:rPr>
        <w:t>(http://creativecommons.org/licenses/by/4.0/)</w:t>
      </w:r>
      <w:r w:rsidR="00B763E6" w:rsidRPr="00CD42FA">
        <w:rPr>
          <w:rFonts w:ascii="Calibri" w:hAnsi="Calibri" w:cs="Calibri"/>
          <w:lang w:val="en-US"/>
        </w:rPr>
        <w:t>.</w:t>
      </w:r>
    </w:p>
    <w:p w14:paraId="4095DD3B" w14:textId="439731CB" w:rsidR="002429E9" w:rsidRPr="00CD42FA" w:rsidRDefault="002429E9" w:rsidP="005C35E4">
      <w:pPr>
        <w:jc w:val="both"/>
        <w:rPr>
          <w:rFonts w:ascii="Calibri" w:hAnsi="Calibri" w:cs="Calibri"/>
          <w:lang w:val="en-US"/>
        </w:rPr>
      </w:pPr>
    </w:p>
    <w:p w14:paraId="61D716E6" w14:textId="3C0EE5FC" w:rsidR="00B763E6" w:rsidRPr="00CD42FA" w:rsidRDefault="009B37D3" w:rsidP="005C35E4">
      <w:pPr>
        <w:jc w:val="both"/>
        <w:rPr>
          <w:rFonts w:ascii="Calibri" w:hAnsi="Calibri" w:cs="Calibri"/>
          <w:lang w:val="en-US"/>
        </w:rPr>
      </w:pPr>
      <w:r w:rsidRPr="00CD42FA">
        <w:rPr>
          <w:rFonts w:ascii="Calibri" w:hAnsi="Calibri" w:cs="Calibri"/>
          <w:b/>
          <w:lang w:val="en-US"/>
        </w:rPr>
        <w:t xml:space="preserve">Figure </w:t>
      </w:r>
      <w:r w:rsidR="00195AA0" w:rsidRPr="00CD42FA">
        <w:rPr>
          <w:rFonts w:ascii="Calibri" w:hAnsi="Calibri" w:cs="Calibri"/>
          <w:b/>
          <w:lang w:val="en-US"/>
        </w:rPr>
        <w:t>2</w:t>
      </w:r>
      <w:r w:rsidR="00923B8B" w:rsidRPr="00CD42FA">
        <w:rPr>
          <w:rFonts w:ascii="Calibri" w:hAnsi="Calibri" w:cs="Calibri"/>
          <w:b/>
          <w:lang w:val="en-US"/>
        </w:rPr>
        <w:t>:</w:t>
      </w:r>
      <w:r w:rsidRPr="00CD42FA">
        <w:rPr>
          <w:rFonts w:ascii="Calibri" w:hAnsi="Calibri" w:cs="Calibri"/>
          <w:b/>
          <w:lang w:val="en-US"/>
        </w:rPr>
        <w:t xml:space="preserve"> Live imaging of chemokine receptor trafficking in neutrophils</w:t>
      </w:r>
      <w:r w:rsidR="00923B8B" w:rsidRPr="00CD42FA">
        <w:rPr>
          <w:rFonts w:ascii="Calibri" w:hAnsi="Calibri" w:cs="Calibri"/>
          <w:lang w:val="en-US"/>
        </w:rPr>
        <w:t>. (</w:t>
      </w:r>
      <w:r w:rsidRPr="00CD42FA">
        <w:rPr>
          <w:rFonts w:ascii="Calibri" w:hAnsi="Calibri" w:cs="Calibri"/>
          <w:b/>
          <w:bCs/>
          <w:lang w:val="en-US"/>
        </w:rPr>
        <w:t>A</w:t>
      </w:r>
      <w:r w:rsidRPr="00CD42FA">
        <w:rPr>
          <w:rFonts w:ascii="Calibri" w:hAnsi="Calibri" w:cs="Calibri"/>
          <w:lang w:val="en-US"/>
        </w:rPr>
        <w:t>) Constructs used for neutrophil-specific transgenic expression of Cxcr1-FT (Fluorescent Timer) and Cxcr2-FT. Confocal projections of neutrophils in the head of a 3 dpf transgenic larva (Tg(</w:t>
      </w:r>
      <w:r w:rsidRPr="00CD42FA">
        <w:rPr>
          <w:rFonts w:ascii="Calibri" w:hAnsi="Calibri" w:cs="Calibri"/>
          <w:i/>
          <w:lang w:val="en-US"/>
        </w:rPr>
        <w:t>lyz</w:t>
      </w:r>
      <w:r w:rsidRPr="00CD42FA">
        <w:rPr>
          <w:rFonts w:ascii="Calibri" w:hAnsi="Calibri" w:cs="Calibri"/>
          <w:lang w:val="en-US"/>
        </w:rPr>
        <w:t>:Cxcr1-FT), top; Tg(</w:t>
      </w:r>
      <w:r w:rsidRPr="00CD42FA">
        <w:rPr>
          <w:rFonts w:ascii="Calibri" w:hAnsi="Calibri" w:cs="Calibri"/>
          <w:i/>
          <w:lang w:val="en-US"/>
        </w:rPr>
        <w:t>lyz</w:t>
      </w:r>
      <w:r w:rsidRPr="00CD42FA">
        <w:rPr>
          <w:rFonts w:ascii="Calibri" w:hAnsi="Calibri" w:cs="Calibri"/>
          <w:lang w:val="en-US"/>
        </w:rPr>
        <w:t>:Cxcr2-FT), bottom) showing tRFP (magenda) and sfGFP (green) channels. Scale bar = 20 µm</w:t>
      </w:r>
      <w:r w:rsidRPr="00CD42FA">
        <w:rPr>
          <w:rFonts w:ascii="Calibri" w:hAnsi="Calibri" w:cs="Calibri"/>
          <w:bCs/>
          <w:lang w:val="en-US"/>
        </w:rPr>
        <w:t>.</w:t>
      </w:r>
      <w:r w:rsidRPr="00CD42FA">
        <w:rPr>
          <w:rFonts w:ascii="Calibri" w:hAnsi="Calibri" w:cs="Calibri"/>
          <w:lang w:val="en-US"/>
        </w:rPr>
        <w:t xml:space="preserve"> </w:t>
      </w:r>
      <w:r w:rsidR="00923B8B" w:rsidRPr="00CD42FA">
        <w:rPr>
          <w:rFonts w:ascii="Calibri" w:hAnsi="Calibri" w:cs="Calibri"/>
          <w:lang w:val="en-US"/>
        </w:rPr>
        <w:t>(</w:t>
      </w:r>
      <w:r w:rsidRPr="00CD42FA">
        <w:rPr>
          <w:rFonts w:ascii="Calibri" w:hAnsi="Calibri" w:cs="Calibri"/>
          <w:b/>
          <w:bCs/>
          <w:lang w:val="en-US"/>
        </w:rPr>
        <w:t>B</w:t>
      </w:r>
      <w:r w:rsidRPr="00CD42FA">
        <w:rPr>
          <w:rFonts w:ascii="Calibri" w:hAnsi="Calibri" w:cs="Calibri"/>
          <w:lang w:val="en-US"/>
        </w:rPr>
        <w:t>) Anatomical scheme of 3 dpf larva</w:t>
      </w:r>
      <w:r w:rsidR="00057E11" w:rsidRPr="00CD42FA">
        <w:rPr>
          <w:rFonts w:ascii="Calibri" w:hAnsi="Calibri" w:cs="Calibri"/>
          <w:lang w:val="en-US"/>
        </w:rPr>
        <w:t xml:space="preserve"> as in Figure 1A</w:t>
      </w:r>
      <w:r w:rsidRPr="00CD42FA">
        <w:rPr>
          <w:rFonts w:ascii="Calibri" w:hAnsi="Calibri" w:cs="Calibri"/>
          <w:lang w:val="en-US"/>
        </w:rPr>
        <w:t xml:space="preserve">. Below the larva are schemes depicting </w:t>
      </w:r>
      <w:r w:rsidRPr="00CD42FA">
        <w:rPr>
          <w:rFonts w:ascii="Calibri" w:hAnsi="Calibri" w:cs="Calibri"/>
          <w:lang w:val="en-US"/>
        </w:rPr>
        <w:lastRenderedPageBreak/>
        <w:t xml:space="preserve">the area of the wound (W) with neutrophils getting mobilized from the CHT (top) or performing chemotaxis upon entering the ventral fin (bottom). Dashed square indicates area imaged in snapshots on the right. </w:t>
      </w:r>
      <w:r w:rsidR="00923B8B" w:rsidRPr="00CD42FA">
        <w:rPr>
          <w:rFonts w:ascii="Calibri" w:hAnsi="Calibri" w:cs="Calibri"/>
          <w:lang w:val="en-US"/>
        </w:rPr>
        <w:t>(</w:t>
      </w:r>
      <w:r w:rsidRPr="00CD42FA">
        <w:rPr>
          <w:rFonts w:ascii="Calibri" w:hAnsi="Calibri" w:cs="Calibri"/>
          <w:b/>
          <w:bCs/>
          <w:lang w:val="en-US"/>
        </w:rPr>
        <w:t>C</w:t>
      </w:r>
      <w:r w:rsidRPr="00CD42FA">
        <w:rPr>
          <w:rFonts w:ascii="Calibri" w:hAnsi="Calibri" w:cs="Calibri"/>
          <w:lang w:val="en-US"/>
        </w:rPr>
        <w:t>) Neutrophils in Tg(</w:t>
      </w:r>
      <w:r w:rsidRPr="00CD42FA">
        <w:rPr>
          <w:rFonts w:ascii="Calibri" w:hAnsi="Calibri" w:cs="Calibri"/>
          <w:i/>
          <w:lang w:val="en-US"/>
        </w:rPr>
        <w:t>lyz</w:t>
      </w:r>
      <w:r w:rsidRPr="00CD42FA">
        <w:rPr>
          <w:rFonts w:ascii="Calibri" w:hAnsi="Calibri" w:cs="Calibri"/>
          <w:lang w:val="en-US"/>
        </w:rPr>
        <w:t>:Cxcr1-FT) larvae (sfGFP is shown) upon mobilization from the CHT (top panels) or chemotaxis towards the wound (bottom panels). Arrows show the same cells over time. Time points on the right image are minutes elapsed after image on the left. Scale bar</w:t>
      </w:r>
      <w:r w:rsidR="00D97FEF" w:rsidRPr="00CD42FA">
        <w:rPr>
          <w:rFonts w:ascii="Calibri" w:hAnsi="Calibri" w:cs="Calibri"/>
          <w:lang w:val="en-US"/>
        </w:rPr>
        <w:t xml:space="preserve"> </w:t>
      </w:r>
      <w:r w:rsidRPr="00CD42FA">
        <w:rPr>
          <w:rFonts w:ascii="Calibri" w:hAnsi="Calibri" w:cs="Calibri"/>
          <w:lang w:val="en-US"/>
        </w:rPr>
        <w:t>=</w:t>
      </w:r>
      <w:r w:rsidR="00D97FEF" w:rsidRPr="00CD42FA">
        <w:rPr>
          <w:rFonts w:ascii="Calibri" w:hAnsi="Calibri" w:cs="Calibri"/>
          <w:lang w:val="en-US"/>
        </w:rPr>
        <w:t xml:space="preserve"> </w:t>
      </w:r>
      <w:r w:rsidRPr="00CD42FA">
        <w:rPr>
          <w:rFonts w:ascii="Calibri" w:hAnsi="Calibri" w:cs="Calibri"/>
          <w:lang w:val="en-US"/>
        </w:rPr>
        <w:t>10</w:t>
      </w:r>
      <w:r w:rsidR="00923B8B" w:rsidRPr="00CD42FA">
        <w:rPr>
          <w:rFonts w:ascii="Calibri" w:hAnsi="Calibri" w:cs="Calibri"/>
          <w:lang w:val="en-US"/>
        </w:rPr>
        <w:t xml:space="preserve"> </w:t>
      </w:r>
      <w:r w:rsidRPr="00CD42FA">
        <w:rPr>
          <w:rFonts w:ascii="Calibri" w:hAnsi="Calibri" w:cs="Calibri"/>
          <w:lang w:val="en-US"/>
        </w:rPr>
        <w:t xml:space="preserve">µm. </w:t>
      </w:r>
      <w:r w:rsidR="00923B8B" w:rsidRPr="00CD42FA">
        <w:rPr>
          <w:rFonts w:ascii="Calibri" w:hAnsi="Calibri" w:cs="Calibri"/>
          <w:lang w:val="en-US"/>
        </w:rPr>
        <w:t>(</w:t>
      </w:r>
      <w:r w:rsidRPr="00CD42FA">
        <w:rPr>
          <w:rFonts w:ascii="Calibri" w:hAnsi="Calibri" w:cs="Calibri"/>
          <w:b/>
          <w:bCs/>
          <w:lang w:val="en-US"/>
        </w:rPr>
        <w:t>D</w:t>
      </w:r>
      <w:r w:rsidRPr="00CD42FA">
        <w:rPr>
          <w:rFonts w:ascii="Calibri" w:hAnsi="Calibri" w:cs="Calibri"/>
          <w:lang w:val="en-US"/>
        </w:rPr>
        <w:t>) Schematic representation of experimental approach for live imaging of chemokine receptor trafficking</w:t>
      </w:r>
      <w:r w:rsidR="00B763E6" w:rsidRPr="00CD42FA">
        <w:rPr>
          <w:rFonts w:ascii="Calibri" w:hAnsi="Calibri" w:cs="Calibri"/>
          <w:lang w:val="en-US"/>
        </w:rPr>
        <w:t>. Panels A-C modified from ref</w:t>
      </w:r>
      <w:r w:rsidR="00923B8B" w:rsidRPr="00CD42FA">
        <w:rPr>
          <w:rFonts w:ascii="Calibri" w:hAnsi="Calibri" w:cs="Calibri"/>
          <w:lang w:val="en-US"/>
        </w:rPr>
        <w:t>.</w:t>
      </w:r>
      <w:r w:rsidR="00C727C5" w:rsidRPr="00CD42FA">
        <w:rPr>
          <w:rFonts w:ascii="Calibri" w:hAnsi="Calibri" w:cs="Calibri"/>
          <w:vertAlign w:val="superscript"/>
          <w:lang w:val="en-US"/>
        </w:rPr>
        <w:t>14</w:t>
      </w:r>
      <w:r w:rsidR="00515ED5" w:rsidRPr="00CD42FA">
        <w:rPr>
          <w:rFonts w:ascii="Calibri" w:hAnsi="Calibri" w:cs="Calibri"/>
          <w:vertAlign w:val="superscript"/>
          <w:lang w:val="en-US"/>
        </w:rPr>
        <w:t xml:space="preserve"> </w:t>
      </w:r>
      <w:r w:rsidR="00515ED5" w:rsidRPr="00CD42FA">
        <w:rPr>
          <w:rFonts w:ascii="Calibri" w:hAnsi="Calibri" w:cs="Calibri"/>
          <w:lang w:val="en-US"/>
        </w:rPr>
        <w:t>(http://creativecommons.org/licenses/by/4.0/).</w:t>
      </w:r>
    </w:p>
    <w:p w14:paraId="04D0F3D4" w14:textId="77777777" w:rsidR="009B37D3" w:rsidRPr="00CD42FA" w:rsidRDefault="009B37D3" w:rsidP="005C35E4">
      <w:pPr>
        <w:jc w:val="both"/>
        <w:rPr>
          <w:rFonts w:ascii="Calibri" w:hAnsi="Calibri" w:cs="Calibri"/>
          <w:b/>
          <w:bCs/>
          <w:lang w:val="en-US"/>
        </w:rPr>
      </w:pPr>
    </w:p>
    <w:p w14:paraId="2E5EADC1" w14:textId="48A7630F" w:rsidR="009B37D3" w:rsidRPr="00CD42FA" w:rsidRDefault="009B37D3" w:rsidP="005C35E4">
      <w:pPr>
        <w:pStyle w:val="NoSpacing"/>
        <w:jc w:val="both"/>
        <w:rPr>
          <w:rFonts w:ascii="Calibri" w:hAnsi="Calibri" w:cs="Calibri"/>
          <w:b/>
          <w:bCs/>
          <w:lang w:val="en-US"/>
        </w:rPr>
      </w:pPr>
      <w:r w:rsidRPr="00CD42FA">
        <w:rPr>
          <w:rFonts w:ascii="Calibri" w:hAnsi="Calibri" w:cs="Calibri"/>
          <w:b/>
          <w:bCs/>
          <w:lang w:val="en-US"/>
        </w:rPr>
        <w:t xml:space="preserve">Figure </w:t>
      </w:r>
      <w:r w:rsidR="00195AA0" w:rsidRPr="00CD42FA">
        <w:rPr>
          <w:rFonts w:ascii="Calibri" w:hAnsi="Calibri" w:cs="Calibri"/>
          <w:b/>
          <w:bCs/>
          <w:lang w:val="en-US"/>
        </w:rPr>
        <w:t>3</w:t>
      </w:r>
      <w:r w:rsidR="00923B8B" w:rsidRPr="00CD42FA">
        <w:rPr>
          <w:rFonts w:ascii="Calibri" w:hAnsi="Calibri" w:cs="Calibri"/>
          <w:b/>
          <w:bCs/>
          <w:lang w:val="en-US"/>
        </w:rPr>
        <w:t xml:space="preserve">: </w:t>
      </w:r>
      <w:r w:rsidRPr="00CD42FA">
        <w:rPr>
          <w:rFonts w:ascii="Calibri" w:hAnsi="Calibri" w:cs="Calibri"/>
          <w:b/>
          <w:bCs/>
          <w:lang w:val="en-US"/>
        </w:rPr>
        <w:t>Quantification examples of receptor dynamics.</w:t>
      </w:r>
      <w:r w:rsidR="00923B8B" w:rsidRPr="00CD42FA">
        <w:rPr>
          <w:rFonts w:ascii="Calibri" w:hAnsi="Calibri" w:cs="Calibri"/>
          <w:b/>
          <w:bCs/>
          <w:lang w:val="en-US"/>
        </w:rPr>
        <w:t xml:space="preserve"> </w:t>
      </w:r>
      <w:r w:rsidRPr="00CD42FA">
        <w:rPr>
          <w:rFonts w:ascii="Calibri" w:hAnsi="Calibri" w:cs="Calibri"/>
          <w:lang w:val="en-US"/>
        </w:rPr>
        <w:t xml:space="preserve">Single (blue) or clustered neutrophils (green) at wounds or non-mobilized neutrophils in the CHT (red, orange) were segmented and analyzed by different methods to compare results. The same example cells shown </w:t>
      </w:r>
      <w:r w:rsidR="004D70D3" w:rsidRPr="00CD42FA">
        <w:rPr>
          <w:rFonts w:ascii="Calibri" w:hAnsi="Calibri" w:cs="Calibri"/>
          <w:lang w:val="en-US"/>
        </w:rPr>
        <w:t xml:space="preserve">were </w:t>
      </w:r>
      <w:r w:rsidRPr="00CD42FA">
        <w:rPr>
          <w:rFonts w:ascii="Calibri" w:hAnsi="Calibri" w:cs="Calibri"/>
          <w:lang w:val="en-US"/>
        </w:rPr>
        <w:t>analyzed with two methods</w:t>
      </w:r>
      <w:r w:rsidR="00A55292" w:rsidRPr="00CD42FA">
        <w:rPr>
          <w:rFonts w:ascii="Calibri" w:hAnsi="Calibri" w:cs="Calibri"/>
          <w:lang w:val="en-US"/>
        </w:rPr>
        <w:t xml:space="preserve"> to relate what is seen in the image with the range of values extracted</w:t>
      </w:r>
      <w:r w:rsidRPr="00CD42FA">
        <w:rPr>
          <w:rFonts w:ascii="Calibri" w:hAnsi="Calibri" w:cs="Calibri"/>
          <w:lang w:val="en-US"/>
        </w:rPr>
        <w:t xml:space="preserve">. </w:t>
      </w:r>
      <w:r w:rsidR="00923B8B" w:rsidRPr="00CD42FA">
        <w:rPr>
          <w:rFonts w:ascii="Calibri" w:hAnsi="Calibri" w:cs="Calibri"/>
          <w:lang w:val="en-US"/>
        </w:rPr>
        <w:t>(</w:t>
      </w:r>
      <w:r w:rsidR="00923B8B" w:rsidRPr="00CD42FA">
        <w:rPr>
          <w:rFonts w:ascii="Calibri" w:hAnsi="Calibri" w:cs="Calibri"/>
          <w:b/>
          <w:bCs/>
          <w:lang w:val="en-US"/>
        </w:rPr>
        <w:t>A</w:t>
      </w:r>
      <w:r w:rsidRPr="00CD42FA">
        <w:rPr>
          <w:rFonts w:ascii="Calibri" w:hAnsi="Calibri" w:cs="Calibri"/>
          <w:lang w:val="en-US"/>
        </w:rPr>
        <w:t>) The surface of the selected, example cells w</w:t>
      </w:r>
      <w:r w:rsidR="00923B8B" w:rsidRPr="00CD42FA">
        <w:rPr>
          <w:rFonts w:ascii="Calibri" w:hAnsi="Calibri" w:cs="Calibri"/>
          <w:lang w:val="en-US"/>
        </w:rPr>
        <w:t>ere</w:t>
      </w:r>
      <w:r w:rsidRPr="00CD42FA">
        <w:rPr>
          <w:rFonts w:ascii="Calibri" w:hAnsi="Calibri" w:cs="Calibri"/>
          <w:lang w:val="en-US"/>
        </w:rPr>
        <w:t xml:space="preserve"> segmented based on contour definition in the sfGFP channel. </w:t>
      </w:r>
      <w:r w:rsidR="00923B8B" w:rsidRPr="00CD42FA">
        <w:rPr>
          <w:rFonts w:ascii="Calibri" w:hAnsi="Calibri" w:cs="Calibri"/>
          <w:lang w:val="en-US"/>
        </w:rPr>
        <w:t>(</w:t>
      </w:r>
      <w:r w:rsidR="00923B8B" w:rsidRPr="00CD42FA">
        <w:rPr>
          <w:rFonts w:ascii="Calibri" w:hAnsi="Calibri" w:cs="Calibri"/>
          <w:b/>
          <w:bCs/>
          <w:lang w:val="en-US"/>
        </w:rPr>
        <w:t>B</w:t>
      </w:r>
      <w:r w:rsidRPr="00CD42FA">
        <w:rPr>
          <w:rFonts w:ascii="Calibri" w:hAnsi="Calibri" w:cs="Calibri"/>
          <w:lang w:val="en-US"/>
        </w:rPr>
        <w:t xml:space="preserve">) Contrast was computed from the example cells shown in </w:t>
      </w:r>
      <w:r w:rsidR="00923B8B" w:rsidRPr="00CD42FA">
        <w:rPr>
          <w:rFonts w:ascii="Calibri" w:hAnsi="Calibri" w:cs="Calibri"/>
          <w:lang w:val="en-US"/>
        </w:rPr>
        <w:t>A</w:t>
      </w:r>
      <w:r w:rsidRPr="00CD42FA">
        <w:rPr>
          <w:rFonts w:ascii="Calibri" w:hAnsi="Calibri" w:cs="Calibri"/>
          <w:lang w:val="en-US"/>
        </w:rPr>
        <w:t xml:space="preserve">. </w:t>
      </w:r>
      <w:r w:rsidR="00923B8B" w:rsidRPr="00CD42FA">
        <w:rPr>
          <w:rFonts w:ascii="Calibri" w:hAnsi="Calibri" w:cs="Calibri"/>
          <w:lang w:val="en-US"/>
        </w:rPr>
        <w:t>(</w:t>
      </w:r>
      <w:r w:rsidR="00923B8B" w:rsidRPr="00CD42FA">
        <w:rPr>
          <w:rFonts w:ascii="Calibri" w:hAnsi="Calibri" w:cs="Calibri"/>
          <w:b/>
          <w:bCs/>
          <w:lang w:val="en-US"/>
        </w:rPr>
        <w:t>C</w:t>
      </w:r>
      <w:r w:rsidRPr="00CD42FA">
        <w:rPr>
          <w:rFonts w:ascii="Calibri" w:hAnsi="Calibri" w:cs="Calibri"/>
          <w:lang w:val="en-US"/>
        </w:rPr>
        <w:t>) The membrane of the selected, example cells w</w:t>
      </w:r>
      <w:r w:rsidR="00CA44AD">
        <w:rPr>
          <w:rFonts w:ascii="Calibri" w:hAnsi="Calibri" w:cs="Calibri"/>
          <w:lang w:val="en-US"/>
        </w:rPr>
        <w:t>ere</w:t>
      </w:r>
      <w:r w:rsidRPr="00CD42FA">
        <w:rPr>
          <w:rFonts w:ascii="Calibri" w:hAnsi="Calibri" w:cs="Calibri"/>
          <w:lang w:val="en-US"/>
        </w:rPr>
        <w:t xml:space="preserve"> segmented based on contour definition in the CFP channel. Ratiometric analysis of sfGFP/CFP followed. </w:t>
      </w:r>
      <w:r w:rsidR="00923B8B" w:rsidRPr="00CD42FA">
        <w:rPr>
          <w:rFonts w:ascii="Calibri" w:hAnsi="Calibri" w:cs="Calibri"/>
          <w:lang w:val="en-US"/>
        </w:rPr>
        <w:t>(</w:t>
      </w:r>
      <w:r w:rsidR="00923B8B" w:rsidRPr="00CD42FA">
        <w:rPr>
          <w:rFonts w:ascii="Calibri" w:hAnsi="Calibri" w:cs="Calibri"/>
          <w:b/>
          <w:bCs/>
          <w:lang w:val="en-US"/>
        </w:rPr>
        <w:t>D</w:t>
      </w:r>
      <w:r w:rsidRPr="00CD42FA">
        <w:rPr>
          <w:rFonts w:ascii="Calibri" w:hAnsi="Calibri" w:cs="Calibri"/>
          <w:lang w:val="en-US"/>
        </w:rPr>
        <w:t xml:space="preserve">) The ratio of sfGFP/CFP was computed on the example cells shown in c. Error bars represent S.E.M. from individual cells, in cases of n&gt;1, values here were not used for statistical analysis but merely to exemplify measurements obtained with the different quantification methods. Scale bar = 10 µm. </w:t>
      </w:r>
      <w:r w:rsidR="00CC2313" w:rsidRPr="00CD42FA">
        <w:rPr>
          <w:rFonts w:ascii="Calibri" w:hAnsi="Calibri" w:cs="Calibri"/>
          <w:lang w:val="en-US"/>
        </w:rPr>
        <w:t>Figure modified from ref</w:t>
      </w:r>
      <w:r w:rsidR="00923B8B" w:rsidRPr="00CD42FA">
        <w:rPr>
          <w:rFonts w:ascii="Calibri" w:hAnsi="Calibri" w:cs="Calibri"/>
          <w:lang w:val="en-US"/>
        </w:rPr>
        <w:t>.</w:t>
      </w:r>
      <w:r w:rsidR="00C727C5" w:rsidRPr="00CD42FA">
        <w:rPr>
          <w:rFonts w:ascii="Calibri" w:hAnsi="Calibri" w:cs="Calibri"/>
          <w:vertAlign w:val="superscript"/>
          <w:lang w:val="en-US"/>
        </w:rPr>
        <w:t>14</w:t>
      </w:r>
      <w:r w:rsidR="00515ED5" w:rsidRPr="00CD42FA">
        <w:rPr>
          <w:rFonts w:ascii="Calibri" w:hAnsi="Calibri" w:cs="Calibri"/>
          <w:vertAlign w:val="superscript"/>
          <w:lang w:val="en-US"/>
        </w:rPr>
        <w:t xml:space="preserve"> </w:t>
      </w:r>
      <w:r w:rsidR="00515ED5" w:rsidRPr="00CD42FA">
        <w:rPr>
          <w:rFonts w:ascii="Calibri" w:hAnsi="Calibri" w:cs="Calibri"/>
          <w:lang w:val="en-US"/>
        </w:rPr>
        <w:t>(http://creativecommons.org/licenses/by/4.0/)</w:t>
      </w:r>
      <w:r w:rsidR="00CC2313" w:rsidRPr="00CD42FA">
        <w:rPr>
          <w:rFonts w:ascii="Calibri" w:hAnsi="Calibri" w:cs="Calibri"/>
          <w:lang w:val="en-US"/>
        </w:rPr>
        <w:t>.</w:t>
      </w:r>
    </w:p>
    <w:p w14:paraId="67CBDEC9" w14:textId="77777777" w:rsidR="009B37D3" w:rsidRPr="00CD42FA" w:rsidRDefault="009B37D3" w:rsidP="005C35E4">
      <w:pPr>
        <w:jc w:val="both"/>
        <w:rPr>
          <w:rFonts w:ascii="Calibri" w:hAnsi="Calibri" w:cs="Calibri"/>
          <w:b/>
          <w:bCs/>
          <w:lang w:val="en-US"/>
        </w:rPr>
      </w:pPr>
    </w:p>
    <w:p w14:paraId="554BEBD9" w14:textId="04402C07" w:rsidR="00CC2313" w:rsidRPr="00CD42FA" w:rsidRDefault="009B37D3" w:rsidP="005C35E4">
      <w:pPr>
        <w:jc w:val="both"/>
        <w:rPr>
          <w:rFonts w:ascii="Calibri" w:hAnsi="Calibri" w:cs="Calibri"/>
          <w:lang w:val="en-US"/>
        </w:rPr>
      </w:pPr>
      <w:r w:rsidRPr="00CD42FA">
        <w:rPr>
          <w:rFonts w:ascii="Calibri" w:hAnsi="Calibri" w:cs="Calibri"/>
          <w:b/>
          <w:bCs/>
          <w:lang w:val="en-US"/>
        </w:rPr>
        <w:t xml:space="preserve">Figure </w:t>
      </w:r>
      <w:r w:rsidR="00195AA0" w:rsidRPr="00CD42FA">
        <w:rPr>
          <w:rFonts w:ascii="Calibri" w:hAnsi="Calibri" w:cs="Calibri"/>
          <w:b/>
          <w:bCs/>
          <w:lang w:val="en-US"/>
        </w:rPr>
        <w:t>4</w:t>
      </w:r>
      <w:r w:rsidR="00923B8B" w:rsidRPr="00CD42FA">
        <w:rPr>
          <w:rFonts w:ascii="Calibri" w:hAnsi="Calibri" w:cs="Calibri"/>
          <w:b/>
          <w:bCs/>
          <w:lang w:val="en-US"/>
        </w:rPr>
        <w:t xml:space="preserve">: </w:t>
      </w:r>
      <w:r w:rsidRPr="00CD42FA">
        <w:rPr>
          <w:rFonts w:ascii="Calibri" w:hAnsi="Calibri" w:cs="Calibri"/>
          <w:b/>
          <w:bCs/>
          <w:lang w:val="en-US"/>
        </w:rPr>
        <w:t>Differential dynamics of Cxcr1 and Cxcr2 in response to wounding</w:t>
      </w:r>
      <w:r w:rsidR="00923B8B" w:rsidRPr="00CD42FA">
        <w:rPr>
          <w:rFonts w:ascii="Calibri" w:hAnsi="Calibri" w:cs="Calibri"/>
          <w:b/>
          <w:bCs/>
          <w:lang w:val="en-US"/>
        </w:rPr>
        <w:t xml:space="preserve">. </w:t>
      </w:r>
      <w:r w:rsidR="00923B8B" w:rsidRPr="00CD42FA">
        <w:rPr>
          <w:rFonts w:ascii="Calibri" w:hAnsi="Calibri" w:cs="Calibri"/>
          <w:lang w:val="en-US"/>
        </w:rPr>
        <w:t>(</w:t>
      </w:r>
      <w:r w:rsidR="00923B8B" w:rsidRPr="00CD42FA">
        <w:rPr>
          <w:rFonts w:ascii="Calibri" w:hAnsi="Calibri" w:cs="Calibri"/>
          <w:b/>
          <w:bCs/>
          <w:lang w:val="en-US"/>
        </w:rPr>
        <w:t>A</w:t>
      </w:r>
      <w:r w:rsidR="00923B8B" w:rsidRPr="00CD42FA">
        <w:rPr>
          <w:rFonts w:ascii="Calibri" w:hAnsi="Calibri" w:cs="Calibri"/>
          <w:lang w:val="en-US"/>
        </w:rPr>
        <w:t>)</w:t>
      </w:r>
      <w:r w:rsidR="00923B8B" w:rsidRPr="00CD42FA">
        <w:rPr>
          <w:rFonts w:ascii="Calibri" w:hAnsi="Calibri" w:cs="Calibri"/>
          <w:b/>
          <w:bCs/>
          <w:lang w:val="en-US"/>
        </w:rPr>
        <w:t xml:space="preserve"> </w:t>
      </w:r>
      <w:r w:rsidRPr="00CD42FA">
        <w:rPr>
          <w:rFonts w:ascii="Calibri" w:hAnsi="Calibri" w:cs="Calibri"/>
          <w:lang w:val="en-US"/>
        </w:rPr>
        <w:t>Confocal projection of neutrophils in Tg(</w:t>
      </w:r>
      <w:r w:rsidRPr="00CD42FA">
        <w:rPr>
          <w:rFonts w:ascii="Calibri" w:hAnsi="Calibri" w:cs="Calibri"/>
          <w:i/>
          <w:lang w:val="en-US"/>
        </w:rPr>
        <w:t>lyz</w:t>
      </w:r>
      <w:r w:rsidRPr="00CD42FA">
        <w:rPr>
          <w:rFonts w:ascii="Calibri" w:hAnsi="Calibri" w:cs="Calibri"/>
          <w:lang w:val="en-US"/>
        </w:rPr>
        <w:t>:Cxcr1-FT) or Tg(</w:t>
      </w:r>
      <w:r w:rsidRPr="00CD42FA">
        <w:rPr>
          <w:rFonts w:ascii="Calibri" w:hAnsi="Calibri" w:cs="Calibri"/>
          <w:i/>
          <w:lang w:val="en-US"/>
        </w:rPr>
        <w:t>lyz</w:t>
      </w:r>
      <w:r w:rsidRPr="00CD42FA">
        <w:rPr>
          <w:rFonts w:ascii="Calibri" w:hAnsi="Calibri" w:cs="Calibri"/>
          <w:lang w:val="en-US"/>
        </w:rPr>
        <w:t>:Cxcr2-FT) larvae at the wound at 80 min post</w:t>
      </w:r>
      <w:r w:rsidR="004D70D3" w:rsidRPr="00CD42FA">
        <w:rPr>
          <w:rFonts w:ascii="Calibri" w:hAnsi="Calibri" w:cs="Calibri"/>
          <w:lang w:val="en-US"/>
        </w:rPr>
        <w:t>-</w:t>
      </w:r>
      <w:r w:rsidRPr="00CD42FA">
        <w:rPr>
          <w:rFonts w:ascii="Calibri" w:hAnsi="Calibri" w:cs="Calibri"/>
          <w:lang w:val="en-US"/>
        </w:rPr>
        <w:t>wound</w:t>
      </w:r>
      <w:r w:rsidR="004D70D3" w:rsidRPr="00CD42FA">
        <w:rPr>
          <w:rFonts w:ascii="Calibri" w:hAnsi="Calibri" w:cs="Calibri"/>
          <w:lang w:val="en-US"/>
        </w:rPr>
        <w:t>ing</w:t>
      </w:r>
      <w:r w:rsidRPr="00CD42FA">
        <w:rPr>
          <w:rFonts w:ascii="Calibri" w:hAnsi="Calibri" w:cs="Calibri"/>
          <w:lang w:val="en-US"/>
        </w:rPr>
        <w:t xml:space="preserve"> (sf GFP channel shown)). Scale bar</w:t>
      </w:r>
      <w:r w:rsidR="004D70D3" w:rsidRPr="00CD42FA">
        <w:rPr>
          <w:rFonts w:ascii="Calibri" w:hAnsi="Calibri" w:cs="Calibri"/>
          <w:lang w:val="en-US"/>
        </w:rPr>
        <w:t xml:space="preserve"> </w:t>
      </w:r>
      <w:r w:rsidRPr="00CD42FA">
        <w:rPr>
          <w:rFonts w:ascii="Calibri" w:hAnsi="Calibri" w:cs="Calibri"/>
          <w:lang w:val="en-US"/>
        </w:rPr>
        <w:t>=</w:t>
      </w:r>
      <w:r w:rsidR="004D70D3" w:rsidRPr="00CD42FA">
        <w:rPr>
          <w:rFonts w:ascii="Calibri" w:hAnsi="Calibri" w:cs="Calibri"/>
          <w:lang w:val="en-US"/>
        </w:rPr>
        <w:t xml:space="preserve"> </w:t>
      </w:r>
      <w:r w:rsidRPr="00CD42FA">
        <w:rPr>
          <w:rFonts w:ascii="Calibri" w:hAnsi="Calibri" w:cs="Calibri"/>
          <w:lang w:val="en-US"/>
        </w:rPr>
        <w:t>10 µm. mpw</w:t>
      </w:r>
      <w:r w:rsidR="004D70D3" w:rsidRPr="00CD42FA">
        <w:rPr>
          <w:rFonts w:ascii="Calibri" w:hAnsi="Calibri" w:cs="Calibri"/>
          <w:lang w:val="en-US"/>
        </w:rPr>
        <w:t xml:space="preserve"> </w:t>
      </w:r>
      <w:r w:rsidRPr="00CD42FA">
        <w:rPr>
          <w:rFonts w:ascii="Calibri" w:hAnsi="Calibri" w:cs="Calibri"/>
          <w:lang w:val="en-US"/>
        </w:rPr>
        <w:t>=</w:t>
      </w:r>
      <w:r w:rsidR="004D70D3" w:rsidRPr="00CD42FA">
        <w:rPr>
          <w:rFonts w:ascii="Calibri" w:hAnsi="Calibri" w:cs="Calibri"/>
          <w:lang w:val="en-US"/>
        </w:rPr>
        <w:t xml:space="preserve"> </w:t>
      </w:r>
      <w:r w:rsidRPr="00CD42FA">
        <w:rPr>
          <w:rFonts w:ascii="Calibri" w:hAnsi="Calibri" w:cs="Calibri"/>
          <w:lang w:val="en-US"/>
        </w:rPr>
        <w:t>minutes post-wound</w:t>
      </w:r>
      <w:r w:rsidR="004D70D3" w:rsidRPr="00CD42FA">
        <w:rPr>
          <w:rFonts w:ascii="Calibri" w:hAnsi="Calibri" w:cs="Calibri"/>
          <w:lang w:val="en-US"/>
        </w:rPr>
        <w:t>ing</w:t>
      </w:r>
      <w:r w:rsidR="00923B8B" w:rsidRPr="00CD42FA">
        <w:rPr>
          <w:rFonts w:ascii="Calibri" w:hAnsi="Calibri" w:cs="Calibri"/>
          <w:lang w:val="en-US"/>
        </w:rPr>
        <w:t>. (</w:t>
      </w:r>
      <w:r w:rsidR="00923B8B" w:rsidRPr="00CD42FA">
        <w:rPr>
          <w:rFonts w:ascii="Calibri" w:hAnsi="Calibri" w:cs="Calibri"/>
          <w:b/>
          <w:bCs/>
          <w:lang w:val="en-US"/>
        </w:rPr>
        <w:t>B</w:t>
      </w:r>
      <w:r w:rsidR="00923B8B" w:rsidRPr="00CD42FA">
        <w:rPr>
          <w:rFonts w:ascii="Calibri" w:hAnsi="Calibri" w:cs="Calibri"/>
          <w:lang w:val="en-US"/>
        </w:rPr>
        <w:t xml:space="preserve">) </w:t>
      </w:r>
      <w:r w:rsidRPr="00CD42FA">
        <w:rPr>
          <w:rFonts w:ascii="Calibri" w:hAnsi="Calibri" w:cs="Calibri"/>
          <w:lang w:val="en-US"/>
        </w:rPr>
        <w:t>Magnified Cxcr1-FT neutrophil (left) and Cxcr2-FT (right) at the wound. Green receptor is shown in grey.  Scale bar</w:t>
      </w:r>
      <w:r w:rsidR="004D70D3" w:rsidRPr="00CD42FA">
        <w:rPr>
          <w:rFonts w:ascii="Calibri" w:hAnsi="Calibri" w:cs="Calibri"/>
          <w:lang w:val="en-US"/>
        </w:rPr>
        <w:t xml:space="preserve"> = </w:t>
      </w:r>
      <w:r w:rsidRPr="00CD42FA">
        <w:rPr>
          <w:rFonts w:ascii="Calibri" w:hAnsi="Calibri" w:cs="Calibri"/>
          <w:lang w:val="en-US"/>
        </w:rPr>
        <w:t>5 µm.</w:t>
      </w:r>
      <w:r w:rsidR="00923B8B" w:rsidRPr="00CD42FA">
        <w:rPr>
          <w:rFonts w:ascii="Calibri" w:hAnsi="Calibri" w:cs="Calibri"/>
          <w:lang w:val="en-US"/>
        </w:rPr>
        <w:t xml:space="preserve"> (</w:t>
      </w:r>
      <w:r w:rsidR="00923B8B" w:rsidRPr="00CD42FA">
        <w:rPr>
          <w:rFonts w:ascii="Calibri" w:hAnsi="Calibri" w:cs="Calibri"/>
          <w:b/>
          <w:bCs/>
          <w:lang w:val="en-US"/>
        </w:rPr>
        <w:t>C</w:t>
      </w:r>
      <w:r w:rsidR="00923B8B" w:rsidRPr="00CD42FA">
        <w:rPr>
          <w:rFonts w:ascii="Calibri" w:hAnsi="Calibri" w:cs="Calibri"/>
          <w:lang w:val="en-US"/>
        </w:rPr>
        <w:t xml:space="preserve">) </w:t>
      </w:r>
      <w:r w:rsidR="00F705E2" w:rsidRPr="00CD42FA">
        <w:rPr>
          <w:rFonts w:ascii="Calibri" w:hAnsi="Calibri" w:cs="Calibri"/>
          <w:lang w:val="en-US"/>
        </w:rPr>
        <w:t xml:space="preserve">Normalized contrast (contrast per individual neutrophil normalized to the mean contrast of non-mobilized cells in the CHT). </w:t>
      </w:r>
      <w:r w:rsidR="00F705E2" w:rsidRPr="00CD42FA">
        <w:rPr>
          <w:rFonts w:ascii="Calibri" w:hAnsi="Calibri" w:cs="Calibri"/>
          <w:i/>
          <w:lang w:val="en-US"/>
        </w:rPr>
        <w:t>cxcl8a</w:t>
      </w:r>
      <w:r w:rsidR="00F705E2" w:rsidRPr="00CD42FA">
        <w:rPr>
          <w:rFonts w:ascii="Calibri" w:hAnsi="Calibri" w:cs="Calibri"/>
          <w:lang w:val="en-US"/>
        </w:rPr>
        <w:t xml:space="preserve"> refers to injection of a splice-blocking together with a translation-blocking morpholino for </w:t>
      </w:r>
      <w:r w:rsidR="00F705E2" w:rsidRPr="00CD42FA">
        <w:rPr>
          <w:rFonts w:ascii="Calibri" w:hAnsi="Calibri" w:cs="Calibri"/>
          <w:i/>
          <w:lang w:val="en-US"/>
        </w:rPr>
        <w:t>cxcl8a</w:t>
      </w:r>
      <w:r w:rsidR="00F705E2" w:rsidRPr="00CD42FA">
        <w:rPr>
          <w:rFonts w:ascii="Calibri" w:hAnsi="Calibri" w:cs="Calibri"/>
          <w:lang w:val="en-US"/>
        </w:rPr>
        <w:t xml:space="preserve">. </w:t>
      </w:r>
      <w:r w:rsidR="00F705E2" w:rsidRPr="00CD42FA">
        <w:rPr>
          <w:rFonts w:ascii="Calibri" w:hAnsi="Calibri" w:cs="Calibri"/>
          <w:i/>
          <w:lang w:val="en-US"/>
        </w:rPr>
        <w:t>cxcl8b</w:t>
      </w:r>
      <w:r w:rsidR="00F705E2" w:rsidRPr="00CD42FA">
        <w:rPr>
          <w:rFonts w:ascii="Calibri" w:hAnsi="Calibri" w:cs="Calibri"/>
          <w:lang w:val="en-US"/>
        </w:rPr>
        <w:t xml:space="preserve"> refers to injection with a splice-blocking morpholino for </w:t>
      </w:r>
      <w:r w:rsidR="00F705E2" w:rsidRPr="00CD42FA">
        <w:rPr>
          <w:rFonts w:ascii="Calibri" w:hAnsi="Calibri" w:cs="Calibri"/>
          <w:i/>
          <w:lang w:val="en-US"/>
        </w:rPr>
        <w:t>cxcl8b.</w:t>
      </w:r>
      <w:r w:rsidR="00F705E2" w:rsidRPr="00CD42FA">
        <w:rPr>
          <w:rFonts w:ascii="Calibri" w:hAnsi="Calibri" w:cs="Calibri"/>
          <w:lang w:val="en-US"/>
        </w:rPr>
        <w:t xml:space="preserve"> For Tg(</w:t>
      </w:r>
      <w:r w:rsidR="00F705E2" w:rsidRPr="00CD42FA">
        <w:rPr>
          <w:rFonts w:ascii="Calibri" w:hAnsi="Calibri" w:cs="Calibri"/>
          <w:i/>
          <w:lang w:val="en-US"/>
        </w:rPr>
        <w:t>lyz</w:t>
      </w:r>
      <w:r w:rsidR="00F705E2" w:rsidRPr="00CD42FA">
        <w:rPr>
          <w:rFonts w:ascii="Calibri" w:hAnsi="Calibri" w:cs="Calibri"/>
          <w:lang w:val="en-US"/>
        </w:rPr>
        <w:t>:Cxcr1-FT): n=24 cells (CHT), n=47 cells (wound) from 8 larvae. For Tg(</w:t>
      </w:r>
      <w:r w:rsidR="00F705E2" w:rsidRPr="00CD42FA">
        <w:rPr>
          <w:rFonts w:ascii="Calibri" w:hAnsi="Calibri" w:cs="Calibri"/>
          <w:i/>
          <w:lang w:val="en-US"/>
        </w:rPr>
        <w:t>lyz</w:t>
      </w:r>
      <w:r w:rsidR="00F705E2" w:rsidRPr="00CD42FA">
        <w:rPr>
          <w:rFonts w:ascii="Calibri" w:hAnsi="Calibri" w:cs="Calibri"/>
          <w:lang w:val="en-US"/>
        </w:rPr>
        <w:t>:Cxcr1-FT) with morpholinos: n=28 cells (Cxcl8a-MO) from 5 larvae, n=16 cells (Cxcl8b-MO) from 5 larvae. For Tg(</w:t>
      </w:r>
      <w:r w:rsidR="00F705E2" w:rsidRPr="00CD42FA">
        <w:rPr>
          <w:rFonts w:ascii="Calibri" w:hAnsi="Calibri" w:cs="Calibri"/>
          <w:i/>
          <w:lang w:val="en-US"/>
        </w:rPr>
        <w:t>lyz</w:t>
      </w:r>
      <w:r w:rsidR="00F705E2" w:rsidRPr="00CD42FA">
        <w:rPr>
          <w:rFonts w:ascii="Calibri" w:hAnsi="Calibri" w:cs="Calibri"/>
          <w:lang w:val="en-US"/>
        </w:rPr>
        <w:t>:Cxcr2-FT): n=10 cells (CHT) and n=20 cells (wound) from 3 larvae. Data were pooled from independent larvae acquired in 1-5 imaging sessions. Kruskal-Wallis test with Dunn’s multiple comparisons test for Tg(</w:t>
      </w:r>
      <w:r w:rsidR="00F705E2" w:rsidRPr="00CD42FA">
        <w:rPr>
          <w:rFonts w:ascii="Calibri" w:hAnsi="Calibri" w:cs="Calibri"/>
          <w:i/>
          <w:lang w:val="en-US"/>
        </w:rPr>
        <w:t>lyz</w:t>
      </w:r>
      <w:r w:rsidR="00F705E2" w:rsidRPr="00CD42FA">
        <w:rPr>
          <w:rFonts w:ascii="Calibri" w:hAnsi="Calibri" w:cs="Calibri"/>
          <w:lang w:val="en-US"/>
        </w:rPr>
        <w:t>:Cxcr1-FT), two-tailed unpaired Mann-Whitney test for Tg(</w:t>
      </w:r>
      <w:r w:rsidR="00F705E2" w:rsidRPr="00CD42FA">
        <w:rPr>
          <w:rFonts w:ascii="Calibri" w:hAnsi="Calibri" w:cs="Calibri"/>
          <w:i/>
          <w:lang w:val="en-US"/>
        </w:rPr>
        <w:t>lyz</w:t>
      </w:r>
      <w:r w:rsidR="00F705E2" w:rsidRPr="00CD42FA">
        <w:rPr>
          <w:rFonts w:ascii="Calibri" w:hAnsi="Calibri" w:cs="Calibri"/>
          <w:lang w:val="en-US"/>
        </w:rPr>
        <w:t>:Cxcr2-FT)</w:t>
      </w:r>
      <w:r w:rsidR="00923B8B" w:rsidRPr="00CD42FA">
        <w:rPr>
          <w:rFonts w:ascii="Calibri" w:hAnsi="Calibri" w:cs="Calibri"/>
          <w:lang w:val="en-US"/>
        </w:rPr>
        <w:t>. (</w:t>
      </w:r>
      <w:r w:rsidR="00923B8B" w:rsidRPr="00CD42FA">
        <w:rPr>
          <w:rFonts w:ascii="Calibri" w:hAnsi="Calibri" w:cs="Calibri"/>
          <w:b/>
          <w:bCs/>
          <w:lang w:val="en-US"/>
        </w:rPr>
        <w:t>D</w:t>
      </w:r>
      <w:r w:rsidR="00923B8B" w:rsidRPr="00CD42FA">
        <w:rPr>
          <w:rFonts w:ascii="Calibri" w:hAnsi="Calibri" w:cs="Calibri"/>
          <w:lang w:val="en-US"/>
        </w:rPr>
        <w:t xml:space="preserve">) </w:t>
      </w:r>
      <w:r w:rsidR="00210817" w:rsidRPr="00CD42FA">
        <w:rPr>
          <w:rFonts w:ascii="Calibri" w:hAnsi="Calibri" w:cs="Calibri"/>
          <w:lang w:val="en-US"/>
        </w:rPr>
        <w:t>Confocal projection of neutrophils in Tg(</w:t>
      </w:r>
      <w:r w:rsidR="00210817" w:rsidRPr="00CD42FA">
        <w:rPr>
          <w:rFonts w:ascii="Calibri" w:hAnsi="Calibri" w:cs="Calibri"/>
          <w:i/>
          <w:lang w:val="en-US"/>
        </w:rPr>
        <w:t>lyz</w:t>
      </w:r>
      <w:r w:rsidR="00210817" w:rsidRPr="00CD42FA">
        <w:rPr>
          <w:rFonts w:ascii="Calibri" w:hAnsi="Calibri" w:cs="Calibri"/>
          <w:lang w:val="en-US"/>
        </w:rPr>
        <w:t xml:space="preserve">:Cxcr1-FT) transgenic larvae treated with </w:t>
      </w:r>
      <w:r w:rsidR="00210817" w:rsidRPr="00CD42FA">
        <w:rPr>
          <w:rFonts w:ascii="Calibri" w:hAnsi="Calibri" w:cs="Calibri"/>
          <w:i/>
          <w:lang w:val="en-US"/>
        </w:rPr>
        <w:t>cxcl8a</w:t>
      </w:r>
      <w:r w:rsidR="00210817" w:rsidRPr="00CD42FA">
        <w:rPr>
          <w:rFonts w:ascii="Calibri" w:hAnsi="Calibri" w:cs="Calibri"/>
          <w:lang w:val="en-US"/>
        </w:rPr>
        <w:t xml:space="preserve"> morpholino (MO) (left) and </w:t>
      </w:r>
      <w:r w:rsidR="00210817" w:rsidRPr="00CD42FA">
        <w:rPr>
          <w:rFonts w:ascii="Calibri" w:hAnsi="Calibri" w:cs="Calibri"/>
          <w:i/>
          <w:lang w:val="en-US"/>
        </w:rPr>
        <w:t>cxcl8b</w:t>
      </w:r>
      <w:r w:rsidR="00210817" w:rsidRPr="00CD42FA">
        <w:rPr>
          <w:rFonts w:ascii="Calibri" w:hAnsi="Calibri" w:cs="Calibri"/>
          <w:lang w:val="en-US"/>
        </w:rPr>
        <w:t xml:space="preserve"> MO (right) responding to fin wounds (sfGFP channel shown in green). Snapshot taken at </w:t>
      </w:r>
      <w:r w:rsidR="00F705E2" w:rsidRPr="00CD42FA">
        <w:rPr>
          <w:rFonts w:ascii="Calibri" w:hAnsi="Calibri" w:cs="Calibri"/>
          <w:lang w:val="en-US"/>
        </w:rPr>
        <w:t>timepoints of equivalent neutrophil accumulation (</w:t>
      </w:r>
      <w:r w:rsidR="00210817" w:rsidRPr="00CD42FA">
        <w:rPr>
          <w:rFonts w:ascii="Calibri" w:hAnsi="Calibri" w:cs="Calibri"/>
          <w:lang w:val="en-US"/>
        </w:rPr>
        <w:t>85 mpw in left image and 45 mpw in right image</w:t>
      </w:r>
      <w:r w:rsidR="00F705E2" w:rsidRPr="00CD42FA">
        <w:rPr>
          <w:rFonts w:ascii="Calibri" w:hAnsi="Calibri" w:cs="Calibri"/>
          <w:lang w:val="en-US"/>
        </w:rPr>
        <w:t>)</w:t>
      </w:r>
      <w:r w:rsidR="00210817" w:rsidRPr="00CD42FA">
        <w:rPr>
          <w:rFonts w:ascii="Calibri" w:hAnsi="Calibri" w:cs="Calibri"/>
          <w:lang w:val="en-US"/>
        </w:rPr>
        <w:t xml:space="preserve">. Scale bar = 10 µm. </w:t>
      </w:r>
      <w:r w:rsidR="00CC2313" w:rsidRPr="00CD42FA">
        <w:rPr>
          <w:rFonts w:ascii="Calibri" w:hAnsi="Calibri" w:cs="Calibri"/>
          <w:lang w:val="en-US"/>
        </w:rPr>
        <w:t>Figure modified from</w:t>
      </w:r>
      <w:r w:rsidR="00DA06B6" w:rsidRPr="00CD42FA">
        <w:rPr>
          <w:rFonts w:ascii="Calibri" w:hAnsi="Calibri" w:cs="Calibri"/>
          <w:lang w:val="en-US"/>
        </w:rPr>
        <w:t xml:space="preserve"> </w:t>
      </w:r>
      <w:r w:rsidR="00CC2313" w:rsidRPr="00CD42FA">
        <w:rPr>
          <w:rFonts w:ascii="Calibri" w:hAnsi="Calibri" w:cs="Calibri"/>
          <w:lang w:val="en-US"/>
        </w:rPr>
        <w:t>ref</w:t>
      </w:r>
      <w:r w:rsidR="00923B8B" w:rsidRPr="00CD42FA">
        <w:rPr>
          <w:rFonts w:ascii="Calibri" w:hAnsi="Calibri" w:cs="Calibri"/>
          <w:lang w:val="en-US"/>
        </w:rPr>
        <w:t>.</w:t>
      </w:r>
      <w:r w:rsidR="00C727C5" w:rsidRPr="00CD42FA">
        <w:rPr>
          <w:rFonts w:ascii="Calibri" w:hAnsi="Calibri" w:cs="Calibri"/>
          <w:vertAlign w:val="superscript"/>
          <w:lang w:val="en-US"/>
        </w:rPr>
        <w:t>14</w:t>
      </w:r>
      <w:r w:rsidR="00515ED5" w:rsidRPr="00CD42FA">
        <w:rPr>
          <w:rFonts w:ascii="Calibri" w:hAnsi="Calibri" w:cs="Calibri"/>
          <w:lang w:val="en-US"/>
        </w:rPr>
        <w:t xml:space="preserve"> (</w:t>
      </w:r>
      <w:r w:rsidR="00515ED5" w:rsidRPr="00CA44AD">
        <w:rPr>
          <w:rFonts w:ascii="Calibri" w:hAnsi="Calibri" w:cs="Calibri"/>
          <w:lang w:val="en-US"/>
        </w:rPr>
        <w:t>http://creativecommons.org/licenses/by/4.0/</w:t>
      </w:r>
      <w:r w:rsidR="00515ED5" w:rsidRPr="00CD42FA">
        <w:rPr>
          <w:rFonts w:ascii="Calibri" w:hAnsi="Calibri" w:cs="Calibri"/>
          <w:lang w:val="en-US"/>
        </w:rPr>
        <w:t>).</w:t>
      </w:r>
    </w:p>
    <w:p w14:paraId="6B53DA81" w14:textId="77777777" w:rsidR="000C27EA" w:rsidRPr="00CD42FA" w:rsidRDefault="000C27EA" w:rsidP="005C35E4">
      <w:pPr>
        <w:jc w:val="both"/>
        <w:rPr>
          <w:rFonts w:ascii="Calibri" w:hAnsi="Calibri" w:cs="Calibri"/>
          <w:lang w:val="en-US"/>
        </w:rPr>
      </w:pPr>
    </w:p>
    <w:p w14:paraId="63711D53" w14:textId="0B33D971" w:rsidR="00CC2313" w:rsidRPr="00CD42FA" w:rsidRDefault="00A100BC" w:rsidP="005C35E4">
      <w:pPr>
        <w:jc w:val="both"/>
        <w:rPr>
          <w:rFonts w:ascii="Calibri" w:hAnsi="Calibri" w:cs="Calibri"/>
          <w:b/>
          <w:bCs/>
          <w:lang w:val="en-US"/>
        </w:rPr>
      </w:pPr>
      <w:r w:rsidRPr="00CD42FA">
        <w:rPr>
          <w:rFonts w:ascii="Calibri" w:hAnsi="Calibri" w:cs="Calibri"/>
          <w:b/>
          <w:bCs/>
          <w:lang w:val="en-US"/>
        </w:rPr>
        <w:t xml:space="preserve">Figure </w:t>
      </w:r>
      <w:r w:rsidR="00195AA0" w:rsidRPr="00CD42FA">
        <w:rPr>
          <w:rFonts w:ascii="Calibri" w:hAnsi="Calibri" w:cs="Calibri"/>
          <w:b/>
          <w:bCs/>
          <w:lang w:val="en-US"/>
        </w:rPr>
        <w:t>5</w:t>
      </w:r>
      <w:r w:rsidR="00923B8B" w:rsidRPr="00CD42FA">
        <w:rPr>
          <w:rFonts w:ascii="Calibri" w:hAnsi="Calibri" w:cs="Calibri"/>
          <w:b/>
          <w:bCs/>
          <w:lang w:val="en-US"/>
        </w:rPr>
        <w:t xml:space="preserve">: </w:t>
      </w:r>
      <w:r w:rsidR="00722C55" w:rsidRPr="00CD42FA">
        <w:rPr>
          <w:rFonts w:ascii="Calibri" w:hAnsi="Calibri" w:cs="Calibri"/>
          <w:b/>
          <w:bCs/>
          <w:lang w:val="en-US"/>
        </w:rPr>
        <w:t>Chemokine</w:t>
      </w:r>
      <w:r w:rsidRPr="00CD42FA">
        <w:rPr>
          <w:rFonts w:ascii="Calibri" w:hAnsi="Calibri" w:cs="Calibri"/>
          <w:b/>
          <w:bCs/>
          <w:lang w:val="en-US"/>
        </w:rPr>
        <w:t xml:space="preserve"> response</w:t>
      </w:r>
      <w:r w:rsidR="002429E9" w:rsidRPr="00CD42FA">
        <w:rPr>
          <w:rFonts w:ascii="Calibri" w:hAnsi="Calibri" w:cs="Calibri"/>
          <w:b/>
          <w:bCs/>
          <w:lang w:val="en-US"/>
        </w:rPr>
        <w:t xml:space="preserve"> assay</w:t>
      </w:r>
      <w:r w:rsidR="00722C55" w:rsidRPr="00CD42FA">
        <w:rPr>
          <w:rFonts w:ascii="Calibri" w:hAnsi="Calibri" w:cs="Calibri"/>
          <w:b/>
          <w:bCs/>
          <w:lang w:val="en-US"/>
        </w:rPr>
        <w:t xml:space="preserve"> in</w:t>
      </w:r>
      <w:r w:rsidRPr="00CD42FA">
        <w:rPr>
          <w:rFonts w:ascii="Calibri" w:hAnsi="Calibri" w:cs="Calibri"/>
          <w:b/>
          <w:bCs/>
          <w:lang w:val="en-US"/>
        </w:rPr>
        <w:t xml:space="preserve"> early embryos</w:t>
      </w:r>
      <w:r w:rsidR="00735994" w:rsidRPr="00CD42FA">
        <w:rPr>
          <w:rFonts w:ascii="Calibri" w:hAnsi="Calibri" w:cs="Calibri"/>
          <w:b/>
          <w:bCs/>
          <w:lang w:val="en-US"/>
        </w:rPr>
        <w:t xml:space="preserve">. </w:t>
      </w:r>
      <w:r w:rsidR="000C27EA" w:rsidRPr="00CD42FA">
        <w:rPr>
          <w:rFonts w:ascii="Calibri" w:hAnsi="Calibri" w:cs="Calibri"/>
          <w:lang w:val="en-US" w:eastAsia="en-US"/>
        </w:rPr>
        <w:t>Laser-scanning confocal slices of gastrulating embryos showing expression and distribution of Cxcr1-FT. 100</w:t>
      </w:r>
      <w:r w:rsidR="004D70D3" w:rsidRPr="00CD42FA">
        <w:rPr>
          <w:rFonts w:ascii="Calibri" w:hAnsi="Calibri" w:cs="Calibri"/>
          <w:lang w:val="en-US" w:eastAsia="en-US"/>
        </w:rPr>
        <w:t xml:space="preserve"> </w:t>
      </w:r>
      <w:r w:rsidR="000C27EA" w:rsidRPr="00CD42FA">
        <w:rPr>
          <w:rFonts w:ascii="Calibri" w:hAnsi="Calibri" w:cs="Calibri"/>
          <w:lang w:val="en-US" w:eastAsia="en-US"/>
        </w:rPr>
        <w:t xml:space="preserve">pg of Cxcr1-FT mRNA was injected into </w:t>
      </w:r>
      <w:r w:rsidR="004D70D3" w:rsidRPr="00CD42FA">
        <w:rPr>
          <w:rFonts w:ascii="Calibri" w:hAnsi="Calibri" w:cs="Calibri"/>
          <w:lang w:val="en-US" w:eastAsia="en-US"/>
        </w:rPr>
        <w:t xml:space="preserve">one </w:t>
      </w:r>
      <w:r w:rsidR="000C27EA" w:rsidRPr="00CD42FA">
        <w:rPr>
          <w:rFonts w:ascii="Calibri" w:hAnsi="Calibri" w:cs="Calibri"/>
          <w:lang w:val="en-US" w:eastAsia="en-US"/>
        </w:rPr>
        <w:t>cell-stage eggs with or without 150</w:t>
      </w:r>
      <w:r w:rsidR="004D70D3" w:rsidRPr="00CD42FA">
        <w:rPr>
          <w:rFonts w:ascii="Calibri" w:hAnsi="Calibri" w:cs="Calibri"/>
          <w:lang w:val="en-US" w:eastAsia="en-US"/>
        </w:rPr>
        <w:t xml:space="preserve"> </w:t>
      </w:r>
      <w:r w:rsidR="000C27EA" w:rsidRPr="00CD42FA">
        <w:rPr>
          <w:rFonts w:ascii="Calibri" w:hAnsi="Calibri" w:cs="Calibri"/>
          <w:lang w:val="en-US" w:eastAsia="en-US"/>
        </w:rPr>
        <w:t xml:space="preserve">pg Cxcl8a mRNA. Green and red receptors are shown in separate channels. Control membrane CFP marker (mCFP) is shown in the </w:t>
      </w:r>
      <w:r w:rsidR="000C27EA" w:rsidRPr="00CD42FA">
        <w:rPr>
          <w:rFonts w:ascii="Calibri" w:hAnsi="Calibri" w:cs="Calibri"/>
          <w:lang w:val="en-US" w:eastAsia="en-US"/>
        </w:rPr>
        <w:lastRenderedPageBreak/>
        <w:t>cyan channel. Scale bar</w:t>
      </w:r>
      <w:r w:rsidR="004D70D3" w:rsidRPr="00CD42FA">
        <w:rPr>
          <w:rFonts w:ascii="Calibri" w:hAnsi="Calibri" w:cs="Calibri"/>
          <w:lang w:val="en-US" w:eastAsia="en-US"/>
        </w:rPr>
        <w:t xml:space="preserve"> </w:t>
      </w:r>
      <w:r w:rsidR="000C27EA" w:rsidRPr="00CD42FA">
        <w:rPr>
          <w:rFonts w:ascii="Calibri" w:hAnsi="Calibri" w:cs="Calibri"/>
          <w:lang w:val="en-US" w:eastAsia="en-US"/>
        </w:rPr>
        <w:t>=</w:t>
      </w:r>
      <w:r w:rsidR="004D70D3" w:rsidRPr="00CD42FA">
        <w:rPr>
          <w:rFonts w:ascii="Calibri" w:hAnsi="Calibri" w:cs="Calibri"/>
          <w:lang w:val="en-US" w:eastAsia="en-US"/>
        </w:rPr>
        <w:t xml:space="preserve"> </w:t>
      </w:r>
      <w:r w:rsidR="000C27EA" w:rsidRPr="00CD42FA">
        <w:rPr>
          <w:rFonts w:ascii="Calibri" w:hAnsi="Calibri" w:cs="Calibri"/>
          <w:lang w:val="en-US" w:eastAsia="en-US"/>
        </w:rPr>
        <w:t>20</w:t>
      </w:r>
      <w:r w:rsidR="00735994" w:rsidRPr="00CD42FA">
        <w:rPr>
          <w:rFonts w:ascii="Calibri" w:hAnsi="Calibri" w:cs="Calibri"/>
          <w:lang w:val="en-US" w:eastAsia="en-US"/>
        </w:rPr>
        <w:t xml:space="preserve"> </w:t>
      </w:r>
      <w:r w:rsidR="000C27EA" w:rsidRPr="00CD42FA">
        <w:rPr>
          <w:rFonts w:ascii="Calibri" w:hAnsi="Calibri" w:cs="Calibri"/>
          <w:lang w:val="en-US" w:eastAsia="en-US"/>
        </w:rPr>
        <w:t>μm</w:t>
      </w:r>
      <w:r w:rsidR="004D70D3" w:rsidRPr="00CD42FA">
        <w:rPr>
          <w:rFonts w:ascii="Calibri" w:hAnsi="Calibri" w:cs="Calibri"/>
          <w:lang w:val="en-US" w:eastAsia="en-US"/>
        </w:rPr>
        <w:t>.</w:t>
      </w:r>
      <w:r w:rsidR="00735994" w:rsidRPr="00CD42FA">
        <w:rPr>
          <w:rFonts w:ascii="Calibri" w:hAnsi="Calibri" w:cs="Calibri"/>
          <w:b/>
          <w:bCs/>
          <w:lang w:val="en-US"/>
        </w:rPr>
        <w:t xml:space="preserve"> </w:t>
      </w:r>
      <w:r w:rsidR="00CC2313" w:rsidRPr="00CD42FA">
        <w:rPr>
          <w:rFonts w:ascii="Calibri" w:hAnsi="Calibri" w:cs="Calibri"/>
          <w:lang w:val="en-US"/>
        </w:rPr>
        <w:t>Figure modified from ref</w:t>
      </w:r>
      <w:r w:rsidR="00735994" w:rsidRPr="00CD42FA">
        <w:rPr>
          <w:rFonts w:ascii="Calibri" w:hAnsi="Calibri" w:cs="Calibri"/>
          <w:lang w:val="en-US"/>
        </w:rPr>
        <w:t>.</w:t>
      </w:r>
      <w:r w:rsidR="00C727C5" w:rsidRPr="00CD42FA">
        <w:rPr>
          <w:rFonts w:ascii="Calibri" w:hAnsi="Calibri" w:cs="Calibri"/>
          <w:vertAlign w:val="superscript"/>
          <w:lang w:val="en-US"/>
        </w:rPr>
        <w:t>14</w:t>
      </w:r>
      <w:r w:rsidR="00515ED5" w:rsidRPr="00CD42FA">
        <w:rPr>
          <w:rFonts w:ascii="Calibri" w:hAnsi="Calibri" w:cs="Calibri"/>
          <w:lang w:val="en-US"/>
        </w:rPr>
        <w:t xml:space="preserve"> (</w:t>
      </w:r>
      <w:r w:rsidR="00515ED5" w:rsidRPr="00CA44AD">
        <w:rPr>
          <w:rFonts w:ascii="Calibri" w:hAnsi="Calibri" w:cs="Calibri"/>
          <w:lang w:val="en-US"/>
        </w:rPr>
        <w:t>http://creativecommons.org/licenses/by/4.0/</w:t>
      </w:r>
      <w:r w:rsidR="00515ED5" w:rsidRPr="00CD42FA">
        <w:rPr>
          <w:rFonts w:ascii="Calibri" w:hAnsi="Calibri" w:cs="Calibri"/>
          <w:lang w:val="en-US"/>
        </w:rPr>
        <w:t>).</w:t>
      </w:r>
    </w:p>
    <w:p w14:paraId="371CB1E1" w14:textId="77777777" w:rsidR="00735994" w:rsidRPr="00CD42FA" w:rsidRDefault="00735994" w:rsidP="005C35E4">
      <w:pPr>
        <w:jc w:val="both"/>
        <w:rPr>
          <w:rFonts w:ascii="Calibri" w:hAnsi="Calibri" w:cs="Calibri"/>
          <w:lang w:val="en-US" w:eastAsia="en-US"/>
        </w:rPr>
      </w:pPr>
    </w:p>
    <w:p w14:paraId="43471705" w14:textId="5A02E437" w:rsidR="00F23C7A" w:rsidRPr="00CD42FA" w:rsidRDefault="00F23C7A" w:rsidP="005C35E4">
      <w:pPr>
        <w:jc w:val="both"/>
        <w:rPr>
          <w:rFonts w:ascii="Calibri" w:hAnsi="Calibri" w:cs="Calibri"/>
          <w:lang w:val="en-US"/>
        </w:rPr>
      </w:pPr>
      <w:r w:rsidRPr="00CD42FA">
        <w:rPr>
          <w:rFonts w:ascii="Calibri" w:hAnsi="Calibri" w:cs="Calibri"/>
          <w:b/>
          <w:bCs/>
          <w:lang w:val="en-US"/>
        </w:rPr>
        <w:t>Supplementary Movie 1</w:t>
      </w:r>
      <w:r w:rsidR="00735994" w:rsidRPr="00CD42FA">
        <w:rPr>
          <w:rFonts w:ascii="Calibri" w:hAnsi="Calibri" w:cs="Calibri"/>
          <w:b/>
          <w:bCs/>
          <w:lang w:val="en-US"/>
        </w:rPr>
        <w:t>:</w:t>
      </w:r>
      <w:r w:rsidRPr="00CD42FA">
        <w:rPr>
          <w:rFonts w:ascii="Calibri" w:hAnsi="Calibri" w:cs="Calibri"/>
          <w:b/>
          <w:bCs/>
          <w:lang w:val="en-US"/>
        </w:rPr>
        <w:t xml:space="preserve"> </w:t>
      </w:r>
      <w:r w:rsidRPr="00CD42FA">
        <w:rPr>
          <w:rFonts w:ascii="Calibri" w:hAnsi="Calibri" w:cs="Calibri"/>
          <w:lang w:val="en-US"/>
        </w:rPr>
        <w:t>Transgenic neutrophils in the head of a Tg(</w:t>
      </w:r>
      <w:r w:rsidRPr="00CD42FA">
        <w:rPr>
          <w:rFonts w:ascii="Calibri" w:hAnsi="Calibri" w:cs="Calibri"/>
          <w:i/>
          <w:iCs/>
          <w:lang w:val="en-US"/>
        </w:rPr>
        <w:t>lyz</w:t>
      </w:r>
      <w:r w:rsidRPr="00CD42FA">
        <w:rPr>
          <w:rFonts w:ascii="Calibri" w:hAnsi="Calibri" w:cs="Calibri"/>
          <w:lang w:val="en-US"/>
        </w:rPr>
        <w:t>:Cxcr1-FT) (left) and Tg(</w:t>
      </w:r>
      <w:r w:rsidRPr="00CD42FA">
        <w:rPr>
          <w:rFonts w:ascii="Calibri" w:hAnsi="Calibri" w:cs="Calibri"/>
          <w:i/>
          <w:iCs/>
          <w:lang w:val="en-US"/>
        </w:rPr>
        <w:t>lyz</w:t>
      </w:r>
      <w:r w:rsidRPr="00CD42FA">
        <w:rPr>
          <w:rFonts w:ascii="Calibri" w:hAnsi="Calibri" w:cs="Calibri"/>
          <w:lang w:val="en-US"/>
        </w:rPr>
        <w:t xml:space="preserve">:Cxcr2-FT) (right) larva at 3 dpf. sfGFP(green), tagRFP (magenta). Frame interval is 30 sec and frame rate is 5 fps. Scale bar = 20 μm. </w:t>
      </w:r>
      <w:r w:rsidR="00C727C5" w:rsidRPr="00CD42FA">
        <w:rPr>
          <w:rFonts w:ascii="Calibri" w:hAnsi="Calibri" w:cs="Calibri"/>
          <w:lang w:val="en-US"/>
        </w:rPr>
        <w:t>Video originates from ref</w:t>
      </w:r>
      <w:r w:rsidR="00515ED5" w:rsidRPr="00CD42FA">
        <w:rPr>
          <w:rFonts w:ascii="Calibri" w:hAnsi="Calibri" w:cs="Calibri"/>
          <w:lang w:val="en-US"/>
        </w:rPr>
        <w:t>.</w:t>
      </w:r>
      <w:r w:rsidR="00515ED5" w:rsidRPr="00CD42FA">
        <w:rPr>
          <w:rFonts w:ascii="Calibri" w:hAnsi="Calibri" w:cs="Calibri"/>
          <w:vertAlign w:val="superscript"/>
          <w:lang w:val="en-US"/>
        </w:rPr>
        <w:t>14</w:t>
      </w:r>
      <w:r w:rsidR="00515ED5" w:rsidRPr="00CD42FA">
        <w:rPr>
          <w:rFonts w:ascii="Calibri" w:hAnsi="Calibri" w:cs="Calibri"/>
          <w:lang w:val="en-US"/>
        </w:rPr>
        <w:t xml:space="preserve"> (</w:t>
      </w:r>
      <w:r w:rsidR="00515ED5" w:rsidRPr="00CA44AD">
        <w:rPr>
          <w:rFonts w:ascii="Calibri" w:hAnsi="Calibri" w:cs="Calibri"/>
          <w:lang w:val="en-US"/>
        </w:rPr>
        <w:t>http://creativecommons.org/licenses/by/4.0/</w:t>
      </w:r>
      <w:r w:rsidR="00515ED5" w:rsidRPr="00CD42FA">
        <w:rPr>
          <w:rFonts w:ascii="Calibri" w:hAnsi="Calibri" w:cs="Calibri"/>
          <w:lang w:val="en-US"/>
        </w:rPr>
        <w:t>).</w:t>
      </w:r>
    </w:p>
    <w:p w14:paraId="524EE385" w14:textId="77777777" w:rsidR="00735994" w:rsidRPr="00CD42FA" w:rsidRDefault="00735994" w:rsidP="005C35E4">
      <w:pPr>
        <w:jc w:val="both"/>
        <w:rPr>
          <w:rFonts w:ascii="Calibri" w:hAnsi="Calibri" w:cs="Calibri"/>
          <w:b/>
          <w:bCs/>
          <w:lang w:val="en-US"/>
        </w:rPr>
      </w:pPr>
    </w:p>
    <w:p w14:paraId="50165237" w14:textId="22EED0C6" w:rsidR="00515ED5" w:rsidRPr="00CD42FA" w:rsidRDefault="00F23C7A" w:rsidP="005C35E4">
      <w:pPr>
        <w:jc w:val="both"/>
        <w:rPr>
          <w:rFonts w:ascii="Calibri" w:hAnsi="Calibri" w:cs="Calibri"/>
          <w:lang w:val="en-US"/>
        </w:rPr>
      </w:pPr>
      <w:r w:rsidRPr="00CD42FA">
        <w:rPr>
          <w:rFonts w:ascii="Calibri" w:hAnsi="Calibri" w:cs="Calibri"/>
          <w:b/>
          <w:bCs/>
          <w:lang w:val="en-US"/>
        </w:rPr>
        <w:t>Supplementary Movie 2</w:t>
      </w:r>
      <w:r w:rsidR="00735994" w:rsidRPr="00CD42FA">
        <w:rPr>
          <w:rFonts w:ascii="Calibri" w:hAnsi="Calibri" w:cs="Calibri"/>
          <w:b/>
          <w:bCs/>
          <w:lang w:val="en-US"/>
        </w:rPr>
        <w:t>:</w:t>
      </w:r>
      <w:r w:rsidRPr="00CD42FA">
        <w:rPr>
          <w:rFonts w:ascii="Calibri" w:hAnsi="Calibri" w:cs="Calibri"/>
          <w:b/>
          <w:bCs/>
          <w:lang w:val="en-US"/>
        </w:rPr>
        <w:t xml:space="preserve"> </w:t>
      </w:r>
      <w:r w:rsidRPr="00CD42FA">
        <w:rPr>
          <w:rFonts w:ascii="Calibri" w:hAnsi="Calibri" w:cs="Calibri"/>
          <w:lang w:val="en-US"/>
        </w:rPr>
        <w:t>Neutrophils in Tg(</w:t>
      </w:r>
      <w:r w:rsidRPr="00CD42FA">
        <w:rPr>
          <w:rFonts w:ascii="Calibri" w:hAnsi="Calibri" w:cs="Calibri"/>
          <w:i/>
          <w:iCs/>
          <w:lang w:val="en-US"/>
        </w:rPr>
        <w:t>lyz</w:t>
      </w:r>
      <w:r w:rsidRPr="00CD42FA">
        <w:rPr>
          <w:rFonts w:ascii="Calibri" w:hAnsi="Calibri" w:cs="Calibri"/>
          <w:lang w:val="en-US"/>
        </w:rPr>
        <w:t>:Cxcr1-FT) (left) and Tg(</w:t>
      </w:r>
      <w:r w:rsidRPr="00CD42FA">
        <w:rPr>
          <w:rFonts w:ascii="Calibri" w:hAnsi="Calibri" w:cs="Calibri"/>
          <w:i/>
          <w:iCs/>
          <w:lang w:val="en-US"/>
        </w:rPr>
        <w:t>lyz</w:t>
      </w:r>
      <w:r w:rsidRPr="00CD42FA">
        <w:rPr>
          <w:rFonts w:ascii="Calibri" w:hAnsi="Calibri" w:cs="Calibri"/>
          <w:lang w:val="en-US"/>
        </w:rPr>
        <w:t xml:space="preserve">:Cxcr2-FT) (right) transgenic larvae responding to fin wounds. Movie starts within 10 mpw and lasts 60 min. sfGFP (green), tagRFP (magenta). Frame interval is 30 sec and frame rate is 10 fps. CHT = caudal hematopoietic tissue. VF = ventral fin. Scale bar = 25 μm. </w:t>
      </w:r>
      <w:r w:rsidR="00C727C5" w:rsidRPr="00CD42FA">
        <w:rPr>
          <w:rFonts w:ascii="Calibri" w:hAnsi="Calibri" w:cs="Calibri"/>
          <w:lang w:val="en-US"/>
        </w:rPr>
        <w:t xml:space="preserve">Video originates from </w:t>
      </w:r>
      <w:r w:rsidR="00515ED5" w:rsidRPr="00CD42FA">
        <w:rPr>
          <w:rFonts w:ascii="Calibri" w:hAnsi="Calibri" w:cs="Calibri"/>
          <w:lang w:val="en-US"/>
        </w:rPr>
        <w:t>ref.</w:t>
      </w:r>
      <w:r w:rsidR="00515ED5" w:rsidRPr="00CD42FA">
        <w:rPr>
          <w:rFonts w:ascii="Calibri" w:hAnsi="Calibri" w:cs="Calibri"/>
          <w:vertAlign w:val="superscript"/>
          <w:lang w:val="en-US"/>
        </w:rPr>
        <w:t>14</w:t>
      </w:r>
      <w:r w:rsidR="00515ED5" w:rsidRPr="00CD42FA">
        <w:rPr>
          <w:rFonts w:ascii="Calibri" w:hAnsi="Calibri" w:cs="Calibri"/>
          <w:lang w:val="en-US"/>
        </w:rPr>
        <w:t xml:space="preserve"> (</w:t>
      </w:r>
      <w:r w:rsidR="00515ED5" w:rsidRPr="00CA44AD">
        <w:rPr>
          <w:rFonts w:ascii="Calibri" w:hAnsi="Calibri" w:cs="Calibri"/>
          <w:lang w:val="en-US"/>
        </w:rPr>
        <w:t>http://creativecommons.org/licenses/by/4.0/</w:t>
      </w:r>
      <w:r w:rsidR="00515ED5" w:rsidRPr="00CD42FA">
        <w:rPr>
          <w:rFonts w:ascii="Calibri" w:hAnsi="Calibri" w:cs="Calibri"/>
          <w:lang w:val="en-US"/>
        </w:rPr>
        <w:t>).</w:t>
      </w:r>
    </w:p>
    <w:p w14:paraId="5EEA2F27" w14:textId="77777777" w:rsidR="00735994" w:rsidRPr="00CD42FA" w:rsidRDefault="00735994" w:rsidP="005C35E4">
      <w:pPr>
        <w:autoSpaceDE w:val="0"/>
        <w:autoSpaceDN w:val="0"/>
        <w:adjustRightInd w:val="0"/>
        <w:jc w:val="both"/>
        <w:rPr>
          <w:rFonts w:ascii="Calibri" w:hAnsi="Calibri" w:cs="Calibri"/>
          <w:b/>
          <w:bCs/>
          <w:lang w:val="en-US"/>
        </w:rPr>
      </w:pPr>
    </w:p>
    <w:p w14:paraId="7DD21D97" w14:textId="6DE4003E" w:rsidR="009B37D3" w:rsidRPr="00CD42FA" w:rsidRDefault="009B37D3" w:rsidP="005C35E4">
      <w:pPr>
        <w:autoSpaceDE w:val="0"/>
        <w:autoSpaceDN w:val="0"/>
        <w:adjustRightInd w:val="0"/>
        <w:jc w:val="both"/>
        <w:rPr>
          <w:rFonts w:ascii="Calibri" w:hAnsi="Calibri" w:cs="Calibri"/>
          <w:lang w:val="en-US" w:eastAsia="en-US"/>
        </w:rPr>
      </w:pPr>
      <w:r w:rsidRPr="00CD42FA">
        <w:rPr>
          <w:rFonts w:ascii="Calibri" w:hAnsi="Calibri" w:cs="Calibri"/>
          <w:b/>
          <w:bCs/>
          <w:lang w:val="en-US"/>
        </w:rPr>
        <w:t xml:space="preserve">Supplementary Movie 3. </w:t>
      </w:r>
      <w:r w:rsidRPr="00CD42FA">
        <w:rPr>
          <w:rFonts w:ascii="Calibri" w:hAnsi="Calibri" w:cs="Calibri"/>
          <w:lang w:val="en-US" w:eastAsia="en-US"/>
        </w:rPr>
        <w:t>Additional examples of neutrophils from a wounded Tg(lyz:Cxcr1-</w:t>
      </w:r>
    </w:p>
    <w:p w14:paraId="00C626EA" w14:textId="77777777" w:rsidR="009B37D3" w:rsidRPr="00CD42FA" w:rsidRDefault="009B37D3" w:rsidP="005C35E4">
      <w:pPr>
        <w:autoSpaceDE w:val="0"/>
        <w:autoSpaceDN w:val="0"/>
        <w:adjustRightInd w:val="0"/>
        <w:jc w:val="both"/>
        <w:rPr>
          <w:rFonts w:ascii="Calibri" w:hAnsi="Calibri" w:cs="Calibri"/>
          <w:lang w:val="en-US" w:eastAsia="en-US"/>
        </w:rPr>
      </w:pPr>
      <w:r w:rsidRPr="00CD42FA">
        <w:rPr>
          <w:rFonts w:ascii="Calibri" w:hAnsi="Calibri" w:cs="Calibri"/>
          <w:lang w:val="en-US" w:eastAsia="en-US"/>
        </w:rPr>
        <w:t>FT) transgenic larva (different larva to that shown in Video 2), acquired at higher resolution,</w:t>
      </w:r>
    </w:p>
    <w:p w14:paraId="4CCF98A1" w14:textId="77777777" w:rsidR="009B37D3" w:rsidRPr="00CD42FA" w:rsidRDefault="009B37D3" w:rsidP="005C35E4">
      <w:pPr>
        <w:autoSpaceDE w:val="0"/>
        <w:autoSpaceDN w:val="0"/>
        <w:adjustRightInd w:val="0"/>
        <w:jc w:val="both"/>
        <w:rPr>
          <w:rFonts w:ascii="Calibri" w:hAnsi="Calibri" w:cs="Calibri"/>
          <w:lang w:val="en-US" w:eastAsia="en-US"/>
        </w:rPr>
      </w:pPr>
      <w:r w:rsidRPr="00CD42FA">
        <w:rPr>
          <w:rFonts w:ascii="Calibri" w:hAnsi="Calibri" w:cs="Calibri"/>
          <w:lang w:val="en-US" w:eastAsia="en-US"/>
        </w:rPr>
        <w:t>showing receptor internalization (sfGFP channel shown in green) upon mobilization in the</w:t>
      </w:r>
    </w:p>
    <w:p w14:paraId="531F261D" w14:textId="77777777" w:rsidR="009B37D3" w:rsidRPr="00CD42FA" w:rsidRDefault="009B37D3" w:rsidP="005C35E4">
      <w:pPr>
        <w:autoSpaceDE w:val="0"/>
        <w:autoSpaceDN w:val="0"/>
        <w:adjustRightInd w:val="0"/>
        <w:jc w:val="both"/>
        <w:rPr>
          <w:rFonts w:ascii="Calibri" w:hAnsi="Calibri" w:cs="Calibri"/>
          <w:lang w:val="en-US" w:eastAsia="en-US"/>
        </w:rPr>
      </w:pPr>
      <w:r w:rsidRPr="00CD42FA">
        <w:rPr>
          <w:rFonts w:ascii="Calibri" w:hAnsi="Calibri" w:cs="Calibri"/>
          <w:lang w:val="en-US" w:eastAsia="en-US"/>
        </w:rPr>
        <w:t>CHT or upon entry and chemotaxis in the ventral fin. Frame interval is 30 sec and frame rate is</w:t>
      </w:r>
    </w:p>
    <w:p w14:paraId="054D983D" w14:textId="2E29259B" w:rsidR="00515ED5" w:rsidRPr="00CD42FA" w:rsidRDefault="009B37D3" w:rsidP="005C35E4">
      <w:pPr>
        <w:jc w:val="both"/>
        <w:rPr>
          <w:rFonts w:ascii="Calibri" w:hAnsi="Calibri" w:cs="Calibri"/>
          <w:lang w:val="en-US"/>
        </w:rPr>
      </w:pPr>
      <w:r w:rsidRPr="00CD42FA">
        <w:rPr>
          <w:rFonts w:ascii="Calibri" w:hAnsi="Calibri" w:cs="Calibri"/>
          <w:lang w:val="en-US" w:eastAsia="en-US"/>
        </w:rPr>
        <w:t>fps. Scale bar = 10 μm.</w:t>
      </w:r>
      <w:r w:rsidR="00C727C5" w:rsidRPr="00CD42FA">
        <w:rPr>
          <w:rFonts w:ascii="Calibri" w:hAnsi="Calibri" w:cs="Calibri"/>
          <w:lang w:val="en-US" w:eastAsia="en-US"/>
        </w:rPr>
        <w:t xml:space="preserve"> </w:t>
      </w:r>
      <w:r w:rsidR="00C727C5" w:rsidRPr="00CD42FA">
        <w:rPr>
          <w:rFonts w:ascii="Calibri" w:hAnsi="Calibri" w:cs="Calibri"/>
          <w:lang w:val="en-US"/>
        </w:rPr>
        <w:t xml:space="preserve">Video originates from </w:t>
      </w:r>
      <w:r w:rsidR="00515ED5" w:rsidRPr="00CD42FA">
        <w:rPr>
          <w:rFonts w:ascii="Calibri" w:hAnsi="Calibri" w:cs="Calibri"/>
          <w:lang w:val="en-US"/>
        </w:rPr>
        <w:t>ref.</w:t>
      </w:r>
      <w:r w:rsidR="00515ED5" w:rsidRPr="00CD42FA">
        <w:rPr>
          <w:rFonts w:ascii="Calibri" w:hAnsi="Calibri" w:cs="Calibri"/>
          <w:vertAlign w:val="superscript"/>
          <w:lang w:val="en-US"/>
        </w:rPr>
        <w:t>14</w:t>
      </w:r>
      <w:r w:rsidR="00515ED5" w:rsidRPr="00CD42FA">
        <w:rPr>
          <w:rFonts w:ascii="Calibri" w:hAnsi="Calibri" w:cs="Calibri"/>
          <w:lang w:val="en-US"/>
        </w:rPr>
        <w:t xml:space="preserve"> (</w:t>
      </w:r>
      <w:r w:rsidR="00515ED5" w:rsidRPr="00CA44AD">
        <w:rPr>
          <w:rFonts w:ascii="Calibri" w:hAnsi="Calibri" w:cs="Calibri"/>
          <w:lang w:val="en-US"/>
        </w:rPr>
        <w:t>http://creativecommons.org/licenses/by/4.0/</w:t>
      </w:r>
      <w:r w:rsidR="00515ED5" w:rsidRPr="00CD42FA">
        <w:rPr>
          <w:rFonts w:ascii="Calibri" w:hAnsi="Calibri" w:cs="Calibri"/>
          <w:lang w:val="en-US"/>
        </w:rPr>
        <w:t>).</w:t>
      </w:r>
    </w:p>
    <w:p w14:paraId="6398F964" w14:textId="77777777" w:rsidR="000C27EA" w:rsidRPr="00CD42FA" w:rsidRDefault="000C27EA" w:rsidP="005C35E4">
      <w:pPr>
        <w:jc w:val="both"/>
        <w:rPr>
          <w:rFonts w:ascii="Calibri" w:hAnsi="Calibri" w:cs="Calibri"/>
          <w:lang w:val="en-US"/>
        </w:rPr>
      </w:pPr>
    </w:p>
    <w:p w14:paraId="64B8CF78" w14:textId="54BE1A11" w:rsidR="006305D7" w:rsidRPr="00CD42FA" w:rsidRDefault="006305D7" w:rsidP="005C35E4">
      <w:pPr>
        <w:jc w:val="both"/>
        <w:rPr>
          <w:rFonts w:ascii="Calibri" w:hAnsi="Calibri" w:cs="Calibri"/>
          <w:bCs/>
          <w:lang w:val="en-US"/>
        </w:rPr>
      </w:pPr>
      <w:r w:rsidRPr="00CD42FA">
        <w:rPr>
          <w:rFonts w:ascii="Calibri" w:hAnsi="Calibri" w:cs="Calibri"/>
          <w:b/>
          <w:lang w:val="en-US"/>
        </w:rPr>
        <w:t>DISCUSSION</w:t>
      </w:r>
      <w:r w:rsidRPr="00CD42FA">
        <w:rPr>
          <w:rFonts w:ascii="Calibri" w:hAnsi="Calibri" w:cs="Calibri"/>
          <w:b/>
          <w:bCs/>
          <w:lang w:val="en-US"/>
        </w:rPr>
        <w:t xml:space="preserve">: </w:t>
      </w:r>
    </w:p>
    <w:p w14:paraId="53E8DE2D" w14:textId="0CADAA3B" w:rsidR="007A4DD6" w:rsidRPr="00CD42FA" w:rsidRDefault="00003FDF" w:rsidP="005C35E4">
      <w:pPr>
        <w:jc w:val="both"/>
        <w:rPr>
          <w:rFonts w:ascii="Calibri" w:hAnsi="Calibri" w:cs="Calibri"/>
          <w:lang w:val="en-US"/>
        </w:rPr>
      </w:pPr>
      <w:r w:rsidRPr="00CD42FA">
        <w:rPr>
          <w:rFonts w:ascii="Calibri" w:hAnsi="Calibri" w:cs="Calibri"/>
          <w:lang w:val="en-US"/>
        </w:rPr>
        <w:t xml:space="preserve">The </w:t>
      </w:r>
      <w:r w:rsidR="00FD087C" w:rsidRPr="00CD42FA">
        <w:rPr>
          <w:rFonts w:ascii="Calibri" w:hAnsi="Calibri" w:cs="Calibri"/>
          <w:lang w:val="en-US"/>
        </w:rPr>
        <w:t xml:space="preserve">method described </w:t>
      </w:r>
      <w:r w:rsidR="00242F6E" w:rsidRPr="00CD42FA">
        <w:rPr>
          <w:rFonts w:ascii="Calibri" w:hAnsi="Calibri" w:cs="Calibri"/>
          <w:lang w:val="en-US"/>
        </w:rPr>
        <w:t>allows</w:t>
      </w:r>
      <w:r w:rsidR="00FD087C" w:rsidRPr="00CD42FA">
        <w:rPr>
          <w:rFonts w:ascii="Calibri" w:hAnsi="Calibri" w:cs="Calibri"/>
          <w:lang w:val="en-US"/>
        </w:rPr>
        <w:t xml:space="preserve"> live imaging of receptor dynamics in response to endogenous ligands in situ during an inflammatory response to tissue damage. The use of </w:t>
      </w:r>
      <w:r w:rsidR="00242F6E" w:rsidRPr="00CD42FA">
        <w:rPr>
          <w:rFonts w:ascii="Calibri" w:hAnsi="Calibri" w:cs="Calibri"/>
          <w:lang w:val="en-US"/>
        </w:rPr>
        <w:t>Cxcr1/Cxcr2</w:t>
      </w:r>
      <w:r w:rsidR="00FD087C" w:rsidRPr="00CD42FA">
        <w:rPr>
          <w:rFonts w:ascii="Calibri" w:hAnsi="Calibri" w:cs="Calibri"/>
          <w:lang w:val="en-US"/>
        </w:rPr>
        <w:t xml:space="preserve"> neutrophil reporters could be expanded to other physiological settings, such as infection</w:t>
      </w:r>
      <w:r w:rsidR="00770816" w:rsidRPr="00CD42FA">
        <w:rPr>
          <w:rFonts w:ascii="Calibri" w:hAnsi="Calibri" w:cs="Calibri"/>
          <w:lang w:val="en-US"/>
        </w:rPr>
        <w:t>, tumor models</w:t>
      </w:r>
      <w:r w:rsidR="00FD087C" w:rsidRPr="00CD42FA">
        <w:rPr>
          <w:rFonts w:ascii="Calibri" w:hAnsi="Calibri" w:cs="Calibri"/>
          <w:lang w:val="en-US"/>
        </w:rPr>
        <w:t xml:space="preserve"> or other types of tissue damage</w:t>
      </w:r>
      <w:r w:rsidR="003D0FBF" w:rsidRPr="00CD42FA">
        <w:rPr>
          <w:rFonts w:ascii="Calibri" w:hAnsi="Calibri" w:cs="Calibri"/>
          <w:lang w:val="en-US"/>
        </w:rPr>
        <w:fldChar w:fldCharType="begin"/>
      </w:r>
      <w:r w:rsidR="0002471A" w:rsidRPr="00CD42FA">
        <w:rPr>
          <w:rFonts w:ascii="Calibri" w:hAnsi="Calibri" w:cs="Calibri"/>
          <w:lang w:val="en-US"/>
        </w:rPr>
        <w:instrText xml:space="preserve"> ADDIN ZOTERO_ITEM CSL_CITATION {"citationID":"SaTjz6g1","properties":{"formattedCitation":"\\super 14, 25\\uc0\\u8211{}27\\nosupersub{}","plainCitation":"14, 25–27","noteIndex":0},"citationItems":[{"id":711,"uris":["http://zotero.org/users/5010385/items/22KQ8LRX"],"uri":["http://zotero.org/users/5010385/items/22KQ8LRX"],"itemData":{"id":711,"type":"article-journal","abstract":"Immune cells congregate at specific loci to fight infections during inflammatory responses, a process that must be transient and self-resolving. Cell dispersal promotes resolution, but it remains unclear how transition from clustering to dispersal is regulated. Here we show, using quantitative live imaging in zebrafish, that differential ligand-induced trafficking of chemokine receptors such as Cxcr1 and Cxcr2 orchestrates the state of neutrophil congregation at sites of tissue damage. Through receptor mutagenesis and biosensors, we show that Cxcr1 promotes clustering at wound sites, but is promptly desensitized and internalized, which prevents excess congregation. By contrast, Cxcr2 promotes bidirectional motility and is sustained at the plasma membrane. Persistent plasma membrane residence of Cxcr2 prolongs downstream signaling and is required for sustained exploratory motion conducive to dispersal. Thus, differential trafficking of two chemokine receptors allows coordination of antagonistic cell behaviors, promoting a self-resolving migratory response.","container-title":"Nature Communications","DOI":"10.1038/s41467-019-13107-3","ISSN":"2041-1723","issue":"1","journalAbbreviation":"Nat Commun","language":"eng","note":"PMID: 31727891\nPMCID: PMC6856356","page":"5166","source":"PubMed","title":"Chemokine receptor trafficking coordinates neutrophil clustering and dispersal at wounds in zebrafish","volume":"10","author":[{"family":"Coombs","given":"Caroline"},{"family":"Georgantzoglou","given":"Antonios"},{"family":"Walker","given":"Hazel A."},{"family":"Patt","given":"Julian"},{"family":"Merten","given":"Nicole"},{"family":"Poplimont","given":"Hugo"},{"family":"Busch-Nentwich","given":"Elisabeth M."},{"family":"Williams","given":"Sarah"},{"family":"Kotsi","given":"Christina"},{"family":"Kostenis","given":"Evi"},{"family":"Sarris","given":"Milka"}],"issued":{"date-parts":[["2019",11,14]]}}},{"id":848,"uris":["http://zotero.org/users/5010385/items/JUMYKUGT"],"uri":["http://zotero.org/users/5010385/items/JUMYKUGT"],"itemData":{"id":848,"type":"article-journal","abstract":"The study of host–pathogen interactions has illuminated fundamental research avenues in both infection and cell biology. Zebrafish (Danio rerio) larvae are genetically tractable, optically accessible, and present a fully functional innate immune system with macrophages and neutrophils that mimic their mammalian counterparts. A wide variety of pathogenic bacteria have been investigated using zebrafish models, providing unprecedented resolution of the cellular response to infection in vivo. In this review, we illustrate how zebrafish models have contributed to our understanding of cellular microbiology by providing an in vivo platform to study host–pathogen interactions from the single cell to whole animal level. We also highlight discoveries made from zebrafish infection that hold great promise for translation into novel therapies for humans., Due to genetic and physiological similarities with higher vertebrates including humans, zebrafish are useful to study infection from a wide variety of bacterial pathogens., A vast array of genetic, optical, and chemical tools applicable to zebrafish provide an innovative toolkit to investigate cellular microbiology in vivo., The study of zebrafish infection is providing unprecedented resolution of host–pathogen interactions, and discovering novel mechanisms of cellular immunity., The zebrafish can be used as a platform to develop therapeutic strategies for humans suffering from disease related to infection and inflammation.","container-title":"Trends in Cell Biology","DOI":"10.1016/j.tcb.2017.10.002","ISSN":"0962-8924","issue":"2","journalAbbreviation":"Trends Cell Biol","note":"PMID: 29173800\nPMCID: PMC5777827","page":"143-156","source":"PubMed Central","title":"Zebrafish Infection: From Pathogenesis to Cell Biology","title-short":"Zebrafish Infection","volume":"28","author":[{"family":"Torraca","given":"Vincenzo"},{"family":"Mostowy","given":"Serge"}],"issued":{"date-parts":[["2018",2]]}}},{"id":845,"uris":["http://zotero.org/users/5010385/items/6SEC2JDL"],"uri":["http://zotero.org/users/5010385/items/6SEC2JDL"],"itemData":{"id":845,"type":"article-journal","abstract":"It has not previously been possible to live image the earliest interactions between the host environment and oncogene-transformed cells as they initiate formation of cancers within an organism. Here we take advantage of the translucency of zebrafish larvae to observe the host innate immune cell response as oncogene-transformed melanoblasts and goblet cells multiply within the larval skin. Our studies indicate activation of leukocytes at very early stages in larvae carrying a transformed cell burden. Locally, we see recruitment of neutrophils and macrophages by 48 h post-fertilization, when transformed cells are still only singletons or doublets, and soon after this we see intimate associations between immune and transformed cells and frequent examples of cytoplasmic tethers linking the two cell types, as well as engulfment of transformed cells by both neutrophils and macrophages. We show that a major component of the signal drawing inflammatory cells to oncogenic HRAS(G12V)-transformed cells is H(2)O(2), which is also a key damage cue responsible for recruiting neutrophils to a wound. Our short-term blocking experiments show that preventing recruitment of immune cells at these early stages results in reduced growth of transformed cell clones and suggests that immune cells may provide a source of trophic support to the transformed cells just as they do at a site of tissue repair. These parallels between the inflammatory responses to transformed cells and to wounds reinforce the suggestion by others that cancers resemble non-healing wounds.","container-title":"PLoS biology","DOI":"10.1371/journal.pbio.1000562","ISSN":"1545-7885","issue":"12","journalAbbreviation":"PLoS Biol.","language":"eng","note":"PMID: 21179501\nPMCID: PMC3001901","page":"e1000562","source":"PubMed","title":"Live imaging of innate immune cell sensing of transformed cells in zebrafish larvae: parallels between tumor initiation and wound inflammation","title-short":"Live imaging of innate immune cell sensing of transformed cells in zebrafish larvae","volume":"8","author":[{"family":"Feng","given":"Yi"},{"family":"Santoriello","given":"Cristina"},{"family":"Mione","given":"Marina"},{"family":"Hurlstone","given":"Adam"},{"family":"Martin","given":"Paul"}],"issued":{"date-parts":[["2010",12,14]]}}},{"id":863,"uris":["http://zotero.org/users/5010385/items/BMAT5DVH"],"uri":["http://zotero.org/users/5010385/items/BMAT5DVH"],"itemData":{"id":863,"type":"article-journal","container-title":"Current Biology","DOI":"10.1016/j.cub.2020.05.030","ISSN":"09609822","journalAbbreviation":"Current Biology","language":"en","page":"S0960982220306692","source":"DOI.org (Crossref)","title":"Neutrophil Swarming in Damaged Tissue Is Orchestrated by Connexins and Cooperative Calcium Alarm Signals","author":[{"family":"Poplimont","given":"Hugo"},{"family":"Georgantzoglou","given":"Antonios"},{"family":"Boulch","given":"Morgane"},{"family":"Walker","given":"Hazel A."},{"family":"Coombs","given":"Caroline"},{"family":"Papaleonidopoulou","given":"Foteini"},{"family":"Sarris","given":"Milka"}],"issued":{"date-parts":[["2020",6]]}}}],"schema":"https://github.com/citation-style-language/schema/raw/master/csl-citation.json"} </w:instrText>
      </w:r>
      <w:r w:rsidR="003D0FBF" w:rsidRPr="00CD42FA">
        <w:rPr>
          <w:rFonts w:ascii="Calibri" w:hAnsi="Calibri" w:cs="Calibri"/>
          <w:lang w:val="en-US"/>
        </w:rPr>
        <w:fldChar w:fldCharType="separate"/>
      </w:r>
      <w:r w:rsidR="0002471A" w:rsidRPr="00CD42FA">
        <w:rPr>
          <w:rFonts w:ascii="Calibri" w:hAnsi="Calibri" w:cs="Calibri"/>
          <w:vertAlign w:val="superscript"/>
          <w:lang w:val="en-US"/>
        </w:rPr>
        <w:t>14,25–27</w:t>
      </w:r>
      <w:r w:rsidR="003D0FBF" w:rsidRPr="00CD42FA">
        <w:rPr>
          <w:rFonts w:ascii="Calibri" w:hAnsi="Calibri" w:cs="Calibri"/>
          <w:lang w:val="en-US"/>
        </w:rPr>
        <w:fldChar w:fldCharType="end"/>
      </w:r>
      <w:r w:rsidR="00FD087C" w:rsidRPr="00CD42FA">
        <w:rPr>
          <w:rFonts w:ascii="Calibri" w:hAnsi="Calibri" w:cs="Calibri"/>
          <w:lang w:val="en-US"/>
        </w:rPr>
        <w:t xml:space="preserve">. In addition, transgenic rescue lines, in which the endogenous receptor is suppressed and rescued by an exogenous mutant receptor, could provide useful </w:t>
      </w:r>
      <w:r w:rsidR="00135D59" w:rsidRPr="00CD42FA">
        <w:rPr>
          <w:rFonts w:ascii="Calibri" w:hAnsi="Calibri" w:cs="Calibri"/>
          <w:lang w:val="en-US"/>
        </w:rPr>
        <w:t xml:space="preserve">tools to dissect the importance of specific neutrophil </w:t>
      </w:r>
      <w:r w:rsidR="00543077" w:rsidRPr="00CD42FA">
        <w:rPr>
          <w:rFonts w:ascii="Calibri" w:hAnsi="Calibri" w:cs="Calibri"/>
          <w:lang w:val="en-US"/>
        </w:rPr>
        <w:t>migration</w:t>
      </w:r>
      <w:r w:rsidR="00135D59" w:rsidRPr="00CD42FA">
        <w:rPr>
          <w:rFonts w:ascii="Calibri" w:hAnsi="Calibri" w:cs="Calibri"/>
          <w:lang w:val="en-US"/>
        </w:rPr>
        <w:t xml:space="preserve"> patterns in</w:t>
      </w:r>
      <w:r w:rsidR="00770816" w:rsidRPr="00CD42FA">
        <w:rPr>
          <w:rFonts w:ascii="Calibri" w:hAnsi="Calibri" w:cs="Calibri"/>
          <w:lang w:val="en-US"/>
        </w:rPr>
        <w:t xml:space="preserve"> immune responses</w:t>
      </w:r>
      <w:r w:rsidR="00135D59" w:rsidRPr="00CD42FA">
        <w:rPr>
          <w:rFonts w:ascii="Calibri" w:hAnsi="Calibri" w:cs="Calibri"/>
          <w:lang w:val="en-US"/>
        </w:rPr>
        <w:t xml:space="preserve">. For example, </w:t>
      </w:r>
      <w:r w:rsidR="00D7452B" w:rsidRPr="00CD42FA">
        <w:rPr>
          <w:rFonts w:ascii="Calibri" w:hAnsi="Calibri" w:cs="Calibri"/>
          <w:lang w:val="en-US"/>
        </w:rPr>
        <w:t xml:space="preserve">Cxcr1 receptor mutants </w:t>
      </w:r>
      <w:r w:rsidR="00135D59" w:rsidRPr="00CD42FA">
        <w:rPr>
          <w:rFonts w:ascii="Calibri" w:hAnsi="Calibri" w:cs="Calibri"/>
          <w:lang w:val="en-US"/>
        </w:rPr>
        <w:t xml:space="preserve">that </w:t>
      </w:r>
      <w:r w:rsidR="00D7452B" w:rsidRPr="00CD42FA">
        <w:rPr>
          <w:rFonts w:ascii="Calibri" w:hAnsi="Calibri" w:cs="Calibri"/>
          <w:lang w:val="en-US"/>
        </w:rPr>
        <w:t>have impaired</w:t>
      </w:r>
      <w:r w:rsidR="00135D59" w:rsidRPr="00CD42FA">
        <w:rPr>
          <w:rFonts w:ascii="Calibri" w:hAnsi="Calibri" w:cs="Calibri"/>
          <w:lang w:val="en-US"/>
        </w:rPr>
        <w:t xml:space="preserve"> </w:t>
      </w:r>
      <w:r w:rsidR="00627BC7" w:rsidRPr="00CD42FA">
        <w:rPr>
          <w:rFonts w:ascii="Calibri" w:hAnsi="Calibri" w:cs="Calibri"/>
          <w:lang w:val="en-US"/>
        </w:rPr>
        <w:t>desensiti</w:t>
      </w:r>
      <w:r w:rsidR="00967CA3" w:rsidRPr="00CD42FA">
        <w:rPr>
          <w:rFonts w:ascii="Calibri" w:hAnsi="Calibri" w:cs="Calibri"/>
          <w:lang w:val="en-US"/>
        </w:rPr>
        <w:t>z</w:t>
      </w:r>
      <w:r w:rsidR="00D7452B" w:rsidRPr="00CD42FA">
        <w:rPr>
          <w:rFonts w:ascii="Calibri" w:hAnsi="Calibri" w:cs="Calibri"/>
          <w:lang w:val="en-US"/>
        </w:rPr>
        <w:t>ation</w:t>
      </w:r>
      <w:r w:rsidR="00627BC7" w:rsidRPr="00CD42FA">
        <w:rPr>
          <w:rFonts w:ascii="Calibri" w:hAnsi="Calibri" w:cs="Calibri"/>
          <w:lang w:val="en-US"/>
        </w:rPr>
        <w:t xml:space="preserve"> </w:t>
      </w:r>
      <w:r w:rsidR="00D7452B" w:rsidRPr="00CD42FA">
        <w:rPr>
          <w:rFonts w:ascii="Calibri" w:hAnsi="Calibri" w:cs="Calibri"/>
          <w:lang w:val="en-US"/>
        </w:rPr>
        <w:t>cause</w:t>
      </w:r>
      <w:r w:rsidR="00135D59" w:rsidRPr="00CD42FA">
        <w:rPr>
          <w:rFonts w:ascii="Calibri" w:hAnsi="Calibri" w:cs="Calibri"/>
          <w:lang w:val="en-US"/>
        </w:rPr>
        <w:t xml:space="preserve"> </w:t>
      </w:r>
      <w:r w:rsidR="00627BC7" w:rsidRPr="00CD42FA">
        <w:rPr>
          <w:rFonts w:ascii="Calibri" w:hAnsi="Calibri" w:cs="Calibri"/>
          <w:lang w:val="en-US"/>
        </w:rPr>
        <w:t>more prominent</w:t>
      </w:r>
      <w:r w:rsidR="00DC5F7F" w:rsidRPr="00CD42FA">
        <w:rPr>
          <w:rFonts w:ascii="Calibri" w:hAnsi="Calibri" w:cs="Calibri"/>
          <w:lang w:val="en-US"/>
        </w:rPr>
        <w:t xml:space="preserve"> neutrophil</w:t>
      </w:r>
      <w:r w:rsidR="00627BC7" w:rsidRPr="00CD42FA">
        <w:rPr>
          <w:rFonts w:ascii="Calibri" w:hAnsi="Calibri" w:cs="Calibri"/>
          <w:lang w:val="en-US"/>
        </w:rPr>
        <w:t xml:space="preserve"> clustering</w:t>
      </w:r>
      <w:r w:rsidR="00135D59" w:rsidRPr="00CD42FA">
        <w:rPr>
          <w:rFonts w:ascii="Calibri" w:hAnsi="Calibri" w:cs="Calibri"/>
          <w:lang w:val="en-US"/>
        </w:rPr>
        <w:t xml:space="preserve"> at inflammatory sites</w:t>
      </w:r>
      <w:r w:rsidR="00E6356E" w:rsidRPr="00CD42FA">
        <w:rPr>
          <w:rFonts w:ascii="Calibri" w:hAnsi="Calibri" w:cs="Calibri"/>
          <w:lang w:val="en-US"/>
        </w:rPr>
        <w:fldChar w:fldCharType="begin"/>
      </w:r>
      <w:r w:rsidR="0002471A" w:rsidRPr="00CD42FA">
        <w:rPr>
          <w:rFonts w:ascii="Calibri" w:hAnsi="Calibri" w:cs="Calibri"/>
          <w:lang w:val="en-US"/>
        </w:rPr>
        <w:instrText xml:space="preserve"> ADDIN ZOTERO_ITEM CSL_CITATION {"citationID":"UMIcG7l1","properties":{"formattedCitation":"\\super 14\\nosupersub{}","plainCitation":"14","noteIndex":0},"citationItems":[{"id":711,"uris":["http://zotero.org/users/5010385/items/22KQ8LRX"],"uri":["http://zotero.org/users/5010385/items/22KQ8LRX"],"itemData":{"id":711,"type":"article-journal","abstract":"Immune cells congregate at specific loci to fight infections during inflammatory responses, a process that must be transient and self-resolving. Cell dispersal promotes resolution, but it remains unclear how transition from clustering to dispersal is regulated. Here we show, using quantitative live imaging in zebrafish, that differential ligand-induced trafficking of chemokine receptors such as Cxcr1 and Cxcr2 orchestrates the state of neutrophil congregation at sites of tissue damage. Through receptor mutagenesis and biosensors, we show that Cxcr1 promotes clustering at wound sites, but is promptly desensitized and internalized, which prevents excess congregation. By contrast, Cxcr2 promotes bidirectional motility and is sustained at the plasma membrane. Persistent plasma membrane residence of Cxcr2 prolongs downstream signaling and is required for sustained exploratory motion conducive to dispersal. Thus, differential trafficking of two chemokine receptors allows coordination of antagonistic cell behaviors, promoting a self-resolving migratory response.","container-title":"Nature Communications","DOI":"10.1038/s41467-019-13107-3","ISSN":"2041-1723","issue":"1","journalAbbreviation":"Nat Commun","language":"eng","note":"PMID: 31727891\nPMCID: PMC6856356","page":"5166","source":"PubMed","title":"Chemokine receptor trafficking coordinates neutrophil clustering and dispersal at wounds in zebrafish","volume":"10","author":[{"family":"Coombs","given":"Caroline"},{"family":"Georgantzoglou","given":"Antonios"},{"family":"Walker","given":"Hazel A."},{"family":"Patt","given":"Julian"},{"family":"Merten","given":"Nicole"},{"family":"Poplimont","given":"Hugo"},{"family":"Busch-Nentwich","given":"Elisabeth M."},{"family":"Williams","given":"Sarah"},{"family":"Kotsi","given":"Christina"},{"family":"Kostenis","given":"Evi"},{"family":"Sarris","given":"Milka"}],"issued":{"date-parts":[["2019",11,14]]}}}],"schema":"https://github.com/citation-style-language/schema/raw/master/csl-citation.json"} </w:instrText>
      </w:r>
      <w:r w:rsidR="00E6356E" w:rsidRPr="00CD42FA">
        <w:rPr>
          <w:rFonts w:ascii="Calibri" w:hAnsi="Calibri" w:cs="Calibri"/>
          <w:lang w:val="en-US"/>
        </w:rPr>
        <w:fldChar w:fldCharType="separate"/>
      </w:r>
      <w:r w:rsidR="000D4262" w:rsidRPr="00CD42FA">
        <w:rPr>
          <w:rFonts w:ascii="Calibri" w:hAnsi="Calibri" w:cs="Calibri"/>
          <w:vertAlign w:val="superscript"/>
          <w:lang w:val="en-US"/>
        </w:rPr>
        <w:t>14</w:t>
      </w:r>
      <w:r w:rsidR="00E6356E" w:rsidRPr="00CD42FA">
        <w:rPr>
          <w:rFonts w:ascii="Calibri" w:hAnsi="Calibri" w:cs="Calibri"/>
          <w:lang w:val="en-US"/>
        </w:rPr>
        <w:fldChar w:fldCharType="end"/>
      </w:r>
      <w:r w:rsidR="00D7452B" w:rsidRPr="00CD42FA">
        <w:rPr>
          <w:rFonts w:ascii="Calibri" w:hAnsi="Calibri" w:cs="Calibri"/>
          <w:lang w:val="en-US"/>
        </w:rPr>
        <w:t>.</w:t>
      </w:r>
      <w:r w:rsidR="00135D59" w:rsidRPr="00CD42FA">
        <w:rPr>
          <w:rFonts w:ascii="Calibri" w:hAnsi="Calibri" w:cs="Calibri"/>
          <w:lang w:val="en-US"/>
        </w:rPr>
        <w:t xml:space="preserve"> </w:t>
      </w:r>
      <w:r w:rsidR="00D7452B" w:rsidRPr="00CD42FA">
        <w:rPr>
          <w:rFonts w:ascii="Calibri" w:hAnsi="Calibri" w:cs="Calibri"/>
          <w:lang w:val="en-US"/>
        </w:rPr>
        <w:t>This</w:t>
      </w:r>
      <w:r w:rsidR="00627BC7" w:rsidRPr="00CD42FA">
        <w:rPr>
          <w:rFonts w:ascii="Calibri" w:hAnsi="Calibri" w:cs="Calibri"/>
          <w:lang w:val="en-US"/>
        </w:rPr>
        <w:t xml:space="preserve"> </w:t>
      </w:r>
      <w:r w:rsidR="00D7452B" w:rsidRPr="00CD42FA">
        <w:rPr>
          <w:rFonts w:ascii="Calibri" w:hAnsi="Calibri" w:cs="Calibri"/>
          <w:lang w:val="en-US"/>
        </w:rPr>
        <w:t xml:space="preserve">gain of function phenotype </w:t>
      </w:r>
      <w:r w:rsidR="00135D59" w:rsidRPr="00CD42FA">
        <w:rPr>
          <w:rFonts w:ascii="Calibri" w:hAnsi="Calibri" w:cs="Calibri"/>
          <w:lang w:val="en-US"/>
        </w:rPr>
        <w:t xml:space="preserve">could be used to </w:t>
      </w:r>
      <w:r w:rsidR="00242F6E" w:rsidRPr="00CD42FA">
        <w:rPr>
          <w:rFonts w:ascii="Calibri" w:hAnsi="Calibri" w:cs="Calibri"/>
          <w:lang w:val="en-US"/>
        </w:rPr>
        <w:t xml:space="preserve">understand the role of </w:t>
      </w:r>
      <w:r w:rsidR="00D72220" w:rsidRPr="00CD42FA">
        <w:rPr>
          <w:rFonts w:ascii="Calibri" w:hAnsi="Calibri" w:cs="Calibri"/>
          <w:lang w:val="en-US"/>
        </w:rPr>
        <w:t>neutrophil</w:t>
      </w:r>
      <w:r w:rsidR="00A4797B" w:rsidRPr="00CD42FA">
        <w:rPr>
          <w:rFonts w:ascii="Calibri" w:hAnsi="Calibri" w:cs="Calibri"/>
          <w:lang w:val="en-US"/>
        </w:rPr>
        <w:t xml:space="preserve"> congregation</w:t>
      </w:r>
      <w:r w:rsidR="00135D59" w:rsidRPr="00CD42FA">
        <w:rPr>
          <w:rFonts w:ascii="Calibri" w:hAnsi="Calibri" w:cs="Calibri"/>
          <w:lang w:val="en-US"/>
        </w:rPr>
        <w:t xml:space="preserve"> in </w:t>
      </w:r>
      <w:r w:rsidR="00547886" w:rsidRPr="00CD42FA">
        <w:rPr>
          <w:rFonts w:ascii="Calibri" w:hAnsi="Calibri" w:cs="Calibri"/>
          <w:lang w:val="en-US"/>
        </w:rPr>
        <w:t xml:space="preserve">different </w:t>
      </w:r>
      <w:r w:rsidR="00135D59" w:rsidRPr="00CD42FA">
        <w:rPr>
          <w:rFonts w:ascii="Calibri" w:hAnsi="Calibri" w:cs="Calibri"/>
          <w:lang w:val="en-US"/>
        </w:rPr>
        <w:t xml:space="preserve">physiological </w:t>
      </w:r>
      <w:r w:rsidR="00D72220" w:rsidRPr="00CD42FA">
        <w:rPr>
          <w:rFonts w:ascii="Calibri" w:hAnsi="Calibri" w:cs="Calibri"/>
          <w:lang w:val="en-US"/>
        </w:rPr>
        <w:t>process</w:t>
      </w:r>
      <w:r w:rsidR="00547886" w:rsidRPr="00CD42FA">
        <w:rPr>
          <w:rFonts w:ascii="Calibri" w:hAnsi="Calibri" w:cs="Calibri"/>
          <w:lang w:val="en-US"/>
        </w:rPr>
        <w:t>es</w:t>
      </w:r>
      <w:r w:rsidR="00135D59" w:rsidRPr="00CD42FA">
        <w:rPr>
          <w:rFonts w:ascii="Calibri" w:hAnsi="Calibri" w:cs="Calibri"/>
          <w:lang w:val="en-US"/>
        </w:rPr>
        <w:t>, e.g.</w:t>
      </w:r>
      <w:r w:rsidR="00735994" w:rsidRPr="00CD42FA">
        <w:rPr>
          <w:rFonts w:ascii="Calibri" w:hAnsi="Calibri" w:cs="Calibri"/>
          <w:lang w:val="en-US"/>
        </w:rPr>
        <w:t>,</w:t>
      </w:r>
      <w:r w:rsidR="00135D59" w:rsidRPr="00CD42FA">
        <w:rPr>
          <w:rFonts w:ascii="Calibri" w:hAnsi="Calibri" w:cs="Calibri"/>
          <w:lang w:val="en-US"/>
        </w:rPr>
        <w:t xml:space="preserve"> </w:t>
      </w:r>
      <w:r w:rsidR="007D1FAD" w:rsidRPr="00CD42FA">
        <w:rPr>
          <w:rFonts w:ascii="Calibri" w:hAnsi="Calibri" w:cs="Calibri"/>
          <w:lang w:val="en-US"/>
        </w:rPr>
        <w:t>wound repair</w:t>
      </w:r>
      <w:r w:rsidR="00135D59" w:rsidRPr="00CD42FA">
        <w:rPr>
          <w:rFonts w:ascii="Calibri" w:hAnsi="Calibri" w:cs="Calibri"/>
          <w:lang w:val="en-US"/>
        </w:rPr>
        <w:t>, infecti</w:t>
      </w:r>
      <w:r w:rsidR="00D72220" w:rsidRPr="00CD42FA">
        <w:rPr>
          <w:rFonts w:ascii="Calibri" w:hAnsi="Calibri" w:cs="Calibri"/>
          <w:lang w:val="en-US"/>
        </w:rPr>
        <w:t>ous disease</w:t>
      </w:r>
      <w:r w:rsidR="00735994" w:rsidRPr="00CD42FA">
        <w:rPr>
          <w:rFonts w:ascii="Calibri" w:hAnsi="Calibri" w:cs="Calibri"/>
          <w:lang w:val="en-US"/>
        </w:rPr>
        <w:t xml:space="preserve">, </w:t>
      </w:r>
      <w:r w:rsidR="00135D59" w:rsidRPr="00CD42FA">
        <w:rPr>
          <w:rFonts w:ascii="Calibri" w:hAnsi="Calibri" w:cs="Calibri"/>
          <w:lang w:val="en-US"/>
        </w:rPr>
        <w:t>or tumor evolution</w:t>
      </w:r>
      <w:r w:rsidR="00D7452B" w:rsidRPr="00CD42FA">
        <w:rPr>
          <w:rFonts w:ascii="Calibri" w:hAnsi="Calibri" w:cs="Calibri"/>
          <w:lang w:val="en-US"/>
        </w:rPr>
        <w:t xml:space="preserve">, and </w:t>
      </w:r>
      <w:r w:rsidR="00627BC7" w:rsidRPr="00CD42FA">
        <w:rPr>
          <w:rFonts w:ascii="Calibri" w:hAnsi="Calibri" w:cs="Calibri"/>
          <w:lang w:val="en-US"/>
        </w:rPr>
        <w:t xml:space="preserve">complement </w:t>
      </w:r>
      <w:r w:rsidR="00D7452B" w:rsidRPr="00CD42FA">
        <w:rPr>
          <w:rFonts w:ascii="Calibri" w:hAnsi="Calibri" w:cs="Calibri"/>
          <w:lang w:val="en-US"/>
        </w:rPr>
        <w:t xml:space="preserve">receptor </w:t>
      </w:r>
      <w:r w:rsidR="00627BC7" w:rsidRPr="00CD42FA">
        <w:rPr>
          <w:rFonts w:ascii="Calibri" w:hAnsi="Calibri" w:cs="Calibri"/>
          <w:lang w:val="en-US"/>
        </w:rPr>
        <w:t xml:space="preserve">knockdown/knockout </w:t>
      </w:r>
      <w:r w:rsidR="00D7452B" w:rsidRPr="00CD42FA">
        <w:rPr>
          <w:rFonts w:ascii="Calibri" w:hAnsi="Calibri" w:cs="Calibri"/>
          <w:lang w:val="en-US"/>
        </w:rPr>
        <w:t>experiments</w:t>
      </w:r>
      <w:r w:rsidR="00627BC7" w:rsidRPr="00CD42FA">
        <w:rPr>
          <w:rFonts w:ascii="Calibri" w:hAnsi="Calibri" w:cs="Calibri"/>
          <w:lang w:val="en-US"/>
        </w:rPr>
        <w:t xml:space="preserve">. </w:t>
      </w:r>
      <w:r w:rsidR="00135D59" w:rsidRPr="00CD42FA">
        <w:rPr>
          <w:rFonts w:ascii="Calibri" w:hAnsi="Calibri" w:cs="Calibri"/>
          <w:lang w:val="en-US"/>
        </w:rPr>
        <w:t xml:space="preserve">The methodology also provides a basis to expand the range of available reporters. The </w:t>
      </w:r>
      <w:r w:rsidRPr="00CD42FA">
        <w:rPr>
          <w:rFonts w:ascii="Calibri" w:hAnsi="Calibri" w:cs="Calibri"/>
          <w:lang w:val="en-US"/>
        </w:rPr>
        <w:t xml:space="preserve">choice of fluorescent </w:t>
      </w:r>
      <w:r w:rsidR="00FD087C" w:rsidRPr="00CD42FA">
        <w:rPr>
          <w:rFonts w:ascii="Calibri" w:hAnsi="Calibri" w:cs="Calibri"/>
          <w:lang w:val="en-US"/>
        </w:rPr>
        <w:t xml:space="preserve">reporter </w:t>
      </w:r>
      <w:r w:rsidRPr="00CD42FA">
        <w:rPr>
          <w:rFonts w:ascii="Calibri" w:hAnsi="Calibri" w:cs="Calibri"/>
          <w:lang w:val="en-US"/>
        </w:rPr>
        <w:t xml:space="preserve">is important </w:t>
      </w:r>
      <w:r w:rsidR="00242F6E" w:rsidRPr="00CD42FA">
        <w:rPr>
          <w:rFonts w:ascii="Calibri" w:hAnsi="Calibri" w:cs="Calibri"/>
          <w:lang w:val="en-US"/>
        </w:rPr>
        <w:t xml:space="preserve">to consider and depends on the </w:t>
      </w:r>
      <w:r w:rsidR="00770816" w:rsidRPr="00CD42FA">
        <w:rPr>
          <w:rFonts w:ascii="Calibri" w:hAnsi="Calibri" w:cs="Calibri"/>
          <w:lang w:val="en-US"/>
        </w:rPr>
        <w:t>biological</w:t>
      </w:r>
      <w:r w:rsidR="00242F6E" w:rsidRPr="00CD42FA">
        <w:rPr>
          <w:rFonts w:ascii="Calibri" w:hAnsi="Calibri" w:cs="Calibri"/>
          <w:lang w:val="en-US"/>
        </w:rPr>
        <w:t xml:space="preserve"> question</w:t>
      </w:r>
      <w:r w:rsidRPr="00CD42FA">
        <w:rPr>
          <w:rFonts w:ascii="Calibri" w:hAnsi="Calibri" w:cs="Calibri"/>
          <w:lang w:val="en-US"/>
        </w:rPr>
        <w:t>. We found that the constitutive turnover of these chemokine receptors in neutrophils was high</w:t>
      </w:r>
      <w:r w:rsidR="000467F2" w:rsidRPr="00CD42FA">
        <w:rPr>
          <w:rFonts w:ascii="Calibri" w:hAnsi="Calibri" w:cs="Calibri"/>
          <w:lang w:val="en-US"/>
        </w:rPr>
        <w:t>, in comparison to epithelial cells,</w:t>
      </w:r>
      <w:r w:rsidR="00A6519C" w:rsidRPr="00CD42FA">
        <w:rPr>
          <w:rFonts w:ascii="Calibri" w:hAnsi="Calibri" w:cs="Calibri"/>
          <w:lang w:val="en-US"/>
        </w:rPr>
        <w:t xml:space="preserve"> and that reporters with fast maturation (e.g.</w:t>
      </w:r>
      <w:r w:rsidR="00735994" w:rsidRPr="00CD42FA">
        <w:rPr>
          <w:rFonts w:ascii="Calibri" w:hAnsi="Calibri" w:cs="Calibri"/>
          <w:lang w:val="en-US"/>
        </w:rPr>
        <w:t>,</w:t>
      </w:r>
      <w:r w:rsidR="00A6519C" w:rsidRPr="00CD42FA">
        <w:rPr>
          <w:rFonts w:ascii="Calibri" w:hAnsi="Calibri" w:cs="Calibri"/>
          <w:lang w:val="en-US"/>
        </w:rPr>
        <w:t xml:space="preserve"> sfGFP) were required to report membrane levels at steady state</w:t>
      </w:r>
      <w:r w:rsidR="00135D59" w:rsidRPr="00CD42FA">
        <w:rPr>
          <w:rFonts w:ascii="Calibri" w:hAnsi="Calibri" w:cs="Calibri"/>
          <w:lang w:val="en-US"/>
        </w:rPr>
        <w:t xml:space="preserve"> and resolve differences upon neutrophil stimulation</w:t>
      </w:r>
      <w:r w:rsidR="003D0FBF" w:rsidRPr="00CD42FA">
        <w:rPr>
          <w:rFonts w:ascii="Calibri" w:hAnsi="Calibri" w:cs="Calibri"/>
          <w:lang w:val="en-US"/>
        </w:rPr>
        <w:fldChar w:fldCharType="begin"/>
      </w:r>
      <w:r w:rsidR="0002471A" w:rsidRPr="00CD42FA">
        <w:rPr>
          <w:rFonts w:ascii="Calibri" w:hAnsi="Calibri" w:cs="Calibri"/>
          <w:lang w:val="en-US"/>
        </w:rPr>
        <w:instrText xml:space="preserve"> ADDIN ZOTERO_ITEM CSL_CITATION {"citationID":"PLiWZTAB","properties":{"formattedCitation":"\\super 8, 14\\nosupersub{}","plainCitation":"8, 14","noteIndex":0},"citationItems":[{"id":232,"uris":["http://zotero.org/users/5010385/items/GK9EJ8K3"],"uri":["http://zotero.org/users/5010385/items/GK9EJ8K3"],"itemData":{"id":232,"type":"article-journal","abstract":"The directed migration of cell collectives is a driving force of embryogenesis. The predominant view in the field is that cells in embryos navigate along pre-patterned chemoattractant gradients. One hypothetical way to free migrating collectives from the requirement of long-range gradients would be through the self-generation of local gradients that travel with them, a strategy that potentially allows self-determined directionality. However, a lack of tools for the visualization of endogenous guidance cues has prevented the demonstration of such self-generated gradients in vivo. Here we define the in vivo dynamics of one key guidance molecule, the chemokine Cxcl12a, by applying a fluorescent timer approach to measure ligand-triggered receptor turnover in living animals. Using the zebrafish lateral line primordium as a model, we show that migrating cell collectives can self-generate gradients of chemokine activity across their length via polarized receptor-mediated internalization. Finally, by engineering an external source of the atypical receptor Cxcr7 that moves with the primordium, we show that a self-generated gradient mechanism is sufficient to direct robust collective migration. This study thus provides, to our knowledge, the first in vivo proof for self-directed tissue migration through local shaping of an extracellular cue and provides a framework for investigating self-directed migration in many other contexts including cancer invasion.","container-title":"Nature","DOI":"10.1038/nature12635","ISSN":"1476-4687","issue":"7475","journalAbbreviation":"Nature","language":"eng","note":"PMID: 24067609","page":"285-289","source":"PubMed","title":"Directional tissue migration through a self-generated chemokine gradient","volume":"503","author":[{"family":"Donà","given":"Erika"},{"family":"Barry","given":"Joseph D."},{"family":"Valentin","given":"Guillaume"},{"family":"Quirin","given":"Charlotte"},{"family":"Khmelinskii","given":"Anton"},{"family":"Kunze","given":"Andreas"},{"family":"Durdu","given":"Sevi"},{"family":"Newton","given":"Lionel R."},{"family":"Fernandez-Minan","given":"Ana"},{"family":"Huber","given":"Wolfgang"},{"family":"Knop","given":"Michael"},{"family":"Gilmour","given":"Darren"}],"issued":{"date-parts":[["2013",11,14]]}}},{"id":711,"uris":["http://zotero.org/users/5010385/items/22KQ8LRX"],"uri":["http://zotero.org/users/5010385/items/22KQ8LRX"],"itemData":{"id":711,"type":"article-journal","abstract":"Immune cells congregate at specific loci to fight infections during inflammatory responses, a process that must be transient and self-resolving. Cell dispersal promotes resolution, but it remains unclear how transition from clustering to dispersal is regulated. Here we show, using quantitative live imaging in zebrafish, that differential ligand-induced trafficking of chemokine receptors such as Cxcr1 and Cxcr2 orchestrates the state of neutrophil congregation at sites of tissue damage. Through receptor mutagenesis and biosensors, we show that Cxcr1 promotes clustering at wound sites, but is promptly desensitized and internalized, which prevents excess congregation. By contrast, Cxcr2 promotes bidirectional motility and is sustained at the plasma membrane. Persistent plasma membrane residence of Cxcr2 prolongs downstream signaling and is required for sustained exploratory motion conducive to dispersal. Thus, differential trafficking of two chemokine receptors allows coordination of antagonistic cell behaviors, promoting a self-resolving migratory response.","container-title":"Nature Communications","DOI":"10.1038/s41467-019-13107-3","ISSN":"2041-1723","issue":"1","journalAbbreviation":"Nat Commun","language":"eng","note":"PMID: 31727891\nPMCID: PMC6856356","page":"5166","source":"PubMed","title":"Chemokine receptor trafficking coordinates neutrophil clustering and dispersal at wounds in zebrafish","volume":"10","author":[{"family":"Coombs","given":"Caroline"},{"family":"Georgantzoglou","given":"Antonios"},{"family":"Walker","given":"Hazel A."},{"family":"Patt","given":"Julian"},{"family":"Merten","given":"Nicole"},{"family":"Poplimont","given":"Hugo"},{"family":"Busch-Nentwich","given":"Elisabeth M."},{"family":"Williams","given":"Sarah"},{"family":"Kotsi","given":"Christina"},{"family":"Kostenis","given":"Evi"},{"family":"Sarris","given":"Milka"}],"issued":{"date-parts":[["2019",11,14]]}}}],"schema":"https://github.com/citation-style-language/schema/raw/master/csl-citation.json"} </w:instrText>
      </w:r>
      <w:r w:rsidR="003D0FBF" w:rsidRPr="00CD42FA">
        <w:rPr>
          <w:rFonts w:ascii="Calibri" w:hAnsi="Calibri" w:cs="Calibri"/>
          <w:lang w:val="en-US"/>
        </w:rPr>
        <w:fldChar w:fldCharType="separate"/>
      </w:r>
      <w:r w:rsidR="000D4262" w:rsidRPr="00CD42FA">
        <w:rPr>
          <w:rFonts w:ascii="Calibri" w:hAnsi="Calibri" w:cs="Calibri"/>
          <w:vertAlign w:val="superscript"/>
          <w:lang w:val="en-US"/>
        </w:rPr>
        <w:t>8,14</w:t>
      </w:r>
      <w:r w:rsidR="003D0FBF" w:rsidRPr="00CD42FA">
        <w:rPr>
          <w:rFonts w:ascii="Calibri" w:hAnsi="Calibri" w:cs="Calibri"/>
          <w:lang w:val="en-US"/>
        </w:rPr>
        <w:fldChar w:fldCharType="end"/>
      </w:r>
      <w:r w:rsidR="00A6519C" w:rsidRPr="00CD42FA">
        <w:rPr>
          <w:rFonts w:ascii="Calibri" w:hAnsi="Calibri" w:cs="Calibri"/>
          <w:lang w:val="en-US"/>
        </w:rPr>
        <w:t xml:space="preserve">. </w:t>
      </w:r>
      <w:r w:rsidR="000467F2" w:rsidRPr="00CD42FA">
        <w:rPr>
          <w:rFonts w:ascii="Calibri" w:hAnsi="Calibri" w:cs="Calibri"/>
          <w:lang w:val="en-US"/>
        </w:rPr>
        <w:t xml:space="preserve">Thus, </w:t>
      </w:r>
      <w:r w:rsidR="00134C85" w:rsidRPr="00CD42FA">
        <w:rPr>
          <w:rFonts w:ascii="Calibri" w:hAnsi="Calibri" w:cs="Calibri"/>
          <w:lang w:val="en-US"/>
        </w:rPr>
        <w:t xml:space="preserve">membrane </w:t>
      </w:r>
      <w:r w:rsidR="000467F2" w:rsidRPr="00CD42FA">
        <w:rPr>
          <w:rFonts w:ascii="Calibri" w:hAnsi="Calibri" w:cs="Calibri"/>
          <w:lang w:val="en-US"/>
        </w:rPr>
        <w:t xml:space="preserve">ratios of sfGFP/tagRFP </w:t>
      </w:r>
      <w:r w:rsidR="00547886" w:rsidRPr="00CD42FA">
        <w:rPr>
          <w:rFonts w:ascii="Calibri" w:hAnsi="Calibri" w:cs="Calibri"/>
          <w:lang w:val="en-US"/>
        </w:rPr>
        <w:t xml:space="preserve">are </w:t>
      </w:r>
      <w:r w:rsidR="00135D59" w:rsidRPr="00CD42FA">
        <w:rPr>
          <w:rFonts w:ascii="Calibri" w:hAnsi="Calibri" w:cs="Calibri"/>
          <w:lang w:val="en-US"/>
        </w:rPr>
        <w:t>not applicable</w:t>
      </w:r>
      <w:r w:rsidR="00242F6E" w:rsidRPr="00CD42FA">
        <w:rPr>
          <w:rFonts w:ascii="Calibri" w:hAnsi="Calibri" w:cs="Calibri"/>
          <w:lang w:val="en-US"/>
        </w:rPr>
        <w:t xml:space="preserve"> for measuring ligand-induced internali</w:t>
      </w:r>
      <w:r w:rsidR="00967CA3" w:rsidRPr="00CD42FA">
        <w:rPr>
          <w:rFonts w:ascii="Calibri" w:hAnsi="Calibri" w:cs="Calibri"/>
          <w:lang w:val="en-US"/>
        </w:rPr>
        <w:t>z</w:t>
      </w:r>
      <w:r w:rsidR="00242F6E" w:rsidRPr="00CD42FA">
        <w:rPr>
          <w:rFonts w:ascii="Calibri" w:hAnsi="Calibri" w:cs="Calibri"/>
          <w:lang w:val="en-US"/>
        </w:rPr>
        <w:t>ation</w:t>
      </w:r>
      <w:r w:rsidR="00135D59" w:rsidRPr="00CD42FA">
        <w:rPr>
          <w:rFonts w:ascii="Calibri" w:hAnsi="Calibri" w:cs="Calibri"/>
          <w:lang w:val="en-US"/>
        </w:rPr>
        <w:t xml:space="preserve"> in this cell type, </w:t>
      </w:r>
      <w:r w:rsidR="00242F6E" w:rsidRPr="00CD42FA">
        <w:rPr>
          <w:rFonts w:ascii="Calibri" w:hAnsi="Calibri" w:cs="Calibri"/>
          <w:lang w:val="en-US"/>
        </w:rPr>
        <w:t>but</w:t>
      </w:r>
      <w:r w:rsidR="00135D59" w:rsidRPr="00CD42FA">
        <w:rPr>
          <w:rFonts w:ascii="Calibri" w:hAnsi="Calibri" w:cs="Calibri"/>
          <w:lang w:val="en-US"/>
        </w:rPr>
        <w:t xml:space="preserve"> </w:t>
      </w:r>
      <w:r w:rsidR="00D46453" w:rsidRPr="00CD42FA">
        <w:rPr>
          <w:rFonts w:ascii="Calibri" w:hAnsi="Calibri" w:cs="Calibri"/>
          <w:lang w:val="en-US"/>
        </w:rPr>
        <w:t xml:space="preserve">the pattern of tagRFP </w:t>
      </w:r>
      <w:r w:rsidR="00A100BC" w:rsidRPr="00CD42FA">
        <w:rPr>
          <w:rFonts w:ascii="Calibri" w:hAnsi="Calibri" w:cs="Calibri"/>
          <w:lang w:val="en-US"/>
        </w:rPr>
        <w:t>allows tracking of</w:t>
      </w:r>
      <w:r w:rsidR="00D46453" w:rsidRPr="00CD42FA">
        <w:rPr>
          <w:rFonts w:ascii="Calibri" w:hAnsi="Calibri" w:cs="Calibri"/>
          <w:lang w:val="en-US"/>
        </w:rPr>
        <w:t xml:space="preserve"> the intracellular fates of the receptor</w:t>
      </w:r>
      <w:r w:rsidR="00A100BC" w:rsidRPr="00CD42FA">
        <w:rPr>
          <w:rFonts w:ascii="Calibri" w:hAnsi="Calibri" w:cs="Calibri"/>
          <w:lang w:val="en-US"/>
        </w:rPr>
        <w:t xml:space="preserve">, which could </w:t>
      </w:r>
      <w:r w:rsidR="00593AC3" w:rsidRPr="00CD42FA">
        <w:rPr>
          <w:rFonts w:ascii="Calibri" w:hAnsi="Calibri" w:cs="Calibri"/>
          <w:lang w:val="en-US"/>
        </w:rPr>
        <w:t xml:space="preserve">be </w:t>
      </w:r>
      <w:r w:rsidR="00A100BC" w:rsidRPr="00CD42FA">
        <w:rPr>
          <w:rFonts w:ascii="Calibri" w:hAnsi="Calibri" w:cs="Calibri"/>
          <w:lang w:val="en-US"/>
        </w:rPr>
        <w:t>useful in some studies</w:t>
      </w:r>
      <w:r w:rsidR="00D46453" w:rsidRPr="00CD42FA">
        <w:rPr>
          <w:rFonts w:ascii="Calibri" w:hAnsi="Calibri" w:cs="Calibri"/>
          <w:lang w:val="en-US"/>
        </w:rPr>
        <w:t>. We</w:t>
      </w:r>
      <w:r w:rsidR="00242F6E" w:rsidRPr="00CD42FA">
        <w:rPr>
          <w:rFonts w:ascii="Calibri" w:hAnsi="Calibri" w:cs="Calibri"/>
          <w:lang w:val="en-US"/>
        </w:rPr>
        <w:t xml:space="preserve"> also</w:t>
      </w:r>
      <w:r w:rsidR="00D46453" w:rsidRPr="00CD42FA">
        <w:rPr>
          <w:rFonts w:ascii="Calibri" w:hAnsi="Calibri" w:cs="Calibri"/>
          <w:lang w:val="en-US"/>
        </w:rPr>
        <w:t xml:space="preserve"> found that </w:t>
      </w:r>
      <w:r w:rsidR="00135D59" w:rsidRPr="00CD42FA">
        <w:rPr>
          <w:rFonts w:ascii="Calibri" w:hAnsi="Calibri" w:cs="Calibri"/>
          <w:lang w:val="en-US"/>
        </w:rPr>
        <w:t xml:space="preserve">the </w:t>
      </w:r>
      <w:r w:rsidR="00A100BC" w:rsidRPr="00CD42FA">
        <w:rPr>
          <w:rFonts w:ascii="Calibri" w:hAnsi="Calibri" w:cs="Calibri"/>
          <w:lang w:val="en-US"/>
        </w:rPr>
        <w:t xml:space="preserve">more concentrated intracellular </w:t>
      </w:r>
      <w:r w:rsidR="00D46453" w:rsidRPr="00CD42FA">
        <w:rPr>
          <w:rFonts w:ascii="Calibri" w:hAnsi="Calibri" w:cs="Calibri"/>
          <w:lang w:val="en-US"/>
        </w:rPr>
        <w:t xml:space="preserve">signal of </w:t>
      </w:r>
      <w:r w:rsidR="00135D59" w:rsidRPr="00CD42FA">
        <w:rPr>
          <w:rFonts w:ascii="Calibri" w:hAnsi="Calibri" w:cs="Calibri"/>
          <w:lang w:val="en-US"/>
        </w:rPr>
        <w:t xml:space="preserve">tagRFP </w:t>
      </w:r>
      <w:r w:rsidR="00547886" w:rsidRPr="00CD42FA">
        <w:rPr>
          <w:rFonts w:ascii="Calibri" w:hAnsi="Calibri" w:cs="Calibri"/>
          <w:lang w:val="en-US"/>
        </w:rPr>
        <w:t xml:space="preserve">is </w:t>
      </w:r>
      <w:r w:rsidR="00135D59" w:rsidRPr="00CD42FA">
        <w:rPr>
          <w:rFonts w:ascii="Calibri" w:hAnsi="Calibri" w:cs="Calibri"/>
          <w:lang w:val="en-US"/>
        </w:rPr>
        <w:t xml:space="preserve">useful </w:t>
      </w:r>
      <w:r w:rsidR="00506230" w:rsidRPr="00CD42FA">
        <w:rPr>
          <w:rFonts w:ascii="Calibri" w:hAnsi="Calibri" w:cs="Calibri"/>
          <w:lang w:val="en-US"/>
        </w:rPr>
        <w:t xml:space="preserve">for </w:t>
      </w:r>
      <w:r w:rsidR="00135D59" w:rsidRPr="00CD42FA">
        <w:rPr>
          <w:rFonts w:ascii="Calibri" w:hAnsi="Calibri" w:cs="Calibri"/>
          <w:lang w:val="en-US"/>
        </w:rPr>
        <w:t xml:space="preserve">screening individual larvae. </w:t>
      </w:r>
      <w:r w:rsidR="00A100BC" w:rsidRPr="00CD42FA">
        <w:rPr>
          <w:rFonts w:ascii="Calibri" w:hAnsi="Calibri" w:cs="Calibri"/>
          <w:lang w:val="en-US"/>
        </w:rPr>
        <w:t>A</w:t>
      </w:r>
      <w:r w:rsidR="00134C85" w:rsidRPr="00CD42FA">
        <w:rPr>
          <w:rFonts w:ascii="Calibri" w:hAnsi="Calibri" w:cs="Calibri"/>
          <w:lang w:val="en-US"/>
        </w:rPr>
        <w:t>n</w:t>
      </w:r>
      <w:r w:rsidR="00A100BC" w:rsidRPr="00CD42FA">
        <w:rPr>
          <w:rFonts w:ascii="Calibri" w:hAnsi="Calibri" w:cs="Calibri"/>
          <w:lang w:val="en-US"/>
        </w:rPr>
        <w:t xml:space="preserve"> alternative</w:t>
      </w:r>
      <w:r w:rsidR="005A0F5D" w:rsidRPr="00CD42FA">
        <w:rPr>
          <w:rFonts w:ascii="Calibri" w:hAnsi="Calibri" w:cs="Calibri"/>
          <w:lang w:val="en-US"/>
        </w:rPr>
        <w:t xml:space="preserve"> approach</w:t>
      </w:r>
      <w:r w:rsidR="00D46453" w:rsidRPr="00CD42FA">
        <w:rPr>
          <w:rFonts w:ascii="Calibri" w:hAnsi="Calibri" w:cs="Calibri"/>
          <w:lang w:val="en-US"/>
        </w:rPr>
        <w:t xml:space="preserve"> </w:t>
      </w:r>
      <w:r w:rsidR="005A0F5D" w:rsidRPr="00CD42FA">
        <w:rPr>
          <w:rFonts w:ascii="Calibri" w:hAnsi="Calibri" w:cs="Calibri"/>
          <w:lang w:val="en-US"/>
        </w:rPr>
        <w:t xml:space="preserve">for measuring receptor levels at the plasma membrane </w:t>
      </w:r>
      <w:r w:rsidR="00D46453" w:rsidRPr="00CD42FA">
        <w:rPr>
          <w:rFonts w:ascii="Calibri" w:hAnsi="Calibri" w:cs="Calibri"/>
          <w:lang w:val="en-US"/>
        </w:rPr>
        <w:t>would be to co-express a fluorescent membrane marker in neutrophils either in the same transgene</w:t>
      </w:r>
      <w:r w:rsidR="003D0FBF" w:rsidRPr="00CD42FA">
        <w:rPr>
          <w:rFonts w:ascii="Calibri" w:hAnsi="Calibri" w:cs="Calibri"/>
          <w:lang w:val="en-US"/>
        </w:rPr>
        <w:fldChar w:fldCharType="begin"/>
      </w:r>
      <w:r w:rsidR="0002471A" w:rsidRPr="00CD42FA">
        <w:rPr>
          <w:rFonts w:ascii="Calibri" w:hAnsi="Calibri" w:cs="Calibri"/>
          <w:lang w:val="en-US"/>
        </w:rPr>
        <w:instrText xml:space="preserve"> ADDIN ZOTERO_ITEM CSL_CITATION {"citationID":"CHV2hkhA","properties":{"formattedCitation":"\\super 9\\nosupersub{}","plainCitation":"9","noteIndex":0},"citationItems":[{"id":246,"uris":["http://zotero.org/users/5010385/items/ZCR7KY8F"],"uri":["http://zotero.org/users/5010385/items/ZCR7KY8F"],"itemData":{"id":246,"type":"article-journal","abstract":"In animals, many cells reach their destinations by migrating toward higher concentrations of an attractant. However, the nature, generation, and interpretation of attractant gradients are poorly understood. Using a GFP fusion and a signaling sensor, we analyzed the distribution of the attractant chemokine Sdf1 during migration of the zebrafish posterior lateral line primordium, a cohort of about 200 cells that migrates over a stripe of cells uniformly expressing sdf1. We find that a small fraction of the total Sdf1 pool is available to signal and induces a linear Sdf1-signaling gradient across the primordium. This signaling gradient is initiated at the rear of the primordium, equilibrates across the primordium within 200 min, and operates near steady state. The rear of the primordium generates this gradient through continuous sequestration of Sdf1 protein by the alternate Sdf1-receptor Cxcr7. Modeling shows that this is a physically plausible scenario.","container-title":"Cell","DOI":"10.1016/j.cell.2013.09.046","ISSN":"1097-4172","issue":"3","journalAbbreviation":"Cell","language":"eng","note":"PMID: 24119842\nPMCID: PMC3842034","page":"674-687","source":"PubMed","title":"Generation and dynamics of an endogenous, self-generated signaling gradient across a migrating tissue","volume":"155","author":[{"family":"Venkiteswaran","given":"Gayatri"},{"family":"Lewellis","given":"Stephen W."},{"family":"Wang","given":"John"},{"family":"Reynolds","given":"Eric"},{"family":"Nicholson","given":"Charles"},{"family":"Knaut","given":"Holger"}],"issued":{"date-parts":[["2013",10,24]]}}}],"schema":"https://github.com/citation-style-language/schema/raw/master/csl-citation.json"} </w:instrText>
      </w:r>
      <w:r w:rsidR="003D0FBF" w:rsidRPr="00CD42FA">
        <w:rPr>
          <w:rFonts w:ascii="Calibri" w:hAnsi="Calibri" w:cs="Calibri"/>
          <w:lang w:val="en-US"/>
        </w:rPr>
        <w:fldChar w:fldCharType="separate"/>
      </w:r>
      <w:r w:rsidR="000D4262" w:rsidRPr="00CD42FA">
        <w:rPr>
          <w:rFonts w:ascii="Calibri" w:hAnsi="Calibri" w:cs="Calibri"/>
          <w:vertAlign w:val="superscript"/>
          <w:lang w:val="en-US"/>
        </w:rPr>
        <w:t>9</w:t>
      </w:r>
      <w:r w:rsidR="003D0FBF" w:rsidRPr="00CD42FA">
        <w:rPr>
          <w:rFonts w:ascii="Calibri" w:hAnsi="Calibri" w:cs="Calibri"/>
          <w:lang w:val="en-US"/>
        </w:rPr>
        <w:fldChar w:fldCharType="end"/>
      </w:r>
      <w:r w:rsidR="00D46453" w:rsidRPr="00CD42FA">
        <w:rPr>
          <w:rFonts w:ascii="Calibri" w:hAnsi="Calibri" w:cs="Calibri"/>
          <w:lang w:val="en-US"/>
        </w:rPr>
        <w:t xml:space="preserve"> or in an independent transgene</w:t>
      </w:r>
      <w:r w:rsidR="004A57B1" w:rsidRPr="00CD42FA">
        <w:rPr>
          <w:rFonts w:ascii="Calibri" w:hAnsi="Calibri" w:cs="Calibri"/>
          <w:vertAlign w:val="superscript"/>
          <w:lang w:val="en-US"/>
        </w:rPr>
        <w:t>14</w:t>
      </w:r>
      <w:r w:rsidR="00D46453" w:rsidRPr="00CD42FA">
        <w:rPr>
          <w:rFonts w:ascii="Calibri" w:hAnsi="Calibri" w:cs="Calibri"/>
          <w:lang w:val="en-US"/>
        </w:rPr>
        <w:t xml:space="preserve">. In the former scenario the transgene would provide an additional </w:t>
      </w:r>
      <w:r w:rsidR="00D46453" w:rsidRPr="00CD42FA">
        <w:rPr>
          <w:rFonts w:ascii="Calibri" w:hAnsi="Calibri" w:cs="Calibri"/>
          <w:lang w:val="en-US"/>
        </w:rPr>
        <w:lastRenderedPageBreak/>
        <w:t xml:space="preserve">means for </w:t>
      </w:r>
      <w:r w:rsidR="00C1621E" w:rsidRPr="00CD42FA">
        <w:rPr>
          <w:rFonts w:ascii="Calibri" w:hAnsi="Calibri" w:cs="Calibri"/>
          <w:lang w:val="en-US"/>
        </w:rPr>
        <w:t xml:space="preserve">screening the fish and expression levels would be comparable between the marker and the receptor. </w:t>
      </w:r>
      <w:r w:rsidR="00D46453" w:rsidRPr="00CD42FA">
        <w:rPr>
          <w:rFonts w:ascii="Calibri" w:hAnsi="Calibri" w:cs="Calibri"/>
          <w:lang w:val="en-US"/>
        </w:rPr>
        <w:t xml:space="preserve">The latter approach would be more modular, in that a </w:t>
      </w:r>
      <w:r w:rsidR="005622DB" w:rsidRPr="00CD42FA">
        <w:rPr>
          <w:rFonts w:ascii="Calibri" w:hAnsi="Calibri" w:cs="Calibri"/>
          <w:lang w:val="en-US"/>
        </w:rPr>
        <w:t>zebrafish</w:t>
      </w:r>
      <w:r w:rsidR="00D46453" w:rsidRPr="00CD42FA">
        <w:rPr>
          <w:rFonts w:ascii="Calibri" w:hAnsi="Calibri" w:cs="Calibri"/>
          <w:lang w:val="en-US"/>
        </w:rPr>
        <w:t xml:space="preserve"> line with a </w:t>
      </w:r>
      <w:r w:rsidR="005622DB" w:rsidRPr="00CD42FA">
        <w:rPr>
          <w:rFonts w:ascii="Calibri" w:hAnsi="Calibri" w:cs="Calibri"/>
          <w:lang w:val="en-US"/>
        </w:rPr>
        <w:t xml:space="preserve">receptor </w:t>
      </w:r>
      <w:r w:rsidR="00D46453" w:rsidRPr="00CD42FA">
        <w:rPr>
          <w:rFonts w:ascii="Calibri" w:hAnsi="Calibri" w:cs="Calibri"/>
          <w:lang w:val="en-US"/>
        </w:rPr>
        <w:t xml:space="preserve">reporter could be combined with different </w:t>
      </w:r>
      <w:r w:rsidR="00242F6E" w:rsidRPr="00CD42FA">
        <w:rPr>
          <w:rFonts w:ascii="Calibri" w:hAnsi="Calibri" w:cs="Calibri"/>
          <w:lang w:val="en-US"/>
        </w:rPr>
        <w:t>reporter</w:t>
      </w:r>
      <w:r w:rsidR="0091356E" w:rsidRPr="00CD42FA">
        <w:rPr>
          <w:rFonts w:ascii="Calibri" w:hAnsi="Calibri" w:cs="Calibri"/>
          <w:lang w:val="en-US"/>
        </w:rPr>
        <w:t xml:space="preserve"> lines</w:t>
      </w:r>
      <w:r w:rsidR="00D46453" w:rsidRPr="00CD42FA">
        <w:rPr>
          <w:rFonts w:ascii="Calibri" w:hAnsi="Calibri" w:cs="Calibri"/>
          <w:lang w:val="en-US"/>
        </w:rPr>
        <w:t>.</w:t>
      </w:r>
      <w:r w:rsidR="00902F26" w:rsidRPr="00CD42FA">
        <w:rPr>
          <w:rFonts w:ascii="Calibri" w:hAnsi="Calibri" w:cs="Calibri"/>
          <w:lang w:val="en-US"/>
        </w:rPr>
        <w:t xml:space="preserve"> </w:t>
      </w:r>
      <w:r w:rsidR="00D50EDD" w:rsidRPr="00CD42FA">
        <w:rPr>
          <w:rFonts w:ascii="Calibri" w:hAnsi="Calibri" w:cs="Calibri"/>
          <w:lang w:val="en-US"/>
        </w:rPr>
        <w:t xml:space="preserve">In either case, it is worth noting that membrane quantification of the receptor levels is challenging in clustered neutrophils (see below). </w:t>
      </w:r>
      <w:r w:rsidR="00315030" w:rsidRPr="00CD42FA">
        <w:rPr>
          <w:rFonts w:ascii="Calibri" w:hAnsi="Calibri" w:cs="Calibri"/>
          <w:lang w:val="en-US"/>
        </w:rPr>
        <w:t>Finally, we note</w:t>
      </w:r>
      <w:r w:rsidR="00DA1076" w:rsidRPr="00CD42FA">
        <w:rPr>
          <w:rFonts w:ascii="Calibri" w:hAnsi="Calibri" w:cs="Calibri"/>
          <w:lang w:val="en-US"/>
        </w:rPr>
        <w:t xml:space="preserve"> that</w:t>
      </w:r>
      <w:r w:rsidR="00134C85" w:rsidRPr="00CD42FA">
        <w:rPr>
          <w:rFonts w:ascii="Calibri" w:hAnsi="Calibri" w:cs="Calibri"/>
          <w:lang w:val="en-US"/>
        </w:rPr>
        <w:t xml:space="preserve"> a</w:t>
      </w:r>
      <w:r w:rsidR="00315030" w:rsidRPr="00CD42FA">
        <w:rPr>
          <w:rFonts w:ascii="Calibri" w:hAnsi="Calibri" w:cs="Calibri"/>
          <w:lang w:val="en-US"/>
        </w:rPr>
        <w:t xml:space="preserve"> possible</w:t>
      </w:r>
      <w:r w:rsidR="00134C85" w:rsidRPr="00CD42FA">
        <w:rPr>
          <w:rFonts w:ascii="Calibri" w:hAnsi="Calibri" w:cs="Calibri"/>
          <w:lang w:val="en-US"/>
        </w:rPr>
        <w:t xml:space="preserve"> extension of this protocol would be to follow up the live imaging by immunohistochemistry for more detailed locali</w:t>
      </w:r>
      <w:r w:rsidR="00967CA3" w:rsidRPr="00CD42FA">
        <w:rPr>
          <w:rFonts w:ascii="Calibri" w:hAnsi="Calibri" w:cs="Calibri"/>
          <w:lang w:val="en-US"/>
        </w:rPr>
        <w:t>z</w:t>
      </w:r>
      <w:r w:rsidR="00134C85" w:rsidRPr="00CD42FA">
        <w:rPr>
          <w:rFonts w:ascii="Calibri" w:hAnsi="Calibri" w:cs="Calibri"/>
          <w:lang w:val="en-US"/>
        </w:rPr>
        <w:t>ation analyses.</w:t>
      </w:r>
    </w:p>
    <w:p w14:paraId="0AB2F4BB" w14:textId="77777777" w:rsidR="00003FDF" w:rsidRPr="00CD42FA" w:rsidRDefault="00003FDF" w:rsidP="005C35E4">
      <w:pPr>
        <w:jc w:val="both"/>
        <w:rPr>
          <w:rFonts w:ascii="Calibri" w:hAnsi="Calibri" w:cs="Calibri"/>
          <w:lang w:val="en-US"/>
        </w:rPr>
      </w:pPr>
    </w:p>
    <w:p w14:paraId="6425D43A" w14:textId="06C4901F" w:rsidR="00003FDF" w:rsidRPr="00CD42FA" w:rsidRDefault="5B7C489D" w:rsidP="005C35E4">
      <w:pPr>
        <w:jc w:val="both"/>
        <w:rPr>
          <w:rFonts w:ascii="Calibri" w:hAnsi="Calibri" w:cs="Calibri"/>
          <w:lang w:val="en-US"/>
        </w:rPr>
      </w:pPr>
      <w:r w:rsidRPr="00CD42FA">
        <w:rPr>
          <w:rFonts w:ascii="Calibri" w:hAnsi="Calibri" w:cs="Calibri"/>
          <w:lang w:val="en-US"/>
        </w:rPr>
        <w:t>The Tol2 transgenesis system is well established</w:t>
      </w:r>
      <w:r w:rsidR="00003FDF" w:rsidRPr="00CD42FA">
        <w:rPr>
          <w:rFonts w:ascii="Calibri" w:hAnsi="Calibri" w:cs="Calibri"/>
          <w:lang w:val="en-US"/>
        </w:rPr>
        <w:fldChar w:fldCharType="begin"/>
      </w:r>
      <w:r w:rsidR="0002471A" w:rsidRPr="00CD42FA">
        <w:rPr>
          <w:rFonts w:ascii="Calibri" w:hAnsi="Calibri" w:cs="Calibri"/>
          <w:lang w:val="en-US"/>
        </w:rPr>
        <w:instrText xml:space="preserve"> ADDIN ZOTERO_ITEM CSL_CITATION {"citationID":"bL8tDdb7","properties":{"formattedCitation":"\\super 7\\nosupersub{}","plainCitation":"7","noteIndex":0},"citationItems":[{"id":277,"uris":["http://zotero.org/users/5010385/items/HFGFGMEY"],"uri":["http://zotero.org/users/5010385/items/HFGFGMEY"],"itemData":{"id":277,"type":"article-journal","abstract":"Transgenesis is an important tool for assessing gene function. In zebrafish, transgenesis has suffered from three problems: the labor of building complex expression constructs using conventional subcloning; low transgenesis efficiency, leading to mosaicism in transient transgenics and infrequent germline incorporation; and difficulty in identifying germline integrations unless using a fluorescent marker transgene. The Tol2kit system uses site-specific recombination-based cloning (multisite Gateway technology) to allow quick, modular assembly of [promoter]-[coding sequence]-[3' tag] constructs in a Tol2 transposon backbone. It includes a destination vector with a cmlc2:EGFP (enhanced green fluorescent protein) transgenesis marker and a variety of widely useful entry clones, including hsp70 and beta-actin promoters; cytoplasmic, nuclear, and membrane-localized fluorescent proteins; and internal ribosome entry sequence-driven EGFP cassettes for bicistronic expression. The Tol2kit greatly facilitates zebrafish transgenesis, simplifies the sharing of clones, and enables large-scale projects testing the functions of libraries of regulatory or coding sequences.","container-title":"Developmental Dynamics: An Official Publication of the American Association of Anatomists","DOI":"10.1002/dvdy.21343","ISSN":"1058-8388","issue":"11","journalAbbreviation":"Dev. Dyn.","language":"eng","note":"PMID: 17937395","page":"3088-3099","source":"PubMed","title":"The Tol2kit: a multisite gateway-based construction kit for Tol2 transposon transgenesis constructs","title-short":"The Tol2kit","volume":"236","author":[{"family":"Kwan","given":"Kristen M."},{"family":"Fujimoto","given":"Esther"},{"family":"Grabher","given":"Clemens"},{"family":"Mangum","given":"Benjamin D."},{"family":"Hardy","given":"Melissa E."},{"family":"Campbell","given":"Douglas S."},{"family":"Parant","given":"John M."},{"family":"Yost","given":"H. Joseph"},{"family":"Kanki","given":"John P."},{"family":"Chien","given":"Chi-Bin"}],"issued":{"date-parts":[["2007",11]]}}}],"schema":"https://github.com/citation-style-language/schema/raw/master/csl-citation.json"} </w:instrText>
      </w:r>
      <w:r w:rsidR="00003FDF" w:rsidRPr="00CD42FA">
        <w:rPr>
          <w:rFonts w:ascii="Calibri" w:hAnsi="Calibri" w:cs="Calibri"/>
          <w:lang w:val="en-US"/>
        </w:rPr>
        <w:fldChar w:fldCharType="separate"/>
      </w:r>
      <w:r w:rsidR="000D4262" w:rsidRPr="00CD42FA">
        <w:rPr>
          <w:rFonts w:ascii="Calibri" w:hAnsi="Calibri" w:cs="Calibri"/>
          <w:vertAlign w:val="superscript"/>
          <w:lang w:val="en-US"/>
        </w:rPr>
        <w:t>7</w:t>
      </w:r>
      <w:r w:rsidR="00003FDF" w:rsidRPr="00CD42FA">
        <w:rPr>
          <w:rFonts w:ascii="Calibri" w:hAnsi="Calibri" w:cs="Calibri"/>
          <w:lang w:val="en-US"/>
        </w:rPr>
        <w:fldChar w:fldCharType="end"/>
      </w:r>
      <w:r w:rsidRPr="00CD42FA">
        <w:rPr>
          <w:rFonts w:ascii="Calibri" w:hAnsi="Calibri" w:cs="Calibri"/>
          <w:lang w:val="en-US"/>
        </w:rPr>
        <w:t xml:space="preserve"> and the lysozyme C promoter has been used extensively for neutrophil expression</w:t>
      </w:r>
      <w:r w:rsidR="00003FDF" w:rsidRPr="00CD42FA">
        <w:rPr>
          <w:rFonts w:ascii="Calibri" w:hAnsi="Calibri" w:cs="Calibri"/>
          <w:lang w:val="en-US"/>
        </w:rPr>
        <w:fldChar w:fldCharType="begin"/>
      </w:r>
      <w:r w:rsidR="0002471A" w:rsidRPr="00CD42FA">
        <w:rPr>
          <w:rFonts w:ascii="Calibri" w:hAnsi="Calibri" w:cs="Calibri"/>
          <w:lang w:val="en-US"/>
        </w:rPr>
        <w:instrText xml:space="preserve"> ADDIN ZOTERO_ITEM CSL_CITATION {"citationID":"CsHShkNT","properties":{"formattedCitation":"\\super 11, 15\\nosupersub{}","plainCitation":"11, 15","noteIndex":0},"citationItems":[{"id":701,"uris":["http://zotero.org/users/5010385/items/B7JEWUWL"],"uri":["http://zotero.org/users/5010385/items/B7JEWUWL"],"itemData":{"id":701,"type":"article-journal","abstract":"BACKGROUND: How different immune cell compartments contribute to a successful immune response is central to fully understanding the mechanisms behind normal processes such as tissue repair and the pathology of inflammatory diseases. However, the ability to observe and characterize such interactions, in real-time, within a living vertebrate has proved elusive. Recently, the zebrafish has been exploited to model aspects of human disease and to study specific immune cell compartments using fluorescent reporter transgenic lines. A number of blood-specific lines have provided a means to exploit the exquisite optical clarity that this vertebrate system offers and provide a level of insight into dynamic inflammatory processes previously unavailable.\nRESULTS: We used regulatory regions of the zebrafish lysozyme C (lysC) gene to drive enhanced green fluorescent protein (EGFP) and DsRED2 expression in a manner that completely recapitulated the endogenous expression profile of lysC. Labeled cells were shown by co-expression studies and FACS analysis to represent a subset of macrophages and likely also granulocytes. Functional assays within transgenic larvae proved that these marked cells possess hallmark traits of myelomonocytic cells, including the ability to migrate to inflammatory sources and phagocytose bacteria.\nCONCLUSION: These reporter lines will have utility in dissecting the genetic determinants of commitment to the myeloid lineage and in further defining how lysozyme-expressing cells participate during inflammation.","container-title":"BMC developmental biology","DOI":"10.1186/1471-213X-7-42","ISSN":"1471-213X","journalAbbreviation":"BMC Dev. Biol.","language":"eng","note":"PMID: 17477879\nPMCID: PMC1877083","page":"42","source":"PubMed","title":"The zebrafish lysozyme C promoter drives myeloid-specific expression in transgenic fish","volume":"7","author":[{"family":"Hall","given":"Chris"},{"family":"Flores","given":"Maria Vega"},{"family":"Storm","given":"Thilo"},{"family":"Crosier","given":"Kathy"},{"family":"Crosier","given":"Phil"}],"issued":{"date-parts":[["2007",5,4]]}}},{"id":700,"uris":["http://zotero.org/users/5010385/items/9Y54VVBV"],"uri":["http://zotero.org/users/5010385/items/9Y54VVBV"],"itemData":{"id":700,"type":"article-journal","abstract":"Microtubules control cell motility by positively regulating polarization in many cell types. However, how microtubules regulate leukocyte migration is not well understood, particularly in living organisms. Here we exploited the zebrafish system to study the role of microtubules in neutrophil migration in vivo. The localization of microtubules was visualized in motile neutrophils using various bioprobes, revealing that, in contrast to what has been seen in studies in vitro, the microtubule organizing center is positioned in front of the nucleus (relative to the direction of migration) in motile neutrophils. Microtubule disassembly impaired attraction of neutrophils to wounds but enhanced the polarity of F-actin dynamics as measured by the distribution of stable and dynamic F-actin. Microtubule depolymerization inhibited polarized phosphoinositol 3-kinase (PI(3)K) activation at the leading edge and induced rapid PI(3)K independent motility. Finally, we show that microtubules exert their effects on neutrophil polarity and motility at least in part by the negative regulation of both Rho and Rac activity. These results provide new insight into the role of microtubules in neutrophil migration in a living vertebrate and show that the motility of these professional migratory cells are subject to distinctly different rules from those established for other cell types.","container-title":"Journal of Cell Science","DOI":"10.1242/jcs.108324","ISSN":"1477-9137","issue":"Pt 23","journalAbbreviation":"J. Cell. Sci.","language":"eng","note":"PMID: 22992461\nPMCID: PMC3575705","page":"5702-5710","source":"PubMed","title":"The role of microtubules in neutrophil polarity and migration in live zebrafish","volume":"125","author":[{"family":"Yoo","given":"Sa Kan"},{"family":"Lam","given":"Pui-Ying"},{"family":"Eichelberg","given":"Mark R."},{"family":"Zasadil","given":"Lauren"},{"family":"Bement","given":"William M."},{"family":"Huttenlocher","given":"Anna"}],"issued":{"date-parts":[["2012",12,1]]}}}],"schema":"https://github.com/citation-style-language/schema/raw/master/csl-citation.json"} </w:instrText>
      </w:r>
      <w:r w:rsidR="00003FDF" w:rsidRPr="00CD42FA">
        <w:rPr>
          <w:rFonts w:ascii="Calibri" w:hAnsi="Calibri" w:cs="Calibri"/>
          <w:lang w:val="en-US"/>
        </w:rPr>
        <w:fldChar w:fldCharType="separate"/>
      </w:r>
      <w:r w:rsidR="0002471A" w:rsidRPr="00CD42FA">
        <w:rPr>
          <w:rFonts w:ascii="Calibri" w:hAnsi="Calibri" w:cs="Calibri"/>
          <w:vertAlign w:val="superscript"/>
          <w:lang w:val="en-US"/>
        </w:rPr>
        <w:t>11,15</w:t>
      </w:r>
      <w:r w:rsidR="00003FDF" w:rsidRPr="00CD42FA">
        <w:rPr>
          <w:rFonts w:ascii="Calibri" w:hAnsi="Calibri" w:cs="Calibri"/>
          <w:lang w:val="en-US"/>
        </w:rPr>
        <w:fldChar w:fldCharType="end"/>
      </w:r>
      <w:r w:rsidRPr="00CD42FA">
        <w:rPr>
          <w:rFonts w:ascii="Calibri" w:hAnsi="Calibri" w:cs="Calibri"/>
          <w:lang w:val="en-US"/>
        </w:rPr>
        <w:t>. The transgenesis approach is</w:t>
      </w:r>
      <w:r w:rsidR="00735994" w:rsidRPr="00CD42FA">
        <w:rPr>
          <w:rFonts w:ascii="Calibri" w:hAnsi="Calibri" w:cs="Calibri"/>
          <w:lang w:val="en-US"/>
        </w:rPr>
        <w:t>,</w:t>
      </w:r>
      <w:r w:rsidRPr="00CD42FA">
        <w:rPr>
          <w:rFonts w:ascii="Calibri" w:hAnsi="Calibri" w:cs="Calibri"/>
          <w:lang w:val="en-US"/>
        </w:rPr>
        <w:t xml:space="preserve"> th</w:t>
      </w:r>
      <w:r w:rsidR="00735994" w:rsidRPr="00CD42FA">
        <w:rPr>
          <w:rFonts w:ascii="Calibri" w:hAnsi="Calibri" w:cs="Calibri"/>
          <w:lang w:val="en-US"/>
        </w:rPr>
        <w:t>erefore,</w:t>
      </w:r>
      <w:r w:rsidRPr="00CD42FA">
        <w:rPr>
          <w:rFonts w:ascii="Calibri" w:hAnsi="Calibri" w:cs="Calibri"/>
          <w:lang w:val="en-US"/>
        </w:rPr>
        <w:t xml:space="preserve"> relatively straightforward and the expression level achieved with this promoter is high enough to provide sufficient contrast for analysis of receptor dynamics. A possible limitation is that the expression level does not recapitulate endogenous receptor expression levels. New CRISPR technologies could be deployed to establish knock-in lines for receptors of particular interest</w:t>
      </w:r>
      <w:r w:rsidR="00003FDF" w:rsidRPr="00CD42FA">
        <w:rPr>
          <w:rFonts w:ascii="Calibri" w:hAnsi="Calibri" w:cs="Calibri"/>
          <w:lang w:val="en-US"/>
        </w:rPr>
        <w:fldChar w:fldCharType="begin"/>
      </w:r>
      <w:r w:rsidR="0002471A" w:rsidRPr="00CD42FA">
        <w:rPr>
          <w:rFonts w:ascii="Calibri" w:hAnsi="Calibri" w:cs="Calibri"/>
          <w:lang w:val="en-US"/>
        </w:rPr>
        <w:instrText xml:space="preserve"> ADDIN ZOTERO_ITEM CSL_CITATION {"citationID":"pVUj02kj","properties":{"formattedCitation":"\\super 28\\nosupersub{}","plainCitation":"28","noteIndex":0},"citationItems":[{"id":851,"uris":["http://zotero.org/users/5010385/items/5CSTDRJ4"],"uri":["http://zotero.org/users/5010385/items/5CSTDRJ4"],"itemData":{"id":851,"type":"article-journal","abstract":"The use of zebrafish larvae in basic and applied research has grown exponentially during the last 20 years. The reasons for this success lay in its specific experimental advantages: on the one hand, the small size, the large number of progeny and the fast life cycle greatly facilitate large-scale approaches while maintaining 3Rs amenability; on the other hand, high genetic and physiological homology with humans and ease of genetic manipulation make zebrafish larvae a highly robust model for understanding human disease. Together, these advantages allow using zebrafish larvae for performing high-throughput research, both in terms of chemical and genetic phenotypic screenings. Therefore, the zebrafish larva as an animal model is placed between more reductionist in vitro high-throughput screenings and informative but low-throughput preclinical assays using mammals. However, despite its biological advantages and growing translational validation, zebrafish remains scarcely used in current drug discovery pipelines. In a context in which the pharmaceutical industry is facing a productivity crisis in bringing new drugs to the market, the combined advantages of zebrafish and the CRISPR/Cas9 system, the most powerful technology for genomic editing to date, has the potential to become a valuable tool for streamlining the generation of models mimicking human disease, the validation of novel drug targets and the discovery of new therapeutics. This review will focus on the most recent advances on CRISPR/Cas9 implementation in zebrafish and all their potential uses in biomedical research and drug discovery.","container-title":"Frontiers in Pharmacology","DOI":"10.3389/fphar.2018.00703","ISSN":"1663-9812","journalAbbreviation":"Front Pharmacol","language":"eng","note":"PMID: 30018554\nPMCID: PMC6037853","page":"703","source":"PubMed","title":"Combining Zebrafish and CRISPR/Cas9: Toward a More Efficient Drug Discovery Pipeline","title-short":"Combining Zebrafish and CRISPR/Cas9","volume":"9","author":[{"family":"Cornet","given":"Carles"},{"family":"Di Donato","given":"Vincenzo"},{"family":"Terriente","given":"Javier"}],"issued":{"date-parts":[["2018"]]}}}],"schema":"https://github.com/citation-style-language/schema/raw/master/csl-citation.json"} </w:instrText>
      </w:r>
      <w:r w:rsidR="00003FDF" w:rsidRPr="00CD42FA">
        <w:rPr>
          <w:rFonts w:ascii="Calibri" w:hAnsi="Calibri" w:cs="Calibri"/>
          <w:lang w:val="en-US"/>
        </w:rPr>
        <w:fldChar w:fldCharType="separate"/>
      </w:r>
      <w:r w:rsidR="0002471A" w:rsidRPr="00CD42FA">
        <w:rPr>
          <w:rFonts w:ascii="Calibri" w:hAnsi="Calibri" w:cs="Calibri"/>
          <w:vertAlign w:val="superscript"/>
          <w:lang w:val="en-US"/>
        </w:rPr>
        <w:t>28</w:t>
      </w:r>
      <w:r w:rsidR="00003FDF" w:rsidRPr="00CD42FA">
        <w:rPr>
          <w:rFonts w:ascii="Calibri" w:hAnsi="Calibri" w:cs="Calibri"/>
          <w:lang w:val="en-US"/>
        </w:rPr>
        <w:fldChar w:fldCharType="end"/>
      </w:r>
      <w:r w:rsidRPr="00CD42FA">
        <w:rPr>
          <w:rFonts w:ascii="Calibri" w:hAnsi="Calibri" w:cs="Calibri"/>
          <w:lang w:val="en-US"/>
        </w:rPr>
        <w:t>. These technologies are still cumbersome and may not guarantee the required expression levels for subcellular imaging, but their successful development would be an important breakthrough for understanding endogenous signaling dynamics.</w:t>
      </w:r>
      <w:r w:rsidR="00CA44AD">
        <w:rPr>
          <w:rFonts w:ascii="Calibri" w:hAnsi="Calibri" w:cs="Calibri"/>
          <w:lang w:val="en-US"/>
        </w:rPr>
        <w:t xml:space="preserve"> </w:t>
      </w:r>
      <w:r w:rsidRPr="00CD42FA">
        <w:rPr>
          <w:rFonts w:ascii="Calibri" w:hAnsi="Calibri" w:cs="Calibri"/>
          <w:lang w:val="en-US"/>
        </w:rPr>
        <w:t xml:space="preserve">Functional validations are important for interpreting data with transgenic receptor constructs.  For example, ligand recognition assays can be used to establish </w:t>
      </w:r>
      <w:r w:rsidR="00967CA3" w:rsidRPr="00CD42FA">
        <w:rPr>
          <w:rFonts w:ascii="Calibri" w:hAnsi="Calibri" w:cs="Calibri"/>
          <w:lang w:val="en-US"/>
        </w:rPr>
        <w:t xml:space="preserve">that </w:t>
      </w:r>
      <w:r w:rsidRPr="00CD42FA">
        <w:rPr>
          <w:rFonts w:ascii="Calibri" w:hAnsi="Calibri" w:cs="Calibri"/>
          <w:lang w:val="en-US"/>
        </w:rPr>
        <w:t>the fluorescent fusion protein is functional and rescue of knockout phenotypes could be used to establish that the transgenic neutrophil expression levels are compatible with functionality</w:t>
      </w:r>
      <w:r w:rsidR="00003FDF" w:rsidRPr="00CD42FA">
        <w:rPr>
          <w:rFonts w:ascii="Calibri" w:hAnsi="Calibri" w:cs="Calibri"/>
          <w:lang w:val="en-US"/>
        </w:rPr>
        <w:fldChar w:fldCharType="begin"/>
      </w:r>
      <w:r w:rsidR="0002471A" w:rsidRPr="00CD42FA">
        <w:rPr>
          <w:rFonts w:ascii="Calibri" w:hAnsi="Calibri" w:cs="Calibri"/>
          <w:lang w:val="en-US"/>
        </w:rPr>
        <w:instrText xml:space="preserve"> ADDIN ZOTERO_ITEM CSL_CITATION {"citationID":"tKrklsRG","properties":{"formattedCitation":"\\super 14\\nosupersub{}","plainCitation":"14","noteIndex":0},"citationItems":[{"id":711,"uris":["http://zotero.org/users/5010385/items/22KQ8LRX"],"uri":["http://zotero.org/users/5010385/items/22KQ8LRX"],"itemData":{"id":711,"type":"article-journal","abstract":"Immune cells congregate at specific loci to fight infections during inflammatory responses, a process that must be transient and self-resolving. Cell dispersal promotes resolution, but it remains unclear how transition from clustering to dispersal is regulated. Here we show, using quantitative live imaging in zebrafish, that differential ligand-induced trafficking of chemokine receptors such as Cxcr1 and Cxcr2 orchestrates the state of neutrophil congregation at sites of tissue damage. Through receptor mutagenesis and biosensors, we show that Cxcr1 promotes clustering at wound sites, but is promptly desensitized and internalized, which prevents excess congregation. By contrast, Cxcr2 promotes bidirectional motility and is sustained at the plasma membrane. Persistent plasma membrane residence of Cxcr2 prolongs downstream signaling and is required for sustained exploratory motion conducive to dispersal. Thus, differential trafficking of two chemokine receptors allows coordination of antagonistic cell behaviors, promoting a self-resolving migratory response.","container-title":"Nature Communications","DOI":"10.1038/s41467-019-13107-3","ISSN":"2041-1723","issue":"1","journalAbbreviation":"Nat Commun","language":"eng","note":"PMID: 31727891\nPMCID: PMC6856356","page":"5166","source":"PubMed","title":"Chemokine receptor trafficking coordinates neutrophil clustering and dispersal at wounds in zebrafish","volume":"10","author":[{"family":"Coombs","given":"Caroline"},{"family":"Georgantzoglou","given":"Antonios"},{"family":"Walker","given":"Hazel A."},{"family":"Patt","given":"Julian"},{"family":"Merten","given":"Nicole"},{"family":"Poplimont","given":"Hugo"},{"family":"Busch-Nentwich","given":"Elisabeth M."},{"family":"Williams","given":"Sarah"},{"family":"Kotsi","given":"Christina"},{"family":"Kostenis","given":"Evi"},{"family":"Sarris","given":"Milka"}],"issued":{"date-parts":[["2019",11,14]]}}}],"schema":"https://github.com/citation-style-language/schema/raw/master/csl-citation.json"} </w:instrText>
      </w:r>
      <w:r w:rsidR="00003FDF" w:rsidRPr="00CD42FA">
        <w:rPr>
          <w:rFonts w:ascii="Calibri" w:hAnsi="Calibri" w:cs="Calibri"/>
          <w:lang w:val="en-US"/>
        </w:rPr>
        <w:fldChar w:fldCharType="separate"/>
      </w:r>
      <w:r w:rsidR="000D4262" w:rsidRPr="00CD42FA">
        <w:rPr>
          <w:rFonts w:ascii="Calibri" w:hAnsi="Calibri" w:cs="Calibri"/>
          <w:vertAlign w:val="superscript"/>
          <w:lang w:val="en-US"/>
        </w:rPr>
        <w:t>14</w:t>
      </w:r>
      <w:r w:rsidR="00003FDF" w:rsidRPr="00CD42FA">
        <w:rPr>
          <w:rFonts w:ascii="Calibri" w:hAnsi="Calibri" w:cs="Calibri"/>
          <w:lang w:val="en-US"/>
        </w:rPr>
        <w:fldChar w:fldCharType="end"/>
      </w:r>
      <w:r w:rsidRPr="00CD42FA">
        <w:rPr>
          <w:rFonts w:ascii="Calibri" w:hAnsi="Calibri" w:cs="Calibri"/>
          <w:lang w:val="en-US"/>
        </w:rPr>
        <w:t>. Finally, a more direct way to validate the receptor fusion would be to utili</w:t>
      </w:r>
      <w:r w:rsidR="00967CA3" w:rsidRPr="00CD42FA">
        <w:rPr>
          <w:rFonts w:ascii="Calibri" w:hAnsi="Calibri" w:cs="Calibri"/>
          <w:lang w:val="en-US"/>
        </w:rPr>
        <w:t>z</w:t>
      </w:r>
      <w:r w:rsidRPr="00CD42FA">
        <w:rPr>
          <w:rFonts w:ascii="Calibri" w:hAnsi="Calibri" w:cs="Calibri"/>
          <w:lang w:val="en-US"/>
        </w:rPr>
        <w:t xml:space="preserve">e an </w:t>
      </w:r>
      <w:r w:rsidRPr="00CA44AD">
        <w:rPr>
          <w:rFonts w:ascii="Calibri" w:hAnsi="Calibri" w:cs="Calibri"/>
          <w:lang w:val="en-US"/>
        </w:rPr>
        <w:t>in vitro</w:t>
      </w:r>
      <w:r w:rsidRPr="00CD42FA">
        <w:rPr>
          <w:rFonts w:ascii="Calibri" w:hAnsi="Calibri" w:cs="Calibri"/>
          <w:lang w:val="en-US"/>
        </w:rPr>
        <w:t xml:space="preserve"> functional assay with labelled receptor alongside non-labeled versions</w:t>
      </w:r>
      <w:r w:rsidR="00003FDF" w:rsidRPr="00CD42FA">
        <w:rPr>
          <w:rFonts w:ascii="Calibri" w:hAnsi="Calibri" w:cs="Calibri"/>
          <w:lang w:val="en-US"/>
        </w:rPr>
        <w:fldChar w:fldCharType="begin"/>
      </w:r>
      <w:r w:rsidR="0002471A" w:rsidRPr="00CD42FA">
        <w:rPr>
          <w:rFonts w:ascii="Calibri" w:hAnsi="Calibri" w:cs="Calibri"/>
          <w:lang w:val="en-US"/>
        </w:rPr>
        <w:instrText xml:space="preserve"> ADDIN ZOTERO_ITEM CSL_CITATION {"citationID":"F5zeDrGr","properties":{"formattedCitation":"\\super 14\\nosupersub{}","plainCitation":"14","noteIndex":0},"citationItems":[{"id":711,"uris":["http://zotero.org/users/5010385/items/22KQ8LRX"],"uri":["http://zotero.org/users/5010385/items/22KQ8LRX"],"itemData":{"id":711,"type":"article-journal","abstract":"Immune cells congregate at specific loci to fight infections during inflammatory responses, a process that must be transient and self-resolving. Cell dispersal promotes resolution, but it remains unclear how transition from clustering to dispersal is regulated. Here we show, using quantitative live imaging in zebrafish, that differential ligand-induced trafficking of chemokine receptors such as Cxcr1 and Cxcr2 orchestrates the state of neutrophil congregation at sites of tissue damage. Through receptor mutagenesis and biosensors, we show that Cxcr1 promotes clustering at wound sites, but is promptly desensitized and internalized, which prevents excess congregation. By contrast, Cxcr2 promotes bidirectional motility and is sustained at the plasma membrane. Persistent plasma membrane residence of Cxcr2 prolongs downstream signaling and is required for sustained exploratory motion conducive to dispersal. Thus, differential trafficking of two chemokine receptors allows coordination of antagonistic cell behaviors, promoting a self-resolving migratory response.","container-title":"Nature Communications","DOI":"10.1038/s41467-019-13107-3","ISSN":"2041-1723","issue":"1","journalAbbreviation":"Nat Commun","language":"eng","note":"PMID: 31727891\nPMCID: PMC6856356","page":"5166","source":"PubMed","title":"Chemokine receptor trafficking coordinates neutrophil clustering and dispersal at wounds in zebrafish","volume":"10","author":[{"family":"Coombs","given":"Caroline"},{"family":"Georgantzoglou","given":"Antonios"},{"family":"Walker","given":"Hazel A."},{"family":"Patt","given":"Julian"},{"family":"Merten","given":"Nicole"},{"family":"Poplimont","given":"Hugo"},{"family":"Busch-Nentwich","given":"Elisabeth M."},{"family":"Williams","given":"Sarah"},{"family":"Kotsi","given":"Christina"},{"family":"Kostenis","given":"Evi"},{"family":"Sarris","given":"Milka"}],"issued":{"date-parts":[["2019",11,14]]}}}],"schema":"https://github.com/citation-style-language/schema/raw/master/csl-citation.json"} </w:instrText>
      </w:r>
      <w:r w:rsidR="00003FDF" w:rsidRPr="00CD42FA">
        <w:rPr>
          <w:rFonts w:ascii="Calibri" w:hAnsi="Calibri" w:cs="Calibri"/>
          <w:lang w:val="en-US"/>
        </w:rPr>
        <w:fldChar w:fldCharType="separate"/>
      </w:r>
      <w:r w:rsidR="000D4262" w:rsidRPr="00CD42FA">
        <w:rPr>
          <w:rFonts w:ascii="Calibri" w:hAnsi="Calibri" w:cs="Calibri"/>
          <w:vertAlign w:val="superscript"/>
          <w:lang w:val="en-US"/>
        </w:rPr>
        <w:t>14</w:t>
      </w:r>
      <w:r w:rsidR="00003FDF" w:rsidRPr="00CD42FA">
        <w:rPr>
          <w:rFonts w:ascii="Calibri" w:hAnsi="Calibri" w:cs="Calibri"/>
          <w:lang w:val="en-US"/>
        </w:rPr>
        <w:fldChar w:fldCharType="end"/>
      </w:r>
      <w:r w:rsidRPr="00CD42FA">
        <w:rPr>
          <w:rFonts w:ascii="Calibri" w:hAnsi="Calibri" w:cs="Calibri"/>
          <w:lang w:val="en-US"/>
        </w:rPr>
        <w:t>.</w:t>
      </w:r>
    </w:p>
    <w:p w14:paraId="76DDBCC0" w14:textId="77777777" w:rsidR="00BA22B8" w:rsidRPr="00CD42FA" w:rsidRDefault="00BA22B8" w:rsidP="005C35E4">
      <w:pPr>
        <w:jc w:val="both"/>
        <w:rPr>
          <w:rFonts w:ascii="Calibri" w:hAnsi="Calibri" w:cs="Calibri"/>
          <w:lang w:val="en-US"/>
        </w:rPr>
      </w:pPr>
    </w:p>
    <w:p w14:paraId="7E915453" w14:textId="34238A9B" w:rsidR="009F55EF" w:rsidRPr="00CD42FA" w:rsidRDefault="5B7C489D" w:rsidP="005C35E4">
      <w:pPr>
        <w:jc w:val="both"/>
        <w:rPr>
          <w:rFonts w:ascii="Calibri" w:hAnsi="Calibri" w:cs="Calibri"/>
          <w:lang w:val="en-US"/>
        </w:rPr>
      </w:pPr>
      <w:r w:rsidRPr="00CD42FA">
        <w:rPr>
          <w:rFonts w:ascii="Calibri" w:hAnsi="Calibri" w:cs="Calibri"/>
          <w:lang w:val="en-US"/>
        </w:rPr>
        <w:t xml:space="preserve">The quantification approach addresses </w:t>
      </w:r>
      <w:r w:rsidR="00AD64D2" w:rsidRPr="00CD42FA">
        <w:rPr>
          <w:rFonts w:ascii="Calibri" w:hAnsi="Calibri" w:cs="Calibri"/>
          <w:lang w:val="en-US"/>
        </w:rPr>
        <w:t xml:space="preserve">specific </w:t>
      </w:r>
      <w:r w:rsidRPr="00CD42FA">
        <w:rPr>
          <w:rFonts w:ascii="Calibri" w:hAnsi="Calibri" w:cs="Calibri"/>
          <w:lang w:val="en-US"/>
        </w:rPr>
        <w:t>difficult</w:t>
      </w:r>
      <w:r w:rsidR="00AD64D2" w:rsidRPr="00CD42FA">
        <w:rPr>
          <w:rFonts w:ascii="Calibri" w:hAnsi="Calibri" w:cs="Calibri"/>
          <w:lang w:val="en-US"/>
        </w:rPr>
        <w:t>ies</w:t>
      </w:r>
      <w:r w:rsidRPr="00CD42FA">
        <w:rPr>
          <w:rFonts w:ascii="Calibri" w:hAnsi="Calibri" w:cs="Calibri"/>
          <w:lang w:val="en-US"/>
        </w:rPr>
        <w:t xml:space="preserve"> in accurate membrane segmentation </w:t>
      </w:r>
      <w:r w:rsidR="00142B89" w:rsidRPr="00CD42FA">
        <w:rPr>
          <w:rFonts w:ascii="Calibri" w:hAnsi="Calibri" w:cs="Calibri"/>
          <w:lang w:val="en-US"/>
        </w:rPr>
        <w:t xml:space="preserve">in </w:t>
      </w:r>
      <w:r w:rsidRPr="00CD42FA">
        <w:rPr>
          <w:rFonts w:ascii="Calibri" w:hAnsi="Calibri" w:cs="Calibri"/>
          <w:lang w:val="en-US"/>
        </w:rPr>
        <w:t>neutrophils</w:t>
      </w:r>
      <w:r w:rsidR="00AD64D2" w:rsidRPr="00CD42FA">
        <w:rPr>
          <w:rFonts w:ascii="Calibri" w:hAnsi="Calibri" w:cs="Calibri"/>
          <w:lang w:val="en-US"/>
        </w:rPr>
        <w:t xml:space="preserve"> in vivo</w:t>
      </w:r>
      <w:r w:rsidRPr="00CD42FA">
        <w:rPr>
          <w:rFonts w:ascii="Calibri" w:hAnsi="Calibri" w:cs="Calibri"/>
          <w:lang w:val="en-US"/>
        </w:rPr>
        <w:t xml:space="preserve">. In cells of epithelial nature, quantification of receptor levels can be executed automatically by </w:t>
      </w:r>
      <w:r w:rsidR="004C417D" w:rsidRPr="00CD42FA">
        <w:rPr>
          <w:rFonts w:ascii="Calibri" w:hAnsi="Calibri" w:cs="Calibri"/>
          <w:lang w:val="en-US"/>
        </w:rPr>
        <w:t xml:space="preserve">normalizing </w:t>
      </w:r>
      <w:r w:rsidRPr="00CD42FA">
        <w:rPr>
          <w:rFonts w:ascii="Calibri" w:hAnsi="Calibri" w:cs="Calibri"/>
          <w:lang w:val="en-US"/>
        </w:rPr>
        <w:t>membrane receptor levels to a control marker, which can be expressed in tandem or separately</w:t>
      </w:r>
      <w:r w:rsidR="007A56AD" w:rsidRPr="00CD42FA">
        <w:rPr>
          <w:rFonts w:ascii="Calibri" w:hAnsi="Calibri" w:cs="Calibri"/>
          <w:lang w:val="en-US"/>
        </w:rPr>
        <w:fldChar w:fldCharType="begin"/>
      </w:r>
      <w:r w:rsidR="0002471A" w:rsidRPr="00CD42FA">
        <w:rPr>
          <w:rFonts w:ascii="Calibri" w:hAnsi="Calibri" w:cs="Calibri"/>
          <w:lang w:val="en-US"/>
        </w:rPr>
        <w:instrText xml:space="preserve"> ADDIN ZOTERO_ITEM CSL_CITATION {"citationID":"jwCq2Was","properties":{"formattedCitation":"\\super 9\\nosupersub{}","plainCitation":"9","noteIndex":0},"citationItems":[{"id":246,"uris":["http://zotero.org/users/5010385/items/ZCR7KY8F"],"uri":["http://zotero.org/users/5010385/items/ZCR7KY8F"],"itemData":{"id":246,"type":"article-journal","abstract":"In animals, many cells reach their destinations by migrating toward higher concentrations of an attractant. However, the nature, generation, and interpretation of attractant gradients are poorly understood. Using a GFP fusion and a signaling sensor, we analyzed the distribution of the attractant chemokine Sdf1 during migration of the zebrafish posterior lateral line primordium, a cohort of about 200 cells that migrates over a stripe of cells uniformly expressing sdf1. We find that a small fraction of the total Sdf1 pool is available to signal and induces a linear Sdf1-signaling gradient across the primordium. This signaling gradient is initiated at the rear of the primordium, equilibrates across the primordium within 200 min, and operates near steady state. The rear of the primordium generates this gradient through continuous sequestration of Sdf1 protein by the alternate Sdf1-receptor Cxcr7. Modeling shows that this is a physically plausible scenario.","container-title":"Cell","DOI":"10.1016/j.cell.2013.09.046","ISSN":"1097-4172","issue":"3","journalAbbreviation":"Cell","language":"eng","note":"PMID: 24119842\nPMCID: PMC3842034","page":"674-687","source":"PubMed","title":"Generation and dynamics of an endogenous, self-generated signaling gradient across a migrating tissue","volume":"155","author":[{"family":"Venkiteswaran","given":"Gayatri"},{"family":"Lewellis","given":"Stephen W."},{"family":"Wang","given":"John"},{"family":"Reynolds","given":"Eric"},{"family":"Nicholson","given":"Charles"},{"family":"Knaut","given":"Holger"}],"issued":{"date-parts":[["2013",10,24]]}}}],"schema":"https://github.com/citation-style-language/schema/raw/master/csl-citation.json"} </w:instrText>
      </w:r>
      <w:r w:rsidR="007A56AD" w:rsidRPr="00CD42FA">
        <w:rPr>
          <w:rFonts w:ascii="Calibri" w:hAnsi="Calibri" w:cs="Calibri"/>
          <w:lang w:val="en-US"/>
        </w:rPr>
        <w:fldChar w:fldCharType="separate"/>
      </w:r>
      <w:r w:rsidR="000D4262" w:rsidRPr="00CD42FA">
        <w:rPr>
          <w:rFonts w:ascii="Calibri" w:hAnsi="Calibri" w:cs="Calibri"/>
          <w:vertAlign w:val="superscript"/>
          <w:lang w:val="en-US"/>
        </w:rPr>
        <w:t>9</w:t>
      </w:r>
      <w:r w:rsidR="007A56AD" w:rsidRPr="00CD42FA">
        <w:rPr>
          <w:rFonts w:ascii="Calibri" w:hAnsi="Calibri" w:cs="Calibri"/>
          <w:lang w:val="en-US"/>
        </w:rPr>
        <w:fldChar w:fldCharType="end"/>
      </w:r>
      <w:r w:rsidRPr="00CD42FA">
        <w:rPr>
          <w:rFonts w:ascii="Calibri" w:hAnsi="Calibri" w:cs="Calibri"/>
          <w:lang w:val="en-US"/>
        </w:rPr>
        <w:t>. Indeed, we have applied such an approach, when using the ligand-recognition assay in gastrulating embryos</w:t>
      </w:r>
      <w:r w:rsidR="007A56AD" w:rsidRPr="00CD42FA">
        <w:rPr>
          <w:rFonts w:ascii="Calibri" w:hAnsi="Calibri" w:cs="Calibri"/>
          <w:lang w:val="en-US"/>
        </w:rPr>
        <w:fldChar w:fldCharType="begin"/>
      </w:r>
      <w:r w:rsidR="0002471A" w:rsidRPr="00CD42FA">
        <w:rPr>
          <w:rFonts w:ascii="Calibri" w:hAnsi="Calibri" w:cs="Calibri"/>
          <w:lang w:val="en-US"/>
        </w:rPr>
        <w:instrText xml:space="preserve"> ADDIN ZOTERO_ITEM CSL_CITATION {"citationID":"TICMjyfM","properties":{"formattedCitation":"\\super 14\\nosupersub{}","plainCitation":"14","noteIndex":0},"citationItems":[{"id":711,"uris":["http://zotero.org/users/5010385/items/22KQ8LRX"],"uri":["http://zotero.org/users/5010385/items/22KQ8LRX"],"itemData":{"id":711,"type":"article-journal","abstract":"Immune cells congregate at specific loci to fight infections during inflammatory responses, a process that must be transient and self-resolving. Cell dispersal promotes resolution, but it remains unclear how transition from clustering to dispersal is regulated. Here we show, using quantitative live imaging in zebrafish, that differential ligand-induced trafficking of chemokine receptors such as Cxcr1 and Cxcr2 orchestrates the state of neutrophil congregation at sites of tissue damage. Through receptor mutagenesis and biosensors, we show that Cxcr1 promotes clustering at wound sites, but is promptly desensitized and internalized, which prevents excess congregation. By contrast, Cxcr2 promotes bidirectional motility and is sustained at the plasma membrane. Persistent plasma membrane residence of Cxcr2 prolongs downstream signaling and is required for sustained exploratory motion conducive to dispersal. Thus, differential trafficking of two chemokine receptors allows coordination of antagonistic cell behaviors, promoting a self-resolving migratory response.","container-title":"Nature Communications","DOI":"10.1038/s41467-019-13107-3","ISSN":"2041-1723","issue":"1","journalAbbreviation":"Nat Commun","language":"eng","note":"PMID: 31727891\nPMCID: PMC6856356","page":"5166","source":"PubMed","title":"Chemokine receptor trafficking coordinates neutrophil clustering and dispersal at wounds in zebrafish","volume":"10","author":[{"family":"Coombs","given":"Caroline"},{"family":"Georgantzoglou","given":"Antonios"},{"family":"Walker","given":"Hazel A."},{"family":"Patt","given":"Julian"},{"family":"Merten","given":"Nicole"},{"family":"Poplimont","given":"Hugo"},{"family":"Busch-Nentwich","given":"Elisabeth M."},{"family":"Williams","given":"Sarah"},{"family":"Kotsi","given":"Christina"},{"family":"Kostenis","given":"Evi"},{"family":"Sarris","given":"Milka"}],"issued":{"date-parts":[["2019",11,14]]}}}],"schema":"https://github.com/citation-style-language/schema/raw/master/csl-citation.json"} </w:instrText>
      </w:r>
      <w:r w:rsidR="007A56AD" w:rsidRPr="00CD42FA">
        <w:rPr>
          <w:rFonts w:ascii="Calibri" w:hAnsi="Calibri" w:cs="Calibri"/>
          <w:lang w:val="en-US"/>
        </w:rPr>
        <w:fldChar w:fldCharType="separate"/>
      </w:r>
      <w:r w:rsidR="000D4262" w:rsidRPr="00CD42FA">
        <w:rPr>
          <w:rFonts w:ascii="Calibri" w:hAnsi="Calibri" w:cs="Calibri"/>
          <w:vertAlign w:val="superscript"/>
          <w:lang w:val="en-US"/>
        </w:rPr>
        <w:t>14</w:t>
      </w:r>
      <w:r w:rsidR="007A56AD" w:rsidRPr="00CD42FA">
        <w:rPr>
          <w:rFonts w:ascii="Calibri" w:hAnsi="Calibri" w:cs="Calibri"/>
          <w:lang w:val="en-US"/>
        </w:rPr>
        <w:fldChar w:fldCharType="end"/>
      </w:r>
      <w:r w:rsidRPr="00CD42FA">
        <w:rPr>
          <w:rFonts w:ascii="Calibri" w:hAnsi="Calibri" w:cs="Calibri"/>
          <w:lang w:val="en-US"/>
        </w:rPr>
        <w:t>. However, neutrophils undergo complex, rapid changes in cell shape</w:t>
      </w:r>
      <w:r w:rsidR="00AD64D2" w:rsidRPr="00CD42FA">
        <w:rPr>
          <w:rFonts w:ascii="Calibri" w:hAnsi="Calibri" w:cs="Calibri"/>
          <w:lang w:val="en-US"/>
        </w:rPr>
        <w:t xml:space="preserve"> in vivo</w:t>
      </w:r>
      <w:r w:rsidRPr="00CD42FA">
        <w:rPr>
          <w:rFonts w:ascii="Calibri" w:hAnsi="Calibri" w:cs="Calibri"/>
          <w:lang w:val="en-US"/>
        </w:rPr>
        <w:t>, making the membrane segmentation difficult both in 2D and 3D</w:t>
      </w:r>
      <w:r w:rsidR="007A56AD" w:rsidRPr="00CD42FA">
        <w:rPr>
          <w:rFonts w:ascii="Calibri" w:hAnsi="Calibri" w:cs="Calibri"/>
          <w:lang w:val="en-US"/>
        </w:rPr>
        <w:fldChar w:fldCharType="begin"/>
      </w:r>
      <w:r w:rsidR="0002471A" w:rsidRPr="00CD42FA">
        <w:rPr>
          <w:rFonts w:ascii="Calibri" w:hAnsi="Calibri" w:cs="Calibri"/>
          <w:lang w:val="en-US"/>
        </w:rPr>
        <w:instrText xml:space="preserve"> ADDIN ZOTERO_ITEM CSL_CITATION {"citationID":"QW8fgMT5","properties":{"formattedCitation":"\\super 14\\nosupersub{}","plainCitation":"14","noteIndex":0},"citationItems":[{"id":711,"uris":["http://zotero.org/users/5010385/items/22KQ8LRX"],"uri":["http://zotero.org/users/5010385/items/22KQ8LRX"],"itemData":{"id":711,"type":"article-journal","abstract":"Immune cells congregate at specific loci to fight infections during inflammatory responses, a process that must be transient and self-resolving. Cell dispersal promotes resolution, but it remains unclear how transition from clustering to dispersal is regulated. Here we show, using quantitative live imaging in zebrafish, that differential ligand-induced trafficking of chemokine receptors such as Cxcr1 and Cxcr2 orchestrates the state of neutrophil congregation at sites of tissue damage. Through receptor mutagenesis and biosensors, we show that Cxcr1 promotes clustering at wound sites, but is promptly desensitized and internalized, which prevents excess congregation. By contrast, Cxcr2 promotes bidirectional motility and is sustained at the plasma membrane. Persistent plasma membrane residence of Cxcr2 prolongs downstream signaling and is required for sustained exploratory motion conducive to dispersal. Thus, differential trafficking of two chemokine receptors allows coordination of antagonistic cell behaviors, promoting a self-resolving migratory response.","container-title":"Nature Communications","DOI":"10.1038/s41467-019-13107-3","ISSN":"2041-1723","issue":"1","journalAbbreviation":"Nat Commun","language":"eng","note":"PMID: 31727891\nPMCID: PMC6856356","page":"5166","source":"PubMed","title":"Chemokine receptor trafficking coordinates neutrophil clustering and dispersal at wounds in zebrafish","volume":"10","author":[{"family":"Coombs","given":"Caroline"},{"family":"Georgantzoglou","given":"Antonios"},{"family":"Walker","given":"Hazel A."},{"family":"Patt","given":"Julian"},{"family":"Merten","given":"Nicole"},{"family":"Poplimont","given":"Hugo"},{"family":"Busch-Nentwich","given":"Elisabeth M."},{"family":"Williams","given":"Sarah"},{"family":"Kotsi","given":"Christina"},{"family":"Kostenis","given":"Evi"},{"family":"Sarris","given":"Milka"}],"issued":{"date-parts":[["2019",11,14]]}}}],"schema":"https://github.com/citation-style-language/schema/raw/master/csl-citation.json"} </w:instrText>
      </w:r>
      <w:r w:rsidR="007A56AD" w:rsidRPr="00CD42FA">
        <w:rPr>
          <w:rFonts w:ascii="Calibri" w:hAnsi="Calibri" w:cs="Calibri"/>
          <w:lang w:val="en-US"/>
        </w:rPr>
        <w:fldChar w:fldCharType="separate"/>
      </w:r>
      <w:r w:rsidR="000D4262" w:rsidRPr="00CD42FA">
        <w:rPr>
          <w:rFonts w:ascii="Calibri" w:hAnsi="Calibri" w:cs="Calibri"/>
          <w:vertAlign w:val="superscript"/>
          <w:lang w:val="en-US"/>
        </w:rPr>
        <w:t>14</w:t>
      </w:r>
      <w:r w:rsidR="007A56AD" w:rsidRPr="00CD42FA">
        <w:rPr>
          <w:rFonts w:ascii="Calibri" w:hAnsi="Calibri" w:cs="Calibri"/>
          <w:lang w:val="en-US"/>
        </w:rPr>
        <w:fldChar w:fldCharType="end"/>
      </w:r>
      <w:r w:rsidRPr="00CD42FA">
        <w:rPr>
          <w:rFonts w:ascii="Calibri" w:hAnsi="Calibri" w:cs="Calibri"/>
          <w:lang w:val="en-US"/>
        </w:rPr>
        <w:t>. This is even more challenging when neutrophils cluster, which occurs in many physiological settings</w:t>
      </w:r>
      <w:r w:rsidR="007A56AD" w:rsidRPr="00CD42FA">
        <w:rPr>
          <w:rFonts w:ascii="Calibri" w:hAnsi="Calibri" w:cs="Calibri"/>
          <w:lang w:val="en-US"/>
        </w:rPr>
        <w:fldChar w:fldCharType="begin"/>
      </w:r>
      <w:r w:rsidR="0002471A" w:rsidRPr="00CD42FA">
        <w:rPr>
          <w:rFonts w:ascii="Calibri" w:hAnsi="Calibri" w:cs="Calibri"/>
          <w:lang w:val="en-US"/>
        </w:rPr>
        <w:instrText xml:space="preserve"> ADDIN ZOTERO_ITEM CSL_CITATION {"citationID":"2fo48NKm","properties":{"formattedCitation":"\\super 29\\nosupersub{}","plainCitation":"29","noteIndex":0},"citationItems":[{"id":76,"uris":["http://zotero.org/users/5010385/items/NE4I253P"],"uri":["http://zotero.org/users/5010385/items/NE4I253P"],"itemData":{"id":76,"type":"article-journal","abstract":"Neutrophil infiltration into inflamed and infected tissues is a fundamental process of the innate immune response. While neutrophil interactions with the blood vessel wall have been intensely studied over the last decades, neutrophil dynamics beyond the vasculature have for a long time remained poorly investigated. Recent intravital microscopy studies of neutrophil populations directly at the site of tissue damage or microbial invasion have changed our perspective on neutrophil responses within tissues. Swarm-like migration patterns of neutrophils, referred to as 'neutrophil swarming', have been detected in diverse tissues under conditions of sterile inflammation and infection with various pathogens, including bacteria, fungi, and parasites. Current work has begun to unravel the molecular pathways choreographing the sequential phases of highly coordinated chemotaxis followed by neutrophil accumulation and the formation of substantial neutrophil clusters. It is now clear that intercellular communication among neutrophils amplifies their recruitment in a feed-forward manner, which provides them with a level of self-organization during neutrophil swarming. This review will summarize recent developments and current concepts on neutrophil swarming, an important process of the neutrophil tissue response with a critical role in maintaining the balance between host protection and inflammation-driven tissue destruction.","container-title":"Immunological Reviews","DOI":"10.1111/imr.12458","ISSN":"1600-065X","issue":"1","journalAbbreviation":"Immunol. Rev.","language":"eng","note":"PMID: 27558329","page":"76-93","source":"PubMed","title":"Neutrophil swarming: an essential process of the neutrophil tissue response","title-short":"Neutrophil swarming","volume":"273","author":[{"family":"Kienle","given":"Korbinian"},{"family":"Lämmermann","given":"Tim"}],"issued":{"date-parts":[["2016",9]]}}}],"schema":"https://github.com/citation-style-language/schema/raw/master/csl-citation.json"} </w:instrText>
      </w:r>
      <w:r w:rsidR="007A56AD" w:rsidRPr="00CD42FA">
        <w:rPr>
          <w:rFonts w:ascii="Calibri" w:hAnsi="Calibri" w:cs="Calibri"/>
          <w:lang w:val="en-US"/>
        </w:rPr>
        <w:fldChar w:fldCharType="separate"/>
      </w:r>
      <w:r w:rsidR="0002471A" w:rsidRPr="00CD42FA">
        <w:rPr>
          <w:rFonts w:ascii="Calibri" w:hAnsi="Calibri" w:cs="Calibri"/>
          <w:vertAlign w:val="superscript"/>
          <w:lang w:val="en-US"/>
        </w:rPr>
        <w:t>29</w:t>
      </w:r>
      <w:r w:rsidR="007A56AD" w:rsidRPr="00CD42FA">
        <w:rPr>
          <w:rFonts w:ascii="Calibri" w:hAnsi="Calibri" w:cs="Calibri"/>
          <w:lang w:val="en-US"/>
        </w:rPr>
        <w:fldChar w:fldCharType="end"/>
      </w:r>
      <w:r w:rsidRPr="00CD42FA">
        <w:rPr>
          <w:rFonts w:ascii="Calibri" w:hAnsi="Calibri" w:cs="Calibri"/>
          <w:lang w:val="en-US"/>
        </w:rPr>
        <w:t>.</w:t>
      </w:r>
      <w:r w:rsidR="00CA44AD">
        <w:rPr>
          <w:rFonts w:ascii="Calibri" w:hAnsi="Calibri" w:cs="Calibri"/>
          <w:lang w:val="en-US"/>
        </w:rPr>
        <w:t xml:space="preserve"> </w:t>
      </w:r>
      <w:r w:rsidR="00850C56" w:rsidRPr="00CD42FA">
        <w:rPr>
          <w:rFonts w:ascii="Calibri" w:hAnsi="Calibri" w:cs="Calibri"/>
          <w:lang w:val="en-US"/>
        </w:rPr>
        <w:t xml:space="preserve">The contrast metric overcomes this limitation as it does not require membrane segmentation but instead reflects the overall </w:t>
      </w:r>
      <w:r w:rsidR="00EA645F" w:rsidRPr="00CD42FA">
        <w:rPr>
          <w:rFonts w:ascii="Calibri" w:hAnsi="Calibri" w:cs="Calibri"/>
          <w:lang w:val="en-US"/>
        </w:rPr>
        <w:t>state</w:t>
      </w:r>
      <w:r w:rsidR="00850C56" w:rsidRPr="00CD42FA">
        <w:rPr>
          <w:rFonts w:ascii="Calibri" w:hAnsi="Calibri" w:cs="Calibri"/>
          <w:lang w:val="en-US"/>
        </w:rPr>
        <w:t xml:space="preserve"> of receptor distribution in the cell (membranous/smooth vs vesicular/dotty). </w:t>
      </w:r>
      <w:r w:rsidRPr="00CD42FA">
        <w:rPr>
          <w:rFonts w:ascii="Calibri" w:hAnsi="Calibri" w:cs="Calibri"/>
          <w:lang w:val="en-US"/>
        </w:rPr>
        <w:t xml:space="preserve">It is important to note that contrast metric can be affected by the overall contrast of the image, so </w:t>
      </w:r>
      <w:r w:rsidR="004C417D" w:rsidRPr="00CD42FA">
        <w:rPr>
          <w:rFonts w:ascii="Calibri" w:hAnsi="Calibri" w:cs="Calibri"/>
          <w:lang w:val="en-US"/>
        </w:rPr>
        <w:t xml:space="preserve">normalization </w:t>
      </w:r>
      <w:r w:rsidRPr="00CD42FA">
        <w:rPr>
          <w:rFonts w:ascii="Calibri" w:hAnsi="Calibri" w:cs="Calibri"/>
          <w:lang w:val="en-US"/>
        </w:rPr>
        <w:t>of individual cell values to an internal reference is required</w:t>
      </w:r>
      <w:r w:rsidR="00163CA9" w:rsidRPr="00CD42FA">
        <w:rPr>
          <w:rFonts w:ascii="Calibri" w:hAnsi="Calibri" w:cs="Calibri"/>
          <w:lang w:val="en-US"/>
        </w:rPr>
        <w:t xml:space="preserve"> to account for variability of signal in different embryos/samples</w:t>
      </w:r>
      <w:r w:rsidRPr="00CD42FA">
        <w:rPr>
          <w:rFonts w:ascii="Calibri" w:hAnsi="Calibri" w:cs="Calibri"/>
          <w:lang w:val="en-US"/>
        </w:rPr>
        <w:t>. For example, we used the mean cell contrast value of non-responsive neutrophils in the CHT (i.e.</w:t>
      </w:r>
      <w:r w:rsidR="005C35E4" w:rsidRPr="00CD42FA">
        <w:rPr>
          <w:rFonts w:ascii="Calibri" w:hAnsi="Calibri" w:cs="Calibri"/>
          <w:lang w:val="en-US"/>
        </w:rPr>
        <w:t>,</w:t>
      </w:r>
      <w:r w:rsidRPr="00CD42FA">
        <w:rPr>
          <w:rFonts w:ascii="Calibri" w:hAnsi="Calibri" w:cs="Calibri"/>
          <w:lang w:val="en-US"/>
        </w:rPr>
        <w:t xml:space="preserve"> neutrophils that remain stationary and do not migrate into the ventral fin)</w:t>
      </w:r>
      <w:r w:rsidR="007A56AD" w:rsidRPr="00CD42FA">
        <w:rPr>
          <w:rFonts w:ascii="Calibri" w:hAnsi="Calibri" w:cs="Calibri"/>
          <w:lang w:val="en-US"/>
        </w:rPr>
        <w:fldChar w:fldCharType="begin"/>
      </w:r>
      <w:r w:rsidR="0002471A" w:rsidRPr="00CD42FA">
        <w:rPr>
          <w:rFonts w:ascii="Calibri" w:hAnsi="Calibri" w:cs="Calibri"/>
          <w:lang w:val="en-US"/>
        </w:rPr>
        <w:instrText xml:space="preserve"> ADDIN ZOTERO_ITEM CSL_CITATION {"citationID":"yOlzN1Ic","properties":{"formattedCitation":"\\super 14\\nosupersub{}","plainCitation":"14","noteIndex":0},"citationItems":[{"id":711,"uris":["http://zotero.org/users/5010385/items/22KQ8LRX"],"uri":["http://zotero.org/users/5010385/items/22KQ8LRX"],"itemData":{"id":711,"type":"article-journal","abstract":"Immune cells congregate at specific loci to fight infections during inflammatory responses, a process that must be transient and self-resolving. Cell dispersal promotes resolution, but it remains unclear how transition from clustering to dispersal is regulated. Here we show, using quantitative live imaging in zebrafish, that differential ligand-induced trafficking of chemokine receptors such as Cxcr1 and Cxcr2 orchestrates the state of neutrophil congregation at sites of tissue damage. Through receptor mutagenesis and biosensors, we show that Cxcr1 promotes clustering at wound sites, but is promptly desensitized and internalized, which prevents excess congregation. By contrast, Cxcr2 promotes bidirectional motility and is sustained at the plasma membrane. Persistent plasma membrane residence of Cxcr2 prolongs downstream signaling and is required for sustained exploratory motion conducive to dispersal. Thus, differential trafficking of two chemokine receptors allows coordination of antagonistic cell behaviors, promoting a self-resolving migratory response.","container-title":"Nature Communications","DOI":"10.1038/s41467-019-13107-3","ISSN":"2041-1723","issue":"1","journalAbbreviation":"Nat Commun","language":"eng","note":"PMID: 31727891\nPMCID: PMC6856356","page":"5166","source":"PubMed","title":"Chemokine receptor trafficking coordinates neutrophil clustering and dispersal at wounds in zebrafish","volume":"10","author":[{"family":"Coombs","given":"Caroline"},{"family":"Georgantzoglou","given":"Antonios"},{"family":"Walker","given":"Hazel A."},{"family":"Patt","given":"Julian"},{"family":"Merten","given":"Nicole"},{"family":"Poplimont","given":"Hugo"},{"family":"Busch-Nentwich","given":"Elisabeth M."},{"family":"Williams","given":"Sarah"},{"family":"Kotsi","given":"Christina"},{"family":"Kostenis","given":"Evi"},{"family":"Sarris","given":"Milka"}],"issued":{"date-parts":[["2019",11,14]]}}}],"schema":"https://github.com/citation-style-language/schema/raw/master/csl-citation.json"} </w:instrText>
      </w:r>
      <w:r w:rsidR="007A56AD" w:rsidRPr="00CD42FA">
        <w:rPr>
          <w:rFonts w:ascii="Calibri" w:hAnsi="Calibri" w:cs="Calibri"/>
          <w:lang w:val="en-US"/>
        </w:rPr>
        <w:fldChar w:fldCharType="separate"/>
      </w:r>
      <w:r w:rsidR="000D4262" w:rsidRPr="00CD42FA">
        <w:rPr>
          <w:rFonts w:ascii="Calibri" w:hAnsi="Calibri" w:cs="Calibri"/>
          <w:vertAlign w:val="superscript"/>
          <w:lang w:val="en-US"/>
        </w:rPr>
        <w:t>14</w:t>
      </w:r>
      <w:r w:rsidR="007A56AD" w:rsidRPr="00CD42FA">
        <w:rPr>
          <w:rFonts w:ascii="Calibri" w:hAnsi="Calibri" w:cs="Calibri"/>
          <w:lang w:val="en-US"/>
        </w:rPr>
        <w:fldChar w:fldCharType="end"/>
      </w:r>
      <w:r w:rsidRPr="00CD42FA">
        <w:rPr>
          <w:rFonts w:ascii="Calibri" w:hAnsi="Calibri" w:cs="Calibri"/>
          <w:lang w:val="en-US"/>
        </w:rPr>
        <w:t xml:space="preserve">. An additional possibility would be to </w:t>
      </w:r>
      <w:r w:rsidR="004C417D" w:rsidRPr="00CD42FA">
        <w:rPr>
          <w:rFonts w:ascii="Calibri" w:hAnsi="Calibri" w:cs="Calibri"/>
          <w:lang w:val="en-US"/>
        </w:rPr>
        <w:t xml:space="preserve">normalize </w:t>
      </w:r>
      <w:r w:rsidRPr="00CD42FA">
        <w:rPr>
          <w:rFonts w:ascii="Calibri" w:hAnsi="Calibri" w:cs="Calibri"/>
          <w:lang w:val="en-US"/>
        </w:rPr>
        <w:t>with contrast values of a control marker in the same cell. This would provide a solution when an internal reference of non-responding cells is not available and may likely resolve finer quantitative differences in receptor dynamics between different conditions.</w:t>
      </w:r>
      <w:r w:rsidR="002610EB" w:rsidRPr="00CD42FA">
        <w:rPr>
          <w:rFonts w:ascii="Calibri" w:hAnsi="Calibri" w:cs="Calibri"/>
          <w:lang w:val="en-US"/>
        </w:rPr>
        <w:t xml:space="preserve"> </w:t>
      </w:r>
    </w:p>
    <w:p w14:paraId="35D8D559" w14:textId="16CA0854" w:rsidR="00003FDF" w:rsidRPr="00CD42FA" w:rsidRDefault="00003FDF" w:rsidP="005C35E4">
      <w:pPr>
        <w:jc w:val="both"/>
        <w:rPr>
          <w:rFonts w:ascii="Calibri" w:hAnsi="Calibri" w:cs="Calibri"/>
          <w:lang w:val="en-US"/>
        </w:rPr>
      </w:pPr>
    </w:p>
    <w:p w14:paraId="41E30928" w14:textId="79688AE7" w:rsidR="00003FDF" w:rsidRPr="00CD42FA" w:rsidRDefault="5B7C489D" w:rsidP="005C35E4">
      <w:pPr>
        <w:jc w:val="both"/>
        <w:rPr>
          <w:rFonts w:ascii="Calibri" w:hAnsi="Calibri" w:cs="Calibri"/>
          <w:lang w:val="en-US"/>
        </w:rPr>
      </w:pPr>
      <w:r w:rsidRPr="00CD42FA">
        <w:rPr>
          <w:rFonts w:ascii="Calibri" w:hAnsi="Calibri" w:cs="Calibri"/>
          <w:lang w:val="en-US"/>
        </w:rPr>
        <w:t>The location of imaging is another variable to consider. The reason for choosing the ventral fin wound here, as opposed to the more commonly used tail fin wound model</w:t>
      </w:r>
      <w:r w:rsidR="00A51100" w:rsidRPr="00CD42FA">
        <w:rPr>
          <w:rFonts w:ascii="Calibri" w:hAnsi="Calibri" w:cs="Calibri"/>
          <w:lang w:val="en-US"/>
        </w:rPr>
        <w:fldChar w:fldCharType="begin"/>
      </w:r>
      <w:r w:rsidR="0002471A" w:rsidRPr="00CD42FA">
        <w:rPr>
          <w:rFonts w:ascii="Calibri" w:hAnsi="Calibri" w:cs="Calibri"/>
          <w:lang w:val="en-US"/>
        </w:rPr>
        <w:instrText xml:space="preserve"> ADDIN ZOTERO_ITEM CSL_CITATION {"citationID":"NILN66mg","properties":{"formattedCitation":"\\super 16, 30\\nosupersub{}","plainCitation":"16, 30","noteIndex":0},"citationItems":[{"id":274,"uris":["http://zotero.org/users/5010385/items/7ZCNI76W"],"uri":["http://zotero.org/users/5010385/items/7ZCNI76W"],"itemData":{"id":274,"type":"article-journal","abstract":"We have established an in vivo model for genetic analysis of the inflammatory response by generating a transgenic zebrafish line that expresses GFP under the neutrophil-specific myeloperoxidase promoter. We show that inflammation is induced after transection of the tail of zebrafish larvae and that this inflammation subsequently resolves over a similar time course to mammalian systems. Quantitative data can be generated from this model by counting of fluorescent cells or by digital image analysis. In addition, we show that the resolution of experimentally induced inflammation can be inhibited by the addition of a pancaspase inhibitor, zVD.fmk, demonstrating that experimental manipulation of the resolution of inflammation is possible in this model.","container-title":"Blood","DOI":"10.1182/blood-2006-05-024075","ISSN":"0006-4971","issue":"13","journalAbbreviation":"Blood","language":"eng","note":"PMID: 16926288","page":"3976-3978","source":"PubMed","title":"A transgenic zebrafish model of neutrophilic inflammation","volume":"108","author":[{"family":"Renshaw","given":"Stephen A."},{"family":"Loynes","given":"Catherine A."},{"family":"Trushell","given":"Daniel M. I."},{"family":"Elworthy","given":"Stone"},{"family":"Ingham","given":"Philip W."},{"family":"Whyte","given":"Moira K. B."}],"issued":{"date-parts":[["2006",12,15]]}}},{"id":862,"uris":["http://zotero.org/users/5010385/items/MCSRDALP"],"uri":["http://zotero.org/users/5010385/items/MCSRDALP"],"itemData":{"id":862,"type":"article-journal","container-title":"Journal of Visualized Experiments","DOI":"10.3791/52654","ISSN":"1940-087X","issue":"95","journalAbbreviation":"JoVE","language":"en","page":"52654","source":"DOI.org (Crossref)","title":"Capturing Tissue Repair in Zebrafish Larvae with Time-lapse Brightfield Stereomicroscopy","author":[{"family":"Lisse","given":"Thomas S."},{"family":"Brochu","given":"Elizabeth A."},{"family":"Rieger","given":"Sandra"}],"issued":{"date-parts":[["2015",1,31]]}}}],"schema":"https://github.com/citation-style-language/schema/raw/master/csl-citation.json"} </w:instrText>
      </w:r>
      <w:r w:rsidR="00A51100" w:rsidRPr="00CD42FA">
        <w:rPr>
          <w:rFonts w:ascii="Calibri" w:hAnsi="Calibri" w:cs="Calibri"/>
          <w:lang w:val="en-US"/>
        </w:rPr>
        <w:fldChar w:fldCharType="separate"/>
      </w:r>
      <w:r w:rsidR="0002471A" w:rsidRPr="00CD42FA">
        <w:rPr>
          <w:rFonts w:ascii="Calibri" w:hAnsi="Calibri" w:cs="Calibri"/>
          <w:vertAlign w:val="superscript"/>
          <w:lang w:val="en-US"/>
        </w:rPr>
        <w:t>16,30</w:t>
      </w:r>
      <w:r w:rsidR="00A51100" w:rsidRPr="00CD42FA">
        <w:rPr>
          <w:rFonts w:ascii="Calibri" w:hAnsi="Calibri" w:cs="Calibri"/>
          <w:lang w:val="en-US"/>
        </w:rPr>
        <w:fldChar w:fldCharType="end"/>
      </w:r>
      <w:r w:rsidRPr="00CD42FA">
        <w:rPr>
          <w:rFonts w:ascii="Calibri" w:hAnsi="Calibri" w:cs="Calibri"/>
          <w:lang w:val="en-US"/>
        </w:rPr>
        <w:t xml:space="preserve">, is because the site of wounding is nearby the site of neutrophil residence/migratory origin. This accelerates the </w:t>
      </w:r>
      <w:r w:rsidRPr="00CD42FA">
        <w:rPr>
          <w:rFonts w:ascii="Calibri" w:hAnsi="Calibri" w:cs="Calibri"/>
          <w:lang w:val="en-US"/>
        </w:rPr>
        <w:lastRenderedPageBreak/>
        <w:t xml:space="preserve">timeline of the assay, as it takes relatively little time for neutrophils to arrive. Additionally, it provides the opportunity to capture cell behavior both at the migration origin (CHT) and the target location of interest (wound). This is relevant here, because the spatial and temporal resolution required for subcellular imaging is difficult to combine with a large field of view or multi-position scanning. Thus, the ventral fin wound assay permits tracking of the evolution of the migratory response from the migration origin and simultaneous capturing of unspecific receptor fluctuations in cells that do not respond. As mentioned above, the latter is useful for quantification purposes as it provides an internal reference for unspecific dynamics.  In other systems, it may not be possible to have such an internal reference, in which case </w:t>
      </w:r>
      <w:r w:rsidR="00346397" w:rsidRPr="00CD42FA">
        <w:rPr>
          <w:rFonts w:ascii="Calibri" w:hAnsi="Calibri" w:cs="Calibri"/>
          <w:lang w:val="en-US"/>
        </w:rPr>
        <w:t xml:space="preserve">the contrast values of a co-expressed </w:t>
      </w:r>
      <w:r w:rsidRPr="00CD42FA">
        <w:rPr>
          <w:rFonts w:ascii="Calibri" w:hAnsi="Calibri" w:cs="Calibri"/>
          <w:lang w:val="en-US"/>
        </w:rPr>
        <w:t>membrane marker would provide an alternative contr</w:t>
      </w:r>
      <w:r w:rsidR="00346397" w:rsidRPr="00CD42FA">
        <w:rPr>
          <w:rFonts w:ascii="Calibri" w:hAnsi="Calibri" w:cs="Calibri"/>
          <w:lang w:val="en-US"/>
        </w:rPr>
        <w:t>ol</w:t>
      </w:r>
      <w:r w:rsidRPr="00CD42FA">
        <w:rPr>
          <w:rFonts w:ascii="Calibri" w:hAnsi="Calibri" w:cs="Calibri"/>
          <w:lang w:val="en-US"/>
        </w:rPr>
        <w:t>.</w:t>
      </w:r>
    </w:p>
    <w:p w14:paraId="2CFA6BA1" w14:textId="77777777" w:rsidR="009F55EF" w:rsidRPr="00CD42FA" w:rsidRDefault="009F55EF" w:rsidP="005C35E4">
      <w:pPr>
        <w:jc w:val="both"/>
        <w:rPr>
          <w:rFonts w:ascii="Calibri" w:hAnsi="Calibri" w:cs="Calibri"/>
          <w:lang w:val="en-US"/>
        </w:rPr>
      </w:pPr>
    </w:p>
    <w:p w14:paraId="1E5A2AC6" w14:textId="433A7B4C" w:rsidR="005E2480" w:rsidRPr="00CD42FA" w:rsidRDefault="005E2480" w:rsidP="005C35E4">
      <w:pPr>
        <w:jc w:val="both"/>
        <w:rPr>
          <w:rFonts w:ascii="Calibri" w:hAnsi="Calibri" w:cs="Calibri"/>
          <w:lang w:val="en-US"/>
        </w:rPr>
      </w:pPr>
      <w:r w:rsidRPr="00CD42FA">
        <w:rPr>
          <w:rFonts w:ascii="Calibri" w:hAnsi="Calibri" w:cs="Calibri"/>
          <w:lang w:val="en-US"/>
        </w:rPr>
        <w:t>In summary</w:t>
      </w:r>
      <w:r w:rsidR="00BA22B8" w:rsidRPr="00CD42FA">
        <w:rPr>
          <w:rFonts w:ascii="Calibri" w:hAnsi="Calibri" w:cs="Calibri"/>
          <w:lang w:val="en-US"/>
        </w:rPr>
        <w:t xml:space="preserve">, we anticipate that the </w:t>
      </w:r>
      <w:r w:rsidRPr="00CD42FA">
        <w:rPr>
          <w:rFonts w:ascii="Calibri" w:hAnsi="Calibri" w:cs="Calibri"/>
          <w:lang w:val="en-US"/>
        </w:rPr>
        <w:t>methodology is applicable to other systems</w:t>
      </w:r>
      <w:r w:rsidR="00652C9B" w:rsidRPr="00CD42FA">
        <w:rPr>
          <w:rFonts w:ascii="Calibri" w:hAnsi="Calibri" w:cs="Calibri"/>
          <w:lang w:val="en-US"/>
        </w:rPr>
        <w:t xml:space="preserve"> and can be deployed for a variety of purposes</w:t>
      </w:r>
      <w:r w:rsidRPr="00CD42FA">
        <w:rPr>
          <w:rFonts w:ascii="Calibri" w:hAnsi="Calibri" w:cs="Calibri"/>
          <w:lang w:val="en-US"/>
        </w:rPr>
        <w:t xml:space="preserve">. </w:t>
      </w:r>
      <w:r w:rsidR="00652C9B" w:rsidRPr="00CD42FA">
        <w:rPr>
          <w:rFonts w:ascii="Calibri" w:hAnsi="Calibri" w:cs="Calibri"/>
          <w:lang w:val="en-US"/>
        </w:rPr>
        <w:t>For example, t</w:t>
      </w:r>
      <w:r w:rsidRPr="00CD42FA">
        <w:rPr>
          <w:rFonts w:ascii="Calibri" w:hAnsi="Calibri" w:cs="Calibri"/>
          <w:lang w:val="en-US"/>
        </w:rPr>
        <w:t xml:space="preserve">he same reporters could be </w:t>
      </w:r>
      <w:r w:rsidR="008B1A89" w:rsidRPr="00CD42FA">
        <w:rPr>
          <w:rFonts w:ascii="Calibri" w:hAnsi="Calibri" w:cs="Calibri"/>
          <w:lang w:val="en-US"/>
        </w:rPr>
        <w:t xml:space="preserve">utilized </w:t>
      </w:r>
      <w:r w:rsidRPr="00CD42FA">
        <w:rPr>
          <w:rFonts w:ascii="Calibri" w:hAnsi="Calibri" w:cs="Calibri"/>
          <w:lang w:val="en-US"/>
        </w:rPr>
        <w:t xml:space="preserve">in other inflammatory settings, such as infection settings or </w:t>
      </w:r>
      <w:r w:rsidR="00A100BC" w:rsidRPr="00CD42FA">
        <w:rPr>
          <w:rFonts w:ascii="Calibri" w:hAnsi="Calibri" w:cs="Calibri"/>
          <w:lang w:val="en-US"/>
        </w:rPr>
        <w:t xml:space="preserve">other </w:t>
      </w:r>
      <w:r w:rsidRPr="00CD42FA">
        <w:rPr>
          <w:rFonts w:ascii="Calibri" w:hAnsi="Calibri" w:cs="Calibri"/>
          <w:lang w:val="en-US"/>
        </w:rPr>
        <w:t xml:space="preserve">disease models. The repertoire of </w:t>
      </w:r>
      <w:r w:rsidR="00FD087C" w:rsidRPr="00CD42FA">
        <w:rPr>
          <w:rFonts w:ascii="Calibri" w:hAnsi="Calibri" w:cs="Calibri"/>
          <w:lang w:val="en-US"/>
        </w:rPr>
        <w:t xml:space="preserve">zebrafish receptor </w:t>
      </w:r>
      <w:r w:rsidRPr="00CD42FA">
        <w:rPr>
          <w:rFonts w:ascii="Calibri" w:hAnsi="Calibri" w:cs="Calibri"/>
          <w:lang w:val="en-US"/>
        </w:rPr>
        <w:t xml:space="preserve">reporter </w:t>
      </w:r>
      <w:r w:rsidR="00FD087C" w:rsidRPr="00CD42FA">
        <w:rPr>
          <w:rFonts w:ascii="Calibri" w:hAnsi="Calibri" w:cs="Calibri"/>
          <w:lang w:val="en-US"/>
        </w:rPr>
        <w:t xml:space="preserve">lines </w:t>
      </w:r>
      <w:r w:rsidRPr="00CD42FA">
        <w:rPr>
          <w:rFonts w:ascii="Calibri" w:hAnsi="Calibri" w:cs="Calibri"/>
          <w:lang w:val="en-US"/>
        </w:rPr>
        <w:t xml:space="preserve">could be expanded to other signaling receptors, to understand </w:t>
      </w:r>
      <w:r w:rsidR="00FD087C" w:rsidRPr="00CD42FA">
        <w:rPr>
          <w:rFonts w:ascii="Calibri" w:hAnsi="Calibri" w:cs="Calibri"/>
          <w:lang w:val="en-US"/>
        </w:rPr>
        <w:t>signaling mechanisms</w:t>
      </w:r>
      <w:r w:rsidRPr="00CD42FA">
        <w:rPr>
          <w:rFonts w:ascii="Calibri" w:hAnsi="Calibri" w:cs="Calibri"/>
          <w:lang w:val="en-US"/>
        </w:rPr>
        <w:t xml:space="preserve"> or report ligand dynamics </w:t>
      </w:r>
      <w:r w:rsidRPr="00CA44AD">
        <w:rPr>
          <w:rFonts w:ascii="Calibri" w:hAnsi="Calibri" w:cs="Calibri"/>
          <w:lang w:val="en-US"/>
        </w:rPr>
        <w:t xml:space="preserve">in vivo. </w:t>
      </w:r>
      <w:r w:rsidRPr="00CD42FA">
        <w:rPr>
          <w:rFonts w:ascii="Calibri" w:hAnsi="Calibri" w:cs="Calibri"/>
          <w:lang w:val="en-US"/>
        </w:rPr>
        <w:t xml:space="preserve">The approach can be combined with knockdown/knockout techniques to interrogate the mechanistic basis of observed dynamics. </w:t>
      </w:r>
      <w:r w:rsidR="005766F8" w:rsidRPr="00CD42FA">
        <w:rPr>
          <w:rFonts w:ascii="Calibri" w:hAnsi="Calibri" w:cs="Calibri"/>
          <w:lang w:val="en-US"/>
        </w:rPr>
        <w:t xml:space="preserve">For example, perturbation of ligand expression can indicate the ligand dependency for observed receptor dynamics. </w:t>
      </w:r>
      <w:r w:rsidR="00A100BC" w:rsidRPr="00CD42FA">
        <w:rPr>
          <w:rFonts w:ascii="Calibri" w:hAnsi="Calibri" w:cs="Calibri"/>
          <w:lang w:val="en-US"/>
        </w:rPr>
        <w:t>In the future,</w:t>
      </w:r>
      <w:r w:rsidRPr="00CD42FA">
        <w:rPr>
          <w:rFonts w:ascii="Calibri" w:hAnsi="Calibri" w:cs="Calibri"/>
          <w:lang w:val="en-US"/>
        </w:rPr>
        <w:t xml:space="preserve"> we envisage that the system could be further refined to incorporate knock-in insertion of reporters. </w:t>
      </w:r>
      <w:r w:rsidR="00D72220" w:rsidRPr="00CD42FA">
        <w:rPr>
          <w:rFonts w:ascii="Calibri" w:hAnsi="Calibri" w:cs="Calibri"/>
          <w:lang w:val="en-US"/>
        </w:rPr>
        <w:t xml:space="preserve">Ultimately, </w:t>
      </w:r>
      <w:r w:rsidR="00FD087C" w:rsidRPr="00CD42FA">
        <w:rPr>
          <w:rFonts w:ascii="Calibri" w:hAnsi="Calibri" w:cs="Calibri"/>
          <w:lang w:val="en-US"/>
        </w:rPr>
        <w:t>fin</w:t>
      </w:r>
      <w:r w:rsidRPr="00CD42FA">
        <w:rPr>
          <w:rFonts w:ascii="Calibri" w:hAnsi="Calibri" w:cs="Calibri"/>
          <w:lang w:val="en-US"/>
        </w:rPr>
        <w:t xml:space="preserve">dings </w:t>
      </w:r>
      <w:r w:rsidR="00FD087C" w:rsidRPr="00CD42FA">
        <w:rPr>
          <w:rFonts w:ascii="Calibri" w:hAnsi="Calibri" w:cs="Calibri"/>
          <w:lang w:val="en-US"/>
        </w:rPr>
        <w:t xml:space="preserve">using this methodology </w:t>
      </w:r>
      <w:r w:rsidRPr="00CD42FA">
        <w:rPr>
          <w:rFonts w:ascii="Calibri" w:hAnsi="Calibri" w:cs="Calibri"/>
          <w:lang w:val="en-US"/>
        </w:rPr>
        <w:t xml:space="preserve">would provide novel insights valuable </w:t>
      </w:r>
      <w:r w:rsidR="00FD087C" w:rsidRPr="00CD42FA">
        <w:rPr>
          <w:rFonts w:ascii="Calibri" w:hAnsi="Calibri" w:cs="Calibri"/>
          <w:lang w:val="en-US"/>
        </w:rPr>
        <w:t xml:space="preserve">beyond the zebrafish </w:t>
      </w:r>
      <w:r w:rsidRPr="00CD42FA">
        <w:rPr>
          <w:rFonts w:ascii="Calibri" w:hAnsi="Calibri" w:cs="Calibri"/>
          <w:lang w:val="en-US"/>
        </w:rPr>
        <w:t>community</w:t>
      </w:r>
      <w:r w:rsidR="00FD087C" w:rsidRPr="00CD42FA">
        <w:rPr>
          <w:rFonts w:ascii="Calibri" w:hAnsi="Calibri" w:cs="Calibri"/>
          <w:lang w:val="en-US"/>
        </w:rPr>
        <w:t>, given the conservation of these signaling receptors in mammals</w:t>
      </w:r>
      <w:r w:rsidRPr="00CD42FA">
        <w:rPr>
          <w:rFonts w:ascii="Calibri" w:hAnsi="Calibri" w:cs="Calibri"/>
          <w:lang w:val="en-US"/>
        </w:rPr>
        <w:t xml:space="preserve"> </w:t>
      </w:r>
      <w:r w:rsidR="00FD087C" w:rsidRPr="00CD42FA">
        <w:rPr>
          <w:rFonts w:ascii="Calibri" w:hAnsi="Calibri" w:cs="Calibri"/>
          <w:lang w:val="en-US"/>
        </w:rPr>
        <w:t xml:space="preserve">and the relative challenge of conducting these studies in </w:t>
      </w:r>
      <w:r w:rsidR="00FF3B8F" w:rsidRPr="00CD42FA">
        <w:rPr>
          <w:rFonts w:ascii="Calibri" w:hAnsi="Calibri" w:cs="Calibri"/>
          <w:lang w:val="en-US"/>
        </w:rPr>
        <w:t>larger</w:t>
      </w:r>
      <w:r w:rsidR="00FD087C" w:rsidRPr="00CD42FA">
        <w:rPr>
          <w:rFonts w:ascii="Calibri" w:hAnsi="Calibri" w:cs="Calibri"/>
          <w:lang w:val="en-US"/>
        </w:rPr>
        <w:t xml:space="preserve"> organisms.</w:t>
      </w:r>
    </w:p>
    <w:p w14:paraId="78728D18" w14:textId="706614AE" w:rsidR="00014314" w:rsidRPr="00CD42FA" w:rsidRDefault="00014314" w:rsidP="005C35E4">
      <w:pPr>
        <w:jc w:val="both"/>
        <w:rPr>
          <w:rFonts w:ascii="Calibri" w:hAnsi="Calibri" w:cs="Calibri"/>
          <w:lang w:val="en-US"/>
        </w:rPr>
      </w:pPr>
    </w:p>
    <w:p w14:paraId="1734505F" w14:textId="64AF99A1" w:rsidR="00AA03DF" w:rsidRPr="00CD42FA" w:rsidRDefault="00AA03DF" w:rsidP="005C35E4">
      <w:pPr>
        <w:pStyle w:val="NoSpacing"/>
        <w:jc w:val="both"/>
        <w:rPr>
          <w:rFonts w:ascii="Calibri" w:hAnsi="Calibri" w:cs="Calibri"/>
          <w:lang w:val="en-US"/>
        </w:rPr>
      </w:pPr>
      <w:r w:rsidRPr="00CD42FA">
        <w:rPr>
          <w:rFonts w:ascii="Calibri" w:hAnsi="Calibri" w:cs="Calibri"/>
          <w:b/>
          <w:bCs/>
          <w:lang w:val="en-US"/>
        </w:rPr>
        <w:t xml:space="preserve">ACKNOWLEDGMENTS: </w:t>
      </w:r>
    </w:p>
    <w:p w14:paraId="55A1EA60" w14:textId="0CBC3179" w:rsidR="001F3251" w:rsidRPr="00CD42FA" w:rsidRDefault="00246944" w:rsidP="005C35E4">
      <w:pPr>
        <w:pStyle w:val="NoSpacing"/>
        <w:jc w:val="both"/>
        <w:rPr>
          <w:rFonts w:ascii="Calibri" w:hAnsi="Calibri" w:cs="Calibri"/>
          <w:lang w:val="en-US"/>
        </w:rPr>
      </w:pPr>
      <w:r w:rsidRPr="00CD42FA">
        <w:rPr>
          <w:rFonts w:ascii="Calibri" w:hAnsi="Calibri" w:cs="Calibri"/>
          <w:lang w:val="en-US"/>
        </w:rPr>
        <w:t>We thank Christine Holt and Bill Harris for help with confocal microscopy. We thank Darren Gilmour for the fluorescent timer backbone constructs and Anna Huttenlocher for the Tol2-Lyz backbone vector. We thank Steve Renshaw for the Tg(</w:t>
      </w:r>
      <w:r w:rsidRPr="00CD42FA">
        <w:rPr>
          <w:rFonts w:ascii="Calibri" w:hAnsi="Calibri" w:cs="Calibri"/>
          <w:i/>
          <w:lang w:val="en-US"/>
        </w:rPr>
        <w:t>mpx</w:t>
      </w:r>
      <w:r w:rsidRPr="00CD42FA">
        <w:rPr>
          <w:rFonts w:ascii="Calibri" w:hAnsi="Calibri" w:cs="Calibri"/>
          <w:lang w:val="en-US"/>
        </w:rPr>
        <w:t>:GFP)</w:t>
      </w:r>
      <w:r w:rsidRPr="00CD42FA">
        <w:rPr>
          <w:rFonts w:ascii="Calibri" w:hAnsi="Calibri" w:cs="Calibri"/>
          <w:vertAlign w:val="superscript"/>
          <w:lang w:val="en-US"/>
        </w:rPr>
        <w:t>i114</w:t>
      </w:r>
      <w:r w:rsidRPr="00CD42FA">
        <w:rPr>
          <w:rFonts w:ascii="Calibri" w:hAnsi="Calibri" w:cs="Calibri"/>
          <w:lang w:val="en-US"/>
        </w:rPr>
        <w:t xml:space="preserve"> line. This work was supported by the MRC (MR/L019523/1)</w:t>
      </w:r>
      <w:r w:rsidR="001F3251" w:rsidRPr="00CD42FA">
        <w:rPr>
          <w:rFonts w:ascii="Calibri" w:hAnsi="Calibri" w:cs="Calibri"/>
          <w:lang w:val="en-US"/>
        </w:rPr>
        <w:t>,</w:t>
      </w:r>
      <w:r w:rsidRPr="00CD42FA">
        <w:rPr>
          <w:rFonts w:ascii="Calibri" w:hAnsi="Calibri" w:cs="Calibri"/>
          <w:lang w:val="en-US"/>
        </w:rPr>
        <w:t xml:space="preserve"> the Wellcome Trust [204845/Z/16/Z]; Isaac Newton Trust [12.21(a)i]</w:t>
      </w:r>
      <w:r w:rsidR="001F3251" w:rsidRPr="00CD42FA">
        <w:rPr>
          <w:rFonts w:ascii="Calibri" w:hAnsi="Calibri" w:cs="Calibri"/>
          <w:lang w:val="en-US"/>
        </w:rPr>
        <w:t xml:space="preserve"> and an Isaac Newton Trust grant 19.23(n)</w:t>
      </w:r>
      <w:r w:rsidRPr="00CD42FA">
        <w:rPr>
          <w:rFonts w:ascii="Calibri" w:hAnsi="Calibri" w:cs="Calibri"/>
          <w:lang w:val="en-US"/>
        </w:rPr>
        <w:t>. C. C was supported by an MRC DTP studentship and partly by the Wellcome Trust [204845/Z/16/Z]; Isaac Newton Trust [12.21(a)i] grant. H.W. was supported by an MRC DTP Studentship</w:t>
      </w:r>
      <w:r w:rsidR="001F3251" w:rsidRPr="00CD42FA">
        <w:rPr>
          <w:rFonts w:ascii="Calibri" w:hAnsi="Calibri" w:cs="Calibri"/>
          <w:lang w:val="en-US"/>
        </w:rPr>
        <w:t>.</w:t>
      </w:r>
      <w:r w:rsidRPr="00CD42FA">
        <w:rPr>
          <w:rFonts w:ascii="Calibri" w:hAnsi="Calibri" w:cs="Calibri"/>
          <w:lang w:val="en-US"/>
        </w:rPr>
        <w:t xml:space="preserve"> H.P. was supported by </w:t>
      </w:r>
      <w:r w:rsidR="001F3251" w:rsidRPr="00CD42FA">
        <w:rPr>
          <w:rFonts w:ascii="Calibri" w:hAnsi="Calibri" w:cs="Calibri"/>
          <w:lang w:val="en-US"/>
        </w:rPr>
        <w:t>a Wellcome Trust PhD grant (105391/Z/14/Z) and partly by a</w:t>
      </w:r>
      <w:r w:rsidRPr="00CD42FA">
        <w:rPr>
          <w:rFonts w:ascii="Calibri" w:hAnsi="Calibri" w:cs="Calibri"/>
          <w:lang w:val="en-US"/>
        </w:rPr>
        <w:t xml:space="preserve"> Wellcome Trust [204845/Z/16/Z]; Isaac Newton Trust [12.21(a)i] grant</w:t>
      </w:r>
      <w:r w:rsidR="001F3251" w:rsidRPr="00CD42FA">
        <w:rPr>
          <w:rFonts w:ascii="Calibri" w:hAnsi="Calibri" w:cs="Calibri"/>
          <w:lang w:val="en-US"/>
        </w:rPr>
        <w:t xml:space="preserve"> and the MRC (MR/L019523/1)</w:t>
      </w:r>
      <w:r w:rsidRPr="00CD42FA">
        <w:rPr>
          <w:rFonts w:ascii="Calibri" w:hAnsi="Calibri" w:cs="Calibri"/>
          <w:lang w:val="en-US"/>
        </w:rPr>
        <w:t xml:space="preserve">. </w:t>
      </w:r>
    </w:p>
    <w:p w14:paraId="2D96E92E" w14:textId="72F287DC" w:rsidR="00AA03DF" w:rsidRPr="00CD42FA" w:rsidRDefault="00AA03DF" w:rsidP="005C35E4">
      <w:pPr>
        <w:jc w:val="both"/>
        <w:rPr>
          <w:rFonts w:ascii="Calibri" w:hAnsi="Calibri" w:cs="Calibri"/>
          <w:b/>
          <w:bCs/>
          <w:lang w:val="en-US"/>
        </w:rPr>
      </w:pPr>
    </w:p>
    <w:p w14:paraId="5D52ED8B" w14:textId="10652C42" w:rsidR="00AA03DF" w:rsidRPr="00CD42FA" w:rsidRDefault="00AA03DF" w:rsidP="005C35E4">
      <w:pPr>
        <w:pStyle w:val="NormalWeb"/>
        <w:spacing w:before="0" w:beforeAutospacing="0" w:after="0" w:afterAutospacing="0"/>
        <w:rPr>
          <w:color w:val="auto"/>
        </w:rPr>
      </w:pPr>
      <w:r w:rsidRPr="00CD42FA">
        <w:rPr>
          <w:b/>
          <w:color w:val="auto"/>
        </w:rPr>
        <w:t>DISCLOSURES</w:t>
      </w:r>
      <w:r w:rsidRPr="00CD42FA">
        <w:rPr>
          <w:b/>
          <w:bCs/>
          <w:color w:val="auto"/>
        </w:rPr>
        <w:t xml:space="preserve">: </w:t>
      </w:r>
    </w:p>
    <w:p w14:paraId="4E0C3135" w14:textId="3C3D90F5" w:rsidR="007A4DD6" w:rsidRPr="00CD42FA" w:rsidRDefault="00C15C5B" w:rsidP="005C35E4">
      <w:pPr>
        <w:jc w:val="both"/>
        <w:rPr>
          <w:rFonts w:ascii="Calibri" w:hAnsi="Calibri" w:cs="Calibri"/>
          <w:lang w:val="en-US"/>
        </w:rPr>
      </w:pPr>
      <w:r w:rsidRPr="00CD42FA">
        <w:rPr>
          <w:rFonts w:ascii="Calibri" w:hAnsi="Calibri" w:cs="Calibri"/>
          <w:lang w:val="en-US"/>
        </w:rPr>
        <w:t>The authors declare no conflict of interest</w:t>
      </w:r>
    </w:p>
    <w:p w14:paraId="66030076" w14:textId="77777777" w:rsidR="00AA03DF" w:rsidRPr="00CD42FA" w:rsidRDefault="00AA03DF" w:rsidP="005C35E4">
      <w:pPr>
        <w:jc w:val="both"/>
        <w:rPr>
          <w:rFonts w:ascii="Calibri" w:hAnsi="Calibri" w:cs="Calibri"/>
          <w:lang w:val="en-US"/>
        </w:rPr>
      </w:pPr>
    </w:p>
    <w:p w14:paraId="315B4FAD" w14:textId="1F178103" w:rsidR="00B32616" w:rsidRPr="00CD42FA" w:rsidRDefault="009726EE" w:rsidP="005C35E4">
      <w:pPr>
        <w:jc w:val="both"/>
        <w:rPr>
          <w:rFonts w:ascii="Calibri" w:hAnsi="Calibri" w:cs="Calibri"/>
          <w:b/>
          <w:lang w:val="en-US"/>
        </w:rPr>
      </w:pPr>
      <w:r w:rsidRPr="00CD42FA">
        <w:rPr>
          <w:rFonts w:ascii="Calibri" w:hAnsi="Calibri" w:cs="Calibri"/>
          <w:b/>
          <w:bCs/>
          <w:lang w:val="en-US"/>
        </w:rPr>
        <w:t>REFERENCES</w:t>
      </w:r>
      <w:r w:rsidR="00D04760" w:rsidRPr="00CD42FA">
        <w:rPr>
          <w:rFonts w:ascii="Calibri" w:hAnsi="Calibri" w:cs="Calibri"/>
          <w:b/>
          <w:bCs/>
          <w:lang w:val="en-US"/>
        </w:rPr>
        <w:t>:</w:t>
      </w:r>
      <w:r w:rsidRPr="00CD42FA">
        <w:rPr>
          <w:rFonts w:ascii="Calibri" w:hAnsi="Calibri" w:cs="Calibri"/>
          <w:lang w:val="en-US"/>
        </w:rPr>
        <w:t xml:space="preserve"> </w:t>
      </w:r>
    </w:p>
    <w:p w14:paraId="4B12DEEE" w14:textId="6255E9C2" w:rsidR="0049398F" w:rsidRPr="00CD42FA" w:rsidRDefault="00DA1E36" w:rsidP="005C35E4">
      <w:pPr>
        <w:pStyle w:val="Bibliography"/>
        <w:ind w:left="0" w:firstLine="0"/>
        <w:jc w:val="both"/>
        <w:rPr>
          <w:rFonts w:ascii="Calibri" w:hAnsi="Calibri" w:cs="Calibri"/>
          <w:lang w:val="en-US"/>
        </w:rPr>
      </w:pPr>
      <w:r w:rsidRPr="00CD42FA">
        <w:rPr>
          <w:rFonts w:ascii="Calibri" w:hAnsi="Calibri" w:cs="Calibri"/>
          <w:lang w:val="en-US"/>
        </w:rPr>
        <w:fldChar w:fldCharType="begin"/>
      </w:r>
      <w:r w:rsidR="000D4262" w:rsidRPr="00CD42FA">
        <w:rPr>
          <w:rFonts w:ascii="Calibri" w:hAnsi="Calibri" w:cs="Calibri"/>
          <w:lang w:val="en-US"/>
        </w:rPr>
        <w:instrText xml:space="preserve"> ADDIN ZOTERO_BIBL {"uncited":[],"omitted":[],"custom":[]} CSL_BIBLIOGRAPHY </w:instrText>
      </w:r>
      <w:r w:rsidRPr="00CD42FA">
        <w:rPr>
          <w:rFonts w:ascii="Calibri" w:hAnsi="Calibri" w:cs="Calibri"/>
          <w:lang w:val="en-US"/>
        </w:rPr>
        <w:fldChar w:fldCharType="separate"/>
      </w:r>
      <w:r w:rsidR="0049398F" w:rsidRPr="00CD42FA">
        <w:rPr>
          <w:rFonts w:ascii="Calibri" w:hAnsi="Calibri" w:cs="Calibri"/>
          <w:lang w:val="en-US"/>
        </w:rPr>
        <w:t>1.</w:t>
      </w:r>
      <w:r w:rsidR="0049398F" w:rsidRPr="00CD42FA">
        <w:rPr>
          <w:rFonts w:ascii="Calibri" w:hAnsi="Calibri" w:cs="Calibri"/>
          <w:lang w:val="en-US"/>
        </w:rPr>
        <w:tab/>
        <w:t>Rot, A., von Andrian, U.</w:t>
      </w:r>
      <w:r w:rsidR="00CA44AD">
        <w:rPr>
          <w:rFonts w:ascii="Calibri" w:hAnsi="Calibri" w:cs="Calibri"/>
          <w:lang w:val="en-US"/>
        </w:rPr>
        <w:t xml:space="preserve"> </w:t>
      </w:r>
      <w:r w:rsidR="0049398F" w:rsidRPr="00CD42FA">
        <w:rPr>
          <w:rFonts w:ascii="Calibri" w:hAnsi="Calibri" w:cs="Calibri"/>
          <w:lang w:val="en-US"/>
        </w:rPr>
        <w:t>H. Chemokines in innate and adaptive host defense: basic</w:t>
      </w:r>
      <w:r w:rsidR="005C35E4" w:rsidRPr="00CD42FA">
        <w:rPr>
          <w:rFonts w:ascii="Calibri" w:hAnsi="Calibri" w:cs="Calibri"/>
          <w:lang w:val="en-US"/>
        </w:rPr>
        <w:t xml:space="preserve"> </w:t>
      </w:r>
      <w:r w:rsidR="0049398F" w:rsidRPr="00CD42FA">
        <w:rPr>
          <w:rFonts w:ascii="Calibri" w:hAnsi="Calibri" w:cs="Calibri"/>
          <w:lang w:val="en-US"/>
        </w:rPr>
        <w:t xml:space="preserve">chemokinese grammar for immune cells. </w:t>
      </w:r>
      <w:r w:rsidR="0049398F" w:rsidRPr="00CD42FA">
        <w:rPr>
          <w:rFonts w:ascii="Calibri" w:hAnsi="Calibri" w:cs="Calibri"/>
          <w:i/>
          <w:iCs/>
          <w:lang w:val="en-US"/>
        </w:rPr>
        <w:t>Annual Review of Immunology</w:t>
      </w:r>
      <w:r w:rsidR="0049398F" w:rsidRPr="00CD42FA">
        <w:rPr>
          <w:rFonts w:ascii="Calibri" w:hAnsi="Calibri" w:cs="Calibri"/>
          <w:lang w:val="en-US"/>
        </w:rPr>
        <w:t xml:space="preserve">. </w:t>
      </w:r>
      <w:r w:rsidR="0049398F" w:rsidRPr="00CD42FA">
        <w:rPr>
          <w:rFonts w:ascii="Calibri" w:hAnsi="Calibri" w:cs="Calibri"/>
          <w:b/>
          <w:bCs/>
          <w:lang w:val="en-US"/>
        </w:rPr>
        <w:t>22</w:t>
      </w:r>
      <w:r w:rsidR="0049398F" w:rsidRPr="00CD42FA">
        <w:rPr>
          <w:rFonts w:ascii="Calibri" w:hAnsi="Calibri" w:cs="Calibri"/>
          <w:lang w:val="en-US"/>
        </w:rPr>
        <w:t>, 891–928 (2004).</w:t>
      </w:r>
    </w:p>
    <w:p w14:paraId="2DFF3265" w14:textId="3886575E" w:rsidR="0049398F" w:rsidRPr="00CD42FA" w:rsidRDefault="0049398F" w:rsidP="005C35E4">
      <w:pPr>
        <w:pStyle w:val="Bibliography"/>
        <w:ind w:left="0" w:firstLine="0"/>
        <w:jc w:val="both"/>
        <w:rPr>
          <w:rFonts w:ascii="Calibri" w:hAnsi="Calibri" w:cs="Calibri"/>
          <w:lang w:val="en-US"/>
        </w:rPr>
      </w:pPr>
      <w:r w:rsidRPr="00CD42FA">
        <w:rPr>
          <w:rFonts w:ascii="Calibri" w:hAnsi="Calibri" w:cs="Calibri"/>
          <w:lang w:val="en-US"/>
        </w:rPr>
        <w:t>2.</w:t>
      </w:r>
      <w:r w:rsidRPr="00CD42FA">
        <w:rPr>
          <w:rFonts w:ascii="Calibri" w:hAnsi="Calibri" w:cs="Calibri"/>
          <w:lang w:val="en-US"/>
        </w:rPr>
        <w:tab/>
        <w:t xml:space="preserve">Cotton, M., Claing, A. G protein-coupled receptors stimulation and the control of cell migration. </w:t>
      </w:r>
      <w:r w:rsidRPr="00CD42FA">
        <w:rPr>
          <w:rFonts w:ascii="Calibri" w:hAnsi="Calibri" w:cs="Calibri"/>
          <w:i/>
          <w:iCs/>
          <w:lang w:val="en-US"/>
        </w:rPr>
        <w:t>Cellular Signalling</w:t>
      </w:r>
      <w:r w:rsidRPr="00CD42FA">
        <w:rPr>
          <w:rFonts w:ascii="Calibri" w:hAnsi="Calibri" w:cs="Calibri"/>
          <w:lang w:val="en-US"/>
        </w:rPr>
        <w:t xml:space="preserve">. </w:t>
      </w:r>
      <w:r w:rsidRPr="00CD42FA">
        <w:rPr>
          <w:rFonts w:ascii="Calibri" w:hAnsi="Calibri" w:cs="Calibri"/>
          <w:b/>
          <w:bCs/>
          <w:lang w:val="en-US"/>
        </w:rPr>
        <w:t>21</w:t>
      </w:r>
      <w:r w:rsidRPr="00CD42FA">
        <w:rPr>
          <w:rFonts w:ascii="Calibri" w:hAnsi="Calibri" w:cs="Calibri"/>
          <w:lang w:val="en-US"/>
        </w:rPr>
        <w:t xml:space="preserve"> (7), 1045–1053 (2009).</w:t>
      </w:r>
    </w:p>
    <w:p w14:paraId="323D0FAE" w14:textId="080FCB68" w:rsidR="0049398F" w:rsidRPr="00CD42FA" w:rsidRDefault="0049398F" w:rsidP="005C35E4">
      <w:pPr>
        <w:pStyle w:val="Bibliography"/>
        <w:ind w:left="0" w:firstLine="0"/>
        <w:jc w:val="both"/>
        <w:rPr>
          <w:rFonts w:ascii="Calibri" w:hAnsi="Calibri" w:cs="Calibri"/>
          <w:lang w:val="en-US"/>
        </w:rPr>
      </w:pPr>
      <w:r w:rsidRPr="00CD42FA">
        <w:rPr>
          <w:rFonts w:ascii="Calibri" w:hAnsi="Calibri" w:cs="Calibri"/>
          <w:lang w:val="en-US"/>
        </w:rPr>
        <w:lastRenderedPageBreak/>
        <w:t>3.</w:t>
      </w:r>
      <w:r w:rsidRPr="00CD42FA">
        <w:rPr>
          <w:rFonts w:ascii="Calibri" w:hAnsi="Calibri" w:cs="Calibri"/>
          <w:lang w:val="en-US"/>
        </w:rPr>
        <w:tab/>
        <w:t xml:space="preserve">Liu, X. et al. Bidirectional regulation of neutrophil migration by mitogen-activated protein kinases. </w:t>
      </w:r>
      <w:r w:rsidRPr="00CD42FA">
        <w:rPr>
          <w:rFonts w:ascii="Calibri" w:hAnsi="Calibri" w:cs="Calibri"/>
          <w:i/>
          <w:iCs/>
          <w:lang w:val="en-US"/>
        </w:rPr>
        <w:t>Nature Immunology</w:t>
      </w:r>
      <w:r w:rsidRPr="00CD42FA">
        <w:rPr>
          <w:rFonts w:ascii="Calibri" w:hAnsi="Calibri" w:cs="Calibri"/>
          <w:lang w:val="en-US"/>
        </w:rPr>
        <w:t xml:space="preserve">. </w:t>
      </w:r>
      <w:r w:rsidRPr="00CD42FA">
        <w:rPr>
          <w:rFonts w:ascii="Calibri" w:hAnsi="Calibri" w:cs="Calibri"/>
          <w:b/>
          <w:bCs/>
          <w:lang w:val="en-US"/>
        </w:rPr>
        <w:t>13</w:t>
      </w:r>
      <w:r w:rsidRPr="00CD42FA">
        <w:rPr>
          <w:rFonts w:ascii="Calibri" w:hAnsi="Calibri" w:cs="Calibri"/>
          <w:lang w:val="en-US"/>
        </w:rPr>
        <w:t xml:space="preserve"> (5), 457–464 (2012).</w:t>
      </w:r>
    </w:p>
    <w:p w14:paraId="6B8F4885" w14:textId="43B0272F" w:rsidR="0049398F" w:rsidRPr="00CD42FA" w:rsidRDefault="0049398F" w:rsidP="005C35E4">
      <w:pPr>
        <w:pStyle w:val="Bibliography"/>
        <w:ind w:left="0" w:firstLine="0"/>
        <w:jc w:val="both"/>
        <w:rPr>
          <w:rFonts w:ascii="Calibri" w:hAnsi="Calibri" w:cs="Calibri"/>
          <w:lang w:val="en-US"/>
        </w:rPr>
      </w:pPr>
      <w:r w:rsidRPr="00CD42FA">
        <w:rPr>
          <w:rFonts w:ascii="Calibri" w:hAnsi="Calibri" w:cs="Calibri"/>
          <w:lang w:val="en-US"/>
        </w:rPr>
        <w:t>4.</w:t>
      </w:r>
      <w:r w:rsidRPr="00CD42FA">
        <w:rPr>
          <w:rFonts w:ascii="Calibri" w:hAnsi="Calibri" w:cs="Calibri"/>
          <w:lang w:val="en-US"/>
        </w:rPr>
        <w:tab/>
        <w:t xml:space="preserve">Wen, X., Jin, T., Xu, X. Imaging G Protein-coupled Receptor-mediated Chemotaxis and its Signaling Events in Neutrophil-like HL60 Cells. </w:t>
      </w:r>
      <w:r w:rsidRPr="00CD42FA">
        <w:rPr>
          <w:rFonts w:ascii="Calibri" w:hAnsi="Calibri" w:cs="Calibri"/>
          <w:i/>
          <w:iCs/>
          <w:lang w:val="en-US"/>
        </w:rPr>
        <w:t>Journal of Visualized Experiments</w:t>
      </w:r>
      <w:r w:rsidRPr="00CD42FA">
        <w:rPr>
          <w:rFonts w:ascii="Calibri" w:hAnsi="Calibri" w:cs="Calibri"/>
          <w:lang w:val="en-US"/>
        </w:rPr>
        <w:t xml:space="preserve">. (115), </w:t>
      </w:r>
      <w:r w:rsidR="005C35E4" w:rsidRPr="00CD42FA">
        <w:rPr>
          <w:rFonts w:ascii="Calibri" w:hAnsi="Calibri" w:cs="Calibri"/>
          <w:lang w:val="en-US"/>
        </w:rPr>
        <w:t>e</w:t>
      </w:r>
      <w:r w:rsidRPr="00CD42FA">
        <w:rPr>
          <w:rFonts w:ascii="Calibri" w:hAnsi="Calibri" w:cs="Calibri"/>
          <w:lang w:val="en-US"/>
        </w:rPr>
        <w:t>54511 (2016).</w:t>
      </w:r>
    </w:p>
    <w:p w14:paraId="72DE0D00" w14:textId="282EE10B" w:rsidR="0049398F" w:rsidRPr="00CD42FA" w:rsidRDefault="0049398F" w:rsidP="005C35E4">
      <w:pPr>
        <w:pStyle w:val="Bibliography"/>
        <w:ind w:left="0" w:firstLine="0"/>
        <w:jc w:val="both"/>
        <w:rPr>
          <w:rFonts w:ascii="Calibri" w:hAnsi="Calibri" w:cs="Calibri"/>
          <w:lang w:val="en-US"/>
        </w:rPr>
      </w:pPr>
      <w:r w:rsidRPr="00CD42FA">
        <w:rPr>
          <w:rFonts w:ascii="Calibri" w:hAnsi="Calibri" w:cs="Calibri"/>
          <w:lang w:val="en-US"/>
        </w:rPr>
        <w:t>5.</w:t>
      </w:r>
      <w:r w:rsidRPr="00CD42FA">
        <w:rPr>
          <w:rFonts w:ascii="Calibri" w:hAnsi="Calibri" w:cs="Calibri"/>
          <w:lang w:val="en-US"/>
        </w:rPr>
        <w:tab/>
        <w:t>Arnon, T.</w:t>
      </w:r>
      <w:r w:rsidR="005C35E4" w:rsidRPr="00CD42FA">
        <w:rPr>
          <w:rFonts w:ascii="Calibri" w:hAnsi="Calibri" w:cs="Calibri"/>
          <w:lang w:val="en-US"/>
        </w:rPr>
        <w:t xml:space="preserve"> </w:t>
      </w:r>
      <w:r w:rsidRPr="00CD42FA">
        <w:rPr>
          <w:rFonts w:ascii="Calibri" w:hAnsi="Calibri" w:cs="Calibri"/>
          <w:lang w:val="en-US"/>
        </w:rPr>
        <w:t xml:space="preserve">I. et al. GRK2-dependent S1PR1 desensitization is required for lymphocytes to overcome their attraction to blood. </w:t>
      </w:r>
      <w:r w:rsidRPr="00CD42FA">
        <w:rPr>
          <w:rFonts w:ascii="Calibri" w:hAnsi="Calibri" w:cs="Calibri"/>
          <w:i/>
          <w:iCs/>
          <w:lang w:val="en-US"/>
        </w:rPr>
        <w:t>Science (New York, N.Y.)</w:t>
      </w:r>
      <w:r w:rsidRPr="00CD42FA">
        <w:rPr>
          <w:rFonts w:ascii="Calibri" w:hAnsi="Calibri" w:cs="Calibri"/>
          <w:lang w:val="en-US"/>
        </w:rPr>
        <w:t xml:space="preserve">. </w:t>
      </w:r>
      <w:r w:rsidRPr="00CD42FA">
        <w:rPr>
          <w:rFonts w:ascii="Calibri" w:hAnsi="Calibri" w:cs="Calibri"/>
          <w:b/>
          <w:bCs/>
          <w:lang w:val="en-US"/>
        </w:rPr>
        <w:t>333</w:t>
      </w:r>
      <w:r w:rsidRPr="00CD42FA">
        <w:rPr>
          <w:rFonts w:ascii="Calibri" w:hAnsi="Calibri" w:cs="Calibri"/>
          <w:lang w:val="en-US"/>
        </w:rPr>
        <w:t xml:space="preserve"> (6051), 1898–1903 (2011).</w:t>
      </w:r>
    </w:p>
    <w:p w14:paraId="4BA5AE6A" w14:textId="2D42ED4D" w:rsidR="0049398F" w:rsidRPr="00CD42FA" w:rsidRDefault="0049398F" w:rsidP="005C35E4">
      <w:pPr>
        <w:pStyle w:val="Bibliography"/>
        <w:ind w:left="0" w:firstLine="0"/>
        <w:jc w:val="both"/>
        <w:rPr>
          <w:rFonts w:ascii="Calibri" w:hAnsi="Calibri" w:cs="Calibri"/>
          <w:lang w:val="en-US"/>
        </w:rPr>
      </w:pPr>
      <w:r w:rsidRPr="00CD42FA">
        <w:rPr>
          <w:rFonts w:ascii="Calibri" w:hAnsi="Calibri" w:cs="Calibri"/>
          <w:lang w:val="en-US"/>
        </w:rPr>
        <w:t>6.</w:t>
      </w:r>
      <w:r w:rsidRPr="00CD42FA">
        <w:rPr>
          <w:rFonts w:ascii="Calibri" w:hAnsi="Calibri" w:cs="Calibri"/>
          <w:lang w:val="en-US"/>
        </w:rPr>
        <w:tab/>
        <w:t>Jung, H., Mithal, D.</w:t>
      </w:r>
      <w:r w:rsidR="005C35E4" w:rsidRPr="00CD42FA">
        <w:rPr>
          <w:rFonts w:ascii="Calibri" w:hAnsi="Calibri" w:cs="Calibri"/>
          <w:lang w:val="en-US"/>
        </w:rPr>
        <w:t xml:space="preserve"> </w:t>
      </w:r>
      <w:r w:rsidRPr="00CD42FA">
        <w:rPr>
          <w:rFonts w:ascii="Calibri" w:hAnsi="Calibri" w:cs="Calibri"/>
          <w:lang w:val="en-US"/>
        </w:rPr>
        <w:t>S., Park, J.</w:t>
      </w:r>
      <w:r w:rsidR="005C35E4" w:rsidRPr="00CD42FA">
        <w:rPr>
          <w:rFonts w:ascii="Calibri" w:hAnsi="Calibri" w:cs="Calibri"/>
          <w:lang w:val="en-US"/>
        </w:rPr>
        <w:t xml:space="preserve"> </w:t>
      </w:r>
      <w:r w:rsidRPr="00CD42FA">
        <w:rPr>
          <w:rFonts w:ascii="Calibri" w:hAnsi="Calibri" w:cs="Calibri"/>
          <w:lang w:val="en-US"/>
        </w:rPr>
        <w:t>E., Miller, R.</w:t>
      </w:r>
      <w:r w:rsidR="005C35E4" w:rsidRPr="00CD42FA">
        <w:rPr>
          <w:rFonts w:ascii="Calibri" w:hAnsi="Calibri" w:cs="Calibri"/>
          <w:lang w:val="en-US"/>
        </w:rPr>
        <w:t xml:space="preserve"> </w:t>
      </w:r>
      <w:r w:rsidRPr="00CD42FA">
        <w:rPr>
          <w:rFonts w:ascii="Calibri" w:hAnsi="Calibri" w:cs="Calibri"/>
          <w:lang w:val="en-US"/>
        </w:rPr>
        <w:t xml:space="preserve">J. Localized CCR2 Activation in the Bone Marrow Niche Mobilizes Monocytes by Desensitizing CXCR4. </w:t>
      </w:r>
      <w:r w:rsidRPr="00CD42FA">
        <w:rPr>
          <w:rFonts w:ascii="Calibri" w:hAnsi="Calibri" w:cs="Calibri"/>
          <w:i/>
          <w:iCs/>
          <w:lang w:val="en-US"/>
        </w:rPr>
        <w:t>P</w:t>
      </w:r>
      <w:r w:rsidR="005C35E4" w:rsidRPr="00CD42FA">
        <w:rPr>
          <w:rFonts w:ascii="Calibri" w:hAnsi="Calibri" w:cs="Calibri"/>
          <w:i/>
          <w:iCs/>
          <w:lang w:val="en-US"/>
        </w:rPr>
        <w:t>loS</w:t>
      </w:r>
      <w:r w:rsidRPr="00CD42FA">
        <w:rPr>
          <w:rFonts w:ascii="Calibri" w:hAnsi="Calibri" w:cs="Calibri"/>
          <w:i/>
          <w:iCs/>
          <w:lang w:val="en-US"/>
        </w:rPr>
        <w:t xml:space="preserve"> </w:t>
      </w:r>
      <w:r w:rsidR="005C35E4" w:rsidRPr="00CD42FA">
        <w:rPr>
          <w:rFonts w:ascii="Calibri" w:hAnsi="Calibri" w:cs="Calibri"/>
          <w:i/>
          <w:iCs/>
          <w:lang w:val="en-US"/>
        </w:rPr>
        <w:t>One</w:t>
      </w:r>
      <w:r w:rsidRPr="00CD42FA">
        <w:rPr>
          <w:rFonts w:ascii="Calibri" w:hAnsi="Calibri" w:cs="Calibri"/>
          <w:lang w:val="en-US"/>
        </w:rPr>
        <w:t xml:space="preserve">. </w:t>
      </w:r>
      <w:r w:rsidRPr="00CD42FA">
        <w:rPr>
          <w:rFonts w:ascii="Calibri" w:hAnsi="Calibri" w:cs="Calibri"/>
          <w:b/>
          <w:bCs/>
          <w:lang w:val="en-US"/>
        </w:rPr>
        <w:t>10</w:t>
      </w:r>
      <w:r w:rsidRPr="00CD42FA">
        <w:rPr>
          <w:rFonts w:ascii="Calibri" w:hAnsi="Calibri" w:cs="Calibri"/>
          <w:lang w:val="en-US"/>
        </w:rPr>
        <w:t xml:space="preserve"> (6), e0128387 (2015).</w:t>
      </w:r>
    </w:p>
    <w:p w14:paraId="2E20E443" w14:textId="1DE688CA" w:rsidR="0049398F" w:rsidRPr="00CD42FA" w:rsidRDefault="0049398F" w:rsidP="005C35E4">
      <w:pPr>
        <w:pStyle w:val="Bibliography"/>
        <w:ind w:left="0" w:firstLine="0"/>
        <w:jc w:val="both"/>
        <w:rPr>
          <w:rFonts w:ascii="Calibri" w:hAnsi="Calibri" w:cs="Calibri"/>
          <w:lang w:val="en-US"/>
        </w:rPr>
      </w:pPr>
      <w:r w:rsidRPr="00CD42FA">
        <w:rPr>
          <w:rFonts w:ascii="Calibri" w:hAnsi="Calibri" w:cs="Calibri"/>
          <w:lang w:val="en-US"/>
        </w:rPr>
        <w:t>7.</w:t>
      </w:r>
      <w:r w:rsidRPr="00CD42FA">
        <w:rPr>
          <w:rFonts w:ascii="Calibri" w:hAnsi="Calibri" w:cs="Calibri"/>
          <w:lang w:val="en-US"/>
        </w:rPr>
        <w:tab/>
        <w:t>Kwan, K.</w:t>
      </w:r>
      <w:r w:rsidR="00CA44AD">
        <w:rPr>
          <w:rFonts w:ascii="Calibri" w:hAnsi="Calibri" w:cs="Calibri"/>
          <w:lang w:val="en-US"/>
        </w:rPr>
        <w:t xml:space="preserve"> </w:t>
      </w:r>
      <w:r w:rsidRPr="00CD42FA">
        <w:rPr>
          <w:rFonts w:ascii="Calibri" w:hAnsi="Calibri" w:cs="Calibri"/>
          <w:lang w:val="en-US"/>
        </w:rPr>
        <w:t xml:space="preserve">M. et al. The Tol2kit: a multisite gateway-based construction kit for Tol2 transposon transgenesis constructs. </w:t>
      </w:r>
      <w:r w:rsidRPr="00CD42FA">
        <w:rPr>
          <w:rFonts w:ascii="Calibri" w:hAnsi="Calibri" w:cs="Calibri"/>
          <w:i/>
          <w:iCs/>
          <w:lang w:val="en-US"/>
        </w:rPr>
        <w:t>Developmental Dynamics: An Official Publication of the American Association of Anatomists</w:t>
      </w:r>
      <w:r w:rsidRPr="00CD42FA">
        <w:rPr>
          <w:rFonts w:ascii="Calibri" w:hAnsi="Calibri" w:cs="Calibri"/>
          <w:lang w:val="en-US"/>
        </w:rPr>
        <w:t xml:space="preserve">. </w:t>
      </w:r>
      <w:r w:rsidRPr="00CD42FA">
        <w:rPr>
          <w:rFonts w:ascii="Calibri" w:hAnsi="Calibri" w:cs="Calibri"/>
          <w:b/>
          <w:bCs/>
          <w:lang w:val="en-US"/>
        </w:rPr>
        <w:t>236</w:t>
      </w:r>
      <w:r w:rsidRPr="00CD42FA">
        <w:rPr>
          <w:rFonts w:ascii="Calibri" w:hAnsi="Calibri" w:cs="Calibri"/>
          <w:lang w:val="en-US"/>
        </w:rPr>
        <w:t xml:space="preserve"> (11), 3088–3099 (2007).</w:t>
      </w:r>
    </w:p>
    <w:p w14:paraId="3EE1AA51" w14:textId="4A6A58F4" w:rsidR="0049398F" w:rsidRPr="00CD42FA" w:rsidRDefault="0049398F" w:rsidP="005C35E4">
      <w:pPr>
        <w:pStyle w:val="Bibliography"/>
        <w:ind w:left="0" w:firstLine="0"/>
        <w:jc w:val="both"/>
        <w:rPr>
          <w:rFonts w:ascii="Calibri" w:hAnsi="Calibri" w:cs="Calibri"/>
          <w:lang w:val="en-US"/>
        </w:rPr>
      </w:pPr>
      <w:r w:rsidRPr="00CD42FA">
        <w:rPr>
          <w:rFonts w:ascii="Calibri" w:hAnsi="Calibri" w:cs="Calibri"/>
          <w:lang w:val="en-US"/>
        </w:rPr>
        <w:t>8.</w:t>
      </w:r>
      <w:r w:rsidRPr="00CD42FA">
        <w:rPr>
          <w:rFonts w:ascii="Calibri" w:hAnsi="Calibri" w:cs="Calibri"/>
          <w:lang w:val="en-US"/>
        </w:rPr>
        <w:tab/>
        <w:t xml:space="preserve">Donà, E. et al. Directional tissue migration through a self-generated chemokine gradient. </w:t>
      </w:r>
      <w:r w:rsidRPr="00CD42FA">
        <w:rPr>
          <w:rFonts w:ascii="Calibri" w:hAnsi="Calibri" w:cs="Calibri"/>
          <w:i/>
          <w:iCs/>
          <w:lang w:val="en-US"/>
        </w:rPr>
        <w:t>Nature</w:t>
      </w:r>
      <w:r w:rsidRPr="00CD42FA">
        <w:rPr>
          <w:rFonts w:ascii="Calibri" w:hAnsi="Calibri" w:cs="Calibri"/>
          <w:lang w:val="en-US"/>
        </w:rPr>
        <w:t xml:space="preserve">. </w:t>
      </w:r>
      <w:r w:rsidRPr="00CD42FA">
        <w:rPr>
          <w:rFonts w:ascii="Calibri" w:hAnsi="Calibri" w:cs="Calibri"/>
          <w:b/>
          <w:bCs/>
          <w:lang w:val="en-US"/>
        </w:rPr>
        <w:t>503</w:t>
      </w:r>
      <w:r w:rsidRPr="00CD42FA">
        <w:rPr>
          <w:rFonts w:ascii="Calibri" w:hAnsi="Calibri" w:cs="Calibri"/>
          <w:lang w:val="en-US"/>
        </w:rPr>
        <w:t xml:space="preserve"> (7475), 285–289 (2013).</w:t>
      </w:r>
    </w:p>
    <w:p w14:paraId="724FC64E" w14:textId="11700367" w:rsidR="0049398F" w:rsidRPr="00CD42FA" w:rsidRDefault="0049398F" w:rsidP="005C35E4">
      <w:pPr>
        <w:pStyle w:val="Bibliography"/>
        <w:ind w:left="0" w:firstLine="0"/>
        <w:jc w:val="both"/>
        <w:rPr>
          <w:rFonts w:ascii="Calibri" w:hAnsi="Calibri" w:cs="Calibri"/>
          <w:lang w:val="en-US"/>
        </w:rPr>
      </w:pPr>
      <w:r w:rsidRPr="00CD42FA">
        <w:rPr>
          <w:rFonts w:ascii="Calibri" w:hAnsi="Calibri" w:cs="Calibri"/>
          <w:lang w:val="en-US"/>
        </w:rPr>
        <w:t>9.</w:t>
      </w:r>
      <w:r w:rsidRPr="00CD42FA">
        <w:rPr>
          <w:rFonts w:ascii="Calibri" w:hAnsi="Calibri" w:cs="Calibri"/>
          <w:lang w:val="en-US"/>
        </w:rPr>
        <w:tab/>
        <w:t>Venkiteswaran, G.</w:t>
      </w:r>
      <w:r w:rsidR="005C35E4" w:rsidRPr="00CD42FA">
        <w:rPr>
          <w:rFonts w:ascii="Calibri" w:hAnsi="Calibri" w:cs="Calibri"/>
          <w:lang w:val="en-US"/>
        </w:rPr>
        <w:t xml:space="preserve"> et al.</w:t>
      </w:r>
      <w:r w:rsidRPr="00CD42FA">
        <w:rPr>
          <w:rFonts w:ascii="Calibri" w:hAnsi="Calibri" w:cs="Calibri"/>
          <w:lang w:val="en-US"/>
        </w:rPr>
        <w:t xml:space="preserve"> Generation and dynamics of an endogenous, self-generated signaling gradient across a migrating tissue. </w:t>
      </w:r>
      <w:r w:rsidRPr="00CD42FA">
        <w:rPr>
          <w:rFonts w:ascii="Calibri" w:hAnsi="Calibri" w:cs="Calibri"/>
          <w:i/>
          <w:iCs/>
          <w:lang w:val="en-US"/>
        </w:rPr>
        <w:t>Cell</w:t>
      </w:r>
      <w:r w:rsidRPr="00CD42FA">
        <w:rPr>
          <w:rFonts w:ascii="Calibri" w:hAnsi="Calibri" w:cs="Calibri"/>
          <w:lang w:val="en-US"/>
        </w:rPr>
        <w:t xml:space="preserve">. </w:t>
      </w:r>
      <w:r w:rsidRPr="00CD42FA">
        <w:rPr>
          <w:rFonts w:ascii="Calibri" w:hAnsi="Calibri" w:cs="Calibri"/>
          <w:b/>
          <w:bCs/>
          <w:lang w:val="en-US"/>
        </w:rPr>
        <w:t>155</w:t>
      </w:r>
      <w:r w:rsidRPr="00CD42FA">
        <w:rPr>
          <w:rFonts w:ascii="Calibri" w:hAnsi="Calibri" w:cs="Calibri"/>
          <w:lang w:val="en-US"/>
        </w:rPr>
        <w:t xml:space="preserve"> (3), 674–687 (2013).</w:t>
      </w:r>
    </w:p>
    <w:p w14:paraId="79779937" w14:textId="2CE62A7F" w:rsidR="0049398F" w:rsidRPr="00CD42FA" w:rsidRDefault="0049398F" w:rsidP="005C35E4">
      <w:pPr>
        <w:pStyle w:val="Bibliography"/>
        <w:ind w:left="0" w:firstLine="0"/>
        <w:jc w:val="both"/>
        <w:rPr>
          <w:rFonts w:ascii="Calibri" w:hAnsi="Calibri" w:cs="Calibri"/>
          <w:lang w:val="en-US"/>
        </w:rPr>
      </w:pPr>
      <w:r w:rsidRPr="00CD42FA">
        <w:rPr>
          <w:rFonts w:ascii="Calibri" w:hAnsi="Calibri" w:cs="Calibri"/>
          <w:lang w:val="en-US"/>
        </w:rPr>
        <w:t>10.</w:t>
      </w:r>
      <w:r w:rsidRPr="00CD42FA">
        <w:rPr>
          <w:rFonts w:ascii="Calibri" w:hAnsi="Calibri" w:cs="Calibri"/>
          <w:lang w:val="en-US"/>
        </w:rPr>
        <w:tab/>
        <w:t xml:space="preserve">Minina, S., Reichman-Fried, M., Raz, E. Control of receptor internalization, signaling level, and precise arrival at the target in guided cell migration. </w:t>
      </w:r>
      <w:r w:rsidRPr="00CD42FA">
        <w:rPr>
          <w:rFonts w:ascii="Calibri" w:hAnsi="Calibri" w:cs="Calibri"/>
          <w:i/>
          <w:iCs/>
          <w:lang w:val="en-US"/>
        </w:rPr>
        <w:t xml:space="preserve">Current </w:t>
      </w:r>
      <w:r w:rsidR="005C35E4" w:rsidRPr="00CD42FA">
        <w:rPr>
          <w:rFonts w:ascii="Calibri" w:hAnsi="Calibri" w:cs="Calibri"/>
          <w:i/>
          <w:iCs/>
          <w:lang w:val="en-US"/>
        </w:rPr>
        <w:t>B</w:t>
      </w:r>
      <w:r w:rsidRPr="00CD42FA">
        <w:rPr>
          <w:rFonts w:ascii="Calibri" w:hAnsi="Calibri" w:cs="Calibri"/>
          <w:i/>
          <w:iCs/>
          <w:lang w:val="en-US"/>
        </w:rPr>
        <w:t>iology: CB</w:t>
      </w:r>
      <w:r w:rsidRPr="00CD42FA">
        <w:rPr>
          <w:rFonts w:ascii="Calibri" w:hAnsi="Calibri" w:cs="Calibri"/>
          <w:lang w:val="en-US"/>
        </w:rPr>
        <w:t xml:space="preserve">. </w:t>
      </w:r>
      <w:r w:rsidRPr="00CD42FA">
        <w:rPr>
          <w:rFonts w:ascii="Calibri" w:hAnsi="Calibri" w:cs="Calibri"/>
          <w:b/>
          <w:bCs/>
          <w:lang w:val="en-US"/>
        </w:rPr>
        <w:t>17</w:t>
      </w:r>
      <w:r w:rsidRPr="00CD42FA">
        <w:rPr>
          <w:rFonts w:ascii="Calibri" w:hAnsi="Calibri" w:cs="Calibri"/>
          <w:lang w:val="en-US"/>
        </w:rPr>
        <w:t xml:space="preserve"> (13), 1164–1172 (2007).</w:t>
      </w:r>
    </w:p>
    <w:p w14:paraId="7C3DCEFC" w14:textId="32210C20" w:rsidR="0049398F" w:rsidRPr="00CD42FA" w:rsidRDefault="0049398F" w:rsidP="005C35E4">
      <w:pPr>
        <w:pStyle w:val="Bibliography"/>
        <w:ind w:left="0" w:firstLine="0"/>
        <w:jc w:val="both"/>
        <w:rPr>
          <w:rFonts w:ascii="Calibri" w:hAnsi="Calibri" w:cs="Calibri"/>
          <w:lang w:val="en-US"/>
        </w:rPr>
      </w:pPr>
      <w:r w:rsidRPr="00CD42FA">
        <w:rPr>
          <w:rFonts w:ascii="Calibri" w:hAnsi="Calibri" w:cs="Calibri"/>
          <w:lang w:val="en-US"/>
        </w:rPr>
        <w:t>11.</w:t>
      </w:r>
      <w:r w:rsidRPr="00CD42FA">
        <w:rPr>
          <w:rFonts w:ascii="Calibri" w:hAnsi="Calibri" w:cs="Calibri"/>
          <w:lang w:val="en-US"/>
        </w:rPr>
        <w:tab/>
        <w:t>Yoo, S.</w:t>
      </w:r>
      <w:r w:rsidR="005C35E4" w:rsidRPr="00CD42FA">
        <w:rPr>
          <w:rFonts w:ascii="Calibri" w:hAnsi="Calibri" w:cs="Calibri"/>
          <w:lang w:val="en-US"/>
        </w:rPr>
        <w:t xml:space="preserve"> </w:t>
      </w:r>
      <w:r w:rsidRPr="00CD42FA">
        <w:rPr>
          <w:rFonts w:ascii="Calibri" w:hAnsi="Calibri" w:cs="Calibri"/>
          <w:lang w:val="en-US"/>
        </w:rPr>
        <w:t>K.</w:t>
      </w:r>
      <w:r w:rsidR="005C35E4" w:rsidRPr="00CD42FA">
        <w:rPr>
          <w:rFonts w:ascii="Calibri" w:hAnsi="Calibri" w:cs="Calibri"/>
          <w:lang w:val="en-US"/>
        </w:rPr>
        <w:t xml:space="preserve"> et al</w:t>
      </w:r>
      <w:r w:rsidRPr="00CD42FA">
        <w:rPr>
          <w:rFonts w:ascii="Calibri" w:hAnsi="Calibri" w:cs="Calibri"/>
          <w:lang w:val="en-US"/>
        </w:rPr>
        <w:t xml:space="preserve">. The role of microtubules in neutrophil polarity and migration in live zebrafish. </w:t>
      </w:r>
      <w:r w:rsidRPr="00CD42FA">
        <w:rPr>
          <w:rFonts w:ascii="Calibri" w:hAnsi="Calibri" w:cs="Calibri"/>
          <w:i/>
          <w:iCs/>
          <w:lang w:val="en-US"/>
        </w:rPr>
        <w:t>Journal of Cell Science</w:t>
      </w:r>
      <w:r w:rsidRPr="00CD42FA">
        <w:rPr>
          <w:rFonts w:ascii="Calibri" w:hAnsi="Calibri" w:cs="Calibri"/>
          <w:lang w:val="en-US"/>
        </w:rPr>
        <w:t xml:space="preserve">. </w:t>
      </w:r>
      <w:r w:rsidRPr="00CD42FA">
        <w:rPr>
          <w:rFonts w:ascii="Calibri" w:hAnsi="Calibri" w:cs="Calibri"/>
          <w:b/>
          <w:bCs/>
          <w:lang w:val="en-US"/>
        </w:rPr>
        <w:t>125</w:t>
      </w:r>
      <w:r w:rsidRPr="00CD42FA">
        <w:rPr>
          <w:rFonts w:ascii="Calibri" w:hAnsi="Calibri" w:cs="Calibri"/>
          <w:lang w:val="en-US"/>
        </w:rPr>
        <w:t xml:space="preserve"> (Pt 23), 5702–5710 (2012).</w:t>
      </w:r>
    </w:p>
    <w:p w14:paraId="6A3A8B10" w14:textId="4303BE0A" w:rsidR="0049398F" w:rsidRPr="00CD42FA" w:rsidRDefault="0049398F" w:rsidP="005C35E4">
      <w:pPr>
        <w:pStyle w:val="Bibliography"/>
        <w:ind w:left="0" w:firstLine="0"/>
        <w:jc w:val="both"/>
        <w:rPr>
          <w:rFonts w:ascii="Calibri" w:hAnsi="Calibri" w:cs="Calibri"/>
          <w:lang w:val="en-US"/>
        </w:rPr>
      </w:pPr>
      <w:r w:rsidRPr="00CD42FA">
        <w:rPr>
          <w:rFonts w:ascii="Calibri" w:hAnsi="Calibri" w:cs="Calibri"/>
          <w:lang w:val="en-US"/>
        </w:rPr>
        <w:t>12.</w:t>
      </w:r>
      <w:r w:rsidRPr="00CD42FA">
        <w:rPr>
          <w:rFonts w:ascii="Calibri" w:hAnsi="Calibri" w:cs="Calibri"/>
          <w:lang w:val="en-US"/>
        </w:rPr>
        <w:tab/>
        <w:t>Yoo, S.</w:t>
      </w:r>
      <w:r w:rsidR="005C35E4" w:rsidRPr="00CD42FA">
        <w:rPr>
          <w:rFonts w:ascii="Calibri" w:hAnsi="Calibri" w:cs="Calibri"/>
          <w:lang w:val="en-US"/>
        </w:rPr>
        <w:t xml:space="preserve"> </w:t>
      </w:r>
      <w:r w:rsidRPr="00CD42FA">
        <w:rPr>
          <w:rFonts w:ascii="Calibri" w:hAnsi="Calibri" w:cs="Calibri"/>
          <w:lang w:val="en-US"/>
        </w:rPr>
        <w:t>K.</w:t>
      </w:r>
      <w:r w:rsidR="005C35E4" w:rsidRPr="00CD42FA">
        <w:rPr>
          <w:rFonts w:ascii="Calibri" w:hAnsi="Calibri" w:cs="Calibri"/>
          <w:lang w:val="en-US"/>
        </w:rPr>
        <w:t xml:space="preserve"> et al.</w:t>
      </w:r>
      <w:r w:rsidRPr="00CD42FA">
        <w:rPr>
          <w:rFonts w:ascii="Calibri" w:hAnsi="Calibri" w:cs="Calibri"/>
          <w:lang w:val="en-US"/>
        </w:rPr>
        <w:t xml:space="preserve"> Differential regulation of protrusion and polarity by PI3K during neutrophil motility in live zebrafish. </w:t>
      </w:r>
      <w:r w:rsidRPr="00CD42FA">
        <w:rPr>
          <w:rFonts w:ascii="Calibri" w:hAnsi="Calibri" w:cs="Calibri"/>
          <w:i/>
          <w:iCs/>
          <w:lang w:val="en-US"/>
        </w:rPr>
        <w:t>Developmental Cell</w:t>
      </w:r>
      <w:r w:rsidRPr="00CD42FA">
        <w:rPr>
          <w:rFonts w:ascii="Calibri" w:hAnsi="Calibri" w:cs="Calibri"/>
          <w:lang w:val="en-US"/>
        </w:rPr>
        <w:t xml:space="preserve">. </w:t>
      </w:r>
      <w:r w:rsidRPr="00CD42FA">
        <w:rPr>
          <w:rFonts w:ascii="Calibri" w:hAnsi="Calibri" w:cs="Calibri"/>
          <w:b/>
          <w:bCs/>
          <w:lang w:val="en-US"/>
        </w:rPr>
        <w:t>18</w:t>
      </w:r>
      <w:r w:rsidRPr="00CD42FA">
        <w:rPr>
          <w:rFonts w:ascii="Calibri" w:hAnsi="Calibri" w:cs="Calibri"/>
          <w:lang w:val="en-US"/>
        </w:rPr>
        <w:t xml:space="preserve"> (2), 226–236 (2010).</w:t>
      </w:r>
    </w:p>
    <w:p w14:paraId="62F5C5D8" w14:textId="2CCDEF6A" w:rsidR="0049398F" w:rsidRPr="00CD42FA" w:rsidRDefault="0049398F" w:rsidP="005C35E4">
      <w:pPr>
        <w:pStyle w:val="Bibliography"/>
        <w:ind w:left="0" w:firstLine="0"/>
        <w:jc w:val="both"/>
        <w:rPr>
          <w:rFonts w:ascii="Calibri" w:hAnsi="Calibri" w:cs="Calibri"/>
          <w:lang w:val="en-US"/>
        </w:rPr>
      </w:pPr>
      <w:r w:rsidRPr="00CD42FA">
        <w:rPr>
          <w:rFonts w:ascii="Calibri" w:hAnsi="Calibri" w:cs="Calibri"/>
          <w:lang w:val="en-US"/>
        </w:rPr>
        <w:t>13.</w:t>
      </w:r>
      <w:r w:rsidRPr="00CD42FA">
        <w:rPr>
          <w:rFonts w:ascii="Calibri" w:hAnsi="Calibri" w:cs="Calibri"/>
          <w:lang w:val="en-US"/>
        </w:rPr>
        <w:tab/>
        <w:t>Buchan, K.</w:t>
      </w:r>
      <w:r w:rsidR="005C35E4" w:rsidRPr="00CD42FA">
        <w:rPr>
          <w:rFonts w:ascii="Calibri" w:hAnsi="Calibri" w:cs="Calibri"/>
          <w:lang w:val="en-US"/>
        </w:rPr>
        <w:t xml:space="preserve"> </w:t>
      </w:r>
      <w:r w:rsidRPr="00CD42FA">
        <w:rPr>
          <w:rFonts w:ascii="Calibri" w:hAnsi="Calibri" w:cs="Calibri"/>
          <w:lang w:val="en-US"/>
        </w:rPr>
        <w:t xml:space="preserve">D. et al. A transgenic zebrafish line for in vivo visualisation of neutrophil myeloperoxidase. </w:t>
      </w:r>
      <w:r w:rsidRPr="00CD42FA">
        <w:rPr>
          <w:rFonts w:ascii="Calibri" w:hAnsi="Calibri" w:cs="Calibri"/>
          <w:i/>
          <w:iCs/>
          <w:lang w:val="en-US"/>
        </w:rPr>
        <w:t>P</w:t>
      </w:r>
      <w:r w:rsidR="00CA44AD">
        <w:rPr>
          <w:rFonts w:ascii="Calibri" w:hAnsi="Calibri" w:cs="Calibri"/>
          <w:i/>
          <w:iCs/>
          <w:lang w:val="en-US"/>
        </w:rPr>
        <w:t>L</w:t>
      </w:r>
      <w:r w:rsidR="005C35E4" w:rsidRPr="00CD42FA">
        <w:rPr>
          <w:rFonts w:ascii="Calibri" w:hAnsi="Calibri" w:cs="Calibri"/>
          <w:i/>
          <w:iCs/>
          <w:lang w:val="en-US"/>
        </w:rPr>
        <w:t>o</w:t>
      </w:r>
      <w:r w:rsidRPr="00CD42FA">
        <w:rPr>
          <w:rFonts w:ascii="Calibri" w:hAnsi="Calibri" w:cs="Calibri"/>
          <w:i/>
          <w:iCs/>
          <w:lang w:val="en-US"/>
        </w:rPr>
        <w:t>S O</w:t>
      </w:r>
      <w:r w:rsidR="005C35E4" w:rsidRPr="00CD42FA">
        <w:rPr>
          <w:rFonts w:ascii="Calibri" w:hAnsi="Calibri" w:cs="Calibri"/>
          <w:i/>
          <w:iCs/>
          <w:lang w:val="en-US"/>
        </w:rPr>
        <w:t>ne</w:t>
      </w:r>
      <w:r w:rsidRPr="00CD42FA">
        <w:rPr>
          <w:rFonts w:ascii="Calibri" w:hAnsi="Calibri" w:cs="Calibri"/>
          <w:lang w:val="en-US"/>
        </w:rPr>
        <w:t xml:space="preserve">. </w:t>
      </w:r>
      <w:r w:rsidRPr="00CD42FA">
        <w:rPr>
          <w:rFonts w:ascii="Calibri" w:hAnsi="Calibri" w:cs="Calibri"/>
          <w:b/>
          <w:bCs/>
          <w:lang w:val="en-US"/>
        </w:rPr>
        <w:t>14</w:t>
      </w:r>
      <w:r w:rsidRPr="00CD42FA">
        <w:rPr>
          <w:rFonts w:ascii="Calibri" w:hAnsi="Calibri" w:cs="Calibri"/>
          <w:lang w:val="en-US"/>
        </w:rPr>
        <w:t xml:space="preserve"> (4), e0215592 (2019).</w:t>
      </w:r>
    </w:p>
    <w:p w14:paraId="09B3D1EE" w14:textId="1670107E" w:rsidR="0049398F" w:rsidRPr="00CD42FA" w:rsidRDefault="0049398F" w:rsidP="005C35E4">
      <w:pPr>
        <w:pStyle w:val="Bibliography"/>
        <w:ind w:left="0" w:firstLine="0"/>
        <w:jc w:val="both"/>
        <w:rPr>
          <w:rFonts w:ascii="Calibri" w:hAnsi="Calibri" w:cs="Calibri"/>
          <w:lang w:val="en-US"/>
        </w:rPr>
      </w:pPr>
      <w:r w:rsidRPr="00CD42FA">
        <w:rPr>
          <w:rFonts w:ascii="Calibri" w:hAnsi="Calibri" w:cs="Calibri"/>
          <w:lang w:val="en-US"/>
        </w:rPr>
        <w:t>14.</w:t>
      </w:r>
      <w:r w:rsidRPr="00CD42FA">
        <w:rPr>
          <w:rFonts w:ascii="Calibri" w:hAnsi="Calibri" w:cs="Calibri"/>
          <w:lang w:val="en-US"/>
        </w:rPr>
        <w:tab/>
        <w:t xml:space="preserve">Coombs, C. et al. Chemokine receptor trafficking coordinates neutrophil clustering and dispersal at wounds in zebrafish. </w:t>
      </w:r>
      <w:r w:rsidRPr="00CD42FA">
        <w:rPr>
          <w:rFonts w:ascii="Calibri" w:hAnsi="Calibri" w:cs="Calibri"/>
          <w:i/>
          <w:iCs/>
          <w:lang w:val="en-US"/>
        </w:rPr>
        <w:t>Nature Communications</w:t>
      </w:r>
      <w:r w:rsidRPr="00CD42FA">
        <w:rPr>
          <w:rFonts w:ascii="Calibri" w:hAnsi="Calibri" w:cs="Calibri"/>
          <w:lang w:val="en-US"/>
        </w:rPr>
        <w:t xml:space="preserve">. </w:t>
      </w:r>
      <w:r w:rsidRPr="00CD42FA">
        <w:rPr>
          <w:rFonts w:ascii="Calibri" w:hAnsi="Calibri" w:cs="Calibri"/>
          <w:b/>
          <w:bCs/>
          <w:lang w:val="en-US"/>
        </w:rPr>
        <w:t>10</w:t>
      </w:r>
      <w:r w:rsidRPr="00CD42FA">
        <w:rPr>
          <w:rFonts w:ascii="Calibri" w:hAnsi="Calibri" w:cs="Calibri"/>
          <w:lang w:val="en-US"/>
        </w:rPr>
        <w:t xml:space="preserve"> (1), 5166 (2019).</w:t>
      </w:r>
    </w:p>
    <w:p w14:paraId="52893E7F" w14:textId="463A715A" w:rsidR="0049398F" w:rsidRPr="00CD42FA" w:rsidRDefault="0049398F" w:rsidP="005C35E4">
      <w:pPr>
        <w:pStyle w:val="Bibliography"/>
        <w:ind w:left="0" w:firstLine="0"/>
        <w:jc w:val="both"/>
        <w:rPr>
          <w:rFonts w:ascii="Calibri" w:hAnsi="Calibri" w:cs="Calibri"/>
          <w:lang w:val="en-US"/>
        </w:rPr>
      </w:pPr>
      <w:r w:rsidRPr="00CD42FA">
        <w:rPr>
          <w:rFonts w:ascii="Calibri" w:hAnsi="Calibri" w:cs="Calibri"/>
          <w:lang w:val="en-US"/>
        </w:rPr>
        <w:t>15.</w:t>
      </w:r>
      <w:r w:rsidRPr="00CD42FA">
        <w:rPr>
          <w:rFonts w:ascii="Calibri" w:hAnsi="Calibri" w:cs="Calibri"/>
          <w:lang w:val="en-US"/>
        </w:rPr>
        <w:tab/>
        <w:t>Hall, C., Flores, M.</w:t>
      </w:r>
      <w:r w:rsidR="005C35E4" w:rsidRPr="00CD42FA">
        <w:rPr>
          <w:rFonts w:ascii="Calibri" w:hAnsi="Calibri" w:cs="Calibri"/>
          <w:lang w:val="en-US"/>
        </w:rPr>
        <w:t xml:space="preserve"> </w:t>
      </w:r>
      <w:r w:rsidRPr="00CD42FA">
        <w:rPr>
          <w:rFonts w:ascii="Calibri" w:hAnsi="Calibri" w:cs="Calibri"/>
          <w:lang w:val="en-US"/>
        </w:rPr>
        <w:t xml:space="preserve">V., Storm, T., Crosier, K., Crosier, P. The zebrafish lysozyme C promoter drives myeloid-specific expression in transgenic fish. </w:t>
      </w:r>
      <w:r w:rsidRPr="00CD42FA">
        <w:rPr>
          <w:rFonts w:ascii="Calibri" w:hAnsi="Calibri" w:cs="Calibri"/>
          <w:i/>
          <w:iCs/>
          <w:lang w:val="en-US"/>
        </w:rPr>
        <w:t xml:space="preserve">BMC </w:t>
      </w:r>
      <w:r w:rsidR="005C35E4" w:rsidRPr="00CD42FA">
        <w:rPr>
          <w:rFonts w:ascii="Calibri" w:hAnsi="Calibri" w:cs="Calibri"/>
          <w:i/>
          <w:iCs/>
          <w:lang w:val="en-US"/>
        </w:rPr>
        <w:t>D</w:t>
      </w:r>
      <w:r w:rsidRPr="00CD42FA">
        <w:rPr>
          <w:rFonts w:ascii="Calibri" w:hAnsi="Calibri" w:cs="Calibri"/>
          <w:i/>
          <w:iCs/>
          <w:lang w:val="en-US"/>
        </w:rPr>
        <w:t xml:space="preserve">evelopmental </w:t>
      </w:r>
      <w:r w:rsidR="005C35E4" w:rsidRPr="00CD42FA">
        <w:rPr>
          <w:rFonts w:ascii="Calibri" w:hAnsi="Calibri" w:cs="Calibri"/>
          <w:i/>
          <w:iCs/>
          <w:lang w:val="en-US"/>
        </w:rPr>
        <w:t>B</w:t>
      </w:r>
      <w:r w:rsidRPr="00CD42FA">
        <w:rPr>
          <w:rFonts w:ascii="Calibri" w:hAnsi="Calibri" w:cs="Calibri"/>
          <w:i/>
          <w:iCs/>
          <w:lang w:val="en-US"/>
        </w:rPr>
        <w:t>iology</w:t>
      </w:r>
      <w:r w:rsidRPr="00CD42FA">
        <w:rPr>
          <w:rFonts w:ascii="Calibri" w:hAnsi="Calibri" w:cs="Calibri"/>
          <w:lang w:val="en-US"/>
        </w:rPr>
        <w:t xml:space="preserve">. </w:t>
      </w:r>
      <w:r w:rsidRPr="00CD42FA">
        <w:rPr>
          <w:rFonts w:ascii="Calibri" w:hAnsi="Calibri" w:cs="Calibri"/>
          <w:b/>
          <w:bCs/>
          <w:lang w:val="en-US"/>
        </w:rPr>
        <w:t>7</w:t>
      </w:r>
      <w:r w:rsidRPr="00CD42FA">
        <w:rPr>
          <w:rFonts w:ascii="Calibri" w:hAnsi="Calibri" w:cs="Calibri"/>
          <w:lang w:val="en-US"/>
        </w:rPr>
        <w:t>, 42 (2007).</w:t>
      </w:r>
    </w:p>
    <w:p w14:paraId="762F8053" w14:textId="6A099752" w:rsidR="0049398F" w:rsidRPr="00CD42FA" w:rsidRDefault="0049398F" w:rsidP="005C35E4">
      <w:pPr>
        <w:pStyle w:val="Bibliography"/>
        <w:ind w:left="0" w:firstLine="0"/>
        <w:jc w:val="both"/>
        <w:rPr>
          <w:rFonts w:ascii="Calibri" w:hAnsi="Calibri" w:cs="Calibri"/>
          <w:lang w:val="en-US"/>
        </w:rPr>
      </w:pPr>
      <w:r w:rsidRPr="00CD42FA">
        <w:rPr>
          <w:rFonts w:ascii="Calibri" w:hAnsi="Calibri" w:cs="Calibri"/>
          <w:lang w:val="en-US"/>
        </w:rPr>
        <w:t>16.</w:t>
      </w:r>
      <w:r w:rsidRPr="00CD42FA">
        <w:rPr>
          <w:rFonts w:ascii="Calibri" w:hAnsi="Calibri" w:cs="Calibri"/>
          <w:lang w:val="en-US"/>
        </w:rPr>
        <w:tab/>
        <w:t>Renshaw, S.A.</w:t>
      </w:r>
      <w:r w:rsidR="005C35E4" w:rsidRPr="00CD42FA">
        <w:rPr>
          <w:rFonts w:ascii="Calibri" w:hAnsi="Calibri" w:cs="Calibri"/>
          <w:lang w:val="en-US"/>
        </w:rPr>
        <w:t xml:space="preserve"> et al.</w:t>
      </w:r>
      <w:r w:rsidRPr="00CD42FA">
        <w:rPr>
          <w:rFonts w:ascii="Calibri" w:hAnsi="Calibri" w:cs="Calibri"/>
          <w:lang w:val="en-US"/>
        </w:rPr>
        <w:t xml:space="preserve"> A transgenic zebrafish model of neutrophilic inflammation. </w:t>
      </w:r>
      <w:r w:rsidRPr="00CD42FA">
        <w:rPr>
          <w:rFonts w:ascii="Calibri" w:hAnsi="Calibri" w:cs="Calibri"/>
          <w:i/>
          <w:iCs/>
          <w:lang w:val="en-US"/>
        </w:rPr>
        <w:t>Blood</w:t>
      </w:r>
      <w:r w:rsidRPr="00CD42FA">
        <w:rPr>
          <w:rFonts w:ascii="Calibri" w:hAnsi="Calibri" w:cs="Calibri"/>
          <w:lang w:val="en-US"/>
        </w:rPr>
        <w:t xml:space="preserve">. </w:t>
      </w:r>
      <w:r w:rsidRPr="00CD42FA">
        <w:rPr>
          <w:rFonts w:ascii="Calibri" w:hAnsi="Calibri" w:cs="Calibri"/>
          <w:b/>
          <w:bCs/>
          <w:lang w:val="en-US"/>
        </w:rPr>
        <w:t>108</w:t>
      </w:r>
      <w:r w:rsidRPr="00CD42FA">
        <w:rPr>
          <w:rFonts w:ascii="Calibri" w:hAnsi="Calibri" w:cs="Calibri"/>
          <w:lang w:val="en-US"/>
        </w:rPr>
        <w:t xml:space="preserve"> (13), 3976–3978 (2006).</w:t>
      </w:r>
    </w:p>
    <w:p w14:paraId="175AE977" w14:textId="17BD5F92" w:rsidR="0049398F" w:rsidRPr="00CD42FA" w:rsidRDefault="0049398F" w:rsidP="005C35E4">
      <w:pPr>
        <w:pStyle w:val="Bibliography"/>
        <w:ind w:left="0" w:firstLine="0"/>
        <w:jc w:val="both"/>
        <w:rPr>
          <w:rFonts w:ascii="Calibri" w:hAnsi="Calibri" w:cs="Calibri"/>
          <w:lang w:val="en-US"/>
        </w:rPr>
      </w:pPr>
      <w:r w:rsidRPr="00CD42FA">
        <w:rPr>
          <w:rFonts w:ascii="Calibri" w:hAnsi="Calibri" w:cs="Calibri"/>
          <w:lang w:val="en-US"/>
        </w:rPr>
        <w:t>17.</w:t>
      </w:r>
      <w:r w:rsidRPr="00CD42FA">
        <w:rPr>
          <w:rFonts w:ascii="Calibri" w:hAnsi="Calibri" w:cs="Calibri"/>
          <w:lang w:val="en-US"/>
        </w:rPr>
        <w:tab/>
        <w:t xml:space="preserve">Khmelinskii, A. et al. Tandem fluorescent protein timers for in vivo analysis of protein dynamics. </w:t>
      </w:r>
      <w:r w:rsidRPr="00CD42FA">
        <w:rPr>
          <w:rFonts w:ascii="Calibri" w:hAnsi="Calibri" w:cs="Calibri"/>
          <w:i/>
          <w:iCs/>
          <w:lang w:val="en-US"/>
        </w:rPr>
        <w:t>Nature Biotechnology</w:t>
      </w:r>
      <w:r w:rsidRPr="00CD42FA">
        <w:rPr>
          <w:rFonts w:ascii="Calibri" w:hAnsi="Calibri" w:cs="Calibri"/>
          <w:lang w:val="en-US"/>
        </w:rPr>
        <w:t xml:space="preserve">. </w:t>
      </w:r>
      <w:r w:rsidRPr="00CD42FA">
        <w:rPr>
          <w:rFonts w:ascii="Calibri" w:hAnsi="Calibri" w:cs="Calibri"/>
          <w:b/>
          <w:bCs/>
          <w:lang w:val="en-US"/>
        </w:rPr>
        <w:t>30</w:t>
      </w:r>
      <w:r w:rsidRPr="00CD42FA">
        <w:rPr>
          <w:rFonts w:ascii="Calibri" w:hAnsi="Calibri" w:cs="Calibri"/>
          <w:lang w:val="en-US"/>
        </w:rPr>
        <w:t xml:space="preserve"> (7), 708–714 (2012).</w:t>
      </w:r>
    </w:p>
    <w:p w14:paraId="15BB30B5" w14:textId="77777777" w:rsidR="0049398F" w:rsidRPr="00CD42FA" w:rsidRDefault="0049398F" w:rsidP="005C35E4">
      <w:pPr>
        <w:pStyle w:val="Bibliography"/>
        <w:ind w:left="0" w:firstLine="0"/>
        <w:jc w:val="both"/>
        <w:rPr>
          <w:rFonts w:ascii="Calibri" w:hAnsi="Calibri" w:cs="Calibri"/>
          <w:lang w:val="en-US"/>
        </w:rPr>
      </w:pPr>
      <w:r w:rsidRPr="00CD42FA">
        <w:rPr>
          <w:rFonts w:ascii="Calibri" w:hAnsi="Calibri" w:cs="Calibri"/>
          <w:lang w:val="en-US"/>
        </w:rPr>
        <w:t>18.</w:t>
      </w:r>
      <w:r w:rsidRPr="00CD42FA">
        <w:rPr>
          <w:rFonts w:ascii="Calibri" w:hAnsi="Calibri" w:cs="Calibri"/>
          <w:lang w:val="en-US"/>
        </w:rPr>
        <w:tab/>
        <w:t xml:space="preserve">Westerfield M </w:t>
      </w:r>
      <w:r w:rsidRPr="00CD42FA">
        <w:rPr>
          <w:rFonts w:ascii="Calibri" w:hAnsi="Calibri" w:cs="Calibri"/>
          <w:i/>
          <w:iCs/>
          <w:lang w:val="en-US"/>
        </w:rPr>
        <w:t>The zebrafish book. A guide for the laboratory use of zebrafish (Brachydanio rerio). Eugene, Oregon</w:t>
      </w:r>
      <w:r w:rsidRPr="00CD42FA">
        <w:rPr>
          <w:rFonts w:ascii="Calibri" w:hAnsi="Calibri" w:cs="Calibri"/>
          <w:lang w:val="en-US"/>
        </w:rPr>
        <w:t>. University of Oregon Press, Eugene. (2007).</w:t>
      </w:r>
    </w:p>
    <w:p w14:paraId="49484541" w14:textId="07A8BBFE" w:rsidR="0049398F" w:rsidRPr="00CD42FA" w:rsidRDefault="0049398F" w:rsidP="005C35E4">
      <w:pPr>
        <w:pStyle w:val="Bibliography"/>
        <w:ind w:left="0" w:firstLine="0"/>
        <w:jc w:val="both"/>
        <w:rPr>
          <w:rFonts w:ascii="Calibri" w:hAnsi="Calibri" w:cs="Calibri"/>
          <w:lang w:val="en-US"/>
        </w:rPr>
      </w:pPr>
      <w:r w:rsidRPr="00CD42FA">
        <w:rPr>
          <w:rFonts w:ascii="Calibri" w:hAnsi="Calibri" w:cs="Calibri"/>
          <w:lang w:val="en-US"/>
        </w:rPr>
        <w:t>19.</w:t>
      </w:r>
      <w:r w:rsidRPr="00CD42FA">
        <w:rPr>
          <w:rFonts w:ascii="Calibri" w:hAnsi="Calibri" w:cs="Calibri"/>
          <w:lang w:val="en-US"/>
        </w:rPr>
        <w:tab/>
        <w:t>Rosen, J.</w:t>
      </w:r>
      <w:r w:rsidR="005C35E4" w:rsidRPr="00CD42FA">
        <w:rPr>
          <w:rFonts w:ascii="Calibri" w:hAnsi="Calibri" w:cs="Calibri"/>
          <w:lang w:val="en-US"/>
        </w:rPr>
        <w:t xml:space="preserve"> </w:t>
      </w:r>
      <w:r w:rsidRPr="00CD42FA">
        <w:rPr>
          <w:rFonts w:ascii="Calibri" w:hAnsi="Calibri" w:cs="Calibri"/>
          <w:lang w:val="en-US"/>
        </w:rPr>
        <w:t>N., Sweeney, M.</w:t>
      </w:r>
      <w:r w:rsidR="005C35E4" w:rsidRPr="00CD42FA">
        <w:rPr>
          <w:rFonts w:ascii="Calibri" w:hAnsi="Calibri" w:cs="Calibri"/>
          <w:lang w:val="en-US"/>
        </w:rPr>
        <w:t xml:space="preserve"> </w:t>
      </w:r>
      <w:r w:rsidRPr="00CD42FA">
        <w:rPr>
          <w:rFonts w:ascii="Calibri" w:hAnsi="Calibri" w:cs="Calibri"/>
          <w:lang w:val="en-US"/>
        </w:rPr>
        <w:t>F., Mably, J.</w:t>
      </w:r>
      <w:r w:rsidR="005C35E4" w:rsidRPr="00CD42FA">
        <w:rPr>
          <w:rFonts w:ascii="Calibri" w:hAnsi="Calibri" w:cs="Calibri"/>
          <w:lang w:val="en-US"/>
        </w:rPr>
        <w:t xml:space="preserve"> </w:t>
      </w:r>
      <w:r w:rsidRPr="00CD42FA">
        <w:rPr>
          <w:rFonts w:ascii="Calibri" w:hAnsi="Calibri" w:cs="Calibri"/>
          <w:lang w:val="en-US"/>
        </w:rPr>
        <w:t xml:space="preserve">D. Microinjection of Zebrafish Embryos to Analyze Gene Function. </w:t>
      </w:r>
      <w:r w:rsidRPr="00CD42FA">
        <w:rPr>
          <w:rFonts w:ascii="Calibri" w:hAnsi="Calibri" w:cs="Calibri"/>
          <w:i/>
          <w:iCs/>
          <w:lang w:val="en-US"/>
        </w:rPr>
        <w:t>Journal of Visualized Experiments</w:t>
      </w:r>
      <w:r w:rsidRPr="00CD42FA">
        <w:rPr>
          <w:rFonts w:ascii="Calibri" w:hAnsi="Calibri" w:cs="Calibri"/>
          <w:lang w:val="en-US"/>
        </w:rPr>
        <w:t>. (25), 1115 (2009).</w:t>
      </w:r>
    </w:p>
    <w:p w14:paraId="74959C9C" w14:textId="1B217528" w:rsidR="0049398F" w:rsidRPr="00CD42FA" w:rsidRDefault="0049398F" w:rsidP="005C35E4">
      <w:pPr>
        <w:pStyle w:val="Bibliography"/>
        <w:ind w:left="0" w:firstLine="0"/>
        <w:jc w:val="both"/>
        <w:rPr>
          <w:rFonts w:ascii="Calibri" w:hAnsi="Calibri" w:cs="Calibri"/>
          <w:lang w:val="en-US"/>
        </w:rPr>
      </w:pPr>
      <w:r w:rsidRPr="00CD42FA">
        <w:rPr>
          <w:rFonts w:ascii="Calibri" w:hAnsi="Calibri" w:cs="Calibri"/>
          <w:lang w:val="en-US"/>
        </w:rPr>
        <w:t>20.</w:t>
      </w:r>
      <w:r w:rsidRPr="00CD42FA">
        <w:rPr>
          <w:rFonts w:ascii="Calibri" w:hAnsi="Calibri" w:cs="Calibri"/>
          <w:lang w:val="en-US"/>
        </w:rPr>
        <w:tab/>
        <w:t>Detrich, H.</w:t>
      </w:r>
      <w:r w:rsidR="005C35E4" w:rsidRPr="00CD42FA">
        <w:rPr>
          <w:rFonts w:ascii="Calibri" w:hAnsi="Calibri" w:cs="Calibri"/>
          <w:lang w:val="en-US"/>
        </w:rPr>
        <w:t xml:space="preserve"> </w:t>
      </w:r>
      <w:r w:rsidRPr="00CD42FA">
        <w:rPr>
          <w:rFonts w:ascii="Calibri" w:hAnsi="Calibri" w:cs="Calibri"/>
          <w:lang w:val="en-US"/>
        </w:rPr>
        <w:t>W., Zon, L.</w:t>
      </w:r>
      <w:r w:rsidR="005C35E4" w:rsidRPr="00CD42FA">
        <w:rPr>
          <w:rFonts w:ascii="Calibri" w:hAnsi="Calibri" w:cs="Calibri"/>
          <w:lang w:val="en-US"/>
        </w:rPr>
        <w:t xml:space="preserve"> </w:t>
      </w:r>
      <w:r w:rsidRPr="00CD42FA">
        <w:rPr>
          <w:rFonts w:ascii="Calibri" w:hAnsi="Calibri" w:cs="Calibri"/>
          <w:lang w:val="en-US"/>
        </w:rPr>
        <w:t xml:space="preserve">I., Westerfield, M. </w:t>
      </w:r>
      <w:r w:rsidRPr="00CD42FA">
        <w:rPr>
          <w:rFonts w:ascii="Calibri" w:hAnsi="Calibri" w:cs="Calibri"/>
          <w:i/>
          <w:iCs/>
          <w:lang w:val="en-US"/>
        </w:rPr>
        <w:t>The Zebrafish: Genetics, Genomics and Informatics</w:t>
      </w:r>
      <w:r w:rsidRPr="00CD42FA">
        <w:rPr>
          <w:rFonts w:ascii="Calibri" w:hAnsi="Calibri" w:cs="Calibri"/>
          <w:lang w:val="en-US"/>
        </w:rPr>
        <w:t>. Elsevier. Burlington. (2004).</w:t>
      </w:r>
    </w:p>
    <w:p w14:paraId="2AA6103F" w14:textId="623C69AC" w:rsidR="0049398F" w:rsidRPr="00CD42FA" w:rsidRDefault="0049398F" w:rsidP="005C35E4">
      <w:pPr>
        <w:pStyle w:val="Bibliography"/>
        <w:ind w:left="0" w:firstLine="0"/>
        <w:jc w:val="both"/>
        <w:rPr>
          <w:rFonts w:ascii="Calibri" w:hAnsi="Calibri" w:cs="Calibri"/>
          <w:lang w:val="en-US"/>
        </w:rPr>
      </w:pPr>
      <w:r w:rsidRPr="00CD42FA">
        <w:rPr>
          <w:rFonts w:ascii="Calibri" w:hAnsi="Calibri" w:cs="Calibri"/>
          <w:lang w:val="en-US"/>
        </w:rPr>
        <w:t>21.</w:t>
      </w:r>
      <w:r w:rsidRPr="00CD42FA">
        <w:rPr>
          <w:rFonts w:ascii="Calibri" w:hAnsi="Calibri" w:cs="Calibri"/>
          <w:lang w:val="en-US"/>
        </w:rPr>
        <w:tab/>
        <w:t xml:space="preserve">Le Guyader, D. </w:t>
      </w:r>
      <w:r w:rsidR="00CA44AD">
        <w:rPr>
          <w:rFonts w:ascii="Calibri" w:hAnsi="Calibri" w:cs="Calibri"/>
          <w:lang w:val="en-US"/>
        </w:rPr>
        <w:t xml:space="preserve"> </w:t>
      </w:r>
      <w:r w:rsidRPr="00CD42FA">
        <w:rPr>
          <w:rFonts w:ascii="Calibri" w:hAnsi="Calibri" w:cs="Calibri"/>
          <w:lang w:val="en-US"/>
        </w:rPr>
        <w:t xml:space="preserve">et al. Origins and unconventional behavior of neutrophils in developing zebrafish. </w:t>
      </w:r>
      <w:r w:rsidRPr="00CD42FA">
        <w:rPr>
          <w:rFonts w:ascii="Calibri" w:hAnsi="Calibri" w:cs="Calibri"/>
          <w:i/>
          <w:iCs/>
          <w:lang w:val="en-US"/>
        </w:rPr>
        <w:t>Blood</w:t>
      </w:r>
      <w:r w:rsidRPr="00CD42FA">
        <w:rPr>
          <w:rFonts w:ascii="Calibri" w:hAnsi="Calibri" w:cs="Calibri"/>
          <w:lang w:val="en-US"/>
        </w:rPr>
        <w:t xml:space="preserve">. </w:t>
      </w:r>
      <w:r w:rsidRPr="00CD42FA">
        <w:rPr>
          <w:rFonts w:ascii="Calibri" w:hAnsi="Calibri" w:cs="Calibri"/>
          <w:b/>
          <w:bCs/>
          <w:lang w:val="en-US"/>
        </w:rPr>
        <w:t>111</w:t>
      </w:r>
      <w:r w:rsidRPr="00CD42FA">
        <w:rPr>
          <w:rFonts w:ascii="Calibri" w:hAnsi="Calibri" w:cs="Calibri"/>
          <w:lang w:val="en-US"/>
        </w:rPr>
        <w:t xml:space="preserve"> (1), 132–141 (2008).</w:t>
      </w:r>
    </w:p>
    <w:p w14:paraId="3FCA193A" w14:textId="3DA19C7E" w:rsidR="0049398F" w:rsidRPr="00CD42FA" w:rsidRDefault="0049398F" w:rsidP="005C35E4">
      <w:pPr>
        <w:pStyle w:val="Bibliography"/>
        <w:ind w:left="0" w:firstLine="0"/>
        <w:jc w:val="both"/>
        <w:rPr>
          <w:rFonts w:ascii="Calibri" w:hAnsi="Calibri" w:cs="Calibri"/>
          <w:lang w:val="en-US"/>
        </w:rPr>
      </w:pPr>
      <w:r w:rsidRPr="00CD42FA">
        <w:rPr>
          <w:rFonts w:ascii="Calibri" w:hAnsi="Calibri" w:cs="Calibri"/>
          <w:lang w:val="en-US"/>
        </w:rPr>
        <w:t>22.</w:t>
      </w:r>
      <w:r w:rsidRPr="00CD42FA">
        <w:rPr>
          <w:rFonts w:ascii="Calibri" w:hAnsi="Calibri" w:cs="Calibri"/>
          <w:lang w:val="en-US"/>
        </w:rPr>
        <w:tab/>
        <w:t>Chan, T.</w:t>
      </w:r>
      <w:r w:rsidR="005C35E4" w:rsidRPr="00CD42FA">
        <w:rPr>
          <w:rFonts w:ascii="Calibri" w:hAnsi="Calibri" w:cs="Calibri"/>
          <w:lang w:val="en-US"/>
        </w:rPr>
        <w:t xml:space="preserve"> </w:t>
      </w:r>
      <w:r w:rsidRPr="00CD42FA">
        <w:rPr>
          <w:rFonts w:ascii="Calibri" w:hAnsi="Calibri" w:cs="Calibri"/>
          <w:lang w:val="en-US"/>
        </w:rPr>
        <w:t>F., Vese, L.</w:t>
      </w:r>
      <w:r w:rsidR="005C35E4" w:rsidRPr="00CD42FA">
        <w:rPr>
          <w:rFonts w:ascii="Calibri" w:hAnsi="Calibri" w:cs="Calibri"/>
          <w:lang w:val="en-US"/>
        </w:rPr>
        <w:t xml:space="preserve"> </w:t>
      </w:r>
      <w:r w:rsidRPr="00CD42FA">
        <w:rPr>
          <w:rFonts w:ascii="Calibri" w:hAnsi="Calibri" w:cs="Calibri"/>
          <w:lang w:val="en-US"/>
        </w:rPr>
        <w:t xml:space="preserve">A. Active contours without edges. </w:t>
      </w:r>
      <w:r w:rsidRPr="00CD42FA">
        <w:rPr>
          <w:rFonts w:ascii="Calibri" w:hAnsi="Calibri" w:cs="Calibri"/>
          <w:i/>
          <w:iCs/>
          <w:lang w:val="en-US"/>
        </w:rPr>
        <w:t>IEEE Trans Image Process</w:t>
      </w:r>
      <w:r w:rsidRPr="00CD42FA">
        <w:rPr>
          <w:rFonts w:ascii="Calibri" w:hAnsi="Calibri" w:cs="Calibri"/>
          <w:lang w:val="en-US"/>
        </w:rPr>
        <w:t xml:space="preserve">. </w:t>
      </w:r>
      <w:r w:rsidRPr="00CD42FA">
        <w:rPr>
          <w:rFonts w:ascii="Calibri" w:hAnsi="Calibri" w:cs="Calibri"/>
          <w:b/>
          <w:bCs/>
          <w:lang w:val="en-US"/>
        </w:rPr>
        <w:t>10</w:t>
      </w:r>
      <w:r w:rsidRPr="00CD42FA">
        <w:rPr>
          <w:rFonts w:ascii="Calibri" w:hAnsi="Calibri" w:cs="Calibri"/>
          <w:lang w:val="en-US"/>
        </w:rPr>
        <w:t xml:space="preserve"> (2), 266–277 (2001).</w:t>
      </w:r>
    </w:p>
    <w:p w14:paraId="4736A5D4" w14:textId="128F39E3" w:rsidR="0049398F" w:rsidRPr="00CD42FA" w:rsidRDefault="0049398F" w:rsidP="005C35E4">
      <w:pPr>
        <w:pStyle w:val="Bibliography"/>
        <w:ind w:left="0" w:firstLine="0"/>
        <w:jc w:val="both"/>
        <w:rPr>
          <w:rFonts w:ascii="Calibri" w:hAnsi="Calibri" w:cs="Calibri"/>
          <w:lang w:val="en-US"/>
        </w:rPr>
      </w:pPr>
      <w:r w:rsidRPr="00CD42FA">
        <w:rPr>
          <w:rFonts w:ascii="Calibri" w:hAnsi="Calibri" w:cs="Calibri"/>
          <w:lang w:val="en-US"/>
        </w:rPr>
        <w:lastRenderedPageBreak/>
        <w:t>23.</w:t>
      </w:r>
      <w:r w:rsidRPr="00CD42FA">
        <w:rPr>
          <w:rFonts w:ascii="Calibri" w:hAnsi="Calibri" w:cs="Calibri"/>
          <w:lang w:val="en-US"/>
        </w:rPr>
        <w:tab/>
        <w:t>Haralick, R. M., Shanmugam, K.</w:t>
      </w:r>
      <w:r w:rsidR="005C35E4" w:rsidRPr="00CD42FA">
        <w:rPr>
          <w:rFonts w:ascii="Calibri" w:hAnsi="Calibri" w:cs="Calibri"/>
          <w:lang w:val="en-US"/>
        </w:rPr>
        <w:t>,</w:t>
      </w:r>
      <w:r w:rsidRPr="00CD42FA">
        <w:rPr>
          <w:rFonts w:ascii="Calibri" w:hAnsi="Calibri" w:cs="Calibri"/>
          <w:lang w:val="en-US"/>
        </w:rPr>
        <w:t xml:space="preserve"> Dinstein </w:t>
      </w:r>
      <w:r w:rsidR="005C35E4" w:rsidRPr="00CD42FA">
        <w:rPr>
          <w:rFonts w:ascii="Calibri" w:hAnsi="Calibri" w:cs="Calibri"/>
          <w:lang w:val="en-US"/>
        </w:rPr>
        <w:t>t</w:t>
      </w:r>
      <w:r w:rsidRPr="00CD42FA">
        <w:rPr>
          <w:rFonts w:ascii="Calibri" w:hAnsi="Calibri" w:cs="Calibri"/>
          <w:lang w:val="en-US"/>
        </w:rPr>
        <w:t xml:space="preserve">extural </w:t>
      </w:r>
      <w:r w:rsidR="005C35E4" w:rsidRPr="00CD42FA">
        <w:rPr>
          <w:rFonts w:ascii="Calibri" w:hAnsi="Calibri" w:cs="Calibri"/>
          <w:lang w:val="en-US"/>
        </w:rPr>
        <w:t>f</w:t>
      </w:r>
      <w:r w:rsidRPr="00CD42FA">
        <w:rPr>
          <w:rFonts w:ascii="Calibri" w:hAnsi="Calibri" w:cs="Calibri"/>
          <w:lang w:val="en-US"/>
        </w:rPr>
        <w:t xml:space="preserve">eatures for </w:t>
      </w:r>
      <w:r w:rsidR="005C35E4" w:rsidRPr="00CD42FA">
        <w:rPr>
          <w:rFonts w:ascii="Calibri" w:hAnsi="Calibri" w:cs="Calibri"/>
          <w:lang w:val="en-US"/>
        </w:rPr>
        <w:t>i</w:t>
      </w:r>
      <w:r w:rsidRPr="00CD42FA">
        <w:rPr>
          <w:rFonts w:ascii="Calibri" w:hAnsi="Calibri" w:cs="Calibri"/>
          <w:lang w:val="en-US"/>
        </w:rPr>
        <w:t xml:space="preserve">mage </w:t>
      </w:r>
      <w:r w:rsidR="005C35E4" w:rsidRPr="00CD42FA">
        <w:rPr>
          <w:rFonts w:ascii="Calibri" w:hAnsi="Calibri" w:cs="Calibri"/>
          <w:lang w:val="en-US"/>
        </w:rPr>
        <w:t>C</w:t>
      </w:r>
      <w:r w:rsidRPr="00CD42FA">
        <w:rPr>
          <w:rFonts w:ascii="Calibri" w:hAnsi="Calibri" w:cs="Calibri"/>
          <w:lang w:val="en-US"/>
        </w:rPr>
        <w:t>lassification.</w:t>
      </w:r>
      <w:r w:rsidRPr="00CD42FA">
        <w:rPr>
          <w:rFonts w:ascii="Calibri" w:hAnsi="Calibri" w:cs="Calibri"/>
          <w:i/>
          <w:iCs/>
          <w:lang w:val="en-US"/>
        </w:rPr>
        <w:t xml:space="preserve"> SMC-3</w:t>
      </w:r>
      <w:r w:rsidR="005C35E4" w:rsidRPr="00CD42FA">
        <w:rPr>
          <w:rFonts w:ascii="Calibri" w:hAnsi="Calibri" w:cs="Calibri"/>
          <w:lang w:val="en-US"/>
        </w:rPr>
        <w:t>.</w:t>
      </w:r>
      <w:r w:rsidRPr="00CD42FA">
        <w:rPr>
          <w:rFonts w:ascii="Calibri" w:hAnsi="Calibri" w:cs="Calibri"/>
          <w:lang w:val="en-US"/>
        </w:rPr>
        <w:t xml:space="preserve"> (6), 610–621 (1973).</w:t>
      </w:r>
    </w:p>
    <w:p w14:paraId="1684951A" w14:textId="08F9CC6D" w:rsidR="0049398F" w:rsidRPr="00CD42FA" w:rsidRDefault="0049398F" w:rsidP="005C35E4">
      <w:pPr>
        <w:pStyle w:val="Bibliography"/>
        <w:ind w:left="0" w:firstLine="0"/>
        <w:jc w:val="both"/>
        <w:rPr>
          <w:rFonts w:ascii="Calibri" w:hAnsi="Calibri" w:cs="Calibri"/>
          <w:lang w:val="en-US"/>
        </w:rPr>
      </w:pPr>
      <w:r w:rsidRPr="00CD42FA">
        <w:rPr>
          <w:rFonts w:ascii="Calibri" w:hAnsi="Calibri" w:cs="Calibri"/>
          <w:lang w:val="en-US"/>
        </w:rPr>
        <w:t>24.</w:t>
      </w:r>
      <w:r w:rsidRPr="00CD42FA">
        <w:rPr>
          <w:rFonts w:ascii="Calibri" w:hAnsi="Calibri" w:cs="Calibri"/>
          <w:lang w:val="en-US"/>
        </w:rPr>
        <w:tab/>
        <w:t>Deng, Q.</w:t>
      </w:r>
      <w:r w:rsidR="005C35E4" w:rsidRPr="00CD42FA">
        <w:rPr>
          <w:rFonts w:ascii="Calibri" w:hAnsi="Calibri" w:cs="Calibri"/>
          <w:lang w:val="en-US"/>
        </w:rPr>
        <w:t xml:space="preserve"> et al</w:t>
      </w:r>
      <w:r w:rsidRPr="00CD42FA">
        <w:rPr>
          <w:rFonts w:ascii="Calibri" w:hAnsi="Calibri" w:cs="Calibri"/>
          <w:lang w:val="en-US"/>
        </w:rPr>
        <w:t xml:space="preserve">. Localized bacterial infection induces systemic activation of neutrophils through Cxcr2 signaling in zebrafish. </w:t>
      </w:r>
      <w:r w:rsidRPr="00CD42FA">
        <w:rPr>
          <w:rFonts w:ascii="Calibri" w:hAnsi="Calibri" w:cs="Calibri"/>
          <w:i/>
          <w:iCs/>
          <w:lang w:val="en-US"/>
        </w:rPr>
        <w:t>Journal of Leukocyte Biology</w:t>
      </w:r>
      <w:r w:rsidRPr="00CD42FA">
        <w:rPr>
          <w:rFonts w:ascii="Calibri" w:hAnsi="Calibri" w:cs="Calibri"/>
          <w:lang w:val="en-US"/>
        </w:rPr>
        <w:t xml:space="preserve">. </w:t>
      </w:r>
      <w:r w:rsidRPr="00CD42FA">
        <w:rPr>
          <w:rFonts w:ascii="Calibri" w:hAnsi="Calibri" w:cs="Calibri"/>
          <w:b/>
          <w:bCs/>
          <w:lang w:val="en-US"/>
        </w:rPr>
        <w:t>93</w:t>
      </w:r>
      <w:r w:rsidRPr="00CD42FA">
        <w:rPr>
          <w:rFonts w:ascii="Calibri" w:hAnsi="Calibri" w:cs="Calibri"/>
          <w:lang w:val="en-US"/>
        </w:rPr>
        <w:t xml:space="preserve"> (5), 761–769 (2013).</w:t>
      </w:r>
    </w:p>
    <w:p w14:paraId="7758CD2D" w14:textId="367E9057" w:rsidR="0049398F" w:rsidRPr="00CD42FA" w:rsidRDefault="0049398F" w:rsidP="005C35E4">
      <w:pPr>
        <w:pStyle w:val="Bibliography"/>
        <w:ind w:left="0" w:firstLine="0"/>
        <w:jc w:val="both"/>
        <w:rPr>
          <w:rFonts w:ascii="Calibri" w:hAnsi="Calibri" w:cs="Calibri"/>
          <w:lang w:val="en-US"/>
        </w:rPr>
      </w:pPr>
      <w:r w:rsidRPr="00CD42FA">
        <w:rPr>
          <w:rFonts w:ascii="Calibri" w:hAnsi="Calibri" w:cs="Calibri"/>
          <w:lang w:val="en-US"/>
        </w:rPr>
        <w:t>25.</w:t>
      </w:r>
      <w:r w:rsidRPr="00CD42FA">
        <w:rPr>
          <w:rFonts w:ascii="Calibri" w:hAnsi="Calibri" w:cs="Calibri"/>
          <w:lang w:val="en-US"/>
        </w:rPr>
        <w:tab/>
        <w:t xml:space="preserve">Torraca, V., Mostowy, S. Zebrafish </w:t>
      </w:r>
      <w:r w:rsidR="005C35E4" w:rsidRPr="00CD42FA">
        <w:rPr>
          <w:rFonts w:ascii="Calibri" w:hAnsi="Calibri" w:cs="Calibri"/>
          <w:lang w:val="en-US"/>
        </w:rPr>
        <w:t>i</w:t>
      </w:r>
      <w:r w:rsidRPr="00CD42FA">
        <w:rPr>
          <w:rFonts w:ascii="Calibri" w:hAnsi="Calibri" w:cs="Calibri"/>
          <w:lang w:val="en-US"/>
        </w:rPr>
        <w:t xml:space="preserve">nfection: From </w:t>
      </w:r>
      <w:r w:rsidR="005C35E4" w:rsidRPr="00CD42FA">
        <w:rPr>
          <w:rFonts w:ascii="Calibri" w:hAnsi="Calibri" w:cs="Calibri"/>
          <w:lang w:val="en-US"/>
        </w:rPr>
        <w:t>p</w:t>
      </w:r>
      <w:r w:rsidRPr="00CD42FA">
        <w:rPr>
          <w:rFonts w:ascii="Calibri" w:hAnsi="Calibri" w:cs="Calibri"/>
          <w:lang w:val="en-US"/>
        </w:rPr>
        <w:t xml:space="preserve">athogenesis to </w:t>
      </w:r>
      <w:r w:rsidR="005C35E4" w:rsidRPr="00CD42FA">
        <w:rPr>
          <w:rFonts w:ascii="Calibri" w:hAnsi="Calibri" w:cs="Calibri"/>
          <w:lang w:val="en-US"/>
        </w:rPr>
        <w:t>c</w:t>
      </w:r>
      <w:r w:rsidRPr="00CD42FA">
        <w:rPr>
          <w:rFonts w:ascii="Calibri" w:hAnsi="Calibri" w:cs="Calibri"/>
          <w:lang w:val="en-US"/>
        </w:rPr>
        <w:t xml:space="preserve">ell </w:t>
      </w:r>
      <w:r w:rsidR="005C35E4" w:rsidRPr="00CD42FA">
        <w:rPr>
          <w:rFonts w:ascii="Calibri" w:hAnsi="Calibri" w:cs="Calibri"/>
          <w:lang w:val="en-US"/>
        </w:rPr>
        <w:t>b</w:t>
      </w:r>
      <w:r w:rsidRPr="00CD42FA">
        <w:rPr>
          <w:rFonts w:ascii="Calibri" w:hAnsi="Calibri" w:cs="Calibri"/>
          <w:lang w:val="en-US"/>
        </w:rPr>
        <w:t xml:space="preserve">iology. </w:t>
      </w:r>
      <w:r w:rsidRPr="00CD42FA">
        <w:rPr>
          <w:rFonts w:ascii="Calibri" w:hAnsi="Calibri" w:cs="Calibri"/>
          <w:i/>
          <w:iCs/>
          <w:lang w:val="en-US"/>
        </w:rPr>
        <w:t>Trends in Cell Biology</w:t>
      </w:r>
      <w:r w:rsidRPr="00CD42FA">
        <w:rPr>
          <w:rFonts w:ascii="Calibri" w:hAnsi="Calibri" w:cs="Calibri"/>
          <w:lang w:val="en-US"/>
        </w:rPr>
        <w:t xml:space="preserve">. </w:t>
      </w:r>
      <w:r w:rsidRPr="00CD42FA">
        <w:rPr>
          <w:rFonts w:ascii="Calibri" w:hAnsi="Calibri" w:cs="Calibri"/>
          <w:b/>
          <w:bCs/>
          <w:lang w:val="en-US"/>
        </w:rPr>
        <w:t>28</w:t>
      </w:r>
      <w:r w:rsidRPr="00CD42FA">
        <w:rPr>
          <w:rFonts w:ascii="Calibri" w:hAnsi="Calibri" w:cs="Calibri"/>
          <w:lang w:val="en-US"/>
        </w:rPr>
        <w:t xml:space="preserve"> (2), 143–156 (2018).</w:t>
      </w:r>
    </w:p>
    <w:p w14:paraId="24C4232C" w14:textId="6C617C0A" w:rsidR="0049398F" w:rsidRPr="00CD42FA" w:rsidRDefault="0049398F" w:rsidP="005C35E4">
      <w:pPr>
        <w:pStyle w:val="Bibliography"/>
        <w:ind w:left="0" w:firstLine="0"/>
        <w:jc w:val="both"/>
        <w:rPr>
          <w:rFonts w:ascii="Calibri" w:hAnsi="Calibri" w:cs="Calibri"/>
          <w:lang w:val="en-US"/>
        </w:rPr>
      </w:pPr>
      <w:r w:rsidRPr="00CD42FA">
        <w:rPr>
          <w:rFonts w:ascii="Calibri" w:hAnsi="Calibri" w:cs="Calibri"/>
          <w:lang w:val="en-US"/>
        </w:rPr>
        <w:t>26.</w:t>
      </w:r>
      <w:r w:rsidRPr="00CD42FA">
        <w:rPr>
          <w:rFonts w:ascii="Calibri" w:hAnsi="Calibri" w:cs="Calibri"/>
          <w:lang w:val="en-US"/>
        </w:rPr>
        <w:tab/>
        <w:t xml:space="preserve">Feng, Y., Santoriello, C., Mione, M., Hurlstone, A., Martin, P. Live imaging of innate immune cell sensing of transformed cells in zebrafish larvae: parallels between tumor initiation and wound inflammation. </w:t>
      </w:r>
      <w:r w:rsidRPr="00CD42FA">
        <w:rPr>
          <w:rFonts w:ascii="Calibri" w:hAnsi="Calibri" w:cs="Calibri"/>
          <w:i/>
          <w:iCs/>
          <w:lang w:val="en-US"/>
        </w:rPr>
        <w:t xml:space="preserve">PLoS </w:t>
      </w:r>
      <w:r w:rsidR="005C35E4" w:rsidRPr="00CD42FA">
        <w:rPr>
          <w:rFonts w:ascii="Calibri" w:hAnsi="Calibri" w:cs="Calibri"/>
          <w:i/>
          <w:iCs/>
          <w:lang w:val="en-US"/>
        </w:rPr>
        <w:t>B</w:t>
      </w:r>
      <w:r w:rsidRPr="00CD42FA">
        <w:rPr>
          <w:rFonts w:ascii="Calibri" w:hAnsi="Calibri" w:cs="Calibri"/>
          <w:i/>
          <w:iCs/>
          <w:lang w:val="en-US"/>
        </w:rPr>
        <w:t>iology</w:t>
      </w:r>
      <w:r w:rsidRPr="00CD42FA">
        <w:rPr>
          <w:rFonts w:ascii="Calibri" w:hAnsi="Calibri" w:cs="Calibri"/>
          <w:lang w:val="en-US"/>
        </w:rPr>
        <w:t xml:space="preserve">. </w:t>
      </w:r>
      <w:r w:rsidRPr="00CD42FA">
        <w:rPr>
          <w:rFonts w:ascii="Calibri" w:hAnsi="Calibri" w:cs="Calibri"/>
          <w:b/>
          <w:bCs/>
          <w:lang w:val="en-US"/>
        </w:rPr>
        <w:t>8</w:t>
      </w:r>
      <w:r w:rsidRPr="00CD42FA">
        <w:rPr>
          <w:rFonts w:ascii="Calibri" w:hAnsi="Calibri" w:cs="Calibri"/>
          <w:lang w:val="en-US"/>
        </w:rPr>
        <w:t xml:space="preserve"> (12), e1000562 (2010).</w:t>
      </w:r>
    </w:p>
    <w:p w14:paraId="13861126" w14:textId="3E48D8E7" w:rsidR="0049398F" w:rsidRPr="00CD42FA" w:rsidRDefault="0049398F" w:rsidP="005C35E4">
      <w:pPr>
        <w:pStyle w:val="Bibliography"/>
        <w:ind w:left="0" w:firstLine="0"/>
        <w:jc w:val="both"/>
        <w:rPr>
          <w:rFonts w:ascii="Calibri" w:hAnsi="Calibri" w:cs="Calibri"/>
          <w:lang w:val="en-US"/>
        </w:rPr>
      </w:pPr>
      <w:r w:rsidRPr="00CD42FA">
        <w:rPr>
          <w:rFonts w:ascii="Calibri" w:hAnsi="Calibri" w:cs="Calibri"/>
          <w:lang w:val="en-US"/>
        </w:rPr>
        <w:t>27.</w:t>
      </w:r>
      <w:r w:rsidRPr="00CD42FA">
        <w:rPr>
          <w:rFonts w:ascii="Calibri" w:hAnsi="Calibri" w:cs="Calibri"/>
          <w:lang w:val="en-US"/>
        </w:rPr>
        <w:tab/>
        <w:t xml:space="preserve">Poplimont, H. et al. Neutrophil </w:t>
      </w:r>
      <w:r w:rsidR="005C35E4" w:rsidRPr="00CD42FA">
        <w:rPr>
          <w:rFonts w:ascii="Calibri" w:hAnsi="Calibri" w:cs="Calibri"/>
          <w:lang w:val="en-US"/>
        </w:rPr>
        <w:t>s</w:t>
      </w:r>
      <w:r w:rsidRPr="00CD42FA">
        <w:rPr>
          <w:rFonts w:ascii="Calibri" w:hAnsi="Calibri" w:cs="Calibri"/>
          <w:lang w:val="en-US"/>
        </w:rPr>
        <w:t xml:space="preserve">warming in </w:t>
      </w:r>
      <w:r w:rsidR="005C35E4" w:rsidRPr="00CD42FA">
        <w:rPr>
          <w:rFonts w:ascii="Calibri" w:hAnsi="Calibri" w:cs="Calibri"/>
          <w:lang w:val="en-US"/>
        </w:rPr>
        <w:t>d</w:t>
      </w:r>
      <w:r w:rsidRPr="00CD42FA">
        <w:rPr>
          <w:rFonts w:ascii="Calibri" w:hAnsi="Calibri" w:cs="Calibri"/>
          <w:lang w:val="en-US"/>
        </w:rPr>
        <w:t xml:space="preserve">amaged </w:t>
      </w:r>
      <w:r w:rsidR="005C35E4" w:rsidRPr="00CD42FA">
        <w:rPr>
          <w:rFonts w:ascii="Calibri" w:hAnsi="Calibri" w:cs="Calibri"/>
          <w:lang w:val="en-US"/>
        </w:rPr>
        <w:t>t</w:t>
      </w:r>
      <w:r w:rsidRPr="00CD42FA">
        <w:rPr>
          <w:rFonts w:ascii="Calibri" w:hAnsi="Calibri" w:cs="Calibri"/>
          <w:lang w:val="en-US"/>
        </w:rPr>
        <w:t xml:space="preserve">issue </w:t>
      </w:r>
      <w:r w:rsidR="005C35E4" w:rsidRPr="00CD42FA">
        <w:rPr>
          <w:rFonts w:ascii="Calibri" w:hAnsi="Calibri" w:cs="Calibri"/>
          <w:lang w:val="en-US"/>
        </w:rPr>
        <w:t>i</w:t>
      </w:r>
      <w:r w:rsidRPr="00CD42FA">
        <w:rPr>
          <w:rFonts w:ascii="Calibri" w:hAnsi="Calibri" w:cs="Calibri"/>
          <w:lang w:val="en-US"/>
        </w:rPr>
        <w:t xml:space="preserve">s </w:t>
      </w:r>
      <w:r w:rsidR="005C35E4" w:rsidRPr="00CD42FA">
        <w:rPr>
          <w:rFonts w:ascii="Calibri" w:hAnsi="Calibri" w:cs="Calibri"/>
          <w:lang w:val="en-US"/>
        </w:rPr>
        <w:t>o</w:t>
      </w:r>
      <w:r w:rsidRPr="00CD42FA">
        <w:rPr>
          <w:rFonts w:ascii="Calibri" w:hAnsi="Calibri" w:cs="Calibri"/>
          <w:lang w:val="en-US"/>
        </w:rPr>
        <w:t xml:space="preserve">rchestrated by </w:t>
      </w:r>
      <w:r w:rsidR="005C35E4" w:rsidRPr="00CD42FA">
        <w:rPr>
          <w:rFonts w:ascii="Calibri" w:hAnsi="Calibri" w:cs="Calibri"/>
          <w:lang w:val="en-US"/>
        </w:rPr>
        <w:t>c</w:t>
      </w:r>
      <w:r w:rsidRPr="00CD42FA">
        <w:rPr>
          <w:rFonts w:ascii="Calibri" w:hAnsi="Calibri" w:cs="Calibri"/>
          <w:lang w:val="en-US"/>
        </w:rPr>
        <w:t xml:space="preserve">onnexins and </w:t>
      </w:r>
      <w:r w:rsidR="005C35E4" w:rsidRPr="00CD42FA">
        <w:rPr>
          <w:rFonts w:ascii="Calibri" w:hAnsi="Calibri" w:cs="Calibri"/>
          <w:lang w:val="en-US"/>
        </w:rPr>
        <w:t>c</w:t>
      </w:r>
      <w:r w:rsidRPr="00CD42FA">
        <w:rPr>
          <w:rFonts w:ascii="Calibri" w:hAnsi="Calibri" w:cs="Calibri"/>
          <w:lang w:val="en-US"/>
        </w:rPr>
        <w:t xml:space="preserve">ooperative </w:t>
      </w:r>
      <w:r w:rsidR="005C35E4" w:rsidRPr="00CD42FA">
        <w:rPr>
          <w:rFonts w:ascii="Calibri" w:hAnsi="Calibri" w:cs="Calibri"/>
          <w:lang w:val="en-US"/>
        </w:rPr>
        <w:t>c</w:t>
      </w:r>
      <w:r w:rsidRPr="00CD42FA">
        <w:rPr>
          <w:rFonts w:ascii="Calibri" w:hAnsi="Calibri" w:cs="Calibri"/>
          <w:lang w:val="en-US"/>
        </w:rPr>
        <w:t xml:space="preserve">alcium </w:t>
      </w:r>
      <w:r w:rsidR="005C35E4" w:rsidRPr="00CD42FA">
        <w:rPr>
          <w:rFonts w:ascii="Calibri" w:hAnsi="Calibri" w:cs="Calibri"/>
          <w:lang w:val="en-US"/>
        </w:rPr>
        <w:t>a</w:t>
      </w:r>
      <w:r w:rsidRPr="00CD42FA">
        <w:rPr>
          <w:rFonts w:ascii="Calibri" w:hAnsi="Calibri" w:cs="Calibri"/>
          <w:lang w:val="en-US"/>
        </w:rPr>
        <w:t xml:space="preserve">larm </w:t>
      </w:r>
      <w:r w:rsidR="005C35E4" w:rsidRPr="00CD42FA">
        <w:rPr>
          <w:rFonts w:ascii="Calibri" w:hAnsi="Calibri" w:cs="Calibri"/>
          <w:lang w:val="en-US"/>
        </w:rPr>
        <w:t>s</w:t>
      </w:r>
      <w:r w:rsidRPr="00CD42FA">
        <w:rPr>
          <w:rFonts w:ascii="Calibri" w:hAnsi="Calibri" w:cs="Calibri"/>
          <w:lang w:val="en-US"/>
        </w:rPr>
        <w:t xml:space="preserve">ignals. </w:t>
      </w:r>
      <w:r w:rsidRPr="00CD42FA">
        <w:rPr>
          <w:rFonts w:ascii="Calibri" w:hAnsi="Calibri" w:cs="Calibri"/>
          <w:i/>
          <w:iCs/>
          <w:lang w:val="en-US"/>
        </w:rPr>
        <w:t>Current Biology</w:t>
      </w:r>
      <w:r w:rsidRPr="00CD42FA">
        <w:rPr>
          <w:rFonts w:ascii="Calibri" w:hAnsi="Calibri" w:cs="Calibri"/>
          <w:lang w:val="en-US"/>
        </w:rPr>
        <w:t>. S0960982220306692 (2020).</w:t>
      </w:r>
    </w:p>
    <w:p w14:paraId="194CA132" w14:textId="2E0C7815" w:rsidR="0049398F" w:rsidRPr="00CD42FA" w:rsidRDefault="0049398F" w:rsidP="005C35E4">
      <w:pPr>
        <w:pStyle w:val="Bibliography"/>
        <w:ind w:left="0" w:firstLine="0"/>
        <w:jc w:val="both"/>
        <w:rPr>
          <w:rFonts w:ascii="Calibri" w:hAnsi="Calibri" w:cs="Calibri"/>
          <w:lang w:val="en-US"/>
        </w:rPr>
      </w:pPr>
      <w:r w:rsidRPr="00CD42FA">
        <w:rPr>
          <w:rFonts w:ascii="Calibri" w:hAnsi="Calibri" w:cs="Calibri"/>
          <w:lang w:val="en-US"/>
        </w:rPr>
        <w:t>28.</w:t>
      </w:r>
      <w:r w:rsidRPr="00CD42FA">
        <w:rPr>
          <w:rFonts w:ascii="Calibri" w:hAnsi="Calibri" w:cs="Calibri"/>
          <w:lang w:val="en-US"/>
        </w:rPr>
        <w:tab/>
        <w:t xml:space="preserve">Cornet, C., Di Donato, V., Terriente, J. Combining Zebrafish and CRISPR/Cas9: Toward a </w:t>
      </w:r>
      <w:r w:rsidR="005C35E4" w:rsidRPr="00CD42FA">
        <w:rPr>
          <w:rFonts w:ascii="Calibri" w:hAnsi="Calibri" w:cs="Calibri"/>
          <w:lang w:val="en-US"/>
        </w:rPr>
        <w:t>m</w:t>
      </w:r>
      <w:r w:rsidRPr="00CD42FA">
        <w:rPr>
          <w:rFonts w:ascii="Calibri" w:hAnsi="Calibri" w:cs="Calibri"/>
          <w:lang w:val="en-US"/>
        </w:rPr>
        <w:t xml:space="preserve">ore </w:t>
      </w:r>
      <w:r w:rsidR="005C35E4" w:rsidRPr="00CD42FA">
        <w:rPr>
          <w:rFonts w:ascii="Calibri" w:hAnsi="Calibri" w:cs="Calibri"/>
          <w:lang w:val="en-US"/>
        </w:rPr>
        <w:t>e</w:t>
      </w:r>
      <w:r w:rsidRPr="00CD42FA">
        <w:rPr>
          <w:rFonts w:ascii="Calibri" w:hAnsi="Calibri" w:cs="Calibri"/>
          <w:lang w:val="en-US"/>
        </w:rPr>
        <w:t xml:space="preserve">fficient </w:t>
      </w:r>
      <w:r w:rsidR="005C35E4" w:rsidRPr="00CD42FA">
        <w:rPr>
          <w:rFonts w:ascii="Calibri" w:hAnsi="Calibri" w:cs="Calibri"/>
          <w:lang w:val="en-US"/>
        </w:rPr>
        <w:t>d</w:t>
      </w:r>
      <w:r w:rsidRPr="00CD42FA">
        <w:rPr>
          <w:rFonts w:ascii="Calibri" w:hAnsi="Calibri" w:cs="Calibri"/>
          <w:lang w:val="en-US"/>
        </w:rPr>
        <w:t xml:space="preserve">rug </w:t>
      </w:r>
      <w:r w:rsidR="005C35E4" w:rsidRPr="00CD42FA">
        <w:rPr>
          <w:rFonts w:ascii="Calibri" w:hAnsi="Calibri" w:cs="Calibri"/>
          <w:lang w:val="en-US"/>
        </w:rPr>
        <w:t>d</w:t>
      </w:r>
      <w:r w:rsidRPr="00CD42FA">
        <w:rPr>
          <w:rFonts w:ascii="Calibri" w:hAnsi="Calibri" w:cs="Calibri"/>
          <w:lang w:val="en-US"/>
        </w:rPr>
        <w:t xml:space="preserve">iscovery </w:t>
      </w:r>
      <w:r w:rsidR="005C35E4" w:rsidRPr="00CD42FA">
        <w:rPr>
          <w:rFonts w:ascii="Calibri" w:hAnsi="Calibri" w:cs="Calibri"/>
          <w:lang w:val="en-US"/>
        </w:rPr>
        <w:t>p</w:t>
      </w:r>
      <w:r w:rsidRPr="00CD42FA">
        <w:rPr>
          <w:rFonts w:ascii="Calibri" w:hAnsi="Calibri" w:cs="Calibri"/>
          <w:lang w:val="en-US"/>
        </w:rPr>
        <w:t xml:space="preserve">ipeline. </w:t>
      </w:r>
      <w:r w:rsidRPr="00CD42FA">
        <w:rPr>
          <w:rFonts w:ascii="Calibri" w:hAnsi="Calibri" w:cs="Calibri"/>
          <w:i/>
          <w:iCs/>
          <w:lang w:val="en-US"/>
        </w:rPr>
        <w:t>Frontiers in Pharmacology</w:t>
      </w:r>
      <w:r w:rsidRPr="00CD42FA">
        <w:rPr>
          <w:rFonts w:ascii="Calibri" w:hAnsi="Calibri" w:cs="Calibri"/>
          <w:lang w:val="en-US"/>
        </w:rPr>
        <w:t xml:space="preserve">. </w:t>
      </w:r>
      <w:r w:rsidRPr="00CD42FA">
        <w:rPr>
          <w:rFonts w:ascii="Calibri" w:hAnsi="Calibri" w:cs="Calibri"/>
          <w:b/>
          <w:bCs/>
          <w:lang w:val="en-US"/>
        </w:rPr>
        <w:t>9</w:t>
      </w:r>
      <w:r w:rsidRPr="00CD42FA">
        <w:rPr>
          <w:rFonts w:ascii="Calibri" w:hAnsi="Calibri" w:cs="Calibri"/>
          <w:lang w:val="en-US"/>
        </w:rPr>
        <w:t>, 703 (2018).</w:t>
      </w:r>
    </w:p>
    <w:p w14:paraId="2BD0AC18" w14:textId="1B719E0D" w:rsidR="0049398F" w:rsidRPr="00CD42FA" w:rsidRDefault="0049398F" w:rsidP="005C35E4">
      <w:pPr>
        <w:pStyle w:val="Bibliography"/>
        <w:ind w:left="0" w:firstLine="0"/>
        <w:jc w:val="both"/>
        <w:rPr>
          <w:rFonts w:ascii="Calibri" w:hAnsi="Calibri" w:cs="Calibri"/>
          <w:lang w:val="en-US"/>
        </w:rPr>
      </w:pPr>
      <w:r w:rsidRPr="00CD42FA">
        <w:rPr>
          <w:rFonts w:ascii="Calibri" w:hAnsi="Calibri" w:cs="Calibri"/>
          <w:lang w:val="en-US"/>
        </w:rPr>
        <w:t>29.</w:t>
      </w:r>
      <w:r w:rsidRPr="00CD42FA">
        <w:rPr>
          <w:rFonts w:ascii="Calibri" w:hAnsi="Calibri" w:cs="Calibri"/>
          <w:lang w:val="en-US"/>
        </w:rPr>
        <w:tab/>
        <w:t xml:space="preserve">Kienle, K., Lämmermann, T. Neutrophil swarming: an essential process of the neutrophil tissue response. </w:t>
      </w:r>
      <w:r w:rsidRPr="00CD42FA">
        <w:rPr>
          <w:rFonts w:ascii="Calibri" w:hAnsi="Calibri" w:cs="Calibri"/>
          <w:i/>
          <w:iCs/>
          <w:lang w:val="en-US"/>
        </w:rPr>
        <w:t>Immunological Reviews</w:t>
      </w:r>
      <w:r w:rsidRPr="00CD42FA">
        <w:rPr>
          <w:rFonts w:ascii="Calibri" w:hAnsi="Calibri" w:cs="Calibri"/>
          <w:lang w:val="en-US"/>
        </w:rPr>
        <w:t xml:space="preserve">. </w:t>
      </w:r>
      <w:r w:rsidRPr="00CD42FA">
        <w:rPr>
          <w:rFonts w:ascii="Calibri" w:hAnsi="Calibri" w:cs="Calibri"/>
          <w:b/>
          <w:bCs/>
          <w:lang w:val="en-US"/>
        </w:rPr>
        <w:t>273</w:t>
      </w:r>
      <w:r w:rsidRPr="00CD42FA">
        <w:rPr>
          <w:rFonts w:ascii="Calibri" w:hAnsi="Calibri" w:cs="Calibri"/>
          <w:lang w:val="en-US"/>
        </w:rPr>
        <w:t xml:space="preserve"> (1), 76–93 (2016).</w:t>
      </w:r>
    </w:p>
    <w:p w14:paraId="7F66DFA5" w14:textId="639FDE67" w:rsidR="0049398F" w:rsidRPr="00CD42FA" w:rsidRDefault="0049398F" w:rsidP="005C35E4">
      <w:pPr>
        <w:pStyle w:val="Bibliography"/>
        <w:ind w:left="0" w:firstLine="0"/>
        <w:jc w:val="both"/>
        <w:rPr>
          <w:rFonts w:ascii="Calibri" w:hAnsi="Calibri" w:cs="Calibri"/>
          <w:lang w:val="en-US"/>
        </w:rPr>
      </w:pPr>
      <w:r w:rsidRPr="00CD42FA">
        <w:rPr>
          <w:rFonts w:ascii="Calibri" w:hAnsi="Calibri" w:cs="Calibri"/>
          <w:lang w:val="en-US"/>
        </w:rPr>
        <w:t>30.</w:t>
      </w:r>
      <w:r w:rsidRPr="00CD42FA">
        <w:rPr>
          <w:rFonts w:ascii="Calibri" w:hAnsi="Calibri" w:cs="Calibri"/>
          <w:lang w:val="en-US"/>
        </w:rPr>
        <w:tab/>
        <w:t>Lisse, T.</w:t>
      </w:r>
      <w:r w:rsidR="005C35E4" w:rsidRPr="00CD42FA">
        <w:rPr>
          <w:rFonts w:ascii="Calibri" w:hAnsi="Calibri" w:cs="Calibri"/>
          <w:lang w:val="en-US"/>
        </w:rPr>
        <w:t xml:space="preserve"> </w:t>
      </w:r>
      <w:r w:rsidRPr="00CD42FA">
        <w:rPr>
          <w:rFonts w:ascii="Calibri" w:hAnsi="Calibri" w:cs="Calibri"/>
          <w:lang w:val="en-US"/>
        </w:rPr>
        <w:t>S., Brochu, E.</w:t>
      </w:r>
      <w:r w:rsidR="005C35E4" w:rsidRPr="00CD42FA">
        <w:rPr>
          <w:rFonts w:ascii="Calibri" w:hAnsi="Calibri" w:cs="Calibri"/>
          <w:lang w:val="en-US"/>
        </w:rPr>
        <w:t xml:space="preserve"> </w:t>
      </w:r>
      <w:r w:rsidRPr="00CD42FA">
        <w:rPr>
          <w:rFonts w:ascii="Calibri" w:hAnsi="Calibri" w:cs="Calibri"/>
          <w:lang w:val="en-US"/>
        </w:rPr>
        <w:t xml:space="preserve">A., Rieger, S. Capturing </w:t>
      </w:r>
      <w:r w:rsidR="005C35E4" w:rsidRPr="00CD42FA">
        <w:rPr>
          <w:rFonts w:ascii="Calibri" w:hAnsi="Calibri" w:cs="Calibri"/>
          <w:lang w:val="en-US"/>
        </w:rPr>
        <w:t>t</w:t>
      </w:r>
      <w:r w:rsidRPr="00CD42FA">
        <w:rPr>
          <w:rFonts w:ascii="Calibri" w:hAnsi="Calibri" w:cs="Calibri"/>
          <w:lang w:val="en-US"/>
        </w:rPr>
        <w:t xml:space="preserve">issue </w:t>
      </w:r>
      <w:r w:rsidR="005C35E4" w:rsidRPr="00CD42FA">
        <w:rPr>
          <w:rFonts w:ascii="Calibri" w:hAnsi="Calibri" w:cs="Calibri"/>
          <w:lang w:val="en-US"/>
        </w:rPr>
        <w:t>r</w:t>
      </w:r>
      <w:r w:rsidRPr="00CD42FA">
        <w:rPr>
          <w:rFonts w:ascii="Calibri" w:hAnsi="Calibri" w:cs="Calibri"/>
          <w:lang w:val="en-US"/>
        </w:rPr>
        <w:t xml:space="preserve">epair in </w:t>
      </w:r>
      <w:r w:rsidR="005C35E4" w:rsidRPr="00CD42FA">
        <w:rPr>
          <w:rFonts w:ascii="Calibri" w:hAnsi="Calibri" w:cs="Calibri"/>
          <w:lang w:val="en-US"/>
        </w:rPr>
        <w:t>z</w:t>
      </w:r>
      <w:r w:rsidRPr="00CD42FA">
        <w:rPr>
          <w:rFonts w:ascii="Calibri" w:hAnsi="Calibri" w:cs="Calibri"/>
          <w:lang w:val="en-US"/>
        </w:rPr>
        <w:t xml:space="preserve">ebrafish </w:t>
      </w:r>
      <w:r w:rsidR="005C35E4" w:rsidRPr="00CD42FA">
        <w:rPr>
          <w:rFonts w:ascii="Calibri" w:hAnsi="Calibri" w:cs="Calibri"/>
          <w:lang w:val="en-US"/>
        </w:rPr>
        <w:t>l</w:t>
      </w:r>
      <w:r w:rsidRPr="00CD42FA">
        <w:rPr>
          <w:rFonts w:ascii="Calibri" w:hAnsi="Calibri" w:cs="Calibri"/>
          <w:lang w:val="en-US"/>
        </w:rPr>
        <w:t xml:space="preserve">arvae with </w:t>
      </w:r>
      <w:r w:rsidR="005C35E4" w:rsidRPr="00CD42FA">
        <w:rPr>
          <w:rFonts w:ascii="Calibri" w:hAnsi="Calibri" w:cs="Calibri"/>
          <w:lang w:val="en-US"/>
        </w:rPr>
        <w:t>t</w:t>
      </w:r>
      <w:r w:rsidRPr="00CD42FA">
        <w:rPr>
          <w:rFonts w:ascii="Calibri" w:hAnsi="Calibri" w:cs="Calibri"/>
          <w:lang w:val="en-US"/>
        </w:rPr>
        <w:t xml:space="preserve">ime-lapse </w:t>
      </w:r>
      <w:r w:rsidR="005C35E4" w:rsidRPr="00CD42FA">
        <w:rPr>
          <w:rFonts w:ascii="Calibri" w:hAnsi="Calibri" w:cs="Calibri"/>
          <w:lang w:val="en-US"/>
        </w:rPr>
        <w:t>b</w:t>
      </w:r>
      <w:r w:rsidRPr="00CD42FA">
        <w:rPr>
          <w:rFonts w:ascii="Calibri" w:hAnsi="Calibri" w:cs="Calibri"/>
          <w:lang w:val="en-US"/>
        </w:rPr>
        <w:t xml:space="preserve">rightfield </w:t>
      </w:r>
      <w:r w:rsidR="005C35E4" w:rsidRPr="00CD42FA">
        <w:rPr>
          <w:rFonts w:ascii="Calibri" w:hAnsi="Calibri" w:cs="Calibri"/>
          <w:lang w:val="en-US"/>
        </w:rPr>
        <w:t>s</w:t>
      </w:r>
      <w:r w:rsidRPr="00CD42FA">
        <w:rPr>
          <w:rFonts w:ascii="Calibri" w:hAnsi="Calibri" w:cs="Calibri"/>
          <w:lang w:val="en-US"/>
        </w:rPr>
        <w:t xml:space="preserve">tereomicroscopy. </w:t>
      </w:r>
      <w:r w:rsidRPr="00CD42FA">
        <w:rPr>
          <w:rFonts w:ascii="Calibri" w:hAnsi="Calibri" w:cs="Calibri"/>
          <w:i/>
          <w:iCs/>
          <w:lang w:val="en-US"/>
        </w:rPr>
        <w:t>Journal of Visualized Experiments</w:t>
      </w:r>
      <w:r w:rsidRPr="00CD42FA">
        <w:rPr>
          <w:rFonts w:ascii="Calibri" w:hAnsi="Calibri" w:cs="Calibri"/>
          <w:lang w:val="en-US"/>
        </w:rPr>
        <w:t xml:space="preserve">. (95), </w:t>
      </w:r>
      <w:r w:rsidR="005C35E4" w:rsidRPr="00CD42FA">
        <w:rPr>
          <w:rFonts w:ascii="Calibri" w:hAnsi="Calibri" w:cs="Calibri"/>
          <w:lang w:val="en-US"/>
        </w:rPr>
        <w:t>e</w:t>
      </w:r>
      <w:r w:rsidRPr="00CD42FA">
        <w:rPr>
          <w:rFonts w:ascii="Calibri" w:hAnsi="Calibri" w:cs="Calibri"/>
          <w:lang w:val="en-US"/>
        </w:rPr>
        <w:t>52654 (2015).</w:t>
      </w:r>
    </w:p>
    <w:p w14:paraId="626A41AB" w14:textId="704619F1" w:rsidR="00C17BFF" w:rsidRPr="00CD42FA" w:rsidRDefault="00DA1E36" w:rsidP="005C35E4">
      <w:pPr>
        <w:pStyle w:val="Bibliography"/>
        <w:ind w:left="0" w:firstLine="0"/>
        <w:jc w:val="both"/>
        <w:rPr>
          <w:rFonts w:ascii="Calibri" w:hAnsi="Calibri" w:cs="Calibri"/>
          <w:lang w:val="en-US"/>
        </w:rPr>
      </w:pPr>
      <w:r w:rsidRPr="00CD42FA">
        <w:rPr>
          <w:rFonts w:ascii="Calibri" w:hAnsi="Calibri" w:cs="Calibri"/>
          <w:lang w:val="en-US"/>
        </w:rPr>
        <w:fldChar w:fldCharType="end"/>
      </w:r>
    </w:p>
    <w:sectPr w:rsidR="00C17BFF" w:rsidRPr="00CD42FA"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FD4A3D" w14:textId="77777777" w:rsidR="00A61F88" w:rsidRDefault="00A61F88" w:rsidP="00621C4E">
      <w:r>
        <w:separator/>
      </w:r>
    </w:p>
  </w:endnote>
  <w:endnote w:type="continuationSeparator" w:id="0">
    <w:p w14:paraId="5DA31F41" w14:textId="77777777" w:rsidR="00A61F88" w:rsidRDefault="00A61F8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6FBE52D0" w:rsidR="008E1292" w:rsidRDefault="008E1292">
        <w:pPr>
          <w:pStyle w:val="Foo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6</w:t>
        </w:r>
        <w:r>
          <w:rPr>
            <w:noProof/>
          </w:rPr>
          <w:tab/>
        </w:r>
        <w:r>
          <w:rPr>
            <w:noProof/>
          </w:rPr>
          <w:tab/>
        </w:r>
      </w:p>
    </w:sdtContent>
  </w:sdt>
  <w:p w14:paraId="39947363" w14:textId="71AB2B06" w:rsidR="008E1292" w:rsidRPr="00494F77" w:rsidRDefault="008E129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8E1292" w:rsidRDefault="008E129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B08AC1" w14:textId="77777777" w:rsidR="00A61F88" w:rsidRDefault="00A61F88" w:rsidP="00621C4E">
      <w:r>
        <w:separator/>
      </w:r>
    </w:p>
  </w:footnote>
  <w:footnote w:type="continuationSeparator" w:id="0">
    <w:p w14:paraId="7698F321" w14:textId="77777777" w:rsidR="00A61F88" w:rsidRDefault="00A61F8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8E1292" w:rsidRPr="006F06E4" w:rsidRDefault="008E1292"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34C48BA1" w:rsidR="008E1292" w:rsidRPr="006F06E4" w:rsidRDefault="008E1292"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15FD4"/>
    <w:multiLevelType w:val="multilevel"/>
    <w:tmpl w:val="09B4A2D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34A7CFB"/>
    <w:multiLevelType w:val="multilevel"/>
    <w:tmpl w:val="0ED66468"/>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8C2BD9"/>
    <w:multiLevelType w:val="multilevel"/>
    <w:tmpl w:val="D0E20F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7512E7C"/>
    <w:multiLevelType w:val="multilevel"/>
    <w:tmpl w:val="23DC2CD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45C5FE0"/>
    <w:multiLevelType w:val="multilevel"/>
    <w:tmpl w:val="A7A60D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A3E10EA"/>
    <w:multiLevelType w:val="multilevel"/>
    <w:tmpl w:val="43D804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85941D7"/>
    <w:multiLevelType w:val="multilevel"/>
    <w:tmpl w:val="179E5FC0"/>
    <w:lvl w:ilvl="0">
      <w:start w:val="3"/>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num w:numId="1">
    <w:abstractNumId w:val="1"/>
  </w:num>
  <w:num w:numId="2">
    <w:abstractNumId w:val="2"/>
  </w:num>
  <w:num w:numId="3">
    <w:abstractNumId w:val="6"/>
  </w:num>
  <w:num w:numId="4">
    <w:abstractNumId w:val="5"/>
  </w:num>
  <w:num w:numId="5">
    <w:abstractNumId w:val="3"/>
  </w:num>
  <w:num w:numId="6">
    <w:abstractNumId w:val="4"/>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F8E"/>
    <w:rsid w:val="00003FDF"/>
    <w:rsid w:val="00005815"/>
    <w:rsid w:val="00006E68"/>
    <w:rsid w:val="00007DBC"/>
    <w:rsid w:val="00007EA1"/>
    <w:rsid w:val="000100F0"/>
    <w:rsid w:val="000129B2"/>
    <w:rsid w:val="00012FF9"/>
    <w:rsid w:val="0001389C"/>
    <w:rsid w:val="00014314"/>
    <w:rsid w:val="000154C5"/>
    <w:rsid w:val="000212AE"/>
    <w:rsid w:val="00021434"/>
    <w:rsid w:val="00021774"/>
    <w:rsid w:val="00021DF3"/>
    <w:rsid w:val="00023869"/>
    <w:rsid w:val="00024598"/>
    <w:rsid w:val="0002471A"/>
    <w:rsid w:val="000279B0"/>
    <w:rsid w:val="00032769"/>
    <w:rsid w:val="0003311E"/>
    <w:rsid w:val="00034008"/>
    <w:rsid w:val="00037B58"/>
    <w:rsid w:val="000467F2"/>
    <w:rsid w:val="00051B73"/>
    <w:rsid w:val="000536FC"/>
    <w:rsid w:val="0005465F"/>
    <w:rsid w:val="000575CF"/>
    <w:rsid w:val="00057E11"/>
    <w:rsid w:val="00060ABE"/>
    <w:rsid w:val="00061A50"/>
    <w:rsid w:val="00062C4E"/>
    <w:rsid w:val="0006361B"/>
    <w:rsid w:val="00064104"/>
    <w:rsid w:val="00064F32"/>
    <w:rsid w:val="000652E3"/>
    <w:rsid w:val="00066025"/>
    <w:rsid w:val="00067A8F"/>
    <w:rsid w:val="000701D1"/>
    <w:rsid w:val="000756EC"/>
    <w:rsid w:val="00080A20"/>
    <w:rsid w:val="00081A17"/>
    <w:rsid w:val="00082796"/>
    <w:rsid w:val="00082DF4"/>
    <w:rsid w:val="00083624"/>
    <w:rsid w:val="00086FF5"/>
    <w:rsid w:val="00087C0A"/>
    <w:rsid w:val="00091788"/>
    <w:rsid w:val="00091C33"/>
    <w:rsid w:val="00093BC4"/>
    <w:rsid w:val="000943E6"/>
    <w:rsid w:val="00097929"/>
    <w:rsid w:val="000A0F2D"/>
    <w:rsid w:val="000A1E80"/>
    <w:rsid w:val="000A3B70"/>
    <w:rsid w:val="000A5153"/>
    <w:rsid w:val="000A5BBD"/>
    <w:rsid w:val="000A7EC4"/>
    <w:rsid w:val="000B10AE"/>
    <w:rsid w:val="000B30BF"/>
    <w:rsid w:val="000B3D19"/>
    <w:rsid w:val="000B566B"/>
    <w:rsid w:val="000B595C"/>
    <w:rsid w:val="000B662E"/>
    <w:rsid w:val="000B7294"/>
    <w:rsid w:val="000B75D0"/>
    <w:rsid w:val="000C1CF8"/>
    <w:rsid w:val="000C27EA"/>
    <w:rsid w:val="000C49CF"/>
    <w:rsid w:val="000C5148"/>
    <w:rsid w:val="000C52E9"/>
    <w:rsid w:val="000C5B8B"/>
    <w:rsid w:val="000C5CDC"/>
    <w:rsid w:val="000C65DC"/>
    <w:rsid w:val="000C66F3"/>
    <w:rsid w:val="000C6900"/>
    <w:rsid w:val="000C7E8B"/>
    <w:rsid w:val="000D28BF"/>
    <w:rsid w:val="000D31E8"/>
    <w:rsid w:val="000D4262"/>
    <w:rsid w:val="000D76E4"/>
    <w:rsid w:val="000E3816"/>
    <w:rsid w:val="000E4F77"/>
    <w:rsid w:val="000E70C7"/>
    <w:rsid w:val="000E7AF4"/>
    <w:rsid w:val="000F265C"/>
    <w:rsid w:val="000F3569"/>
    <w:rsid w:val="000F3AFA"/>
    <w:rsid w:val="000F5712"/>
    <w:rsid w:val="000F6611"/>
    <w:rsid w:val="000F7E22"/>
    <w:rsid w:val="001007AA"/>
    <w:rsid w:val="00103372"/>
    <w:rsid w:val="0010683E"/>
    <w:rsid w:val="00107554"/>
    <w:rsid w:val="001075E9"/>
    <w:rsid w:val="001104F3"/>
    <w:rsid w:val="00112EEB"/>
    <w:rsid w:val="00116479"/>
    <w:rsid w:val="001173FF"/>
    <w:rsid w:val="001206F7"/>
    <w:rsid w:val="001237BD"/>
    <w:rsid w:val="0012563A"/>
    <w:rsid w:val="001264DE"/>
    <w:rsid w:val="00126849"/>
    <w:rsid w:val="001313A7"/>
    <w:rsid w:val="0013276F"/>
    <w:rsid w:val="00133925"/>
    <w:rsid w:val="001342B5"/>
    <w:rsid w:val="00134C85"/>
    <w:rsid w:val="00135D59"/>
    <w:rsid w:val="0013621E"/>
    <w:rsid w:val="0013642E"/>
    <w:rsid w:val="00142B89"/>
    <w:rsid w:val="00142EFE"/>
    <w:rsid w:val="001466C7"/>
    <w:rsid w:val="00146FFE"/>
    <w:rsid w:val="00152A23"/>
    <w:rsid w:val="00156B11"/>
    <w:rsid w:val="00156CCB"/>
    <w:rsid w:val="00157CBD"/>
    <w:rsid w:val="00162CB7"/>
    <w:rsid w:val="00162D7B"/>
    <w:rsid w:val="00163CA9"/>
    <w:rsid w:val="001665C9"/>
    <w:rsid w:val="00166F32"/>
    <w:rsid w:val="00170637"/>
    <w:rsid w:val="001718C0"/>
    <w:rsid w:val="00171E5B"/>
    <w:rsid w:val="00171F94"/>
    <w:rsid w:val="00175D4E"/>
    <w:rsid w:val="0017668A"/>
    <w:rsid w:val="001766FE"/>
    <w:rsid w:val="001771E7"/>
    <w:rsid w:val="001911FF"/>
    <w:rsid w:val="00191F31"/>
    <w:rsid w:val="00192006"/>
    <w:rsid w:val="00193180"/>
    <w:rsid w:val="0019530C"/>
    <w:rsid w:val="0019566B"/>
    <w:rsid w:val="00195AA0"/>
    <w:rsid w:val="00196792"/>
    <w:rsid w:val="001A015D"/>
    <w:rsid w:val="001B1519"/>
    <w:rsid w:val="001B2E2D"/>
    <w:rsid w:val="001B5CD2"/>
    <w:rsid w:val="001C0BEE"/>
    <w:rsid w:val="001C1E49"/>
    <w:rsid w:val="001C27C1"/>
    <w:rsid w:val="001C2A98"/>
    <w:rsid w:val="001C3B86"/>
    <w:rsid w:val="001C4D95"/>
    <w:rsid w:val="001D3A1E"/>
    <w:rsid w:val="001D3BBE"/>
    <w:rsid w:val="001D3D7D"/>
    <w:rsid w:val="001D3FFF"/>
    <w:rsid w:val="001D4997"/>
    <w:rsid w:val="001D625F"/>
    <w:rsid w:val="001D68A4"/>
    <w:rsid w:val="001D7576"/>
    <w:rsid w:val="001D7D4D"/>
    <w:rsid w:val="001E0E3F"/>
    <w:rsid w:val="001E14A0"/>
    <w:rsid w:val="001E7376"/>
    <w:rsid w:val="001F225C"/>
    <w:rsid w:val="001F3251"/>
    <w:rsid w:val="00200792"/>
    <w:rsid w:val="00201CFA"/>
    <w:rsid w:val="0020220D"/>
    <w:rsid w:val="00202448"/>
    <w:rsid w:val="00202D15"/>
    <w:rsid w:val="00204341"/>
    <w:rsid w:val="00205B3F"/>
    <w:rsid w:val="0020679B"/>
    <w:rsid w:val="0021077C"/>
    <w:rsid w:val="00210817"/>
    <w:rsid w:val="00212EAE"/>
    <w:rsid w:val="00214BEE"/>
    <w:rsid w:val="002205B8"/>
    <w:rsid w:val="00222423"/>
    <w:rsid w:val="00225720"/>
    <w:rsid w:val="002259E5"/>
    <w:rsid w:val="00226140"/>
    <w:rsid w:val="00227099"/>
    <w:rsid w:val="002274F3"/>
    <w:rsid w:val="0023094C"/>
    <w:rsid w:val="00233484"/>
    <w:rsid w:val="00234303"/>
    <w:rsid w:val="00234BE3"/>
    <w:rsid w:val="002350D9"/>
    <w:rsid w:val="00235A90"/>
    <w:rsid w:val="0023624F"/>
    <w:rsid w:val="002403B6"/>
    <w:rsid w:val="00240807"/>
    <w:rsid w:val="00241823"/>
    <w:rsid w:val="00241E48"/>
    <w:rsid w:val="0024214E"/>
    <w:rsid w:val="00242623"/>
    <w:rsid w:val="002429E9"/>
    <w:rsid w:val="00242F6E"/>
    <w:rsid w:val="00246944"/>
    <w:rsid w:val="00247529"/>
    <w:rsid w:val="00250558"/>
    <w:rsid w:val="0025357C"/>
    <w:rsid w:val="00253A95"/>
    <w:rsid w:val="002543B3"/>
    <w:rsid w:val="002605D1"/>
    <w:rsid w:val="00260652"/>
    <w:rsid w:val="002610EB"/>
    <w:rsid w:val="00261F25"/>
    <w:rsid w:val="002632FF"/>
    <w:rsid w:val="002647B6"/>
    <w:rsid w:val="002648A9"/>
    <w:rsid w:val="0026536F"/>
    <w:rsid w:val="0026553C"/>
    <w:rsid w:val="002661A0"/>
    <w:rsid w:val="0026790A"/>
    <w:rsid w:val="00267DD5"/>
    <w:rsid w:val="00273BD9"/>
    <w:rsid w:val="00274A0A"/>
    <w:rsid w:val="00277593"/>
    <w:rsid w:val="00277A62"/>
    <w:rsid w:val="00280909"/>
    <w:rsid w:val="00280918"/>
    <w:rsid w:val="00280F7A"/>
    <w:rsid w:val="002827D2"/>
    <w:rsid w:val="00282AF6"/>
    <w:rsid w:val="0028300F"/>
    <w:rsid w:val="0028596A"/>
    <w:rsid w:val="00287085"/>
    <w:rsid w:val="00287DC0"/>
    <w:rsid w:val="00290AF9"/>
    <w:rsid w:val="00291131"/>
    <w:rsid w:val="00291182"/>
    <w:rsid w:val="002967CF"/>
    <w:rsid w:val="00297788"/>
    <w:rsid w:val="002A014E"/>
    <w:rsid w:val="002A3285"/>
    <w:rsid w:val="002A34F9"/>
    <w:rsid w:val="002A484B"/>
    <w:rsid w:val="002A64A6"/>
    <w:rsid w:val="002B1FE3"/>
    <w:rsid w:val="002B3301"/>
    <w:rsid w:val="002B4EC0"/>
    <w:rsid w:val="002B5B49"/>
    <w:rsid w:val="002B6097"/>
    <w:rsid w:val="002B737A"/>
    <w:rsid w:val="002C1445"/>
    <w:rsid w:val="002C47D4"/>
    <w:rsid w:val="002C68EA"/>
    <w:rsid w:val="002C7974"/>
    <w:rsid w:val="002D0F38"/>
    <w:rsid w:val="002D2016"/>
    <w:rsid w:val="002D3C21"/>
    <w:rsid w:val="002D77E3"/>
    <w:rsid w:val="002F2859"/>
    <w:rsid w:val="002F6E3C"/>
    <w:rsid w:val="00300797"/>
    <w:rsid w:val="0030117D"/>
    <w:rsid w:val="003018E7"/>
    <w:rsid w:val="00301F30"/>
    <w:rsid w:val="003038FD"/>
    <w:rsid w:val="00303C87"/>
    <w:rsid w:val="00303DA9"/>
    <w:rsid w:val="00305821"/>
    <w:rsid w:val="00310578"/>
    <w:rsid w:val="003108E5"/>
    <w:rsid w:val="003115A8"/>
    <w:rsid w:val="003120CB"/>
    <w:rsid w:val="003124E5"/>
    <w:rsid w:val="00315030"/>
    <w:rsid w:val="003176B9"/>
    <w:rsid w:val="00320153"/>
    <w:rsid w:val="00320367"/>
    <w:rsid w:val="00322871"/>
    <w:rsid w:val="00326FB3"/>
    <w:rsid w:val="003316D4"/>
    <w:rsid w:val="003321B2"/>
    <w:rsid w:val="00332BBE"/>
    <w:rsid w:val="00333822"/>
    <w:rsid w:val="00336715"/>
    <w:rsid w:val="00337403"/>
    <w:rsid w:val="003401EC"/>
    <w:rsid w:val="00340DFD"/>
    <w:rsid w:val="003430FE"/>
    <w:rsid w:val="00343EEF"/>
    <w:rsid w:val="00344954"/>
    <w:rsid w:val="00345DE8"/>
    <w:rsid w:val="00346161"/>
    <w:rsid w:val="00346397"/>
    <w:rsid w:val="0034679F"/>
    <w:rsid w:val="00350CD7"/>
    <w:rsid w:val="003602D9"/>
    <w:rsid w:val="00360C17"/>
    <w:rsid w:val="003621C6"/>
    <w:rsid w:val="003622B8"/>
    <w:rsid w:val="00363B47"/>
    <w:rsid w:val="00366B76"/>
    <w:rsid w:val="00367DCC"/>
    <w:rsid w:val="00373051"/>
    <w:rsid w:val="00373B8F"/>
    <w:rsid w:val="00376D95"/>
    <w:rsid w:val="00376F26"/>
    <w:rsid w:val="00377FBB"/>
    <w:rsid w:val="00381EBC"/>
    <w:rsid w:val="00385140"/>
    <w:rsid w:val="003915CC"/>
    <w:rsid w:val="00392C0A"/>
    <w:rsid w:val="00393CC7"/>
    <w:rsid w:val="00396302"/>
    <w:rsid w:val="003971F7"/>
    <w:rsid w:val="003A16FC"/>
    <w:rsid w:val="003A2C8A"/>
    <w:rsid w:val="003A4FCD"/>
    <w:rsid w:val="003A5FF6"/>
    <w:rsid w:val="003B0944"/>
    <w:rsid w:val="003B1593"/>
    <w:rsid w:val="003B1E52"/>
    <w:rsid w:val="003B4381"/>
    <w:rsid w:val="003C1043"/>
    <w:rsid w:val="003C1A30"/>
    <w:rsid w:val="003C5505"/>
    <w:rsid w:val="003C6779"/>
    <w:rsid w:val="003C6C7A"/>
    <w:rsid w:val="003C71BE"/>
    <w:rsid w:val="003D033C"/>
    <w:rsid w:val="003D0FBF"/>
    <w:rsid w:val="003D2998"/>
    <w:rsid w:val="003D2F0A"/>
    <w:rsid w:val="003D3891"/>
    <w:rsid w:val="003D3FE9"/>
    <w:rsid w:val="003D5D84"/>
    <w:rsid w:val="003D70C3"/>
    <w:rsid w:val="003E0531"/>
    <w:rsid w:val="003E0F4F"/>
    <w:rsid w:val="003E1670"/>
    <w:rsid w:val="003E18AC"/>
    <w:rsid w:val="003E210B"/>
    <w:rsid w:val="003E2A12"/>
    <w:rsid w:val="003E3384"/>
    <w:rsid w:val="003E397E"/>
    <w:rsid w:val="003E3CA4"/>
    <w:rsid w:val="003E548E"/>
    <w:rsid w:val="003E56C3"/>
    <w:rsid w:val="003E65B0"/>
    <w:rsid w:val="003F043D"/>
    <w:rsid w:val="003F6E12"/>
    <w:rsid w:val="00407EC8"/>
    <w:rsid w:val="0041110A"/>
    <w:rsid w:val="00411624"/>
    <w:rsid w:val="004148E1"/>
    <w:rsid w:val="00414CFA"/>
    <w:rsid w:val="00415EC0"/>
    <w:rsid w:val="00420BE9"/>
    <w:rsid w:val="00423AD8"/>
    <w:rsid w:val="00423F11"/>
    <w:rsid w:val="00423FDD"/>
    <w:rsid w:val="00424C85"/>
    <w:rsid w:val="004260BD"/>
    <w:rsid w:val="0043012F"/>
    <w:rsid w:val="00430F1F"/>
    <w:rsid w:val="004326EA"/>
    <w:rsid w:val="00442268"/>
    <w:rsid w:val="00443E6F"/>
    <w:rsid w:val="0044434C"/>
    <w:rsid w:val="0044456B"/>
    <w:rsid w:val="0044524E"/>
    <w:rsid w:val="00446CD2"/>
    <w:rsid w:val="00447339"/>
    <w:rsid w:val="00447BD1"/>
    <w:rsid w:val="004504B2"/>
    <w:rsid w:val="004507F3"/>
    <w:rsid w:val="00450AF4"/>
    <w:rsid w:val="00450B47"/>
    <w:rsid w:val="004534AF"/>
    <w:rsid w:val="00453B21"/>
    <w:rsid w:val="00456A57"/>
    <w:rsid w:val="00460377"/>
    <w:rsid w:val="004607DE"/>
    <w:rsid w:val="00461A51"/>
    <w:rsid w:val="00464FCE"/>
    <w:rsid w:val="004671C7"/>
    <w:rsid w:val="00472BA0"/>
    <w:rsid w:val="00472F4D"/>
    <w:rsid w:val="004730BF"/>
    <w:rsid w:val="00474DCB"/>
    <w:rsid w:val="0047535C"/>
    <w:rsid w:val="004762F6"/>
    <w:rsid w:val="00485870"/>
    <w:rsid w:val="00485FE8"/>
    <w:rsid w:val="00492473"/>
    <w:rsid w:val="00492EB5"/>
    <w:rsid w:val="0049398F"/>
    <w:rsid w:val="00494F77"/>
    <w:rsid w:val="00497721"/>
    <w:rsid w:val="004A0229"/>
    <w:rsid w:val="004A35D2"/>
    <w:rsid w:val="004A5258"/>
    <w:rsid w:val="004A57B1"/>
    <w:rsid w:val="004A5A2A"/>
    <w:rsid w:val="004A5D8E"/>
    <w:rsid w:val="004A71E4"/>
    <w:rsid w:val="004B2841"/>
    <w:rsid w:val="004B2F00"/>
    <w:rsid w:val="004B5904"/>
    <w:rsid w:val="004B667A"/>
    <w:rsid w:val="004B6E31"/>
    <w:rsid w:val="004C19A9"/>
    <w:rsid w:val="004C1D66"/>
    <w:rsid w:val="004C31D7"/>
    <w:rsid w:val="004C417D"/>
    <w:rsid w:val="004C4AD2"/>
    <w:rsid w:val="004C6981"/>
    <w:rsid w:val="004C7628"/>
    <w:rsid w:val="004C76E6"/>
    <w:rsid w:val="004D1F21"/>
    <w:rsid w:val="004D268C"/>
    <w:rsid w:val="004D411B"/>
    <w:rsid w:val="004D59D8"/>
    <w:rsid w:val="004D5DA1"/>
    <w:rsid w:val="004D70D3"/>
    <w:rsid w:val="004D7910"/>
    <w:rsid w:val="004E081D"/>
    <w:rsid w:val="004E0AD3"/>
    <w:rsid w:val="004E150F"/>
    <w:rsid w:val="004E1DCA"/>
    <w:rsid w:val="004E23A1"/>
    <w:rsid w:val="004E3489"/>
    <w:rsid w:val="004E358A"/>
    <w:rsid w:val="004E3AFA"/>
    <w:rsid w:val="004E6588"/>
    <w:rsid w:val="004F0586"/>
    <w:rsid w:val="004F0828"/>
    <w:rsid w:val="004F2742"/>
    <w:rsid w:val="004F533E"/>
    <w:rsid w:val="00502A0A"/>
    <w:rsid w:val="00502B32"/>
    <w:rsid w:val="00502E69"/>
    <w:rsid w:val="0050327B"/>
    <w:rsid w:val="00505ACD"/>
    <w:rsid w:val="00506230"/>
    <w:rsid w:val="00507A2F"/>
    <w:rsid w:val="00507C50"/>
    <w:rsid w:val="00514D40"/>
    <w:rsid w:val="0051530C"/>
    <w:rsid w:val="00515ED5"/>
    <w:rsid w:val="00517C3A"/>
    <w:rsid w:val="005213AE"/>
    <w:rsid w:val="005231FC"/>
    <w:rsid w:val="00526C9B"/>
    <w:rsid w:val="00527BF4"/>
    <w:rsid w:val="005324BE"/>
    <w:rsid w:val="00534F6C"/>
    <w:rsid w:val="00535994"/>
    <w:rsid w:val="0053646D"/>
    <w:rsid w:val="00536D67"/>
    <w:rsid w:val="00540AAD"/>
    <w:rsid w:val="00542131"/>
    <w:rsid w:val="00543077"/>
    <w:rsid w:val="00543EC1"/>
    <w:rsid w:val="005449D1"/>
    <w:rsid w:val="00546288"/>
    <w:rsid w:val="00546458"/>
    <w:rsid w:val="00547886"/>
    <w:rsid w:val="0055087C"/>
    <w:rsid w:val="00550F5A"/>
    <w:rsid w:val="00551C11"/>
    <w:rsid w:val="00552B4A"/>
    <w:rsid w:val="00553413"/>
    <w:rsid w:val="00555983"/>
    <w:rsid w:val="00560E31"/>
    <w:rsid w:val="00561BDA"/>
    <w:rsid w:val="005622DB"/>
    <w:rsid w:val="00567DBF"/>
    <w:rsid w:val="005766F8"/>
    <w:rsid w:val="00576BD0"/>
    <w:rsid w:val="005807E0"/>
    <w:rsid w:val="00581B23"/>
    <w:rsid w:val="0058219C"/>
    <w:rsid w:val="00585A08"/>
    <w:rsid w:val="0058707F"/>
    <w:rsid w:val="00591DBD"/>
    <w:rsid w:val="005931FE"/>
    <w:rsid w:val="00593AC3"/>
    <w:rsid w:val="00597553"/>
    <w:rsid w:val="005A0028"/>
    <w:rsid w:val="005A0ACC"/>
    <w:rsid w:val="005A0F5D"/>
    <w:rsid w:val="005A277C"/>
    <w:rsid w:val="005A2F7A"/>
    <w:rsid w:val="005A6390"/>
    <w:rsid w:val="005A6745"/>
    <w:rsid w:val="005A6FE2"/>
    <w:rsid w:val="005B0072"/>
    <w:rsid w:val="005B0732"/>
    <w:rsid w:val="005B2E00"/>
    <w:rsid w:val="005B3603"/>
    <w:rsid w:val="005B38A0"/>
    <w:rsid w:val="005B491C"/>
    <w:rsid w:val="005B4DBF"/>
    <w:rsid w:val="005B5DE2"/>
    <w:rsid w:val="005B674C"/>
    <w:rsid w:val="005C24F2"/>
    <w:rsid w:val="005C35E4"/>
    <w:rsid w:val="005C5A8C"/>
    <w:rsid w:val="005C7561"/>
    <w:rsid w:val="005D1E57"/>
    <w:rsid w:val="005D2F57"/>
    <w:rsid w:val="005D34F6"/>
    <w:rsid w:val="005D4708"/>
    <w:rsid w:val="005D4F1A"/>
    <w:rsid w:val="005D6238"/>
    <w:rsid w:val="005D77B4"/>
    <w:rsid w:val="005E10D7"/>
    <w:rsid w:val="005E1884"/>
    <w:rsid w:val="005E2480"/>
    <w:rsid w:val="005F373A"/>
    <w:rsid w:val="005F4899"/>
    <w:rsid w:val="005F4A8E"/>
    <w:rsid w:val="005F4F87"/>
    <w:rsid w:val="005F5277"/>
    <w:rsid w:val="005F6425"/>
    <w:rsid w:val="005F6B0E"/>
    <w:rsid w:val="005F760E"/>
    <w:rsid w:val="005F7B1D"/>
    <w:rsid w:val="0060222A"/>
    <w:rsid w:val="0060238F"/>
    <w:rsid w:val="006023A1"/>
    <w:rsid w:val="0060489B"/>
    <w:rsid w:val="0060490B"/>
    <w:rsid w:val="006070C4"/>
    <w:rsid w:val="006106F3"/>
    <w:rsid w:val="00610BFD"/>
    <w:rsid w:val="00610C21"/>
    <w:rsid w:val="00610DB6"/>
    <w:rsid w:val="00611907"/>
    <w:rsid w:val="00613116"/>
    <w:rsid w:val="006202A6"/>
    <w:rsid w:val="0062054B"/>
    <w:rsid w:val="00620926"/>
    <w:rsid w:val="00621C4E"/>
    <w:rsid w:val="0062378C"/>
    <w:rsid w:val="00624EAE"/>
    <w:rsid w:val="00627BC7"/>
    <w:rsid w:val="006305D7"/>
    <w:rsid w:val="006308D7"/>
    <w:rsid w:val="006322C6"/>
    <w:rsid w:val="00632F63"/>
    <w:rsid w:val="00633A01"/>
    <w:rsid w:val="00633B97"/>
    <w:rsid w:val="006341F7"/>
    <w:rsid w:val="00634585"/>
    <w:rsid w:val="00635006"/>
    <w:rsid w:val="00635014"/>
    <w:rsid w:val="00636398"/>
    <w:rsid w:val="006369CE"/>
    <w:rsid w:val="00640BE1"/>
    <w:rsid w:val="006411CA"/>
    <w:rsid w:val="00642AFC"/>
    <w:rsid w:val="006439AC"/>
    <w:rsid w:val="006450C9"/>
    <w:rsid w:val="0064605E"/>
    <w:rsid w:val="00646AB2"/>
    <w:rsid w:val="00652C9B"/>
    <w:rsid w:val="00657BC4"/>
    <w:rsid w:val="006619C8"/>
    <w:rsid w:val="00664F13"/>
    <w:rsid w:val="00670916"/>
    <w:rsid w:val="00670AFC"/>
    <w:rsid w:val="00671710"/>
    <w:rsid w:val="00673414"/>
    <w:rsid w:val="00675547"/>
    <w:rsid w:val="00676079"/>
    <w:rsid w:val="00676ECD"/>
    <w:rsid w:val="00677D0A"/>
    <w:rsid w:val="0068185F"/>
    <w:rsid w:val="00682A9F"/>
    <w:rsid w:val="00683586"/>
    <w:rsid w:val="006846FA"/>
    <w:rsid w:val="006851C2"/>
    <w:rsid w:val="00687549"/>
    <w:rsid w:val="00697805"/>
    <w:rsid w:val="006A01CF"/>
    <w:rsid w:val="006A1192"/>
    <w:rsid w:val="006A412F"/>
    <w:rsid w:val="006A57C6"/>
    <w:rsid w:val="006A60DD"/>
    <w:rsid w:val="006B0679"/>
    <w:rsid w:val="006B074C"/>
    <w:rsid w:val="006B3911"/>
    <w:rsid w:val="006B3B84"/>
    <w:rsid w:val="006B4E7C"/>
    <w:rsid w:val="006B5D8C"/>
    <w:rsid w:val="006B72D4"/>
    <w:rsid w:val="006C11CC"/>
    <w:rsid w:val="006C1AEB"/>
    <w:rsid w:val="006C57FE"/>
    <w:rsid w:val="006C6376"/>
    <w:rsid w:val="006C668E"/>
    <w:rsid w:val="006D0A8C"/>
    <w:rsid w:val="006E2C4D"/>
    <w:rsid w:val="006E42F5"/>
    <w:rsid w:val="006E4B63"/>
    <w:rsid w:val="006E5990"/>
    <w:rsid w:val="006F06E4"/>
    <w:rsid w:val="006F7B41"/>
    <w:rsid w:val="00702B5D"/>
    <w:rsid w:val="007038A9"/>
    <w:rsid w:val="00703ED2"/>
    <w:rsid w:val="00706E68"/>
    <w:rsid w:val="00707B8D"/>
    <w:rsid w:val="007129AF"/>
    <w:rsid w:val="00713636"/>
    <w:rsid w:val="00713A42"/>
    <w:rsid w:val="00714B8C"/>
    <w:rsid w:val="0071675D"/>
    <w:rsid w:val="00717736"/>
    <w:rsid w:val="00720057"/>
    <w:rsid w:val="00722C55"/>
    <w:rsid w:val="00722CDF"/>
    <w:rsid w:val="00730743"/>
    <w:rsid w:val="007309BD"/>
    <w:rsid w:val="007325FE"/>
    <w:rsid w:val="00732B47"/>
    <w:rsid w:val="00734D00"/>
    <w:rsid w:val="00735994"/>
    <w:rsid w:val="00735CF5"/>
    <w:rsid w:val="0074063A"/>
    <w:rsid w:val="00742AA4"/>
    <w:rsid w:val="00743BA1"/>
    <w:rsid w:val="00745D4C"/>
    <w:rsid w:val="00745F1E"/>
    <w:rsid w:val="007500EA"/>
    <w:rsid w:val="007515FE"/>
    <w:rsid w:val="007601D0"/>
    <w:rsid w:val="007603BB"/>
    <w:rsid w:val="0076109D"/>
    <w:rsid w:val="007619FF"/>
    <w:rsid w:val="00762064"/>
    <w:rsid w:val="00766E15"/>
    <w:rsid w:val="00767107"/>
    <w:rsid w:val="00767D4C"/>
    <w:rsid w:val="00770816"/>
    <w:rsid w:val="007708C7"/>
    <w:rsid w:val="00771DC9"/>
    <w:rsid w:val="007730ED"/>
    <w:rsid w:val="00773617"/>
    <w:rsid w:val="00773BFD"/>
    <w:rsid w:val="00773EA0"/>
    <w:rsid w:val="007743B3"/>
    <w:rsid w:val="00774490"/>
    <w:rsid w:val="00775191"/>
    <w:rsid w:val="0077581E"/>
    <w:rsid w:val="00775CCD"/>
    <w:rsid w:val="00781664"/>
    <w:rsid w:val="007819FF"/>
    <w:rsid w:val="0078360C"/>
    <w:rsid w:val="00784618"/>
    <w:rsid w:val="00784A4C"/>
    <w:rsid w:val="00784BC6"/>
    <w:rsid w:val="0078523D"/>
    <w:rsid w:val="007931DF"/>
    <w:rsid w:val="0079567F"/>
    <w:rsid w:val="007968B3"/>
    <w:rsid w:val="007A0172"/>
    <w:rsid w:val="007A1804"/>
    <w:rsid w:val="007A215A"/>
    <w:rsid w:val="007A2511"/>
    <w:rsid w:val="007A260E"/>
    <w:rsid w:val="007A4D4C"/>
    <w:rsid w:val="007A4DD6"/>
    <w:rsid w:val="007A56AD"/>
    <w:rsid w:val="007A5CB9"/>
    <w:rsid w:val="007A756E"/>
    <w:rsid w:val="007B180C"/>
    <w:rsid w:val="007B20AE"/>
    <w:rsid w:val="007B4262"/>
    <w:rsid w:val="007B4CF4"/>
    <w:rsid w:val="007B67D6"/>
    <w:rsid w:val="007B6B07"/>
    <w:rsid w:val="007B6D43"/>
    <w:rsid w:val="007B749A"/>
    <w:rsid w:val="007B7C6E"/>
    <w:rsid w:val="007D078B"/>
    <w:rsid w:val="007D1FAD"/>
    <w:rsid w:val="007D44D7"/>
    <w:rsid w:val="007D621A"/>
    <w:rsid w:val="007D7622"/>
    <w:rsid w:val="007E058A"/>
    <w:rsid w:val="007E2887"/>
    <w:rsid w:val="007E5278"/>
    <w:rsid w:val="007E749C"/>
    <w:rsid w:val="007F0927"/>
    <w:rsid w:val="007F1632"/>
    <w:rsid w:val="007F1B5C"/>
    <w:rsid w:val="00800FF7"/>
    <w:rsid w:val="00801135"/>
    <w:rsid w:val="00801257"/>
    <w:rsid w:val="0080335A"/>
    <w:rsid w:val="00803B0A"/>
    <w:rsid w:val="00804DED"/>
    <w:rsid w:val="00805B96"/>
    <w:rsid w:val="008105BE"/>
    <w:rsid w:val="008115A5"/>
    <w:rsid w:val="00811D46"/>
    <w:rsid w:val="0081415D"/>
    <w:rsid w:val="00820229"/>
    <w:rsid w:val="00821FEC"/>
    <w:rsid w:val="00822448"/>
    <w:rsid w:val="00822ABE"/>
    <w:rsid w:val="008244D1"/>
    <w:rsid w:val="008264C1"/>
    <w:rsid w:val="00826C05"/>
    <w:rsid w:val="00827F51"/>
    <w:rsid w:val="0083104E"/>
    <w:rsid w:val="008343BE"/>
    <w:rsid w:val="0083556F"/>
    <w:rsid w:val="00836535"/>
    <w:rsid w:val="00840FB4"/>
    <w:rsid w:val="008410B2"/>
    <w:rsid w:val="00841661"/>
    <w:rsid w:val="00841780"/>
    <w:rsid w:val="008451B9"/>
    <w:rsid w:val="00845762"/>
    <w:rsid w:val="008500A0"/>
    <w:rsid w:val="00850934"/>
    <w:rsid w:val="00850C56"/>
    <w:rsid w:val="008524E5"/>
    <w:rsid w:val="0085351C"/>
    <w:rsid w:val="0085435A"/>
    <w:rsid w:val="00854375"/>
    <w:rsid w:val="008549CA"/>
    <w:rsid w:val="008556C3"/>
    <w:rsid w:val="0085687C"/>
    <w:rsid w:val="008611C1"/>
    <w:rsid w:val="008706C5"/>
    <w:rsid w:val="00871A65"/>
    <w:rsid w:val="00873707"/>
    <w:rsid w:val="00874B20"/>
    <w:rsid w:val="008757C6"/>
    <w:rsid w:val="008763E1"/>
    <w:rsid w:val="00876FA5"/>
    <w:rsid w:val="0087775C"/>
    <w:rsid w:val="00877EC8"/>
    <w:rsid w:val="00880F36"/>
    <w:rsid w:val="00885530"/>
    <w:rsid w:val="008858C7"/>
    <w:rsid w:val="008910D1"/>
    <w:rsid w:val="0089296C"/>
    <w:rsid w:val="008939CB"/>
    <w:rsid w:val="008969C9"/>
    <w:rsid w:val="00896ABD"/>
    <w:rsid w:val="00896FC5"/>
    <w:rsid w:val="00897AB6"/>
    <w:rsid w:val="00897DA8"/>
    <w:rsid w:val="008A0898"/>
    <w:rsid w:val="008A0F5E"/>
    <w:rsid w:val="008A3380"/>
    <w:rsid w:val="008A59F8"/>
    <w:rsid w:val="008A7A9C"/>
    <w:rsid w:val="008B1A89"/>
    <w:rsid w:val="008B3042"/>
    <w:rsid w:val="008B5218"/>
    <w:rsid w:val="008B6871"/>
    <w:rsid w:val="008B7102"/>
    <w:rsid w:val="008C3B7D"/>
    <w:rsid w:val="008D0F90"/>
    <w:rsid w:val="008D1FD8"/>
    <w:rsid w:val="008D3715"/>
    <w:rsid w:val="008D5465"/>
    <w:rsid w:val="008D5BCA"/>
    <w:rsid w:val="008D5E61"/>
    <w:rsid w:val="008D7EB7"/>
    <w:rsid w:val="008D7EC5"/>
    <w:rsid w:val="008E1292"/>
    <w:rsid w:val="008E3684"/>
    <w:rsid w:val="008E4778"/>
    <w:rsid w:val="008E57F5"/>
    <w:rsid w:val="008E5BDE"/>
    <w:rsid w:val="008E7606"/>
    <w:rsid w:val="008F1DAA"/>
    <w:rsid w:val="008F3EBD"/>
    <w:rsid w:val="008F60B2"/>
    <w:rsid w:val="008F6EBB"/>
    <w:rsid w:val="008F7C41"/>
    <w:rsid w:val="00901C70"/>
    <w:rsid w:val="00902F26"/>
    <w:rsid w:val="009031E2"/>
    <w:rsid w:val="009040AF"/>
    <w:rsid w:val="00906506"/>
    <w:rsid w:val="0090758B"/>
    <w:rsid w:val="00911804"/>
    <w:rsid w:val="0091276C"/>
    <w:rsid w:val="0091356E"/>
    <w:rsid w:val="009145BE"/>
    <w:rsid w:val="009152C3"/>
    <w:rsid w:val="009165AC"/>
    <w:rsid w:val="00916FFC"/>
    <w:rsid w:val="0092053F"/>
    <w:rsid w:val="0092340A"/>
    <w:rsid w:val="00923B8B"/>
    <w:rsid w:val="009313D9"/>
    <w:rsid w:val="0093144F"/>
    <w:rsid w:val="00934CEF"/>
    <w:rsid w:val="00935B7F"/>
    <w:rsid w:val="00941293"/>
    <w:rsid w:val="00941898"/>
    <w:rsid w:val="00942570"/>
    <w:rsid w:val="00943629"/>
    <w:rsid w:val="00945878"/>
    <w:rsid w:val="00946372"/>
    <w:rsid w:val="0094693D"/>
    <w:rsid w:val="0095032B"/>
    <w:rsid w:val="00950B13"/>
    <w:rsid w:val="00950C17"/>
    <w:rsid w:val="00951FAF"/>
    <w:rsid w:val="00954704"/>
    <w:rsid w:val="00954740"/>
    <w:rsid w:val="009557BC"/>
    <w:rsid w:val="00955AE5"/>
    <w:rsid w:val="00956246"/>
    <w:rsid w:val="00960D87"/>
    <w:rsid w:val="00962E71"/>
    <w:rsid w:val="0096358C"/>
    <w:rsid w:val="00963ABC"/>
    <w:rsid w:val="00965D21"/>
    <w:rsid w:val="00967764"/>
    <w:rsid w:val="00967CA3"/>
    <w:rsid w:val="00970B0E"/>
    <w:rsid w:val="00970BB9"/>
    <w:rsid w:val="009726EE"/>
    <w:rsid w:val="00972CDE"/>
    <w:rsid w:val="009733DD"/>
    <w:rsid w:val="00975573"/>
    <w:rsid w:val="00976D03"/>
    <w:rsid w:val="00977B30"/>
    <w:rsid w:val="00980479"/>
    <w:rsid w:val="00980DFD"/>
    <w:rsid w:val="00982F41"/>
    <w:rsid w:val="00985090"/>
    <w:rsid w:val="00986B2C"/>
    <w:rsid w:val="00987710"/>
    <w:rsid w:val="009904AB"/>
    <w:rsid w:val="00990903"/>
    <w:rsid w:val="009921F7"/>
    <w:rsid w:val="00992532"/>
    <w:rsid w:val="00995688"/>
    <w:rsid w:val="00995761"/>
    <w:rsid w:val="009958A6"/>
    <w:rsid w:val="00995B1C"/>
    <w:rsid w:val="00996456"/>
    <w:rsid w:val="009A04F5"/>
    <w:rsid w:val="009A15EF"/>
    <w:rsid w:val="009A2046"/>
    <w:rsid w:val="009A38A5"/>
    <w:rsid w:val="009A5B73"/>
    <w:rsid w:val="009B118B"/>
    <w:rsid w:val="009B12CC"/>
    <w:rsid w:val="009B1696"/>
    <w:rsid w:val="009B1737"/>
    <w:rsid w:val="009B37D3"/>
    <w:rsid w:val="009B3D4B"/>
    <w:rsid w:val="009B402B"/>
    <w:rsid w:val="009B4E63"/>
    <w:rsid w:val="009B5B99"/>
    <w:rsid w:val="009B6EFC"/>
    <w:rsid w:val="009B7BCF"/>
    <w:rsid w:val="009C063D"/>
    <w:rsid w:val="009C1C19"/>
    <w:rsid w:val="009C1FD0"/>
    <w:rsid w:val="009C2DB3"/>
    <w:rsid w:val="009C2DF8"/>
    <w:rsid w:val="009C31BF"/>
    <w:rsid w:val="009C68B7"/>
    <w:rsid w:val="009D0834"/>
    <w:rsid w:val="009D095A"/>
    <w:rsid w:val="009D0A1E"/>
    <w:rsid w:val="009D2AE3"/>
    <w:rsid w:val="009D52BC"/>
    <w:rsid w:val="009D7D0A"/>
    <w:rsid w:val="009E09D9"/>
    <w:rsid w:val="009E0B0F"/>
    <w:rsid w:val="009E2D5D"/>
    <w:rsid w:val="009E3E1C"/>
    <w:rsid w:val="009F01B1"/>
    <w:rsid w:val="009F0DBB"/>
    <w:rsid w:val="009F2AAD"/>
    <w:rsid w:val="009F2AEA"/>
    <w:rsid w:val="009F3887"/>
    <w:rsid w:val="009F40DC"/>
    <w:rsid w:val="009F55EF"/>
    <w:rsid w:val="009F659A"/>
    <w:rsid w:val="009F732B"/>
    <w:rsid w:val="00A01FE0"/>
    <w:rsid w:val="00A05B8E"/>
    <w:rsid w:val="00A06945"/>
    <w:rsid w:val="00A100BC"/>
    <w:rsid w:val="00A10656"/>
    <w:rsid w:val="00A113C0"/>
    <w:rsid w:val="00A12FA6"/>
    <w:rsid w:val="00A1339B"/>
    <w:rsid w:val="00A14ABA"/>
    <w:rsid w:val="00A24CB6"/>
    <w:rsid w:val="00A25805"/>
    <w:rsid w:val="00A25865"/>
    <w:rsid w:val="00A26CD2"/>
    <w:rsid w:val="00A27667"/>
    <w:rsid w:val="00A3251A"/>
    <w:rsid w:val="00A32979"/>
    <w:rsid w:val="00A34A67"/>
    <w:rsid w:val="00A37462"/>
    <w:rsid w:val="00A459E1"/>
    <w:rsid w:val="00A46AC4"/>
    <w:rsid w:val="00A478A5"/>
    <w:rsid w:val="00A4797B"/>
    <w:rsid w:val="00A51100"/>
    <w:rsid w:val="00A52296"/>
    <w:rsid w:val="00A55292"/>
    <w:rsid w:val="00A55661"/>
    <w:rsid w:val="00A61B70"/>
    <w:rsid w:val="00A61F88"/>
    <w:rsid w:val="00A61FA8"/>
    <w:rsid w:val="00A637F4"/>
    <w:rsid w:val="00A64DF2"/>
    <w:rsid w:val="00A6519C"/>
    <w:rsid w:val="00A65485"/>
    <w:rsid w:val="00A66E05"/>
    <w:rsid w:val="00A67655"/>
    <w:rsid w:val="00A704EF"/>
    <w:rsid w:val="00A70753"/>
    <w:rsid w:val="00A712D2"/>
    <w:rsid w:val="00A82C8A"/>
    <w:rsid w:val="00A8346B"/>
    <w:rsid w:val="00A852FF"/>
    <w:rsid w:val="00A853C1"/>
    <w:rsid w:val="00A87337"/>
    <w:rsid w:val="00A901EB"/>
    <w:rsid w:val="00A90C97"/>
    <w:rsid w:val="00A92DDC"/>
    <w:rsid w:val="00A93586"/>
    <w:rsid w:val="00A936FD"/>
    <w:rsid w:val="00A960C8"/>
    <w:rsid w:val="00A96604"/>
    <w:rsid w:val="00A9703E"/>
    <w:rsid w:val="00AA03DF"/>
    <w:rsid w:val="00AA1B4F"/>
    <w:rsid w:val="00AA21D8"/>
    <w:rsid w:val="00AA271A"/>
    <w:rsid w:val="00AA3270"/>
    <w:rsid w:val="00AA375A"/>
    <w:rsid w:val="00AA54F3"/>
    <w:rsid w:val="00AA6B43"/>
    <w:rsid w:val="00AA720D"/>
    <w:rsid w:val="00AA7B1F"/>
    <w:rsid w:val="00AB2ACC"/>
    <w:rsid w:val="00AB3145"/>
    <w:rsid w:val="00AB3192"/>
    <w:rsid w:val="00AB367A"/>
    <w:rsid w:val="00AB56C2"/>
    <w:rsid w:val="00AB63B7"/>
    <w:rsid w:val="00AB7BF8"/>
    <w:rsid w:val="00AC01D1"/>
    <w:rsid w:val="00AC0AB2"/>
    <w:rsid w:val="00AC0E9F"/>
    <w:rsid w:val="00AC1303"/>
    <w:rsid w:val="00AC256D"/>
    <w:rsid w:val="00AC33B8"/>
    <w:rsid w:val="00AC449C"/>
    <w:rsid w:val="00AC52A5"/>
    <w:rsid w:val="00AC6EFD"/>
    <w:rsid w:val="00AC7151"/>
    <w:rsid w:val="00AD0A06"/>
    <w:rsid w:val="00AD1A3A"/>
    <w:rsid w:val="00AD460A"/>
    <w:rsid w:val="00AD64D2"/>
    <w:rsid w:val="00AD6A05"/>
    <w:rsid w:val="00AE0792"/>
    <w:rsid w:val="00AE118B"/>
    <w:rsid w:val="00AE176E"/>
    <w:rsid w:val="00AE272B"/>
    <w:rsid w:val="00AE3E3A"/>
    <w:rsid w:val="00AE77B4"/>
    <w:rsid w:val="00AE7C1A"/>
    <w:rsid w:val="00AE7DF8"/>
    <w:rsid w:val="00AF0D9C"/>
    <w:rsid w:val="00AF13AB"/>
    <w:rsid w:val="00AF1C65"/>
    <w:rsid w:val="00AF1D36"/>
    <w:rsid w:val="00AF280B"/>
    <w:rsid w:val="00AF3BEC"/>
    <w:rsid w:val="00AF5F75"/>
    <w:rsid w:val="00AF6001"/>
    <w:rsid w:val="00B018FE"/>
    <w:rsid w:val="00B01A16"/>
    <w:rsid w:val="00B079FE"/>
    <w:rsid w:val="00B07F45"/>
    <w:rsid w:val="00B1021A"/>
    <w:rsid w:val="00B10271"/>
    <w:rsid w:val="00B140D9"/>
    <w:rsid w:val="00B1481A"/>
    <w:rsid w:val="00B1487C"/>
    <w:rsid w:val="00B15A1F"/>
    <w:rsid w:val="00B15FE9"/>
    <w:rsid w:val="00B20714"/>
    <w:rsid w:val="00B2148A"/>
    <w:rsid w:val="00B21CB1"/>
    <w:rsid w:val="00B220C2"/>
    <w:rsid w:val="00B2233A"/>
    <w:rsid w:val="00B2276E"/>
    <w:rsid w:val="00B2380D"/>
    <w:rsid w:val="00B25B32"/>
    <w:rsid w:val="00B26280"/>
    <w:rsid w:val="00B32616"/>
    <w:rsid w:val="00B3350C"/>
    <w:rsid w:val="00B35392"/>
    <w:rsid w:val="00B36AF0"/>
    <w:rsid w:val="00B36C42"/>
    <w:rsid w:val="00B402A4"/>
    <w:rsid w:val="00B42EA7"/>
    <w:rsid w:val="00B43FC6"/>
    <w:rsid w:val="00B4705D"/>
    <w:rsid w:val="00B503DD"/>
    <w:rsid w:val="00B51845"/>
    <w:rsid w:val="00B51923"/>
    <w:rsid w:val="00B5337C"/>
    <w:rsid w:val="00B53FDE"/>
    <w:rsid w:val="00B56397"/>
    <w:rsid w:val="00B56954"/>
    <w:rsid w:val="00B571DA"/>
    <w:rsid w:val="00B6027B"/>
    <w:rsid w:val="00B6070F"/>
    <w:rsid w:val="00B62197"/>
    <w:rsid w:val="00B636C8"/>
    <w:rsid w:val="00B641F2"/>
    <w:rsid w:val="00B65EDB"/>
    <w:rsid w:val="00B67AFF"/>
    <w:rsid w:val="00B67C41"/>
    <w:rsid w:val="00B70113"/>
    <w:rsid w:val="00B70B59"/>
    <w:rsid w:val="00B73657"/>
    <w:rsid w:val="00B738C0"/>
    <w:rsid w:val="00B739B3"/>
    <w:rsid w:val="00B763E6"/>
    <w:rsid w:val="00B77C34"/>
    <w:rsid w:val="00B81B15"/>
    <w:rsid w:val="00B915AE"/>
    <w:rsid w:val="00BA1735"/>
    <w:rsid w:val="00BA19FA"/>
    <w:rsid w:val="00BA22B8"/>
    <w:rsid w:val="00BA4288"/>
    <w:rsid w:val="00BB0902"/>
    <w:rsid w:val="00BB1F9C"/>
    <w:rsid w:val="00BB48E5"/>
    <w:rsid w:val="00BB5607"/>
    <w:rsid w:val="00BB5ACA"/>
    <w:rsid w:val="00BB627F"/>
    <w:rsid w:val="00BB6C4E"/>
    <w:rsid w:val="00BC0A9A"/>
    <w:rsid w:val="00BC0C17"/>
    <w:rsid w:val="00BC3823"/>
    <w:rsid w:val="00BC5841"/>
    <w:rsid w:val="00BC5E38"/>
    <w:rsid w:val="00BD201A"/>
    <w:rsid w:val="00BD2DC4"/>
    <w:rsid w:val="00BD2EF0"/>
    <w:rsid w:val="00BD60B4"/>
    <w:rsid w:val="00BD796B"/>
    <w:rsid w:val="00BE40C0"/>
    <w:rsid w:val="00BE445C"/>
    <w:rsid w:val="00BE5F4A"/>
    <w:rsid w:val="00BE7AEF"/>
    <w:rsid w:val="00BF09B0"/>
    <w:rsid w:val="00BF1436"/>
    <w:rsid w:val="00BF1544"/>
    <w:rsid w:val="00BF1B53"/>
    <w:rsid w:val="00BF246D"/>
    <w:rsid w:val="00BF2682"/>
    <w:rsid w:val="00BF2761"/>
    <w:rsid w:val="00BF2CC0"/>
    <w:rsid w:val="00BF605F"/>
    <w:rsid w:val="00C0291E"/>
    <w:rsid w:val="00C06F06"/>
    <w:rsid w:val="00C122BD"/>
    <w:rsid w:val="00C14EB0"/>
    <w:rsid w:val="00C15C5B"/>
    <w:rsid w:val="00C1621E"/>
    <w:rsid w:val="00C17BFF"/>
    <w:rsid w:val="00C20FAD"/>
    <w:rsid w:val="00C2375F"/>
    <w:rsid w:val="00C23BCA"/>
    <w:rsid w:val="00C247CB"/>
    <w:rsid w:val="00C26214"/>
    <w:rsid w:val="00C32E66"/>
    <w:rsid w:val="00C3355F"/>
    <w:rsid w:val="00C33A04"/>
    <w:rsid w:val="00C3569A"/>
    <w:rsid w:val="00C42B11"/>
    <w:rsid w:val="00C43F48"/>
    <w:rsid w:val="00C448FF"/>
    <w:rsid w:val="00C45E57"/>
    <w:rsid w:val="00C504A4"/>
    <w:rsid w:val="00C513C4"/>
    <w:rsid w:val="00C52F29"/>
    <w:rsid w:val="00C56CE6"/>
    <w:rsid w:val="00C5745F"/>
    <w:rsid w:val="00C60005"/>
    <w:rsid w:val="00C6039A"/>
    <w:rsid w:val="00C60BFF"/>
    <w:rsid w:val="00C61A98"/>
    <w:rsid w:val="00C63201"/>
    <w:rsid w:val="00C64E62"/>
    <w:rsid w:val="00C651D5"/>
    <w:rsid w:val="00C65CCC"/>
    <w:rsid w:val="00C65DA9"/>
    <w:rsid w:val="00C66B52"/>
    <w:rsid w:val="00C727C5"/>
    <w:rsid w:val="00C7516E"/>
    <w:rsid w:val="00C7618F"/>
    <w:rsid w:val="00C765A9"/>
    <w:rsid w:val="00C76BD4"/>
    <w:rsid w:val="00C81157"/>
    <w:rsid w:val="00C8162D"/>
    <w:rsid w:val="00C830BB"/>
    <w:rsid w:val="00C83A0B"/>
    <w:rsid w:val="00C842D0"/>
    <w:rsid w:val="00C84E31"/>
    <w:rsid w:val="00C84ED1"/>
    <w:rsid w:val="00C863CC"/>
    <w:rsid w:val="00C86BCC"/>
    <w:rsid w:val="00C9038F"/>
    <w:rsid w:val="00C92AAB"/>
    <w:rsid w:val="00C945A1"/>
    <w:rsid w:val="00C95D4C"/>
    <w:rsid w:val="00C9637F"/>
    <w:rsid w:val="00C9708A"/>
    <w:rsid w:val="00CA2435"/>
    <w:rsid w:val="00CA4068"/>
    <w:rsid w:val="00CA44AD"/>
    <w:rsid w:val="00CA67F4"/>
    <w:rsid w:val="00CA6E9C"/>
    <w:rsid w:val="00CB24D6"/>
    <w:rsid w:val="00CB37F8"/>
    <w:rsid w:val="00CB7DC3"/>
    <w:rsid w:val="00CC2313"/>
    <w:rsid w:val="00CC33CF"/>
    <w:rsid w:val="00CC3903"/>
    <w:rsid w:val="00CC5BE1"/>
    <w:rsid w:val="00CC75A2"/>
    <w:rsid w:val="00CC7A18"/>
    <w:rsid w:val="00CD0E2F"/>
    <w:rsid w:val="00CD1D49"/>
    <w:rsid w:val="00CD2F20"/>
    <w:rsid w:val="00CD42FA"/>
    <w:rsid w:val="00CD6B20"/>
    <w:rsid w:val="00CD7007"/>
    <w:rsid w:val="00CE1339"/>
    <w:rsid w:val="00CE523F"/>
    <w:rsid w:val="00CE61CC"/>
    <w:rsid w:val="00CE6E42"/>
    <w:rsid w:val="00CF20B7"/>
    <w:rsid w:val="00CF283B"/>
    <w:rsid w:val="00CF39B5"/>
    <w:rsid w:val="00CF6692"/>
    <w:rsid w:val="00CF7441"/>
    <w:rsid w:val="00D00D16"/>
    <w:rsid w:val="00D03C6C"/>
    <w:rsid w:val="00D04760"/>
    <w:rsid w:val="00D04A95"/>
    <w:rsid w:val="00D06288"/>
    <w:rsid w:val="00D068C7"/>
    <w:rsid w:val="00D120D2"/>
    <w:rsid w:val="00D12328"/>
    <w:rsid w:val="00D123F7"/>
    <w:rsid w:val="00D128A4"/>
    <w:rsid w:val="00D147C8"/>
    <w:rsid w:val="00D148DA"/>
    <w:rsid w:val="00D15131"/>
    <w:rsid w:val="00D15F91"/>
    <w:rsid w:val="00D16FA2"/>
    <w:rsid w:val="00D20954"/>
    <w:rsid w:val="00D21C39"/>
    <w:rsid w:val="00D21FC6"/>
    <w:rsid w:val="00D2243A"/>
    <w:rsid w:val="00D23297"/>
    <w:rsid w:val="00D3289E"/>
    <w:rsid w:val="00D33393"/>
    <w:rsid w:val="00D33D36"/>
    <w:rsid w:val="00D34D94"/>
    <w:rsid w:val="00D409E2"/>
    <w:rsid w:val="00D427D7"/>
    <w:rsid w:val="00D43BA3"/>
    <w:rsid w:val="00D44E62"/>
    <w:rsid w:val="00D45D29"/>
    <w:rsid w:val="00D46453"/>
    <w:rsid w:val="00D50EDD"/>
    <w:rsid w:val="00D51570"/>
    <w:rsid w:val="00D5369B"/>
    <w:rsid w:val="00D556AD"/>
    <w:rsid w:val="00D56728"/>
    <w:rsid w:val="00D57463"/>
    <w:rsid w:val="00D57C84"/>
    <w:rsid w:val="00D60167"/>
    <w:rsid w:val="00D60381"/>
    <w:rsid w:val="00D616DE"/>
    <w:rsid w:val="00D62201"/>
    <w:rsid w:val="00D651D1"/>
    <w:rsid w:val="00D65351"/>
    <w:rsid w:val="00D717BB"/>
    <w:rsid w:val="00D72220"/>
    <w:rsid w:val="00D7226B"/>
    <w:rsid w:val="00D72707"/>
    <w:rsid w:val="00D7452B"/>
    <w:rsid w:val="00D75A9C"/>
    <w:rsid w:val="00D76FEE"/>
    <w:rsid w:val="00D829C8"/>
    <w:rsid w:val="00D86C23"/>
    <w:rsid w:val="00D8767D"/>
    <w:rsid w:val="00D87917"/>
    <w:rsid w:val="00D90871"/>
    <w:rsid w:val="00D9155F"/>
    <w:rsid w:val="00D9403F"/>
    <w:rsid w:val="00D955A5"/>
    <w:rsid w:val="00D959B4"/>
    <w:rsid w:val="00D97DDF"/>
    <w:rsid w:val="00D97FEF"/>
    <w:rsid w:val="00DA06B6"/>
    <w:rsid w:val="00DA1076"/>
    <w:rsid w:val="00DA1E36"/>
    <w:rsid w:val="00DA3FA0"/>
    <w:rsid w:val="00DA44AE"/>
    <w:rsid w:val="00DA44DE"/>
    <w:rsid w:val="00DA750B"/>
    <w:rsid w:val="00DB620A"/>
    <w:rsid w:val="00DC00AB"/>
    <w:rsid w:val="00DC3832"/>
    <w:rsid w:val="00DC5F7F"/>
    <w:rsid w:val="00DC7A51"/>
    <w:rsid w:val="00DD3B1E"/>
    <w:rsid w:val="00DD5B46"/>
    <w:rsid w:val="00DE00CA"/>
    <w:rsid w:val="00DE06B2"/>
    <w:rsid w:val="00DE0B54"/>
    <w:rsid w:val="00DE5B5F"/>
    <w:rsid w:val="00DF46DF"/>
    <w:rsid w:val="00DF614E"/>
    <w:rsid w:val="00E00696"/>
    <w:rsid w:val="00E03651"/>
    <w:rsid w:val="00E03808"/>
    <w:rsid w:val="00E04665"/>
    <w:rsid w:val="00E060C2"/>
    <w:rsid w:val="00E06324"/>
    <w:rsid w:val="00E07B81"/>
    <w:rsid w:val="00E10AFD"/>
    <w:rsid w:val="00E12B11"/>
    <w:rsid w:val="00E12FB0"/>
    <w:rsid w:val="00E14814"/>
    <w:rsid w:val="00E1591B"/>
    <w:rsid w:val="00E16A50"/>
    <w:rsid w:val="00E249D5"/>
    <w:rsid w:val="00E25017"/>
    <w:rsid w:val="00E26BAF"/>
    <w:rsid w:val="00E26F73"/>
    <w:rsid w:val="00E30A34"/>
    <w:rsid w:val="00E33C68"/>
    <w:rsid w:val="00E34EEB"/>
    <w:rsid w:val="00E3687C"/>
    <w:rsid w:val="00E44EB9"/>
    <w:rsid w:val="00E45BDC"/>
    <w:rsid w:val="00E460B7"/>
    <w:rsid w:val="00E461DE"/>
    <w:rsid w:val="00E46358"/>
    <w:rsid w:val="00E471DC"/>
    <w:rsid w:val="00E50D21"/>
    <w:rsid w:val="00E50EB4"/>
    <w:rsid w:val="00E5239B"/>
    <w:rsid w:val="00E532FC"/>
    <w:rsid w:val="00E54906"/>
    <w:rsid w:val="00E559B4"/>
    <w:rsid w:val="00E55BB0"/>
    <w:rsid w:val="00E55F65"/>
    <w:rsid w:val="00E609E5"/>
    <w:rsid w:val="00E60C05"/>
    <w:rsid w:val="00E60F27"/>
    <w:rsid w:val="00E6356E"/>
    <w:rsid w:val="00E64D93"/>
    <w:rsid w:val="00E65EDB"/>
    <w:rsid w:val="00E66927"/>
    <w:rsid w:val="00E677B8"/>
    <w:rsid w:val="00E67E9E"/>
    <w:rsid w:val="00E67FA1"/>
    <w:rsid w:val="00E707C3"/>
    <w:rsid w:val="00E70E41"/>
    <w:rsid w:val="00E7115E"/>
    <w:rsid w:val="00E714FE"/>
    <w:rsid w:val="00E7387D"/>
    <w:rsid w:val="00E73D53"/>
    <w:rsid w:val="00E75111"/>
    <w:rsid w:val="00E76EBA"/>
    <w:rsid w:val="00E77296"/>
    <w:rsid w:val="00E8301D"/>
    <w:rsid w:val="00E87527"/>
    <w:rsid w:val="00E87EF7"/>
    <w:rsid w:val="00E9227F"/>
    <w:rsid w:val="00E92291"/>
    <w:rsid w:val="00E93763"/>
    <w:rsid w:val="00E96C4C"/>
    <w:rsid w:val="00EA0958"/>
    <w:rsid w:val="00EA2AAE"/>
    <w:rsid w:val="00EA2EC0"/>
    <w:rsid w:val="00EA427A"/>
    <w:rsid w:val="00EA645F"/>
    <w:rsid w:val="00EA723B"/>
    <w:rsid w:val="00EB6350"/>
    <w:rsid w:val="00EB687A"/>
    <w:rsid w:val="00EC2F62"/>
    <w:rsid w:val="00EC5D29"/>
    <w:rsid w:val="00EC5F95"/>
    <w:rsid w:val="00EC61C3"/>
    <w:rsid w:val="00EC62EB"/>
    <w:rsid w:val="00EC6DF5"/>
    <w:rsid w:val="00EC6E9F"/>
    <w:rsid w:val="00ED0890"/>
    <w:rsid w:val="00ED186F"/>
    <w:rsid w:val="00ED3013"/>
    <w:rsid w:val="00ED44F0"/>
    <w:rsid w:val="00ED4B33"/>
    <w:rsid w:val="00ED5626"/>
    <w:rsid w:val="00ED5993"/>
    <w:rsid w:val="00ED7DD6"/>
    <w:rsid w:val="00EE044C"/>
    <w:rsid w:val="00EE060B"/>
    <w:rsid w:val="00EE15A1"/>
    <w:rsid w:val="00EE2A7C"/>
    <w:rsid w:val="00EE2C42"/>
    <w:rsid w:val="00EE341B"/>
    <w:rsid w:val="00EE4453"/>
    <w:rsid w:val="00EE5FCE"/>
    <w:rsid w:val="00EE6BBD"/>
    <w:rsid w:val="00EE6E1E"/>
    <w:rsid w:val="00EE705F"/>
    <w:rsid w:val="00EE7698"/>
    <w:rsid w:val="00EF1462"/>
    <w:rsid w:val="00EF33D0"/>
    <w:rsid w:val="00EF54FD"/>
    <w:rsid w:val="00EF64FC"/>
    <w:rsid w:val="00EF6CB5"/>
    <w:rsid w:val="00EF6D4A"/>
    <w:rsid w:val="00F00538"/>
    <w:rsid w:val="00F07F0D"/>
    <w:rsid w:val="00F1120A"/>
    <w:rsid w:val="00F13112"/>
    <w:rsid w:val="00F154A4"/>
    <w:rsid w:val="00F16FE6"/>
    <w:rsid w:val="00F238BD"/>
    <w:rsid w:val="00F23C7A"/>
    <w:rsid w:val="00F24992"/>
    <w:rsid w:val="00F25CB5"/>
    <w:rsid w:val="00F25DCB"/>
    <w:rsid w:val="00F3160B"/>
    <w:rsid w:val="00F32865"/>
    <w:rsid w:val="00F32F2F"/>
    <w:rsid w:val="00F33BD0"/>
    <w:rsid w:val="00F33F3F"/>
    <w:rsid w:val="00F35BDD"/>
    <w:rsid w:val="00F35EAB"/>
    <w:rsid w:val="00F35EF0"/>
    <w:rsid w:val="00F3781F"/>
    <w:rsid w:val="00F403FD"/>
    <w:rsid w:val="00F41E72"/>
    <w:rsid w:val="00F43BB3"/>
    <w:rsid w:val="00F45BDF"/>
    <w:rsid w:val="00F50300"/>
    <w:rsid w:val="00F514F1"/>
    <w:rsid w:val="00F51BD4"/>
    <w:rsid w:val="00F52266"/>
    <w:rsid w:val="00F5414B"/>
    <w:rsid w:val="00F54B96"/>
    <w:rsid w:val="00F558D7"/>
    <w:rsid w:val="00F56E39"/>
    <w:rsid w:val="00F623E9"/>
    <w:rsid w:val="00F62824"/>
    <w:rsid w:val="00F62E59"/>
    <w:rsid w:val="00F63951"/>
    <w:rsid w:val="00F63C86"/>
    <w:rsid w:val="00F701A0"/>
    <w:rsid w:val="00F705E2"/>
    <w:rsid w:val="00F766BE"/>
    <w:rsid w:val="00F77910"/>
    <w:rsid w:val="00F77EB9"/>
    <w:rsid w:val="00F80635"/>
    <w:rsid w:val="00F8115F"/>
    <w:rsid w:val="00F815D1"/>
    <w:rsid w:val="00F81E7E"/>
    <w:rsid w:val="00F81F0F"/>
    <w:rsid w:val="00F825F4"/>
    <w:rsid w:val="00F838DF"/>
    <w:rsid w:val="00F92AA1"/>
    <w:rsid w:val="00F932DE"/>
    <w:rsid w:val="00F963DD"/>
    <w:rsid w:val="00F9641A"/>
    <w:rsid w:val="00F97004"/>
    <w:rsid w:val="00F97F80"/>
    <w:rsid w:val="00FA067D"/>
    <w:rsid w:val="00FA0C4D"/>
    <w:rsid w:val="00FA1D9D"/>
    <w:rsid w:val="00FA2045"/>
    <w:rsid w:val="00FA4EC9"/>
    <w:rsid w:val="00FA7A66"/>
    <w:rsid w:val="00FA7FD0"/>
    <w:rsid w:val="00FB1AA9"/>
    <w:rsid w:val="00FB4B5A"/>
    <w:rsid w:val="00FB5963"/>
    <w:rsid w:val="00FB5DAA"/>
    <w:rsid w:val="00FC04B9"/>
    <w:rsid w:val="00FC161A"/>
    <w:rsid w:val="00FC23D5"/>
    <w:rsid w:val="00FC3555"/>
    <w:rsid w:val="00FC3E6B"/>
    <w:rsid w:val="00FC4337"/>
    <w:rsid w:val="00FC435C"/>
    <w:rsid w:val="00FC4C1A"/>
    <w:rsid w:val="00FC628F"/>
    <w:rsid w:val="00FC636E"/>
    <w:rsid w:val="00FC6468"/>
    <w:rsid w:val="00FC6D49"/>
    <w:rsid w:val="00FD087C"/>
    <w:rsid w:val="00FD10BD"/>
    <w:rsid w:val="00FD214B"/>
    <w:rsid w:val="00FD4922"/>
    <w:rsid w:val="00FD6461"/>
    <w:rsid w:val="00FE0281"/>
    <w:rsid w:val="00FE2312"/>
    <w:rsid w:val="00FE7083"/>
    <w:rsid w:val="00FE71A2"/>
    <w:rsid w:val="00FE7756"/>
    <w:rsid w:val="00FF019F"/>
    <w:rsid w:val="00FF1B2A"/>
    <w:rsid w:val="00FF2160"/>
    <w:rsid w:val="00FF24D0"/>
    <w:rsid w:val="00FF2E31"/>
    <w:rsid w:val="00FF30DE"/>
    <w:rsid w:val="00FF3B8F"/>
    <w:rsid w:val="00FF644B"/>
    <w:rsid w:val="00FF7729"/>
    <w:rsid w:val="5B7C4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968B3"/>
    <w:rPr>
      <w:sz w:val="24"/>
      <w:szCs w:val="24"/>
      <w:lang w:val="en-GB" w:eastAsia="en-GB"/>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val="en-US" w:eastAsia="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lang w:val="en-US" w:eastAsia="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lang w:val="en-US" w:eastAsia="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lang w:val="en-US" w:eastAsia="en-US"/>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val="en-US" w:eastAsia="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val="en-US" w:eastAsia="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lang w:val="en-US" w:eastAsia="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DOI">
    <w:name w:val="DOI"/>
    <w:basedOn w:val="Normal"/>
    <w:qFormat/>
    <w:rsid w:val="00945878"/>
    <w:pPr>
      <w:spacing w:before="360"/>
    </w:pPr>
    <w:rPr>
      <w:lang w:val="en-US" w:eastAsia="en-US"/>
    </w:rPr>
  </w:style>
  <w:style w:type="paragraph" w:styleId="NoSpacing">
    <w:name w:val="No Spacing"/>
    <w:uiPriority w:val="1"/>
    <w:qFormat/>
    <w:rsid w:val="00956246"/>
    <w:rPr>
      <w:sz w:val="24"/>
      <w:szCs w:val="24"/>
      <w:lang w:val="en-GB" w:eastAsia="en-GB"/>
    </w:rPr>
  </w:style>
  <w:style w:type="paragraph" w:styleId="Bibliography">
    <w:name w:val="Bibliography"/>
    <w:basedOn w:val="Normal"/>
    <w:next w:val="Normal"/>
    <w:uiPriority w:val="37"/>
    <w:unhideWhenUsed/>
    <w:rsid w:val="00DA1E36"/>
    <w:pPr>
      <w:tabs>
        <w:tab w:val="left" w:pos="380"/>
      </w:tabs>
      <w:ind w:left="384" w:hanging="384"/>
    </w:pPr>
  </w:style>
  <w:style w:type="character" w:customStyle="1" w:styleId="ref-vol">
    <w:name w:val="ref-vol"/>
    <w:basedOn w:val="DefaultParagraphFont"/>
    <w:rsid w:val="009B37D3"/>
  </w:style>
  <w:style w:type="character" w:styleId="UnresolvedMention">
    <w:name w:val="Unresolved Mention"/>
    <w:basedOn w:val="DefaultParagraphFont"/>
    <w:uiPriority w:val="99"/>
    <w:rsid w:val="00515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818337">
      <w:bodyDiv w:val="1"/>
      <w:marLeft w:val="0"/>
      <w:marRight w:val="0"/>
      <w:marTop w:val="0"/>
      <w:marBottom w:val="0"/>
      <w:divBdr>
        <w:top w:val="none" w:sz="0" w:space="0" w:color="auto"/>
        <w:left w:val="none" w:sz="0" w:space="0" w:color="auto"/>
        <w:bottom w:val="none" w:sz="0" w:space="0" w:color="auto"/>
        <w:right w:val="none" w:sz="0" w:space="0" w:color="auto"/>
      </w:divBdr>
      <w:divsChild>
        <w:div w:id="1868063748">
          <w:marLeft w:val="0"/>
          <w:marRight w:val="0"/>
          <w:marTop w:val="0"/>
          <w:marBottom w:val="0"/>
          <w:divBdr>
            <w:top w:val="none" w:sz="0" w:space="0" w:color="auto"/>
            <w:left w:val="none" w:sz="0" w:space="0" w:color="auto"/>
            <w:bottom w:val="none" w:sz="0" w:space="0" w:color="auto"/>
            <w:right w:val="none" w:sz="0" w:space="0" w:color="auto"/>
          </w:divBdr>
          <w:divsChild>
            <w:div w:id="1168133241">
              <w:marLeft w:val="0"/>
              <w:marRight w:val="0"/>
              <w:marTop w:val="0"/>
              <w:marBottom w:val="0"/>
              <w:divBdr>
                <w:top w:val="none" w:sz="0" w:space="0" w:color="auto"/>
                <w:left w:val="none" w:sz="0" w:space="0" w:color="auto"/>
                <w:bottom w:val="none" w:sz="0" w:space="0" w:color="auto"/>
                <w:right w:val="none" w:sz="0" w:space="0" w:color="auto"/>
              </w:divBdr>
              <w:divsChild>
                <w:div w:id="134756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98717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9788774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484886">
      <w:bodyDiv w:val="1"/>
      <w:marLeft w:val="0"/>
      <w:marRight w:val="0"/>
      <w:marTop w:val="0"/>
      <w:marBottom w:val="0"/>
      <w:divBdr>
        <w:top w:val="none" w:sz="0" w:space="0" w:color="auto"/>
        <w:left w:val="none" w:sz="0" w:space="0" w:color="auto"/>
        <w:bottom w:val="none" w:sz="0" w:space="0" w:color="auto"/>
        <w:right w:val="none" w:sz="0" w:space="0" w:color="auto"/>
      </w:divBdr>
    </w:div>
    <w:div w:id="822546783">
      <w:bodyDiv w:val="1"/>
      <w:marLeft w:val="0"/>
      <w:marRight w:val="0"/>
      <w:marTop w:val="0"/>
      <w:marBottom w:val="0"/>
      <w:divBdr>
        <w:top w:val="none" w:sz="0" w:space="0" w:color="auto"/>
        <w:left w:val="none" w:sz="0" w:space="0" w:color="auto"/>
        <w:bottom w:val="none" w:sz="0" w:space="0" w:color="auto"/>
        <w:right w:val="none" w:sz="0" w:space="0" w:color="auto"/>
      </w:divBdr>
    </w:div>
    <w:div w:id="1030759237">
      <w:bodyDiv w:val="1"/>
      <w:marLeft w:val="0"/>
      <w:marRight w:val="0"/>
      <w:marTop w:val="0"/>
      <w:marBottom w:val="0"/>
      <w:divBdr>
        <w:top w:val="none" w:sz="0" w:space="0" w:color="auto"/>
        <w:left w:val="none" w:sz="0" w:space="0" w:color="auto"/>
        <w:bottom w:val="none" w:sz="0" w:space="0" w:color="auto"/>
        <w:right w:val="none" w:sz="0" w:space="0" w:color="auto"/>
      </w:divBdr>
      <w:divsChild>
        <w:div w:id="979576876">
          <w:marLeft w:val="0"/>
          <w:marRight w:val="0"/>
          <w:marTop w:val="0"/>
          <w:marBottom w:val="0"/>
          <w:divBdr>
            <w:top w:val="none" w:sz="0" w:space="0" w:color="auto"/>
            <w:left w:val="none" w:sz="0" w:space="0" w:color="auto"/>
            <w:bottom w:val="none" w:sz="0" w:space="0" w:color="auto"/>
            <w:right w:val="none" w:sz="0" w:space="0" w:color="auto"/>
          </w:divBdr>
          <w:divsChild>
            <w:div w:id="798376412">
              <w:marLeft w:val="0"/>
              <w:marRight w:val="0"/>
              <w:marTop w:val="0"/>
              <w:marBottom w:val="0"/>
              <w:divBdr>
                <w:top w:val="none" w:sz="0" w:space="0" w:color="auto"/>
                <w:left w:val="none" w:sz="0" w:space="0" w:color="auto"/>
                <w:bottom w:val="none" w:sz="0" w:space="0" w:color="auto"/>
                <w:right w:val="none" w:sz="0" w:space="0" w:color="auto"/>
              </w:divBdr>
              <w:divsChild>
                <w:div w:id="16040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90815792">
      <w:bodyDiv w:val="1"/>
      <w:marLeft w:val="0"/>
      <w:marRight w:val="0"/>
      <w:marTop w:val="0"/>
      <w:marBottom w:val="0"/>
      <w:divBdr>
        <w:top w:val="none" w:sz="0" w:space="0" w:color="auto"/>
        <w:left w:val="none" w:sz="0" w:space="0" w:color="auto"/>
        <w:bottom w:val="none" w:sz="0" w:space="0" w:color="auto"/>
        <w:right w:val="none" w:sz="0" w:space="0" w:color="auto"/>
      </w:divBdr>
      <w:divsChild>
        <w:div w:id="2016422560">
          <w:marLeft w:val="0"/>
          <w:marRight w:val="0"/>
          <w:marTop w:val="0"/>
          <w:marBottom w:val="0"/>
          <w:divBdr>
            <w:top w:val="none" w:sz="0" w:space="0" w:color="auto"/>
            <w:left w:val="none" w:sz="0" w:space="0" w:color="auto"/>
            <w:bottom w:val="none" w:sz="0" w:space="0" w:color="auto"/>
            <w:right w:val="none" w:sz="0" w:space="0" w:color="auto"/>
          </w:divBdr>
          <w:divsChild>
            <w:div w:id="816147033">
              <w:marLeft w:val="0"/>
              <w:marRight w:val="0"/>
              <w:marTop w:val="0"/>
              <w:marBottom w:val="0"/>
              <w:divBdr>
                <w:top w:val="none" w:sz="0" w:space="0" w:color="auto"/>
                <w:left w:val="none" w:sz="0" w:space="0" w:color="auto"/>
                <w:bottom w:val="none" w:sz="0" w:space="0" w:color="auto"/>
                <w:right w:val="none" w:sz="0" w:space="0" w:color="auto"/>
              </w:divBdr>
              <w:divsChild>
                <w:div w:id="68282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3076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5082824">
      <w:bodyDiv w:val="1"/>
      <w:marLeft w:val="0"/>
      <w:marRight w:val="0"/>
      <w:marTop w:val="0"/>
      <w:marBottom w:val="0"/>
      <w:divBdr>
        <w:top w:val="none" w:sz="0" w:space="0" w:color="auto"/>
        <w:left w:val="none" w:sz="0" w:space="0" w:color="auto"/>
        <w:bottom w:val="none" w:sz="0" w:space="0" w:color="auto"/>
        <w:right w:val="none" w:sz="0" w:space="0" w:color="auto"/>
      </w:divBdr>
      <w:divsChild>
        <w:div w:id="338050006">
          <w:marLeft w:val="0"/>
          <w:marRight w:val="0"/>
          <w:marTop w:val="0"/>
          <w:marBottom w:val="600"/>
          <w:divBdr>
            <w:top w:val="none" w:sz="0" w:space="0" w:color="auto"/>
            <w:left w:val="none" w:sz="0" w:space="0" w:color="auto"/>
            <w:bottom w:val="none" w:sz="0" w:space="0" w:color="auto"/>
            <w:right w:val="none" w:sz="0" w:space="0" w:color="auto"/>
          </w:divBdr>
          <w:divsChild>
            <w:div w:id="1307197105">
              <w:marLeft w:val="0"/>
              <w:marRight w:val="0"/>
              <w:marTop w:val="0"/>
              <w:marBottom w:val="0"/>
              <w:divBdr>
                <w:top w:val="none" w:sz="0" w:space="0" w:color="auto"/>
                <w:left w:val="none" w:sz="0" w:space="0" w:color="auto"/>
                <w:bottom w:val="none" w:sz="0" w:space="0" w:color="auto"/>
                <w:right w:val="none" w:sz="0" w:space="0" w:color="auto"/>
              </w:divBdr>
            </w:div>
          </w:divsChild>
        </w:div>
        <w:div w:id="629091371">
          <w:marLeft w:val="0"/>
          <w:marRight w:val="0"/>
          <w:marTop w:val="0"/>
          <w:marBottom w:val="0"/>
          <w:divBdr>
            <w:top w:val="none" w:sz="0" w:space="0" w:color="auto"/>
            <w:left w:val="none" w:sz="0" w:space="0" w:color="auto"/>
            <w:bottom w:val="none" w:sz="0" w:space="0" w:color="auto"/>
            <w:right w:val="none" w:sz="0" w:space="0" w:color="auto"/>
          </w:divBdr>
          <w:divsChild>
            <w:div w:id="436095188">
              <w:marLeft w:val="0"/>
              <w:marRight w:val="0"/>
              <w:marTop w:val="0"/>
              <w:marBottom w:val="0"/>
              <w:divBdr>
                <w:top w:val="none" w:sz="0" w:space="0" w:color="auto"/>
                <w:left w:val="none" w:sz="0" w:space="0" w:color="auto"/>
                <w:bottom w:val="none" w:sz="0" w:space="0" w:color="auto"/>
                <w:right w:val="none" w:sz="0" w:space="0" w:color="auto"/>
              </w:divBdr>
              <w:divsChild>
                <w:div w:id="737870515">
                  <w:marLeft w:val="0"/>
                  <w:marRight w:val="0"/>
                  <w:marTop w:val="0"/>
                  <w:marBottom w:val="600"/>
                  <w:divBdr>
                    <w:top w:val="none" w:sz="0" w:space="0" w:color="auto"/>
                    <w:left w:val="none" w:sz="0" w:space="0" w:color="auto"/>
                    <w:bottom w:val="none" w:sz="0" w:space="0" w:color="auto"/>
                    <w:right w:val="none" w:sz="0" w:space="0" w:color="auto"/>
                  </w:divBdr>
                </w:div>
              </w:divsChild>
            </w:div>
            <w:div w:id="657734039">
              <w:marLeft w:val="0"/>
              <w:marRight w:val="0"/>
              <w:marTop w:val="0"/>
              <w:marBottom w:val="0"/>
              <w:divBdr>
                <w:top w:val="none" w:sz="0" w:space="0" w:color="auto"/>
                <w:left w:val="none" w:sz="0" w:space="0" w:color="auto"/>
                <w:bottom w:val="none" w:sz="0" w:space="0" w:color="auto"/>
                <w:right w:val="none" w:sz="0" w:space="0" w:color="auto"/>
              </w:divBdr>
              <w:divsChild>
                <w:div w:id="405223709">
                  <w:marLeft w:val="0"/>
                  <w:marRight w:val="0"/>
                  <w:marTop w:val="0"/>
                  <w:marBottom w:val="600"/>
                  <w:divBdr>
                    <w:top w:val="none" w:sz="0" w:space="0" w:color="auto"/>
                    <w:left w:val="none" w:sz="0" w:space="0" w:color="auto"/>
                    <w:bottom w:val="none" w:sz="0" w:space="0" w:color="auto"/>
                    <w:right w:val="none" w:sz="0" w:space="0" w:color="auto"/>
                  </w:divBdr>
                </w:div>
              </w:divsChild>
            </w:div>
            <w:div w:id="800615699">
              <w:marLeft w:val="0"/>
              <w:marRight w:val="0"/>
              <w:marTop w:val="0"/>
              <w:marBottom w:val="0"/>
              <w:divBdr>
                <w:top w:val="none" w:sz="0" w:space="0" w:color="auto"/>
                <w:left w:val="none" w:sz="0" w:space="0" w:color="auto"/>
                <w:bottom w:val="none" w:sz="0" w:space="0" w:color="auto"/>
                <w:right w:val="none" w:sz="0" w:space="0" w:color="auto"/>
              </w:divBdr>
              <w:divsChild>
                <w:div w:id="752623326">
                  <w:marLeft w:val="0"/>
                  <w:marRight w:val="0"/>
                  <w:marTop w:val="0"/>
                  <w:marBottom w:val="600"/>
                  <w:divBdr>
                    <w:top w:val="none" w:sz="0" w:space="0" w:color="auto"/>
                    <w:left w:val="none" w:sz="0" w:space="0" w:color="auto"/>
                    <w:bottom w:val="none" w:sz="0" w:space="0" w:color="auto"/>
                    <w:right w:val="none" w:sz="0" w:space="0" w:color="auto"/>
                  </w:divBdr>
                  <w:divsChild>
                    <w:div w:id="1365979485">
                      <w:marLeft w:val="0"/>
                      <w:marRight w:val="0"/>
                      <w:marTop w:val="0"/>
                      <w:marBottom w:val="360"/>
                      <w:divBdr>
                        <w:top w:val="single" w:sz="36" w:space="15" w:color="D5D5D5"/>
                        <w:left w:val="single" w:sz="36" w:space="8" w:color="D5D5D5"/>
                        <w:bottom w:val="single" w:sz="36" w:space="15" w:color="D5D5D5"/>
                        <w:right w:val="single" w:sz="36" w:space="8" w:color="D5D5D5"/>
                      </w:divBdr>
                      <w:divsChild>
                        <w:div w:id="462387974">
                          <w:marLeft w:val="0"/>
                          <w:marRight w:val="0"/>
                          <w:marTop w:val="0"/>
                          <w:marBottom w:val="240"/>
                          <w:divBdr>
                            <w:top w:val="none" w:sz="0" w:space="0" w:color="auto"/>
                            <w:left w:val="none" w:sz="0" w:space="0" w:color="auto"/>
                            <w:bottom w:val="none" w:sz="0" w:space="0" w:color="auto"/>
                            <w:right w:val="none" w:sz="0" w:space="0" w:color="auto"/>
                          </w:divBdr>
                          <w:divsChild>
                            <w:div w:id="1998068226">
                              <w:marLeft w:val="0"/>
                              <w:marRight w:val="0"/>
                              <w:marTop w:val="0"/>
                              <w:marBottom w:val="0"/>
                              <w:divBdr>
                                <w:top w:val="none" w:sz="0" w:space="0" w:color="auto"/>
                                <w:left w:val="none" w:sz="0" w:space="0" w:color="auto"/>
                                <w:bottom w:val="none" w:sz="0" w:space="0" w:color="auto"/>
                                <w:right w:val="none" w:sz="0" w:space="0" w:color="auto"/>
                              </w:divBdr>
                            </w:div>
                            <w:div w:id="13877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1577">
                      <w:marLeft w:val="0"/>
                      <w:marRight w:val="0"/>
                      <w:marTop w:val="0"/>
                      <w:marBottom w:val="360"/>
                      <w:divBdr>
                        <w:top w:val="single" w:sz="36" w:space="15" w:color="D5D5D5"/>
                        <w:left w:val="single" w:sz="36" w:space="8" w:color="D5D5D5"/>
                        <w:bottom w:val="single" w:sz="36" w:space="15" w:color="D5D5D5"/>
                        <w:right w:val="single" w:sz="36" w:space="8" w:color="D5D5D5"/>
                      </w:divBdr>
                      <w:divsChild>
                        <w:div w:id="1186796501">
                          <w:marLeft w:val="0"/>
                          <w:marRight w:val="0"/>
                          <w:marTop w:val="0"/>
                          <w:marBottom w:val="240"/>
                          <w:divBdr>
                            <w:top w:val="none" w:sz="0" w:space="0" w:color="auto"/>
                            <w:left w:val="none" w:sz="0" w:space="0" w:color="auto"/>
                            <w:bottom w:val="none" w:sz="0" w:space="0" w:color="auto"/>
                            <w:right w:val="none" w:sz="0" w:space="0" w:color="auto"/>
                          </w:divBdr>
                          <w:divsChild>
                            <w:div w:id="1295138883">
                              <w:marLeft w:val="0"/>
                              <w:marRight w:val="0"/>
                              <w:marTop w:val="0"/>
                              <w:marBottom w:val="0"/>
                              <w:divBdr>
                                <w:top w:val="none" w:sz="0" w:space="0" w:color="auto"/>
                                <w:left w:val="none" w:sz="0" w:space="0" w:color="auto"/>
                                <w:bottom w:val="none" w:sz="0" w:space="0" w:color="auto"/>
                                <w:right w:val="none" w:sz="0" w:space="0" w:color="auto"/>
                              </w:divBdr>
                            </w:div>
                            <w:div w:id="187950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901751">
                      <w:marLeft w:val="0"/>
                      <w:marRight w:val="0"/>
                      <w:marTop w:val="0"/>
                      <w:marBottom w:val="360"/>
                      <w:divBdr>
                        <w:top w:val="single" w:sz="36" w:space="15" w:color="D5D5D5"/>
                        <w:left w:val="single" w:sz="36" w:space="8" w:color="D5D5D5"/>
                        <w:bottom w:val="single" w:sz="36" w:space="15" w:color="D5D5D5"/>
                        <w:right w:val="single" w:sz="36" w:space="8" w:color="D5D5D5"/>
                      </w:divBdr>
                      <w:divsChild>
                        <w:div w:id="1443723975">
                          <w:marLeft w:val="0"/>
                          <w:marRight w:val="0"/>
                          <w:marTop w:val="0"/>
                          <w:marBottom w:val="240"/>
                          <w:divBdr>
                            <w:top w:val="none" w:sz="0" w:space="0" w:color="auto"/>
                            <w:left w:val="none" w:sz="0" w:space="0" w:color="auto"/>
                            <w:bottom w:val="none" w:sz="0" w:space="0" w:color="auto"/>
                            <w:right w:val="none" w:sz="0" w:space="0" w:color="auto"/>
                          </w:divBdr>
                          <w:divsChild>
                            <w:div w:id="1606301781">
                              <w:marLeft w:val="0"/>
                              <w:marRight w:val="0"/>
                              <w:marTop w:val="0"/>
                              <w:marBottom w:val="0"/>
                              <w:divBdr>
                                <w:top w:val="none" w:sz="0" w:space="0" w:color="auto"/>
                                <w:left w:val="none" w:sz="0" w:space="0" w:color="auto"/>
                                <w:bottom w:val="none" w:sz="0" w:space="0" w:color="auto"/>
                                <w:right w:val="none" w:sz="0" w:space="0" w:color="auto"/>
                              </w:divBdr>
                            </w:div>
                            <w:div w:id="76908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664070">
                      <w:marLeft w:val="0"/>
                      <w:marRight w:val="0"/>
                      <w:marTop w:val="0"/>
                      <w:marBottom w:val="360"/>
                      <w:divBdr>
                        <w:top w:val="single" w:sz="36" w:space="15" w:color="D5D5D5"/>
                        <w:left w:val="single" w:sz="36" w:space="8" w:color="D5D5D5"/>
                        <w:bottom w:val="single" w:sz="36" w:space="15" w:color="D5D5D5"/>
                        <w:right w:val="single" w:sz="36" w:space="8" w:color="D5D5D5"/>
                      </w:divBdr>
                      <w:divsChild>
                        <w:div w:id="1963534872">
                          <w:marLeft w:val="0"/>
                          <w:marRight w:val="0"/>
                          <w:marTop w:val="0"/>
                          <w:marBottom w:val="240"/>
                          <w:divBdr>
                            <w:top w:val="none" w:sz="0" w:space="0" w:color="auto"/>
                            <w:left w:val="none" w:sz="0" w:space="0" w:color="auto"/>
                            <w:bottom w:val="none" w:sz="0" w:space="0" w:color="auto"/>
                            <w:right w:val="none" w:sz="0" w:space="0" w:color="auto"/>
                          </w:divBdr>
                          <w:divsChild>
                            <w:div w:id="382944209">
                              <w:marLeft w:val="0"/>
                              <w:marRight w:val="0"/>
                              <w:marTop w:val="0"/>
                              <w:marBottom w:val="0"/>
                              <w:divBdr>
                                <w:top w:val="none" w:sz="0" w:space="0" w:color="auto"/>
                                <w:left w:val="none" w:sz="0" w:space="0" w:color="auto"/>
                                <w:bottom w:val="none" w:sz="0" w:space="0" w:color="auto"/>
                                <w:right w:val="none" w:sz="0" w:space="0" w:color="auto"/>
                              </w:divBdr>
                            </w:div>
                            <w:div w:id="114662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248245">
                      <w:marLeft w:val="0"/>
                      <w:marRight w:val="0"/>
                      <w:marTop w:val="0"/>
                      <w:marBottom w:val="360"/>
                      <w:divBdr>
                        <w:top w:val="single" w:sz="36" w:space="15" w:color="D5D5D5"/>
                        <w:left w:val="single" w:sz="36" w:space="8" w:color="D5D5D5"/>
                        <w:bottom w:val="single" w:sz="36" w:space="15" w:color="D5D5D5"/>
                        <w:right w:val="single" w:sz="36" w:space="8" w:color="D5D5D5"/>
                      </w:divBdr>
                      <w:divsChild>
                        <w:div w:id="1337884015">
                          <w:marLeft w:val="0"/>
                          <w:marRight w:val="0"/>
                          <w:marTop w:val="0"/>
                          <w:marBottom w:val="240"/>
                          <w:divBdr>
                            <w:top w:val="none" w:sz="0" w:space="0" w:color="auto"/>
                            <w:left w:val="none" w:sz="0" w:space="0" w:color="auto"/>
                            <w:bottom w:val="none" w:sz="0" w:space="0" w:color="auto"/>
                            <w:right w:val="none" w:sz="0" w:space="0" w:color="auto"/>
                          </w:divBdr>
                          <w:divsChild>
                            <w:div w:id="1998532416">
                              <w:marLeft w:val="0"/>
                              <w:marRight w:val="0"/>
                              <w:marTop w:val="0"/>
                              <w:marBottom w:val="0"/>
                              <w:divBdr>
                                <w:top w:val="none" w:sz="0" w:space="0" w:color="auto"/>
                                <w:left w:val="none" w:sz="0" w:space="0" w:color="auto"/>
                                <w:bottom w:val="none" w:sz="0" w:space="0" w:color="auto"/>
                                <w:right w:val="none" w:sz="0" w:space="0" w:color="auto"/>
                              </w:divBdr>
                            </w:div>
                            <w:div w:id="139010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3035">
                      <w:marLeft w:val="0"/>
                      <w:marRight w:val="0"/>
                      <w:marTop w:val="0"/>
                      <w:marBottom w:val="360"/>
                      <w:divBdr>
                        <w:top w:val="single" w:sz="36" w:space="15" w:color="D5D5D5"/>
                        <w:left w:val="single" w:sz="36" w:space="8" w:color="D5D5D5"/>
                        <w:bottom w:val="single" w:sz="36" w:space="15" w:color="D5D5D5"/>
                        <w:right w:val="single" w:sz="36" w:space="8" w:color="D5D5D5"/>
                      </w:divBdr>
                      <w:divsChild>
                        <w:div w:id="1039159610">
                          <w:marLeft w:val="0"/>
                          <w:marRight w:val="0"/>
                          <w:marTop w:val="0"/>
                          <w:marBottom w:val="240"/>
                          <w:divBdr>
                            <w:top w:val="none" w:sz="0" w:space="0" w:color="auto"/>
                            <w:left w:val="none" w:sz="0" w:space="0" w:color="auto"/>
                            <w:bottom w:val="none" w:sz="0" w:space="0" w:color="auto"/>
                            <w:right w:val="none" w:sz="0" w:space="0" w:color="auto"/>
                          </w:divBdr>
                          <w:divsChild>
                            <w:div w:id="2140343582">
                              <w:marLeft w:val="0"/>
                              <w:marRight w:val="0"/>
                              <w:marTop w:val="0"/>
                              <w:marBottom w:val="0"/>
                              <w:divBdr>
                                <w:top w:val="none" w:sz="0" w:space="0" w:color="auto"/>
                                <w:left w:val="none" w:sz="0" w:space="0" w:color="auto"/>
                                <w:bottom w:val="none" w:sz="0" w:space="0" w:color="auto"/>
                                <w:right w:val="none" w:sz="0" w:space="0" w:color="auto"/>
                              </w:divBdr>
                            </w:div>
                            <w:div w:id="93548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161309">
              <w:marLeft w:val="0"/>
              <w:marRight w:val="0"/>
              <w:marTop w:val="0"/>
              <w:marBottom w:val="0"/>
              <w:divBdr>
                <w:top w:val="none" w:sz="0" w:space="0" w:color="auto"/>
                <w:left w:val="none" w:sz="0" w:space="0" w:color="auto"/>
                <w:bottom w:val="none" w:sz="0" w:space="0" w:color="auto"/>
                <w:right w:val="none" w:sz="0" w:space="0" w:color="auto"/>
              </w:divBdr>
              <w:divsChild>
                <w:div w:id="1884249836">
                  <w:marLeft w:val="0"/>
                  <w:marRight w:val="0"/>
                  <w:marTop w:val="0"/>
                  <w:marBottom w:val="600"/>
                  <w:divBdr>
                    <w:top w:val="none" w:sz="0" w:space="0" w:color="auto"/>
                    <w:left w:val="none" w:sz="0" w:space="0" w:color="auto"/>
                    <w:bottom w:val="none" w:sz="0" w:space="0" w:color="auto"/>
                    <w:right w:val="none" w:sz="0" w:space="0" w:color="auto"/>
                  </w:divBdr>
                  <w:divsChild>
                    <w:div w:id="1565136640">
                      <w:marLeft w:val="0"/>
                      <w:marRight w:val="0"/>
                      <w:marTop w:val="0"/>
                      <w:marBottom w:val="360"/>
                      <w:divBdr>
                        <w:top w:val="single" w:sz="36" w:space="15" w:color="D5D5D5"/>
                        <w:left w:val="single" w:sz="36" w:space="8" w:color="D5D5D5"/>
                        <w:bottom w:val="single" w:sz="36" w:space="15" w:color="D5D5D5"/>
                        <w:right w:val="single" w:sz="36" w:space="8" w:color="D5D5D5"/>
                      </w:divBdr>
                      <w:divsChild>
                        <w:div w:id="181171544">
                          <w:marLeft w:val="0"/>
                          <w:marRight w:val="0"/>
                          <w:marTop w:val="0"/>
                          <w:marBottom w:val="240"/>
                          <w:divBdr>
                            <w:top w:val="none" w:sz="0" w:space="0" w:color="auto"/>
                            <w:left w:val="none" w:sz="0" w:space="0" w:color="auto"/>
                            <w:bottom w:val="none" w:sz="0" w:space="0" w:color="auto"/>
                            <w:right w:val="none" w:sz="0" w:space="0" w:color="auto"/>
                          </w:divBdr>
                          <w:divsChild>
                            <w:div w:id="571743191">
                              <w:marLeft w:val="0"/>
                              <w:marRight w:val="0"/>
                              <w:marTop w:val="0"/>
                              <w:marBottom w:val="0"/>
                              <w:divBdr>
                                <w:top w:val="none" w:sz="0" w:space="0" w:color="auto"/>
                                <w:left w:val="none" w:sz="0" w:space="0" w:color="auto"/>
                                <w:bottom w:val="none" w:sz="0" w:space="0" w:color="auto"/>
                                <w:right w:val="none" w:sz="0" w:space="0" w:color="auto"/>
                              </w:divBdr>
                            </w:div>
                            <w:div w:id="6710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264047">
              <w:marLeft w:val="0"/>
              <w:marRight w:val="0"/>
              <w:marTop w:val="0"/>
              <w:marBottom w:val="0"/>
              <w:divBdr>
                <w:top w:val="none" w:sz="0" w:space="0" w:color="auto"/>
                <w:left w:val="none" w:sz="0" w:space="0" w:color="auto"/>
                <w:bottom w:val="none" w:sz="0" w:space="0" w:color="auto"/>
                <w:right w:val="none" w:sz="0" w:space="0" w:color="auto"/>
              </w:divBdr>
              <w:divsChild>
                <w:div w:id="1110708657">
                  <w:marLeft w:val="0"/>
                  <w:marRight w:val="0"/>
                  <w:marTop w:val="0"/>
                  <w:marBottom w:val="600"/>
                  <w:divBdr>
                    <w:top w:val="none" w:sz="0" w:space="0" w:color="auto"/>
                    <w:left w:val="none" w:sz="0" w:space="0" w:color="auto"/>
                    <w:bottom w:val="none" w:sz="0" w:space="0" w:color="auto"/>
                    <w:right w:val="none" w:sz="0" w:space="0" w:color="auto"/>
                  </w:divBdr>
                  <w:divsChild>
                    <w:div w:id="17380158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721952213">
              <w:marLeft w:val="0"/>
              <w:marRight w:val="0"/>
              <w:marTop w:val="0"/>
              <w:marBottom w:val="0"/>
              <w:divBdr>
                <w:top w:val="none" w:sz="0" w:space="0" w:color="auto"/>
                <w:left w:val="none" w:sz="0" w:space="0" w:color="auto"/>
                <w:bottom w:val="none" w:sz="0" w:space="0" w:color="auto"/>
                <w:right w:val="none" w:sz="0" w:space="0" w:color="auto"/>
              </w:divBdr>
              <w:divsChild>
                <w:div w:id="1916546079">
                  <w:marLeft w:val="0"/>
                  <w:marRight w:val="0"/>
                  <w:marTop w:val="0"/>
                  <w:marBottom w:val="600"/>
                  <w:divBdr>
                    <w:top w:val="none" w:sz="0" w:space="0" w:color="auto"/>
                    <w:left w:val="none" w:sz="0" w:space="0" w:color="auto"/>
                    <w:bottom w:val="none" w:sz="0" w:space="0" w:color="auto"/>
                    <w:right w:val="none" w:sz="0" w:space="0" w:color="auto"/>
                  </w:divBdr>
                </w:div>
              </w:divsChild>
            </w:div>
            <w:div w:id="1932082872">
              <w:marLeft w:val="0"/>
              <w:marRight w:val="0"/>
              <w:marTop w:val="0"/>
              <w:marBottom w:val="0"/>
              <w:divBdr>
                <w:top w:val="none" w:sz="0" w:space="0" w:color="auto"/>
                <w:left w:val="none" w:sz="0" w:space="0" w:color="auto"/>
                <w:bottom w:val="none" w:sz="0" w:space="0" w:color="auto"/>
                <w:right w:val="none" w:sz="0" w:space="0" w:color="auto"/>
              </w:divBdr>
              <w:divsChild>
                <w:div w:id="206340767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s543@cam.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28004</Words>
  <Characters>159626</Characters>
  <Application>Microsoft Office Word</Application>
  <DocSecurity>0</DocSecurity>
  <Lines>1330</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2020-09-22T19:06:00Z</dcterms:created>
  <dcterms:modified xsi:type="dcterms:W3CDTF">2020-09-22T19:07:00Z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zotero-version="5.0.88"&gt;&lt;session id="pmJElC8R"/&gt;&lt;style id="http://www.zotero.org/styles/journal-of-visualized-experiments" hasBibliography="1" bibliographyStyleHasBeenSet="1"/&gt;&lt;prefs&gt;&lt;pref name="fieldType" value="Field"/&gt;&lt;pref name=</vt:lpwstr>
  </property>
  <property fmtid="{D5CDD505-2E9C-101B-9397-08002B2CF9AE}" pid="3" name="ZOTERO_PREF_2">
    <vt:lpwstr>"automaticJournalAbbreviations" value="true"/&gt;&lt;pref name="dontAskDelayCitationUpdates" value="true"/&gt;&lt;/prefs&gt;&lt;/data&gt;</vt:lpwstr>
  </property>
</Properties>
</file>