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9D95C0" w14:textId="77777777" w:rsidR="00E67FEE" w:rsidRPr="008802FD" w:rsidRDefault="00E67FEE" w:rsidP="000F3A64">
      <w:pPr>
        <w:spacing w:after="120" w:line="240" w:lineRule="auto"/>
        <w:jc w:val="right"/>
        <w:rPr>
          <w:rFonts w:cstheme="minorHAnsi"/>
          <w:sz w:val="21"/>
          <w:szCs w:val="21"/>
        </w:rPr>
      </w:pPr>
      <w:proofErr w:type="spellStart"/>
      <w:r>
        <w:rPr>
          <w:rFonts w:cstheme="minorHAnsi"/>
          <w:sz w:val="21"/>
          <w:szCs w:val="21"/>
        </w:rPr>
        <w:t>Tulln</w:t>
      </w:r>
      <w:proofErr w:type="spellEnd"/>
      <w:r w:rsidRPr="008802FD">
        <w:rPr>
          <w:rFonts w:cstheme="minorHAnsi"/>
          <w:sz w:val="21"/>
          <w:szCs w:val="21"/>
        </w:rPr>
        <w:t xml:space="preserve">, </w:t>
      </w:r>
      <w:r w:rsidRPr="00E8744F">
        <w:rPr>
          <w:rFonts w:cstheme="minorHAnsi"/>
          <w:sz w:val="21"/>
          <w:szCs w:val="21"/>
        </w:rPr>
        <w:t>July 10</w:t>
      </w:r>
      <w:r w:rsidRPr="00E8744F">
        <w:rPr>
          <w:rFonts w:cstheme="minorHAnsi"/>
          <w:sz w:val="21"/>
          <w:szCs w:val="21"/>
          <w:vertAlign w:val="superscript"/>
        </w:rPr>
        <w:t>th</w:t>
      </w:r>
      <w:proofErr w:type="gramStart"/>
      <w:r w:rsidRPr="00A94528">
        <w:rPr>
          <w:rFonts w:cstheme="minorHAnsi"/>
          <w:sz w:val="21"/>
          <w:szCs w:val="21"/>
          <w:vertAlign w:val="superscript"/>
        </w:rPr>
        <w:t xml:space="preserve"> </w:t>
      </w:r>
      <w:r w:rsidRPr="00A94528">
        <w:rPr>
          <w:rFonts w:cstheme="minorHAnsi"/>
          <w:sz w:val="21"/>
          <w:szCs w:val="21"/>
        </w:rPr>
        <w:t>2020</w:t>
      </w:r>
      <w:proofErr w:type="gramEnd"/>
    </w:p>
    <w:p w14:paraId="5686AADC" w14:textId="77777777" w:rsidR="00E67FEE" w:rsidRDefault="00E67FEE" w:rsidP="000F3A64">
      <w:pPr>
        <w:spacing w:line="240" w:lineRule="auto"/>
        <w:jc w:val="both"/>
        <w:rPr>
          <w:rFonts w:cstheme="minorHAnsi"/>
          <w:color w:val="008080"/>
          <w:sz w:val="21"/>
          <w:szCs w:val="21"/>
        </w:rPr>
      </w:pPr>
    </w:p>
    <w:p w14:paraId="07559809" w14:textId="77777777" w:rsidR="00E67FEE" w:rsidRDefault="00E67FEE" w:rsidP="000F3A64">
      <w:pPr>
        <w:spacing w:line="240" w:lineRule="auto"/>
        <w:jc w:val="both"/>
        <w:rPr>
          <w:rFonts w:cstheme="minorHAnsi"/>
          <w:color w:val="008080"/>
          <w:sz w:val="21"/>
          <w:szCs w:val="21"/>
        </w:rPr>
      </w:pPr>
      <w:r w:rsidRPr="008802FD">
        <w:rPr>
          <w:rFonts w:cstheme="minorHAnsi"/>
          <w:color w:val="008080"/>
          <w:sz w:val="21"/>
          <w:szCs w:val="21"/>
        </w:rPr>
        <w:t xml:space="preserve">REF: </w:t>
      </w:r>
      <w:r>
        <w:rPr>
          <w:rFonts w:cstheme="minorHAnsi"/>
          <w:color w:val="008080"/>
          <w:sz w:val="21"/>
          <w:szCs w:val="21"/>
        </w:rPr>
        <w:t>JoVE61661, Response to reviewers</w:t>
      </w:r>
    </w:p>
    <w:p w14:paraId="79B64A23" w14:textId="77777777" w:rsidR="00E67FEE" w:rsidRDefault="00E67FEE" w:rsidP="000F3A64">
      <w:pPr>
        <w:spacing w:line="360" w:lineRule="auto"/>
        <w:jc w:val="both"/>
        <w:rPr>
          <w:rFonts w:cstheme="minorHAnsi"/>
          <w:color w:val="008080"/>
          <w:sz w:val="21"/>
          <w:szCs w:val="21"/>
        </w:rPr>
      </w:pPr>
    </w:p>
    <w:p w14:paraId="61471BBF" w14:textId="77777777" w:rsidR="00E67FEE" w:rsidRDefault="00E67FEE" w:rsidP="000F3A64">
      <w:pPr>
        <w:spacing w:line="360" w:lineRule="auto"/>
        <w:jc w:val="both"/>
        <w:rPr>
          <w:rFonts w:cstheme="minorHAnsi"/>
        </w:rPr>
      </w:pPr>
      <w:r>
        <w:rPr>
          <w:rFonts w:cstheme="minorHAnsi"/>
        </w:rPr>
        <w:t xml:space="preserve">Dear </w:t>
      </w:r>
      <w:proofErr w:type="spellStart"/>
      <w:r>
        <w:rPr>
          <w:rFonts w:cstheme="minorHAnsi"/>
        </w:rPr>
        <w:t>Vineeta</w:t>
      </w:r>
      <w:proofErr w:type="spellEnd"/>
      <w:r>
        <w:rPr>
          <w:rFonts w:cstheme="minorHAnsi"/>
        </w:rPr>
        <w:t xml:space="preserve"> Bajaj,</w:t>
      </w:r>
    </w:p>
    <w:p w14:paraId="0000521F" w14:textId="77777777" w:rsidR="00E67FEE" w:rsidRDefault="00E67FEE" w:rsidP="00F94AFD">
      <w:pPr>
        <w:spacing w:line="360" w:lineRule="auto"/>
        <w:jc w:val="both"/>
        <w:rPr>
          <w:rFonts w:cstheme="minorHAnsi"/>
        </w:rPr>
      </w:pPr>
      <w:r>
        <w:rPr>
          <w:rFonts w:cstheme="minorHAnsi"/>
        </w:rPr>
        <w:t>We were very happy to receive such positive and constructive feedback on our manuscript entitled “</w:t>
      </w:r>
      <w:r>
        <w:rPr>
          <w:rFonts w:cstheme="minorHAnsi"/>
          <w:b/>
          <w:bCs/>
        </w:rPr>
        <w:t>Two-dimensional visualization and quantification of labile, inorganic plant nutrients and contaminants in soil</w:t>
      </w:r>
      <w:r>
        <w:rPr>
          <w:rFonts w:cstheme="minorHAnsi"/>
        </w:rPr>
        <w:t>”.</w:t>
      </w:r>
      <w:r w:rsidRPr="00AA1089">
        <w:rPr>
          <w:rFonts w:cstheme="minorHAnsi"/>
        </w:rPr>
        <w:t xml:space="preserve"> </w:t>
      </w:r>
      <w:r>
        <w:rPr>
          <w:rFonts w:cstheme="minorHAnsi"/>
        </w:rPr>
        <w:t>Please find a point by point response to all editorial and reviewer comments below.</w:t>
      </w:r>
    </w:p>
    <w:p w14:paraId="275B19AC" w14:textId="77777777" w:rsidR="00E67FEE" w:rsidRPr="00F94AFD" w:rsidRDefault="00E67FEE" w:rsidP="00F94AFD">
      <w:pPr>
        <w:spacing w:line="360" w:lineRule="auto"/>
        <w:jc w:val="both"/>
        <w:rPr>
          <w:rFonts w:cstheme="minorHAnsi"/>
        </w:rPr>
      </w:pPr>
      <w:r>
        <w:rPr>
          <w:rFonts w:cstheme="minorHAnsi"/>
          <w:sz w:val="21"/>
          <w:szCs w:val="21"/>
        </w:rPr>
        <w:t xml:space="preserve">We look forward to your positive response. </w:t>
      </w:r>
    </w:p>
    <w:p w14:paraId="6CF4ADFB" w14:textId="77777777" w:rsidR="00E67FEE" w:rsidRDefault="00E67FEE" w:rsidP="000F3A64">
      <w:pPr>
        <w:spacing w:after="60" w:line="240" w:lineRule="auto"/>
        <w:jc w:val="both"/>
        <w:rPr>
          <w:rFonts w:cstheme="minorHAnsi"/>
          <w:sz w:val="21"/>
          <w:szCs w:val="21"/>
        </w:rPr>
      </w:pPr>
    </w:p>
    <w:p w14:paraId="01C35D4A" w14:textId="77777777" w:rsidR="00E67FEE" w:rsidRDefault="00E67FEE" w:rsidP="000F3A64">
      <w:pPr>
        <w:spacing w:after="60" w:line="240" w:lineRule="auto"/>
        <w:jc w:val="both"/>
        <w:rPr>
          <w:rFonts w:cstheme="minorHAnsi"/>
          <w:sz w:val="21"/>
          <w:szCs w:val="21"/>
        </w:rPr>
      </w:pPr>
      <w:r>
        <w:rPr>
          <w:rFonts w:cstheme="minorHAnsi"/>
          <w:sz w:val="21"/>
          <w:szCs w:val="21"/>
        </w:rPr>
        <w:t>On behalf of all co-authors from Austria,</w:t>
      </w:r>
    </w:p>
    <w:p w14:paraId="3EDE90F6" w14:textId="77777777" w:rsidR="00E67FEE" w:rsidRDefault="00E67FEE" w:rsidP="000F3A64">
      <w:pPr>
        <w:spacing w:after="60" w:line="240" w:lineRule="auto"/>
        <w:jc w:val="both"/>
        <w:rPr>
          <w:rFonts w:cstheme="minorHAnsi"/>
          <w:sz w:val="21"/>
          <w:szCs w:val="21"/>
        </w:rPr>
      </w:pPr>
    </w:p>
    <w:p w14:paraId="7B6C063B" w14:textId="77777777" w:rsidR="00E67FEE" w:rsidRDefault="00E67FEE" w:rsidP="000F3A64">
      <w:pPr>
        <w:spacing w:after="240" w:line="240" w:lineRule="auto"/>
        <w:jc w:val="both"/>
        <w:rPr>
          <w:rFonts w:cstheme="minorHAnsi"/>
          <w:sz w:val="21"/>
          <w:szCs w:val="21"/>
        </w:rPr>
      </w:pPr>
      <w:r>
        <w:rPr>
          <w:rFonts w:cstheme="minorHAnsi"/>
          <w:sz w:val="21"/>
          <w:szCs w:val="21"/>
        </w:rPr>
        <w:t>Yours sincerely,</w:t>
      </w:r>
    </w:p>
    <w:p w14:paraId="7A38069B" w14:textId="77777777" w:rsidR="00E67FEE" w:rsidRDefault="00E67FEE" w:rsidP="000F3A64">
      <w:pPr>
        <w:spacing w:after="60" w:line="240" w:lineRule="auto"/>
        <w:jc w:val="both"/>
        <w:rPr>
          <w:rFonts w:cstheme="minorHAnsi"/>
          <w:sz w:val="21"/>
          <w:szCs w:val="21"/>
        </w:rPr>
      </w:pPr>
      <w:r>
        <w:rPr>
          <w:rFonts w:cstheme="minorHAnsi"/>
          <w:sz w:val="21"/>
          <w:szCs w:val="21"/>
        </w:rPr>
        <w:t>Stefan Wagner and Jakob Santner</w:t>
      </w:r>
    </w:p>
    <w:p w14:paraId="52626E34" w14:textId="77777777" w:rsidR="00E67FEE" w:rsidRDefault="00E67FEE" w:rsidP="000F3A64">
      <w:pPr>
        <w:spacing w:after="60" w:line="240" w:lineRule="auto"/>
        <w:jc w:val="both"/>
        <w:rPr>
          <w:rFonts w:cstheme="minorHAnsi"/>
          <w:sz w:val="21"/>
          <w:szCs w:val="21"/>
        </w:rPr>
      </w:pPr>
    </w:p>
    <w:p w14:paraId="252AB183" w14:textId="77777777" w:rsidR="00E67FEE" w:rsidRDefault="00E67FEE" w:rsidP="000F3A64">
      <w:pPr>
        <w:spacing w:after="60" w:line="240" w:lineRule="auto"/>
        <w:jc w:val="both"/>
        <w:rPr>
          <w:rFonts w:cstheme="minorHAnsi"/>
          <w:sz w:val="21"/>
          <w:szCs w:val="21"/>
        </w:rPr>
      </w:pPr>
    </w:p>
    <w:p w14:paraId="71E8A24A" w14:textId="77777777" w:rsidR="00E67FEE" w:rsidRDefault="00E67FEE" w:rsidP="000F3A64">
      <w:pPr>
        <w:spacing w:line="360" w:lineRule="auto"/>
        <w:jc w:val="both"/>
        <w:rPr>
          <w:rFonts w:cstheme="minorHAnsi"/>
          <w:b/>
        </w:rPr>
      </w:pPr>
    </w:p>
    <w:p w14:paraId="04A6D777" w14:textId="77777777" w:rsidR="00E67FEE" w:rsidRDefault="00E67FEE" w:rsidP="000F3A64">
      <w:pPr>
        <w:spacing w:line="360" w:lineRule="auto"/>
        <w:jc w:val="both"/>
        <w:rPr>
          <w:rFonts w:cstheme="minorHAnsi"/>
          <w:b/>
        </w:rPr>
      </w:pPr>
    </w:p>
    <w:p w14:paraId="0FA496F9" w14:textId="77777777" w:rsidR="00E67FEE" w:rsidRDefault="00E67FEE" w:rsidP="000F3A64">
      <w:pPr>
        <w:spacing w:line="360" w:lineRule="auto"/>
        <w:jc w:val="both"/>
        <w:rPr>
          <w:rFonts w:cstheme="minorHAnsi"/>
          <w:b/>
        </w:rPr>
      </w:pPr>
    </w:p>
    <w:p w14:paraId="38407E69" w14:textId="77777777" w:rsidR="00E67FEE" w:rsidRDefault="00E67FEE" w:rsidP="000F3A64">
      <w:pPr>
        <w:spacing w:line="360" w:lineRule="auto"/>
        <w:jc w:val="both"/>
        <w:rPr>
          <w:rFonts w:cstheme="minorHAnsi"/>
          <w:b/>
        </w:rPr>
      </w:pPr>
    </w:p>
    <w:p w14:paraId="1D3E6594" w14:textId="77777777" w:rsidR="00E67FEE" w:rsidRDefault="00E67FEE" w:rsidP="000F3A64">
      <w:pPr>
        <w:spacing w:line="360" w:lineRule="auto"/>
        <w:jc w:val="both"/>
        <w:rPr>
          <w:rFonts w:cstheme="minorHAnsi"/>
          <w:b/>
        </w:rPr>
      </w:pPr>
    </w:p>
    <w:p w14:paraId="7DCB93A9" w14:textId="77777777" w:rsidR="00E67FEE" w:rsidRDefault="00E67FEE" w:rsidP="000F3A64">
      <w:pPr>
        <w:spacing w:line="360" w:lineRule="auto"/>
        <w:jc w:val="both"/>
        <w:rPr>
          <w:rFonts w:cstheme="minorHAnsi"/>
          <w:b/>
        </w:rPr>
      </w:pPr>
    </w:p>
    <w:p w14:paraId="05ECC3BE" w14:textId="77777777" w:rsidR="00E67FEE" w:rsidRDefault="00E67FEE" w:rsidP="000F3A64">
      <w:pPr>
        <w:spacing w:line="360" w:lineRule="auto"/>
        <w:jc w:val="both"/>
        <w:rPr>
          <w:rFonts w:cstheme="minorHAnsi"/>
          <w:b/>
        </w:rPr>
      </w:pPr>
    </w:p>
    <w:p w14:paraId="671E018D" w14:textId="77777777" w:rsidR="00E67FEE" w:rsidRDefault="00E67FEE" w:rsidP="000F3A64">
      <w:pPr>
        <w:spacing w:line="360" w:lineRule="auto"/>
        <w:jc w:val="both"/>
        <w:rPr>
          <w:rFonts w:cstheme="minorHAnsi"/>
          <w:b/>
        </w:rPr>
      </w:pPr>
    </w:p>
    <w:p w14:paraId="052E5A8A" w14:textId="77777777" w:rsidR="00E67FEE" w:rsidRDefault="00E67FEE" w:rsidP="000F3A64">
      <w:pPr>
        <w:spacing w:line="360" w:lineRule="auto"/>
        <w:jc w:val="both"/>
        <w:rPr>
          <w:rFonts w:cstheme="minorHAnsi"/>
          <w:b/>
        </w:rPr>
      </w:pPr>
    </w:p>
    <w:p w14:paraId="5E540B37" w14:textId="77777777" w:rsidR="00E67FEE" w:rsidRDefault="00E67FEE" w:rsidP="000F3A64">
      <w:pPr>
        <w:spacing w:line="360" w:lineRule="auto"/>
        <w:jc w:val="both"/>
        <w:rPr>
          <w:rFonts w:cstheme="minorHAnsi"/>
          <w:b/>
        </w:rPr>
      </w:pPr>
    </w:p>
    <w:p w14:paraId="593F27D4" w14:textId="77777777" w:rsidR="00E67FEE" w:rsidRDefault="00E67FEE" w:rsidP="000F3A64">
      <w:pPr>
        <w:spacing w:line="360" w:lineRule="auto"/>
        <w:jc w:val="both"/>
        <w:rPr>
          <w:rFonts w:cstheme="minorHAnsi"/>
          <w:b/>
        </w:rPr>
      </w:pPr>
    </w:p>
    <w:p w14:paraId="66E7CA9A" w14:textId="77777777" w:rsidR="00E67FEE" w:rsidRDefault="00E67FEE" w:rsidP="000F3A64">
      <w:pPr>
        <w:spacing w:line="360" w:lineRule="auto"/>
        <w:jc w:val="both"/>
        <w:rPr>
          <w:rFonts w:cstheme="minorHAnsi"/>
          <w:b/>
        </w:rPr>
      </w:pPr>
    </w:p>
    <w:p w14:paraId="655466EF" w14:textId="77777777" w:rsidR="00E67FEE" w:rsidRPr="007F3100" w:rsidRDefault="00E67FEE" w:rsidP="000F3A64">
      <w:pPr>
        <w:spacing w:line="360" w:lineRule="auto"/>
        <w:jc w:val="both"/>
        <w:rPr>
          <w:rFonts w:cstheme="minorHAnsi"/>
          <w:b/>
        </w:rPr>
      </w:pPr>
      <w:r>
        <w:rPr>
          <w:rFonts w:cstheme="minorHAnsi"/>
          <w:b/>
        </w:rPr>
        <w:lastRenderedPageBreak/>
        <w:t>Editorial comments</w:t>
      </w:r>
    </w:p>
    <w:p w14:paraId="71FDDBBA" w14:textId="77777777" w:rsidR="00E67FEE" w:rsidRPr="009C7D2F" w:rsidRDefault="00E67FEE" w:rsidP="000F3A64">
      <w:pPr>
        <w:shd w:val="clear" w:color="auto" w:fill="D9D9D9" w:themeFill="background1" w:themeFillShade="D9"/>
        <w:spacing w:line="360" w:lineRule="auto"/>
        <w:jc w:val="both"/>
        <w:rPr>
          <w:rFonts w:cstheme="minorHAnsi"/>
        </w:rPr>
      </w:pPr>
      <w:r w:rsidRPr="009C7D2F">
        <w:rPr>
          <w:rFonts w:cstheme="minorHAnsi"/>
        </w:rPr>
        <w:t>Changes to be made by the Author(s):</w:t>
      </w:r>
    </w:p>
    <w:p w14:paraId="32E366E8" w14:textId="77777777" w:rsidR="00E67FEE" w:rsidRDefault="00E67FEE" w:rsidP="000F3A64">
      <w:pPr>
        <w:shd w:val="clear" w:color="auto" w:fill="D9D9D9" w:themeFill="background1" w:themeFillShade="D9"/>
        <w:spacing w:line="360" w:lineRule="auto"/>
        <w:jc w:val="both"/>
        <w:rPr>
          <w:rFonts w:cstheme="minorHAnsi"/>
        </w:rPr>
      </w:pPr>
      <w:r w:rsidRPr="009C7D2F">
        <w:rPr>
          <w:rFonts w:cstheme="minorHAnsi"/>
        </w:rPr>
        <w:t>1. Please take this opportunity to thoroughly proofread the manuscript to ensure that there are no spelling or grammar issues. The</w:t>
      </w:r>
      <w:r>
        <w:rPr>
          <w:rFonts w:cstheme="minorHAnsi"/>
        </w:rPr>
        <w:t xml:space="preserve"> </w:t>
      </w:r>
      <w:proofErr w:type="spellStart"/>
      <w:r w:rsidRPr="009C7D2F">
        <w:rPr>
          <w:rFonts w:cstheme="minorHAnsi"/>
        </w:rPr>
        <w:t>JoVE</w:t>
      </w:r>
      <w:proofErr w:type="spellEnd"/>
      <w:r w:rsidRPr="009C7D2F">
        <w:rPr>
          <w:rFonts w:cstheme="minorHAnsi"/>
        </w:rPr>
        <w:t xml:space="preserve"> editor will not copy-edit your manuscript and any errors in the submitted revision may be present in the published version.</w:t>
      </w:r>
    </w:p>
    <w:p w14:paraId="58EFA154" w14:textId="77777777" w:rsidR="00E67FEE" w:rsidRPr="009C7D2F" w:rsidRDefault="00E67FEE" w:rsidP="007C3BE5">
      <w:pPr>
        <w:shd w:val="clear" w:color="auto" w:fill="FFFFFF" w:themeFill="background1"/>
        <w:spacing w:line="360" w:lineRule="auto"/>
        <w:jc w:val="both"/>
        <w:rPr>
          <w:rFonts w:cstheme="minorHAnsi"/>
        </w:rPr>
      </w:pPr>
      <w:r>
        <w:rPr>
          <w:rFonts w:cstheme="minorHAnsi"/>
        </w:rPr>
        <w:t>Done.</w:t>
      </w:r>
    </w:p>
    <w:p w14:paraId="7C0D058E" w14:textId="77777777" w:rsidR="00E67FEE" w:rsidRDefault="00E67FEE" w:rsidP="000F3A64">
      <w:pPr>
        <w:shd w:val="clear" w:color="auto" w:fill="D9D9D9" w:themeFill="background1" w:themeFillShade="D9"/>
        <w:spacing w:line="360" w:lineRule="auto"/>
        <w:jc w:val="both"/>
        <w:rPr>
          <w:rFonts w:cstheme="minorHAnsi"/>
        </w:rPr>
      </w:pPr>
      <w:r w:rsidRPr="009C7D2F">
        <w:rPr>
          <w:rFonts w:cstheme="minorHAnsi"/>
        </w:rPr>
        <w:t>2. Please format the manuscript as: paragraph Indentation: 0 for both left and right and special: none, Line spacings: single. Please</w:t>
      </w:r>
      <w:r>
        <w:rPr>
          <w:rFonts w:cstheme="minorHAnsi"/>
        </w:rPr>
        <w:t xml:space="preserve"> </w:t>
      </w:r>
      <w:r w:rsidRPr="009C7D2F">
        <w:rPr>
          <w:rFonts w:cstheme="minorHAnsi"/>
        </w:rPr>
        <w:t xml:space="preserve">include a single line space between each step, </w:t>
      </w:r>
      <w:proofErr w:type="spellStart"/>
      <w:r w:rsidRPr="009C7D2F">
        <w:rPr>
          <w:rFonts w:cstheme="minorHAnsi"/>
        </w:rPr>
        <w:t>substep</w:t>
      </w:r>
      <w:proofErr w:type="spellEnd"/>
      <w:r w:rsidRPr="009C7D2F">
        <w:rPr>
          <w:rFonts w:cstheme="minorHAnsi"/>
        </w:rPr>
        <w:t xml:space="preserve"> and note in the protocol section. Please use Calibri 12 points</w:t>
      </w:r>
    </w:p>
    <w:p w14:paraId="1A9B03F6" w14:textId="77777777" w:rsidR="00E67FEE" w:rsidRPr="009C7D2F" w:rsidRDefault="00E67FEE" w:rsidP="007C3BE5">
      <w:pPr>
        <w:shd w:val="clear" w:color="auto" w:fill="FFFFFF" w:themeFill="background1"/>
        <w:spacing w:line="360" w:lineRule="auto"/>
        <w:jc w:val="both"/>
        <w:rPr>
          <w:rFonts w:cstheme="minorHAnsi"/>
        </w:rPr>
      </w:pPr>
      <w:r>
        <w:rPr>
          <w:rFonts w:cstheme="minorHAnsi"/>
        </w:rPr>
        <w:t>Done.</w:t>
      </w:r>
    </w:p>
    <w:p w14:paraId="47F3B315" w14:textId="77777777" w:rsidR="00E67FEE" w:rsidRDefault="00E67FEE" w:rsidP="000F3A64">
      <w:pPr>
        <w:shd w:val="clear" w:color="auto" w:fill="D9D9D9" w:themeFill="background1" w:themeFillShade="D9"/>
        <w:spacing w:line="360" w:lineRule="auto"/>
        <w:jc w:val="both"/>
        <w:rPr>
          <w:rFonts w:cstheme="minorHAnsi"/>
        </w:rPr>
      </w:pPr>
      <w:r w:rsidRPr="009C7D2F">
        <w:rPr>
          <w:rFonts w:cstheme="minorHAnsi"/>
        </w:rPr>
        <w:t xml:space="preserve">3. Please include a university/institution affiliation for the second author - Christoph </w:t>
      </w:r>
      <w:proofErr w:type="spellStart"/>
      <w:r w:rsidRPr="009C7D2F">
        <w:rPr>
          <w:rFonts w:cstheme="minorHAnsi"/>
        </w:rPr>
        <w:t>Hoefer</w:t>
      </w:r>
      <w:proofErr w:type="spellEnd"/>
      <w:r w:rsidRPr="009C7D2F">
        <w:rPr>
          <w:rFonts w:cstheme="minorHAnsi"/>
        </w:rPr>
        <w:t>.</w:t>
      </w:r>
    </w:p>
    <w:p w14:paraId="6B2A07BD" w14:textId="77777777" w:rsidR="00E67FEE" w:rsidRPr="009C7D2F" w:rsidRDefault="00E67FEE" w:rsidP="007C3BE5">
      <w:pPr>
        <w:shd w:val="clear" w:color="auto" w:fill="FFFFFF" w:themeFill="background1"/>
        <w:spacing w:line="360" w:lineRule="auto"/>
        <w:jc w:val="both"/>
        <w:rPr>
          <w:rFonts w:cstheme="minorHAnsi"/>
        </w:rPr>
      </w:pPr>
      <w:r>
        <w:rPr>
          <w:rFonts w:cstheme="minorHAnsi"/>
        </w:rPr>
        <w:t xml:space="preserve">A university affiliation is now provided for Christoph </w:t>
      </w:r>
      <w:proofErr w:type="spellStart"/>
      <w:r>
        <w:rPr>
          <w:rFonts w:cstheme="minorHAnsi"/>
        </w:rPr>
        <w:t>Hoefer</w:t>
      </w:r>
      <w:proofErr w:type="spellEnd"/>
      <w:r>
        <w:rPr>
          <w:rFonts w:cstheme="minorHAnsi"/>
        </w:rPr>
        <w:t>.</w:t>
      </w:r>
    </w:p>
    <w:p w14:paraId="4677D911" w14:textId="77777777" w:rsidR="00E67FEE" w:rsidRDefault="00E67FEE" w:rsidP="000F3A64">
      <w:pPr>
        <w:shd w:val="clear" w:color="auto" w:fill="D9D9D9" w:themeFill="background1" w:themeFillShade="D9"/>
        <w:spacing w:line="360" w:lineRule="auto"/>
        <w:jc w:val="both"/>
        <w:rPr>
          <w:rFonts w:cstheme="minorHAnsi"/>
        </w:rPr>
      </w:pPr>
      <w:r w:rsidRPr="009C7D2F">
        <w:rPr>
          <w:rFonts w:cstheme="minorHAnsi"/>
        </w:rPr>
        <w:t>4. Please define all abbreviations during the first-time use.</w:t>
      </w:r>
    </w:p>
    <w:p w14:paraId="7ECF414E" w14:textId="77777777" w:rsidR="00E67FEE" w:rsidRPr="009C7D2F" w:rsidRDefault="00E67FEE" w:rsidP="007C3BE5">
      <w:pPr>
        <w:shd w:val="clear" w:color="auto" w:fill="FFFFFF" w:themeFill="background1"/>
        <w:spacing w:line="360" w:lineRule="auto"/>
        <w:jc w:val="both"/>
        <w:rPr>
          <w:rFonts w:cstheme="minorHAnsi"/>
        </w:rPr>
      </w:pPr>
      <w:r>
        <w:rPr>
          <w:rFonts w:cstheme="minorHAnsi"/>
        </w:rPr>
        <w:t>Done.</w:t>
      </w:r>
    </w:p>
    <w:p w14:paraId="70094F42" w14:textId="77777777" w:rsidR="00E67FEE" w:rsidRDefault="00E67FEE" w:rsidP="000F3A64">
      <w:pPr>
        <w:shd w:val="clear" w:color="auto" w:fill="D9D9D9" w:themeFill="background1" w:themeFillShade="D9"/>
        <w:spacing w:line="360" w:lineRule="auto"/>
        <w:jc w:val="both"/>
        <w:rPr>
          <w:rFonts w:cstheme="minorHAnsi"/>
        </w:rPr>
      </w:pPr>
      <w:r w:rsidRPr="009C7D2F">
        <w:rPr>
          <w:rFonts w:cstheme="minorHAnsi"/>
        </w:rPr>
        <w:t>5. Please ensure that the long Abstract is within 150-300-word limit and clearly states the goal</w:t>
      </w:r>
      <w:r>
        <w:rPr>
          <w:rFonts w:cstheme="minorHAnsi"/>
        </w:rPr>
        <w:t xml:space="preserve"> </w:t>
      </w:r>
      <w:r w:rsidRPr="009C7D2F">
        <w:rPr>
          <w:rFonts w:cstheme="minorHAnsi"/>
        </w:rPr>
        <w:t>of the protocol.</w:t>
      </w:r>
    </w:p>
    <w:p w14:paraId="303295FB" w14:textId="77777777" w:rsidR="00E67FEE" w:rsidRPr="009C7D2F" w:rsidRDefault="00E67FEE" w:rsidP="007C3BE5">
      <w:pPr>
        <w:shd w:val="clear" w:color="auto" w:fill="FFFFFF" w:themeFill="background1"/>
        <w:spacing w:line="360" w:lineRule="auto"/>
        <w:jc w:val="both"/>
        <w:rPr>
          <w:rFonts w:cstheme="minorHAnsi"/>
        </w:rPr>
      </w:pPr>
      <w:r>
        <w:rPr>
          <w:rFonts w:cstheme="minorHAnsi"/>
        </w:rPr>
        <w:t>Done. Abstract is 271 words.</w:t>
      </w:r>
    </w:p>
    <w:p w14:paraId="1FB09387" w14:textId="77777777" w:rsidR="00E67FEE" w:rsidRDefault="00E67FEE" w:rsidP="000F3A64">
      <w:pPr>
        <w:shd w:val="clear" w:color="auto" w:fill="D9D9D9" w:themeFill="background1" w:themeFillShade="D9"/>
        <w:spacing w:line="360" w:lineRule="auto"/>
        <w:jc w:val="both"/>
        <w:rPr>
          <w:rFonts w:cstheme="minorHAnsi"/>
        </w:rPr>
      </w:pPr>
      <w:r w:rsidRPr="009C7D2F">
        <w:rPr>
          <w:rFonts w:cstheme="minorHAnsi"/>
        </w:rPr>
        <w:t>6. For in-text formatting, corresponding reference numbers should appear as numbered superscripts after the appropriate</w:t>
      </w:r>
      <w:r>
        <w:rPr>
          <w:rFonts w:cstheme="minorHAnsi"/>
        </w:rPr>
        <w:t xml:space="preserve"> </w:t>
      </w:r>
      <w:r w:rsidRPr="009C7D2F">
        <w:rPr>
          <w:rFonts w:cstheme="minorHAnsi"/>
        </w:rPr>
        <w:t>statement(s) without brackets.</w:t>
      </w:r>
    </w:p>
    <w:p w14:paraId="5418779C" w14:textId="77777777" w:rsidR="00E67FEE" w:rsidRPr="009C7D2F" w:rsidRDefault="00E67FEE" w:rsidP="007C3BE5">
      <w:pPr>
        <w:shd w:val="clear" w:color="auto" w:fill="FFFFFF" w:themeFill="background1"/>
        <w:spacing w:line="360" w:lineRule="auto"/>
        <w:jc w:val="both"/>
        <w:rPr>
          <w:rFonts w:cstheme="minorHAnsi"/>
        </w:rPr>
      </w:pPr>
      <w:r>
        <w:rPr>
          <w:rFonts w:cstheme="minorHAnsi"/>
        </w:rPr>
        <w:t>Done.</w:t>
      </w:r>
    </w:p>
    <w:p w14:paraId="49B18625" w14:textId="77777777" w:rsidR="00E67FEE" w:rsidRDefault="00E67FEE" w:rsidP="000F3A64">
      <w:pPr>
        <w:shd w:val="clear" w:color="auto" w:fill="D9D9D9" w:themeFill="background1" w:themeFillShade="D9"/>
        <w:spacing w:line="360" w:lineRule="auto"/>
        <w:jc w:val="both"/>
        <w:rPr>
          <w:rFonts w:cstheme="minorHAnsi"/>
        </w:rPr>
      </w:pPr>
      <w:r w:rsidRPr="009C7D2F">
        <w:rPr>
          <w:rFonts w:cstheme="minorHAnsi"/>
        </w:rPr>
        <w:t>7. Please ensure that all text in the protocol section is written in the imperative tense as if telling someone how to do the technique</w:t>
      </w:r>
      <w:r>
        <w:rPr>
          <w:rFonts w:cstheme="minorHAnsi"/>
        </w:rPr>
        <w:t xml:space="preserve"> </w:t>
      </w:r>
      <w:r w:rsidRPr="009C7D2F">
        <w:rPr>
          <w:rFonts w:cstheme="minorHAnsi"/>
        </w:rPr>
        <w:t>(e.g., “Do this,” “Ensure that,” etc.). The actions should be described in the imperative tense in complete sentences wherever possible.</w:t>
      </w:r>
      <w:r>
        <w:rPr>
          <w:rFonts w:cstheme="minorHAnsi"/>
        </w:rPr>
        <w:t xml:space="preserve"> </w:t>
      </w:r>
      <w:r w:rsidRPr="009C7D2F">
        <w:rPr>
          <w:rFonts w:cstheme="minorHAnsi"/>
        </w:rPr>
        <w:t>Avoid usage of phrases such as “could be,” “should be,” and “would be” throughout the Protocol. Any text that cannot be written in</w:t>
      </w:r>
      <w:r>
        <w:rPr>
          <w:rFonts w:cstheme="minorHAnsi"/>
        </w:rPr>
        <w:t xml:space="preserve"> </w:t>
      </w:r>
      <w:r w:rsidRPr="009C7D2F">
        <w:rPr>
          <w:rFonts w:cstheme="minorHAnsi"/>
        </w:rPr>
        <w:t>the imperative tense may be added as a “Note.”</w:t>
      </w:r>
    </w:p>
    <w:p w14:paraId="3A74178D" w14:textId="77777777" w:rsidR="00E67FEE" w:rsidRPr="009C7D2F" w:rsidRDefault="00E67FEE" w:rsidP="007C3BE5">
      <w:pPr>
        <w:shd w:val="clear" w:color="auto" w:fill="FFFFFF" w:themeFill="background1"/>
        <w:spacing w:line="360" w:lineRule="auto"/>
        <w:jc w:val="both"/>
        <w:rPr>
          <w:rFonts w:cstheme="minorHAnsi"/>
        </w:rPr>
      </w:pPr>
      <w:r>
        <w:rPr>
          <w:rFonts w:cstheme="minorHAnsi"/>
        </w:rPr>
        <w:t>Done.</w:t>
      </w:r>
    </w:p>
    <w:p w14:paraId="12B85B76" w14:textId="77777777" w:rsidR="00E67FEE" w:rsidRDefault="00E67FEE" w:rsidP="000F3A64">
      <w:pPr>
        <w:shd w:val="clear" w:color="auto" w:fill="D9D9D9" w:themeFill="background1" w:themeFillShade="D9"/>
        <w:spacing w:line="360" w:lineRule="auto"/>
        <w:jc w:val="both"/>
        <w:rPr>
          <w:rFonts w:cstheme="minorHAnsi"/>
        </w:rPr>
      </w:pPr>
      <w:r w:rsidRPr="009C7D2F">
        <w:rPr>
          <w:rFonts w:cstheme="minorHAnsi"/>
        </w:rPr>
        <w:t>8. The Protocol should contain only action items that direct the reader to do something.</w:t>
      </w:r>
    </w:p>
    <w:p w14:paraId="45996C2C" w14:textId="77777777" w:rsidR="00E67FEE" w:rsidRPr="009C7D2F" w:rsidRDefault="00E67FEE" w:rsidP="007C3BE5">
      <w:pPr>
        <w:shd w:val="clear" w:color="auto" w:fill="FFFFFF" w:themeFill="background1"/>
        <w:spacing w:line="360" w:lineRule="auto"/>
        <w:jc w:val="both"/>
        <w:rPr>
          <w:rFonts w:cstheme="minorHAnsi"/>
        </w:rPr>
      </w:pPr>
      <w:r>
        <w:rPr>
          <w:rFonts w:cstheme="minorHAnsi"/>
        </w:rPr>
        <w:lastRenderedPageBreak/>
        <w:t>Done.</w:t>
      </w:r>
    </w:p>
    <w:p w14:paraId="29D7B791" w14:textId="77777777" w:rsidR="00E67FEE" w:rsidRDefault="00E67FEE" w:rsidP="000F3A64">
      <w:pPr>
        <w:shd w:val="clear" w:color="auto" w:fill="D9D9D9" w:themeFill="background1" w:themeFillShade="D9"/>
        <w:spacing w:line="360" w:lineRule="auto"/>
        <w:jc w:val="both"/>
        <w:rPr>
          <w:rFonts w:cstheme="minorHAnsi"/>
        </w:rPr>
      </w:pPr>
      <w:r w:rsidRPr="009C7D2F">
        <w:rPr>
          <w:rFonts w:cstheme="minorHAnsi"/>
        </w:rPr>
        <w:t>9. Please ensure that individual steps of the protocol should only contain 2-3 actions sentences per step.</w:t>
      </w:r>
    </w:p>
    <w:p w14:paraId="53A9F883" w14:textId="77777777" w:rsidR="00E67FEE" w:rsidRPr="009C7D2F" w:rsidRDefault="00E67FEE" w:rsidP="007C3BE5">
      <w:pPr>
        <w:shd w:val="clear" w:color="auto" w:fill="FFFFFF" w:themeFill="background1"/>
        <w:spacing w:line="360" w:lineRule="auto"/>
        <w:jc w:val="both"/>
        <w:rPr>
          <w:rFonts w:cstheme="minorHAnsi"/>
        </w:rPr>
      </w:pPr>
      <w:r>
        <w:rPr>
          <w:rFonts w:cstheme="minorHAnsi"/>
        </w:rPr>
        <w:t>Done.</w:t>
      </w:r>
    </w:p>
    <w:p w14:paraId="3AAF9454" w14:textId="77777777" w:rsidR="00E67FEE" w:rsidRDefault="00E67FEE" w:rsidP="000F3A64">
      <w:pPr>
        <w:shd w:val="clear" w:color="auto" w:fill="D9D9D9" w:themeFill="background1" w:themeFillShade="D9"/>
        <w:spacing w:line="360" w:lineRule="auto"/>
        <w:jc w:val="both"/>
        <w:rPr>
          <w:rFonts w:cstheme="minorHAnsi"/>
        </w:rPr>
      </w:pPr>
      <w:r w:rsidRPr="009C7D2F">
        <w:rPr>
          <w:rFonts w:cstheme="minorHAnsi"/>
        </w:rPr>
        <w:t>10. Please add more details to your protocol steps. Please ensure you answer</w:t>
      </w:r>
      <w:r>
        <w:rPr>
          <w:rFonts w:cstheme="minorHAnsi"/>
        </w:rPr>
        <w:t xml:space="preserve"> </w:t>
      </w:r>
      <w:r w:rsidRPr="009C7D2F">
        <w:rPr>
          <w:rFonts w:cstheme="minorHAnsi"/>
        </w:rPr>
        <w:t>the “how” question, i.e., how is the step performed?</w:t>
      </w:r>
    </w:p>
    <w:p w14:paraId="7CDA3314" w14:textId="77777777" w:rsidR="00E67FEE" w:rsidRPr="009C7D2F" w:rsidRDefault="00E67FEE" w:rsidP="007C3BE5">
      <w:pPr>
        <w:shd w:val="clear" w:color="auto" w:fill="FFFFFF" w:themeFill="background1"/>
        <w:spacing w:line="360" w:lineRule="auto"/>
        <w:jc w:val="both"/>
        <w:rPr>
          <w:rFonts w:cstheme="minorHAnsi"/>
        </w:rPr>
      </w:pPr>
      <w:r>
        <w:rPr>
          <w:rFonts w:cstheme="minorHAnsi"/>
        </w:rPr>
        <w:t>Done in agreement with the reviewers’ comments (see below).</w:t>
      </w:r>
    </w:p>
    <w:p w14:paraId="59E67AED" w14:textId="77777777" w:rsidR="00E67FEE" w:rsidRDefault="00E67FEE" w:rsidP="000F3A64">
      <w:pPr>
        <w:shd w:val="clear" w:color="auto" w:fill="D9D9D9" w:themeFill="background1" w:themeFillShade="D9"/>
        <w:spacing w:line="360" w:lineRule="auto"/>
        <w:jc w:val="both"/>
        <w:rPr>
          <w:rFonts w:cstheme="minorHAnsi"/>
        </w:rPr>
      </w:pPr>
      <w:r w:rsidRPr="009C7D2F">
        <w:rPr>
          <w:rFonts w:cstheme="minorHAnsi"/>
        </w:rPr>
        <w:t>11. There is a 10-page limit for the Protocol, but there is a 2.75-page limit for filmable content. Please highlight 2.75 pages or less of</w:t>
      </w:r>
      <w:r>
        <w:rPr>
          <w:rFonts w:cstheme="minorHAnsi"/>
        </w:rPr>
        <w:t xml:space="preserve"> </w:t>
      </w:r>
      <w:r w:rsidRPr="009C7D2F">
        <w:rPr>
          <w:rFonts w:cstheme="minorHAnsi"/>
        </w:rPr>
        <w:t>the Protocol (including headings and spacing) that identifies the essential steps of the protocol for the video, i.e., the steps that</w:t>
      </w:r>
      <w:r>
        <w:rPr>
          <w:rFonts w:cstheme="minorHAnsi"/>
        </w:rPr>
        <w:t xml:space="preserve"> </w:t>
      </w:r>
      <w:r w:rsidRPr="009C7D2F">
        <w:rPr>
          <w:rFonts w:cstheme="minorHAnsi"/>
        </w:rPr>
        <w:t>should be visualized to tell the most cohesive story of the Protocol.</w:t>
      </w:r>
    </w:p>
    <w:p w14:paraId="7A06CF41" w14:textId="77777777" w:rsidR="00E67FEE" w:rsidRPr="009C7D2F" w:rsidRDefault="00E67FEE" w:rsidP="007C3BE5">
      <w:pPr>
        <w:shd w:val="clear" w:color="auto" w:fill="FFFFFF" w:themeFill="background1"/>
        <w:spacing w:line="360" w:lineRule="auto"/>
        <w:jc w:val="both"/>
        <w:rPr>
          <w:rFonts w:cstheme="minorHAnsi"/>
        </w:rPr>
      </w:pPr>
      <w:r>
        <w:rPr>
          <w:rFonts w:cstheme="minorHAnsi"/>
        </w:rPr>
        <w:t>Done.</w:t>
      </w:r>
    </w:p>
    <w:p w14:paraId="7249E5CC" w14:textId="77777777" w:rsidR="00E67FEE" w:rsidRDefault="00E67FEE" w:rsidP="000F3A64">
      <w:pPr>
        <w:shd w:val="clear" w:color="auto" w:fill="D9D9D9" w:themeFill="background1" w:themeFillShade="D9"/>
        <w:spacing w:line="360" w:lineRule="auto"/>
        <w:jc w:val="both"/>
        <w:rPr>
          <w:rFonts w:cstheme="minorHAnsi"/>
        </w:rPr>
      </w:pPr>
      <w:r w:rsidRPr="009C7D2F">
        <w:rPr>
          <w:rFonts w:cstheme="minorHAnsi"/>
        </w:rPr>
        <w:t>12. There is a 10-page limit for the Protocol, but there is a 2.75-page limit for filmable content. Please highlight 2.75 pages or less of</w:t>
      </w:r>
      <w:r>
        <w:rPr>
          <w:rFonts w:cstheme="minorHAnsi"/>
        </w:rPr>
        <w:t xml:space="preserve"> </w:t>
      </w:r>
      <w:r w:rsidRPr="009C7D2F">
        <w:rPr>
          <w:rFonts w:cstheme="minorHAnsi"/>
        </w:rPr>
        <w:t>the Protocol (including headings and spacing) that identifies the essential steps of the protocol for the video, i.e., the steps that</w:t>
      </w:r>
      <w:r>
        <w:rPr>
          <w:rFonts w:cstheme="minorHAnsi"/>
        </w:rPr>
        <w:t xml:space="preserve"> </w:t>
      </w:r>
      <w:r w:rsidRPr="009C7D2F">
        <w:rPr>
          <w:rFonts w:cstheme="minorHAnsi"/>
        </w:rPr>
        <w:t>should be visualized to tell the most cohesive story of the Protocol.</w:t>
      </w:r>
    </w:p>
    <w:p w14:paraId="1801C69C" w14:textId="77777777" w:rsidR="00E67FEE" w:rsidRPr="009C7D2F" w:rsidRDefault="00E67FEE" w:rsidP="007C3BE5">
      <w:pPr>
        <w:shd w:val="clear" w:color="auto" w:fill="FFFFFF" w:themeFill="background1"/>
        <w:spacing w:line="360" w:lineRule="auto"/>
        <w:jc w:val="both"/>
        <w:rPr>
          <w:rFonts w:cstheme="minorHAnsi"/>
        </w:rPr>
      </w:pPr>
      <w:r>
        <w:rPr>
          <w:rFonts w:cstheme="minorHAnsi"/>
        </w:rPr>
        <w:t>See above.</w:t>
      </w:r>
    </w:p>
    <w:p w14:paraId="172D201F" w14:textId="77777777" w:rsidR="00E67FEE" w:rsidRDefault="00E67FEE" w:rsidP="000F3A64">
      <w:pPr>
        <w:shd w:val="clear" w:color="auto" w:fill="D9D9D9" w:themeFill="background1" w:themeFillShade="D9"/>
        <w:spacing w:line="360" w:lineRule="auto"/>
        <w:jc w:val="both"/>
        <w:rPr>
          <w:rFonts w:cstheme="minorHAnsi"/>
        </w:rPr>
      </w:pPr>
      <w:r w:rsidRPr="009C7D2F">
        <w:rPr>
          <w:rFonts w:cstheme="minorHAnsi"/>
        </w:rPr>
        <w:t>13. Please obtain explicit copyright permission to reuse any figures from a previous publication. Explicit permission can be expressed</w:t>
      </w:r>
      <w:r>
        <w:rPr>
          <w:rFonts w:cstheme="minorHAnsi"/>
        </w:rPr>
        <w:t xml:space="preserve"> </w:t>
      </w:r>
      <w:r w:rsidRPr="009C7D2F">
        <w:rPr>
          <w:rFonts w:cstheme="minorHAnsi"/>
        </w:rPr>
        <w:t>in the form of a letter from the editor or a link to the editorial policy that allows</w:t>
      </w:r>
      <w:r>
        <w:rPr>
          <w:rFonts w:cstheme="minorHAnsi"/>
        </w:rPr>
        <w:t xml:space="preserve"> </w:t>
      </w:r>
      <w:r w:rsidRPr="009C7D2F">
        <w:rPr>
          <w:rFonts w:cstheme="minorHAnsi"/>
        </w:rPr>
        <w:t>re-prints. Please upload this information as a .doc or</w:t>
      </w:r>
      <w:r>
        <w:rPr>
          <w:rFonts w:cstheme="minorHAnsi"/>
        </w:rPr>
        <w:t xml:space="preserve"> </w:t>
      </w:r>
      <w:r w:rsidRPr="009C7D2F">
        <w:rPr>
          <w:rFonts w:cstheme="minorHAnsi"/>
        </w:rPr>
        <w:t>.docx file to your Editorial Manager account. The Figure must be cited appropriately in the Figure Legend, i.e. “This figure has been</w:t>
      </w:r>
      <w:r>
        <w:rPr>
          <w:rFonts w:cstheme="minorHAnsi"/>
        </w:rPr>
        <w:t xml:space="preserve"> </w:t>
      </w:r>
      <w:r w:rsidRPr="009C7D2F">
        <w:rPr>
          <w:rFonts w:cstheme="minorHAnsi"/>
        </w:rPr>
        <w:t>modified from [citation].”</w:t>
      </w:r>
    </w:p>
    <w:p w14:paraId="393609BF" w14:textId="77777777" w:rsidR="00E67FEE" w:rsidRPr="009C7D2F" w:rsidRDefault="00E67FEE" w:rsidP="006E081D">
      <w:pPr>
        <w:shd w:val="clear" w:color="auto" w:fill="FFFFFF" w:themeFill="background1"/>
        <w:spacing w:line="360" w:lineRule="auto"/>
        <w:jc w:val="both"/>
        <w:rPr>
          <w:rFonts w:cstheme="minorHAnsi"/>
        </w:rPr>
      </w:pPr>
      <w:r>
        <w:rPr>
          <w:rFonts w:cstheme="minorHAnsi"/>
        </w:rPr>
        <w:t>Appropriate citation has been checked. The representative results (Figure 6) have been reproduced from previous publications, all of which are licensed under CC BY and therefore free to share and adapt under the given terms of conditions (</w:t>
      </w:r>
      <w:hyperlink r:id="rId5" w:history="1">
        <w:r>
          <w:rPr>
            <w:rStyle w:val="Hyperlink"/>
          </w:rPr>
          <w:t>https://creativecommons.org/licenses/by/4.0/</w:t>
        </w:r>
      </w:hyperlink>
      <w:r>
        <w:t>)</w:t>
      </w:r>
      <w:r>
        <w:rPr>
          <w:rFonts w:cstheme="minorHAnsi"/>
        </w:rPr>
        <w:t>.</w:t>
      </w:r>
    </w:p>
    <w:p w14:paraId="6920BEF9" w14:textId="77777777" w:rsidR="00E67FEE" w:rsidRDefault="00E67FEE" w:rsidP="000F3A64">
      <w:pPr>
        <w:shd w:val="clear" w:color="auto" w:fill="D9D9D9" w:themeFill="background1" w:themeFillShade="D9"/>
        <w:spacing w:line="360" w:lineRule="auto"/>
        <w:jc w:val="both"/>
        <w:rPr>
          <w:rFonts w:cstheme="minorHAnsi"/>
        </w:rPr>
      </w:pPr>
      <w:r w:rsidRPr="009C7D2F">
        <w:rPr>
          <w:rFonts w:cstheme="minorHAnsi"/>
        </w:rPr>
        <w:t>14. Please include all the Figure Legends together at the end of the Representative Results in the manuscript text.</w:t>
      </w:r>
    </w:p>
    <w:p w14:paraId="284B4773" w14:textId="77777777" w:rsidR="00E67FEE" w:rsidRPr="009C7D2F" w:rsidRDefault="00E67FEE" w:rsidP="006E081D">
      <w:pPr>
        <w:shd w:val="clear" w:color="auto" w:fill="FFFFFF" w:themeFill="background1"/>
        <w:spacing w:line="360" w:lineRule="auto"/>
        <w:jc w:val="both"/>
        <w:rPr>
          <w:rFonts w:cstheme="minorHAnsi"/>
        </w:rPr>
      </w:pPr>
      <w:r>
        <w:rPr>
          <w:rFonts w:cstheme="minorHAnsi"/>
        </w:rPr>
        <w:t>Done.</w:t>
      </w:r>
    </w:p>
    <w:p w14:paraId="6B00DD51" w14:textId="77777777" w:rsidR="00E67FEE" w:rsidRPr="009C7D2F" w:rsidRDefault="00E67FEE" w:rsidP="000F3A64">
      <w:pPr>
        <w:shd w:val="clear" w:color="auto" w:fill="D9D9D9" w:themeFill="background1" w:themeFillShade="D9"/>
        <w:spacing w:line="360" w:lineRule="auto"/>
        <w:jc w:val="both"/>
        <w:rPr>
          <w:rFonts w:cstheme="minorHAnsi"/>
        </w:rPr>
      </w:pPr>
      <w:r w:rsidRPr="009C7D2F">
        <w:rPr>
          <w:rFonts w:cstheme="minorHAnsi"/>
        </w:rPr>
        <w:lastRenderedPageBreak/>
        <w:t>15. As we are a methods journal, please ensure that the Discussion explicitly cover the following in detail in 3-6 paragraphs with</w:t>
      </w:r>
      <w:r>
        <w:rPr>
          <w:rFonts w:cstheme="minorHAnsi"/>
        </w:rPr>
        <w:t xml:space="preserve"> </w:t>
      </w:r>
      <w:r w:rsidRPr="009C7D2F">
        <w:rPr>
          <w:rFonts w:cstheme="minorHAnsi"/>
        </w:rPr>
        <w:t>citations:</w:t>
      </w:r>
    </w:p>
    <w:p w14:paraId="1B3764C3" w14:textId="77777777" w:rsidR="00E67FEE" w:rsidRPr="009C7D2F" w:rsidRDefault="00E67FEE" w:rsidP="000F3A64">
      <w:pPr>
        <w:shd w:val="clear" w:color="auto" w:fill="D9D9D9" w:themeFill="background1" w:themeFillShade="D9"/>
        <w:spacing w:line="360" w:lineRule="auto"/>
        <w:jc w:val="both"/>
        <w:rPr>
          <w:rFonts w:cstheme="minorHAnsi"/>
        </w:rPr>
      </w:pPr>
      <w:r w:rsidRPr="009C7D2F">
        <w:rPr>
          <w:rFonts w:cstheme="minorHAnsi"/>
        </w:rPr>
        <w:t>a) Critical steps within the protocol</w:t>
      </w:r>
    </w:p>
    <w:p w14:paraId="37215BE4" w14:textId="77777777" w:rsidR="00E67FEE" w:rsidRPr="009C7D2F" w:rsidRDefault="00E67FEE" w:rsidP="000F3A64">
      <w:pPr>
        <w:shd w:val="clear" w:color="auto" w:fill="D9D9D9" w:themeFill="background1" w:themeFillShade="D9"/>
        <w:spacing w:line="360" w:lineRule="auto"/>
        <w:jc w:val="both"/>
        <w:rPr>
          <w:rFonts w:cstheme="minorHAnsi"/>
        </w:rPr>
      </w:pPr>
      <w:r w:rsidRPr="009C7D2F">
        <w:rPr>
          <w:rFonts w:cstheme="minorHAnsi"/>
        </w:rPr>
        <w:t>b) Any modifications and troubleshooting of the technique</w:t>
      </w:r>
    </w:p>
    <w:p w14:paraId="15CF0582" w14:textId="77777777" w:rsidR="00E67FEE" w:rsidRPr="009C7D2F" w:rsidRDefault="00E67FEE" w:rsidP="000F3A64">
      <w:pPr>
        <w:shd w:val="clear" w:color="auto" w:fill="D9D9D9" w:themeFill="background1" w:themeFillShade="D9"/>
        <w:spacing w:line="360" w:lineRule="auto"/>
        <w:jc w:val="both"/>
        <w:rPr>
          <w:rFonts w:cstheme="minorHAnsi"/>
        </w:rPr>
      </w:pPr>
      <w:r w:rsidRPr="009C7D2F">
        <w:rPr>
          <w:rFonts w:cstheme="minorHAnsi"/>
        </w:rPr>
        <w:t>c) Any limitations of the technique</w:t>
      </w:r>
    </w:p>
    <w:p w14:paraId="4213113C" w14:textId="77777777" w:rsidR="00E67FEE" w:rsidRPr="009C7D2F" w:rsidRDefault="00E67FEE" w:rsidP="000F3A64">
      <w:pPr>
        <w:shd w:val="clear" w:color="auto" w:fill="D9D9D9" w:themeFill="background1" w:themeFillShade="D9"/>
        <w:spacing w:line="360" w:lineRule="auto"/>
        <w:jc w:val="both"/>
        <w:rPr>
          <w:rFonts w:cstheme="minorHAnsi"/>
        </w:rPr>
      </w:pPr>
      <w:r w:rsidRPr="009C7D2F">
        <w:rPr>
          <w:rFonts w:cstheme="minorHAnsi"/>
        </w:rPr>
        <w:t>d) The significance with respect to existing methods</w:t>
      </w:r>
    </w:p>
    <w:p w14:paraId="70890FCC" w14:textId="77777777" w:rsidR="00E67FEE" w:rsidRDefault="00E67FEE" w:rsidP="000F3A64">
      <w:pPr>
        <w:shd w:val="clear" w:color="auto" w:fill="D9D9D9" w:themeFill="background1" w:themeFillShade="D9"/>
        <w:spacing w:line="360" w:lineRule="auto"/>
        <w:jc w:val="both"/>
        <w:rPr>
          <w:rFonts w:cstheme="minorHAnsi"/>
        </w:rPr>
      </w:pPr>
      <w:r w:rsidRPr="009C7D2F">
        <w:rPr>
          <w:rFonts w:cstheme="minorHAnsi"/>
        </w:rPr>
        <w:t>e) Any future applications of the technique</w:t>
      </w:r>
    </w:p>
    <w:p w14:paraId="552FFF9E" w14:textId="77777777" w:rsidR="00E67FEE" w:rsidRPr="009C7D2F" w:rsidRDefault="00E67FEE" w:rsidP="006E081D">
      <w:pPr>
        <w:shd w:val="clear" w:color="auto" w:fill="FFFFFF" w:themeFill="background1"/>
        <w:spacing w:line="360" w:lineRule="auto"/>
        <w:jc w:val="both"/>
        <w:rPr>
          <w:rFonts w:cstheme="minorHAnsi"/>
        </w:rPr>
      </w:pPr>
      <w:r>
        <w:rPr>
          <w:rFonts w:cstheme="minorHAnsi"/>
        </w:rPr>
        <w:t>Done.</w:t>
      </w:r>
    </w:p>
    <w:p w14:paraId="2D6E29A4" w14:textId="77777777" w:rsidR="00E67FEE" w:rsidRDefault="00E67FEE" w:rsidP="006E081D">
      <w:pPr>
        <w:shd w:val="clear" w:color="auto" w:fill="D9D9D9" w:themeFill="background1" w:themeFillShade="D9"/>
        <w:spacing w:line="360" w:lineRule="auto"/>
        <w:jc w:val="both"/>
        <w:rPr>
          <w:rFonts w:cstheme="minorHAnsi"/>
        </w:rPr>
      </w:pPr>
      <w:r w:rsidRPr="009C7D2F">
        <w:rPr>
          <w:rFonts w:cstheme="minorHAnsi"/>
        </w:rPr>
        <w:t>16. Please remove commercial terms from the text and from the figure and use generic term instead e.g., LA system, LA software etc.</w:t>
      </w:r>
    </w:p>
    <w:p w14:paraId="764038DD" w14:textId="77777777" w:rsidR="00E67FEE" w:rsidRPr="00404B33" w:rsidRDefault="00E67FEE" w:rsidP="006E081D">
      <w:pPr>
        <w:shd w:val="clear" w:color="auto" w:fill="FFFFFF" w:themeFill="background1"/>
        <w:spacing w:line="360" w:lineRule="auto"/>
        <w:jc w:val="both"/>
        <w:rPr>
          <w:rFonts w:cstheme="minorHAnsi"/>
        </w:rPr>
      </w:pPr>
      <w:r>
        <w:rPr>
          <w:rFonts w:cstheme="minorHAnsi"/>
        </w:rPr>
        <w:t>Done.</w:t>
      </w:r>
    </w:p>
    <w:p w14:paraId="18D270A5" w14:textId="77777777" w:rsidR="00E67FEE" w:rsidRDefault="00E67FEE" w:rsidP="000F3A64">
      <w:pPr>
        <w:spacing w:line="360" w:lineRule="auto"/>
        <w:jc w:val="both"/>
        <w:rPr>
          <w:rFonts w:cstheme="minorHAnsi"/>
          <w:b/>
        </w:rPr>
      </w:pPr>
    </w:p>
    <w:p w14:paraId="5C38353E" w14:textId="77777777" w:rsidR="00E67FEE" w:rsidRDefault="00E67FEE" w:rsidP="000F3A64">
      <w:pPr>
        <w:spacing w:line="360" w:lineRule="auto"/>
        <w:jc w:val="both"/>
        <w:rPr>
          <w:rFonts w:cstheme="minorHAnsi"/>
          <w:b/>
        </w:rPr>
      </w:pPr>
    </w:p>
    <w:p w14:paraId="735F7A6A" w14:textId="77777777" w:rsidR="00E67FEE" w:rsidRDefault="00E67FEE" w:rsidP="000F3A64">
      <w:pPr>
        <w:spacing w:line="360" w:lineRule="auto"/>
        <w:jc w:val="both"/>
        <w:rPr>
          <w:rFonts w:cstheme="minorHAnsi"/>
          <w:b/>
        </w:rPr>
      </w:pPr>
    </w:p>
    <w:p w14:paraId="30E82E1E" w14:textId="77777777" w:rsidR="00E67FEE" w:rsidRDefault="00E67FEE" w:rsidP="000F3A64">
      <w:pPr>
        <w:spacing w:line="360" w:lineRule="auto"/>
        <w:jc w:val="both"/>
        <w:rPr>
          <w:rFonts w:cstheme="minorHAnsi"/>
          <w:b/>
        </w:rPr>
      </w:pPr>
    </w:p>
    <w:p w14:paraId="563E073E" w14:textId="77777777" w:rsidR="00E67FEE" w:rsidRDefault="00E67FEE" w:rsidP="000F3A64">
      <w:pPr>
        <w:spacing w:line="360" w:lineRule="auto"/>
        <w:jc w:val="both"/>
        <w:rPr>
          <w:rFonts w:cstheme="minorHAnsi"/>
          <w:b/>
        </w:rPr>
      </w:pPr>
    </w:p>
    <w:p w14:paraId="24A8C744" w14:textId="77777777" w:rsidR="00E67FEE" w:rsidRDefault="00E67FEE" w:rsidP="000F3A64">
      <w:pPr>
        <w:spacing w:line="360" w:lineRule="auto"/>
        <w:jc w:val="both"/>
        <w:rPr>
          <w:rFonts w:cstheme="minorHAnsi"/>
          <w:b/>
        </w:rPr>
      </w:pPr>
    </w:p>
    <w:p w14:paraId="79F14B33" w14:textId="77777777" w:rsidR="00E67FEE" w:rsidRDefault="00E67FEE" w:rsidP="000F3A64">
      <w:pPr>
        <w:spacing w:line="360" w:lineRule="auto"/>
        <w:jc w:val="both"/>
        <w:rPr>
          <w:rFonts w:cstheme="minorHAnsi"/>
          <w:b/>
        </w:rPr>
      </w:pPr>
    </w:p>
    <w:p w14:paraId="38DED904" w14:textId="77777777" w:rsidR="00E67FEE" w:rsidRDefault="00E67FEE" w:rsidP="000F3A64">
      <w:pPr>
        <w:spacing w:line="360" w:lineRule="auto"/>
        <w:jc w:val="both"/>
        <w:rPr>
          <w:rFonts w:cstheme="minorHAnsi"/>
          <w:b/>
        </w:rPr>
      </w:pPr>
    </w:p>
    <w:p w14:paraId="58384119" w14:textId="77777777" w:rsidR="00E67FEE" w:rsidRDefault="00E67FEE" w:rsidP="000F3A64">
      <w:pPr>
        <w:spacing w:line="360" w:lineRule="auto"/>
        <w:jc w:val="both"/>
        <w:rPr>
          <w:rFonts w:cstheme="minorHAnsi"/>
          <w:b/>
        </w:rPr>
      </w:pPr>
    </w:p>
    <w:p w14:paraId="01264356" w14:textId="77777777" w:rsidR="00E67FEE" w:rsidRDefault="00E67FEE" w:rsidP="000F3A64">
      <w:pPr>
        <w:spacing w:line="360" w:lineRule="auto"/>
        <w:jc w:val="both"/>
        <w:rPr>
          <w:rFonts w:cstheme="minorHAnsi"/>
          <w:b/>
        </w:rPr>
      </w:pPr>
    </w:p>
    <w:p w14:paraId="33F1F942" w14:textId="77777777" w:rsidR="00E67FEE" w:rsidRDefault="00E67FEE" w:rsidP="000F3A64">
      <w:pPr>
        <w:spacing w:line="360" w:lineRule="auto"/>
        <w:jc w:val="both"/>
        <w:rPr>
          <w:rFonts w:cstheme="minorHAnsi"/>
          <w:b/>
        </w:rPr>
      </w:pPr>
    </w:p>
    <w:p w14:paraId="64F42999" w14:textId="77777777" w:rsidR="00E67FEE" w:rsidRDefault="00E67FEE" w:rsidP="000F3A64">
      <w:pPr>
        <w:spacing w:line="360" w:lineRule="auto"/>
        <w:jc w:val="both"/>
        <w:rPr>
          <w:rFonts w:cstheme="minorHAnsi"/>
          <w:b/>
        </w:rPr>
      </w:pPr>
    </w:p>
    <w:p w14:paraId="05ECC903" w14:textId="77777777" w:rsidR="00E67FEE" w:rsidRDefault="00E67FEE" w:rsidP="000F3A64">
      <w:pPr>
        <w:spacing w:line="360" w:lineRule="auto"/>
        <w:jc w:val="both"/>
        <w:rPr>
          <w:rFonts w:cstheme="minorHAnsi"/>
          <w:b/>
        </w:rPr>
      </w:pPr>
    </w:p>
    <w:p w14:paraId="67E81B9B" w14:textId="77777777" w:rsidR="00E67FEE" w:rsidRDefault="00E67FEE" w:rsidP="000F3A64">
      <w:pPr>
        <w:spacing w:line="360" w:lineRule="auto"/>
        <w:jc w:val="both"/>
        <w:rPr>
          <w:rFonts w:cstheme="minorHAnsi"/>
          <w:b/>
        </w:rPr>
      </w:pPr>
      <w:r>
        <w:rPr>
          <w:rFonts w:cstheme="minorHAnsi"/>
          <w:b/>
        </w:rPr>
        <w:lastRenderedPageBreak/>
        <w:t>Reviewers’ comments</w:t>
      </w:r>
    </w:p>
    <w:p w14:paraId="4E77E6E5" w14:textId="77777777" w:rsidR="00E67FEE" w:rsidRPr="007F3100" w:rsidRDefault="00E67FEE" w:rsidP="000F3A64">
      <w:pPr>
        <w:spacing w:line="360" w:lineRule="auto"/>
        <w:jc w:val="both"/>
        <w:rPr>
          <w:rFonts w:cstheme="minorHAnsi"/>
          <w:b/>
        </w:rPr>
      </w:pPr>
      <w:r w:rsidRPr="007F3100">
        <w:rPr>
          <w:rFonts w:cstheme="minorHAnsi"/>
          <w:b/>
        </w:rPr>
        <w:t xml:space="preserve">Reviewer </w:t>
      </w:r>
      <w:r>
        <w:rPr>
          <w:rFonts w:cstheme="minorHAnsi"/>
          <w:b/>
        </w:rPr>
        <w:t>#1</w:t>
      </w:r>
    </w:p>
    <w:p w14:paraId="68E1B402" w14:textId="77777777" w:rsidR="00E67FEE" w:rsidRPr="0083458E" w:rsidRDefault="00E67FEE" w:rsidP="000F3A64">
      <w:pPr>
        <w:shd w:val="clear" w:color="auto" w:fill="D9D9D9" w:themeFill="background1" w:themeFillShade="D9"/>
        <w:autoSpaceDE w:val="0"/>
        <w:autoSpaceDN w:val="0"/>
        <w:adjustRightInd w:val="0"/>
        <w:spacing w:after="0" w:line="360" w:lineRule="auto"/>
        <w:jc w:val="both"/>
        <w:rPr>
          <w:rFonts w:cstheme="minorHAnsi"/>
          <w:color w:val="353838"/>
        </w:rPr>
      </w:pPr>
      <w:r w:rsidRPr="0083458E">
        <w:rPr>
          <w:rFonts w:cstheme="minorHAnsi"/>
          <w:color w:val="353838"/>
        </w:rPr>
        <w:t>Manuscript Summary:</w:t>
      </w:r>
    </w:p>
    <w:p w14:paraId="35C3A23E" w14:textId="77777777" w:rsidR="00E67FEE" w:rsidRDefault="00E67FEE" w:rsidP="000F3A64">
      <w:pPr>
        <w:shd w:val="clear" w:color="auto" w:fill="D9D9D9" w:themeFill="background1" w:themeFillShade="D9"/>
        <w:autoSpaceDE w:val="0"/>
        <w:autoSpaceDN w:val="0"/>
        <w:adjustRightInd w:val="0"/>
        <w:spacing w:after="0" w:line="360" w:lineRule="auto"/>
        <w:jc w:val="both"/>
        <w:rPr>
          <w:rFonts w:cstheme="minorHAnsi"/>
          <w:color w:val="353838"/>
        </w:rPr>
      </w:pPr>
      <w:r w:rsidRPr="0083458E">
        <w:rPr>
          <w:rFonts w:cstheme="minorHAnsi"/>
          <w:color w:val="353838"/>
        </w:rPr>
        <w:t>This manuscript reports a visual determination and quantification of inorganic contaminants and nutrients using LA-ICP-MS. The</w:t>
      </w:r>
      <w:r>
        <w:rPr>
          <w:rFonts w:cstheme="minorHAnsi"/>
          <w:color w:val="353838"/>
        </w:rPr>
        <w:t xml:space="preserve"> </w:t>
      </w:r>
      <w:r w:rsidRPr="0083458E">
        <w:rPr>
          <w:rFonts w:cstheme="minorHAnsi"/>
          <w:color w:val="353838"/>
        </w:rPr>
        <w:t>authors have achieved sub millimeter level spatial resolution and has effectively applied for to track nutrient and cations contaminant</w:t>
      </w:r>
      <w:r>
        <w:rPr>
          <w:rFonts w:cstheme="minorHAnsi"/>
          <w:color w:val="353838"/>
        </w:rPr>
        <w:t xml:space="preserve"> </w:t>
      </w:r>
      <w:r w:rsidRPr="0083458E">
        <w:rPr>
          <w:rFonts w:cstheme="minorHAnsi"/>
          <w:color w:val="353838"/>
        </w:rPr>
        <w:t>diffusion near the rhizosphere of terrestrial plants. The sampling was done using diffusive gradients in thin films (DGT) using</w:t>
      </w:r>
      <w:r>
        <w:rPr>
          <w:rFonts w:cstheme="minorHAnsi"/>
          <w:color w:val="353838"/>
        </w:rPr>
        <w:t xml:space="preserve"> </w:t>
      </w:r>
      <w:r w:rsidRPr="0083458E">
        <w:rPr>
          <w:rFonts w:cstheme="minorHAnsi"/>
          <w:color w:val="353838"/>
        </w:rPr>
        <w:t>rhizotrons prior to LA-ICP-MS analysis. It appears that many of the related research works have been previously</w:t>
      </w:r>
      <w:r>
        <w:rPr>
          <w:rFonts w:cstheme="minorHAnsi"/>
          <w:color w:val="353838"/>
        </w:rPr>
        <w:t xml:space="preserve"> </w:t>
      </w:r>
      <w:r w:rsidRPr="0083458E">
        <w:rPr>
          <w:rFonts w:cstheme="minorHAnsi"/>
          <w:color w:val="353838"/>
        </w:rPr>
        <w:t>presented in various</w:t>
      </w:r>
      <w:r>
        <w:rPr>
          <w:rFonts w:cstheme="minorHAnsi"/>
          <w:color w:val="353838"/>
        </w:rPr>
        <w:t xml:space="preserve"> </w:t>
      </w:r>
      <w:r w:rsidRPr="0083458E">
        <w:rPr>
          <w:rFonts w:cstheme="minorHAnsi"/>
          <w:color w:val="353838"/>
        </w:rPr>
        <w:t>publications and cited in this manuscript (i.e. see Ref 3 &amp; 25). The novelty of this</w:t>
      </w:r>
      <w:r>
        <w:rPr>
          <w:rFonts w:cstheme="minorHAnsi"/>
          <w:color w:val="353838"/>
        </w:rPr>
        <w:t xml:space="preserve"> </w:t>
      </w:r>
      <w:r w:rsidRPr="0083458E">
        <w:rPr>
          <w:rFonts w:cstheme="minorHAnsi"/>
          <w:color w:val="353838"/>
        </w:rPr>
        <w:t>article is a detailed discussion and potential video</w:t>
      </w:r>
      <w:r>
        <w:rPr>
          <w:rFonts w:cstheme="minorHAnsi"/>
          <w:color w:val="353838"/>
        </w:rPr>
        <w:t xml:space="preserve"> </w:t>
      </w:r>
      <w:r w:rsidRPr="0083458E">
        <w:rPr>
          <w:rFonts w:cstheme="minorHAnsi"/>
          <w:color w:val="353838"/>
        </w:rPr>
        <w:t>presentation of methodological steps</w:t>
      </w:r>
      <w:r>
        <w:rPr>
          <w:rFonts w:cstheme="minorHAnsi"/>
          <w:color w:val="353838"/>
        </w:rPr>
        <w:t xml:space="preserve"> </w:t>
      </w:r>
      <w:r w:rsidRPr="0083458E">
        <w:rPr>
          <w:rFonts w:cstheme="minorHAnsi"/>
          <w:color w:val="353838"/>
        </w:rPr>
        <w:t>related to 2D</w:t>
      </w:r>
      <w:r>
        <w:rPr>
          <w:rFonts w:cstheme="minorHAnsi"/>
          <w:color w:val="353838"/>
        </w:rPr>
        <w:t xml:space="preserve"> </w:t>
      </w:r>
      <w:r w:rsidRPr="0083458E">
        <w:rPr>
          <w:rFonts w:cstheme="minorHAnsi"/>
          <w:color w:val="353838"/>
        </w:rPr>
        <w:t>visualization and quantification of contaminants or nutrients, and their migration</w:t>
      </w:r>
      <w:r>
        <w:rPr>
          <w:rFonts w:cstheme="minorHAnsi"/>
          <w:color w:val="353838"/>
        </w:rPr>
        <w:t xml:space="preserve"> </w:t>
      </w:r>
      <w:r w:rsidRPr="0083458E">
        <w:rPr>
          <w:rFonts w:cstheme="minorHAnsi"/>
          <w:color w:val="353838"/>
        </w:rPr>
        <w:t>through soil-root rhizosphere interface.</w:t>
      </w:r>
      <w:r>
        <w:rPr>
          <w:rFonts w:cstheme="minorHAnsi"/>
          <w:color w:val="353838"/>
        </w:rPr>
        <w:t xml:space="preserve"> </w:t>
      </w:r>
    </w:p>
    <w:p w14:paraId="2D34057B" w14:textId="77777777" w:rsidR="00E67FEE" w:rsidRDefault="00E67FEE" w:rsidP="000F3A64">
      <w:pPr>
        <w:shd w:val="clear" w:color="auto" w:fill="D9D9D9" w:themeFill="background1" w:themeFillShade="D9"/>
        <w:autoSpaceDE w:val="0"/>
        <w:autoSpaceDN w:val="0"/>
        <w:adjustRightInd w:val="0"/>
        <w:spacing w:after="0" w:line="360" w:lineRule="auto"/>
        <w:jc w:val="both"/>
        <w:rPr>
          <w:rFonts w:cstheme="minorHAnsi"/>
          <w:color w:val="353838"/>
        </w:rPr>
      </w:pPr>
    </w:p>
    <w:p w14:paraId="3FC31B2C" w14:textId="77777777" w:rsidR="00E67FEE" w:rsidRDefault="00E67FEE" w:rsidP="000F3A64">
      <w:pPr>
        <w:shd w:val="clear" w:color="auto" w:fill="D9D9D9" w:themeFill="background1" w:themeFillShade="D9"/>
        <w:autoSpaceDE w:val="0"/>
        <w:autoSpaceDN w:val="0"/>
        <w:adjustRightInd w:val="0"/>
        <w:spacing w:after="0" w:line="360" w:lineRule="auto"/>
        <w:jc w:val="both"/>
        <w:rPr>
          <w:rFonts w:cstheme="minorHAnsi"/>
          <w:color w:val="353838"/>
        </w:rPr>
      </w:pPr>
      <w:r w:rsidRPr="0083458E">
        <w:rPr>
          <w:rFonts w:cstheme="minorHAnsi"/>
          <w:color w:val="353838"/>
        </w:rPr>
        <w:t>The paper is well written and rich content. The experimental design is well thought out. The results are visually very interesting. I</w:t>
      </w:r>
      <w:r>
        <w:rPr>
          <w:rFonts w:cstheme="minorHAnsi"/>
          <w:color w:val="353838"/>
        </w:rPr>
        <w:t xml:space="preserve"> </w:t>
      </w:r>
      <w:r w:rsidRPr="0083458E">
        <w:rPr>
          <w:rFonts w:cstheme="minorHAnsi"/>
          <w:color w:val="353838"/>
        </w:rPr>
        <w:t>believe this contribution is beneficial to the plant and soil science community. However, authors must attend to following queries and</w:t>
      </w:r>
      <w:r>
        <w:rPr>
          <w:rFonts w:cstheme="minorHAnsi"/>
          <w:color w:val="353838"/>
        </w:rPr>
        <w:t xml:space="preserve"> </w:t>
      </w:r>
      <w:r w:rsidRPr="0083458E">
        <w:rPr>
          <w:rFonts w:cstheme="minorHAnsi"/>
          <w:color w:val="353838"/>
        </w:rPr>
        <w:t>revisions so that the quality of the manuscript could be strengthened. This implies that the manuscript needs a major revision.</w:t>
      </w:r>
    </w:p>
    <w:p w14:paraId="3AF63882" w14:textId="77777777" w:rsidR="00E67FEE" w:rsidRPr="00E03D79" w:rsidRDefault="00E67FEE" w:rsidP="00E03D79">
      <w:pPr>
        <w:autoSpaceDE w:val="0"/>
        <w:autoSpaceDN w:val="0"/>
        <w:adjustRightInd w:val="0"/>
        <w:spacing w:after="240" w:line="360" w:lineRule="auto"/>
        <w:jc w:val="both"/>
        <w:rPr>
          <w:rFonts w:cstheme="minorHAnsi"/>
          <w:color w:val="353838"/>
        </w:rPr>
      </w:pPr>
      <w:r w:rsidRPr="00E03D79">
        <w:rPr>
          <w:rFonts w:cstheme="minorHAnsi"/>
          <w:color w:val="353838"/>
        </w:rPr>
        <w:t>Thank you for the positive and constructive feedback on our manuscript.</w:t>
      </w:r>
    </w:p>
    <w:p w14:paraId="12E29EAF" w14:textId="77777777" w:rsidR="00E67FEE" w:rsidRPr="0083458E" w:rsidRDefault="00E67FEE" w:rsidP="000F3A64">
      <w:pPr>
        <w:shd w:val="clear" w:color="auto" w:fill="D9D9D9" w:themeFill="background1" w:themeFillShade="D9"/>
        <w:autoSpaceDE w:val="0"/>
        <w:autoSpaceDN w:val="0"/>
        <w:adjustRightInd w:val="0"/>
        <w:spacing w:after="0" w:line="360" w:lineRule="auto"/>
        <w:jc w:val="both"/>
        <w:rPr>
          <w:rFonts w:cstheme="minorHAnsi"/>
          <w:color w:val="353838"/>
        </w:rPr>
      </w:pPr>
      <w:r w:rsidRPr="0083458E">
        <w:rPr>
          <w:rFonts w:cstheme="minorHAnsi"/>
          <w:color w:val="353838"/>
        </w:rPr>
        <w:t>Major &amp; Minor Concerns:</w:t>
      </w:r>
    </w:p>
    <w:p w14:paraId="1AEE4FAE" w14:textId="77777777" w:rsidR="00E67FEE" w:rsidRPr="0083458E" w:rsidRDefault="00E67FEE" w:rsidP="000F3A64">
      <w:pPr>
        <w:shd w:val="clear" w:color="auto" w:fill="D9D9D9" w:themeFill="background1" w:themeFillShade="D9"/>
        <w:autoSpaceDE w:val="0"/>
        <w:autoSpaceDN w:val="0"/>
        <w:adjustRightInd w:val="0"/>
        <w:spacing w:after="0" w:line="360" w:lineRule="auto"/>
        <w:jc w:val="both"/>
        <w:rPr>
          <w:rFonts w:cstheme="minorHAnsi"/>
          <w:color w:val="353838"/>
        </w:rPr>
      </w:pPr>
      <w:r w:rsidRPr="0083458E">
        <w:rPr>
          <w:rFonts w:cstheme="minorHAnsi"/>
          <w:color w:val="353838"/>
        </w:rPr>
        <w:t>Title: OK</w:t>
      </w:r>
    </w:p>
    <w:p w14:paraId="43739137" w14:textId="77777777" w:rsidR="00E67FEE" w:rsidRDefault="00E67FEE" w:rsidP="000F3A64">
      <w:pPr>
        <w:shd w:val="clear" w:color="auto" w:fill="D9D9D9" w:themeFill="background1" w:themeFillShade="D9"/>
        <w:autoSpaceDE w:val="0"/>
        <w:autoSpaceDN w:val="0"/>
        <w:adjustRightInd w:val="0"/>
        <w:spacing w:after="0" w:line="360" w:lineRule="auto"/>
        <w:jc w:val="both"/>
        <w:rPr>
          <w:rFonts w:cstheme="minorHAnsi"/>
          <w:color w:val="353838"/>
        </w:rPr>
      </w:pPr>
      <w:r w:rsidRPr="0083458E">
        <w:rPr>
          <w:rFonts w:cstheme="minorHAnsi"/>
          <w:color w:val="353838"/>
        </w:rPr>
        <w:t>Abstract: This is a fine summary of the article.</w:t>
      </w:r>
    </w:p>
    <w:p w14:paraId="4396BE00" w14:textId="77777777" w:rsidR="00E67FEE" w:rsidRPr="00E03D79" w:rsidRDefault="00E67FEE" w:rsidP="00E03D79">
      <w:pPr>
        <w:autoSpaceDE w:val="0"/>
        <w:autoSpaceDN w:val="0"/>
        <w:adjustRightInd w:val="0"/>
        <w:spacing w:after="240" w:line="360" w:lineRule="auto"/>
        <w:jc w:val="both"/>
        <w:rPr>
          <w:rFonts w:cstheme="minorHAnsi"/>
          <w:color w:val="353838"/>
        </w:rPr>
      </w:pPr>
      <w:r w:rsidRPr="00E03D79">
        <w:rPr>
          <w:rFonts w:cstheme="minorHAnsi"/>
          <w:color w:val="353838"/>
        </w:rPr>
        <w:t>Thank you.</w:t>
      </w:r>
    </w:p>
    <w:p w14:paraId="0903E9BC" w14:textId="77777777" w:rsidR="00E67FEE" w:rsidRDefault="00E67FEE" w:rsidP="000F3A64">
      <w:pPr>
        <w:shd w:val="clear" w:color="auto" w:fill="D9D9D9" w:themeFill="background1" w:themeFillShade="D9"/>
        <w:autoSpaceDE w:val="0"/>
        <w:autoSpaceDN w:val="0"/>
        <w:adjustRightInd w:val="0"/>
        <w:spacing w:after="0" w:line="360" w:lineRule="auto"/>
        <w:jc w:val="both"/>
        <w:rPr>
          <w:rFonts w:cstheme="minorHAnsi"/>
          <w:color w:val="353838"/>
        </w:rPr>
      </w:pPr>
      <w:r w:rsidRPr="0083458E">
        <w:rPr>
          <w:rFonts w:cstheme="minorHAnsi"/>
          <w:color w:val="353838"/>
        </w:rPr>
        <w:t>Line 43: Give few examples of these nutrient and contaminants.</w:t>
      </w:r>
    </w:p>
    <w:p w14:paraId="762A7BB4" w14:textId="77777777" w:rsidR="00E67FEE" w:rsidRPr="00E03D79" w:rsidRDefault="00E67FEE" w:rsidP="00E03D79">
      <w:pPr>
        <w:autoSpaceDE w:val="0"/>
        <w:autoSpaceDN w:val="0"/>
        <w:adjustRightInd w:val="0"/>
        <w:spacing w:after="240" w:line="360" w:lineRule="auto"/>
        <w:jc w:val="both"/>
        <w:rPr>
          <w:rFonts w:cstheme="minorHAnsi"/>
          <w:color w:val="353838"/>
        </w:rPr>
      </w:pPr>
      <w:r w:rsidRPr="00E03D79">
        <w:rPr>
          <w:rFonts w:cstheme="minorHAnsi"/>
          <w:color w:val="353838"/>
        </w:rPr>
        <w:t xml:space="preserve">Few examples for nutrients (e.g. P, Fe, Mn) and contaminants (e.g. As, Cd, Pb) were </w:t>
      </w:r>
      <w:r w:rsidRPr="007A1D8C">
        <w:rPr>
          <w:rFonts w:cstheme="minorHAnsi"/>
          <w:b/>
          <w:bCs/>
          <w:color w:val="353838"/>
        </w:rPr>
        <w:t>added</w:t>
      </w:r>
      <w:r w:rsidRPr="00E03D79">
        <w:rPr>
          <w:rFonts w:cstheme="minorHAnsi"/>
          <w:color w:val="353838"/>
        </w:rPr>
        <w:t>.</w:t>
      </w:r>
    </w:p>
    <w:p w14:paraId="56D8A140" w14:textId="77777777" w:rsidR="00E67FEE" w:rsidRDefault="00E67FEE" w:rsidP="000F3A64">
      <w:pPr>
        <w:shd w:val="clear" w:color="auto" w:fill="D9D9D9" w:themeFill="background1" w:themeFillShade="D9"/>
        <w:autoSpaceDE w:val="0"/>
        <w:autoSpaceDN w:val="0"/>
        <w:adjustRightInd w:val="0"/>
        <w:spacing w:after="0" w:line="360" w:lineRule="auto"/>
        <w:jc w:val="both"/>
        <w:rPr>
          <w:rFonts w:cstheme="minorHAnsi"/>
          <w:color w:val="353838"/>
        </w:rPr>
      </w:pPr>
      <w:r w:rsidRPr="0083458E">
        <w:rPr>
          <w:rFonts w:cstheme="minorHAnsi"/>
          <w:color w:val="353838"/>
        </w:rPr>
        <w:t>Line 93: include the charge of the anion: NO3-</w:t>
      </w:r>
    </w:p>
    <w:p w14:paraId="4FAEEDA4" w14:textId="77777777" w:rsidR="00E67FEE" w:rsidRPr="00E03D79" w:rsidRDefault="00E67FEE" w:rsidP="00E03D79">
      <w:pPr>
        <w:autoSpaceDE w:val="0"/>
        <w:autoSpaceDN w:val="0"/>
        <w:adjustRightInd w:val="0"/>
        <w:spacing w:after="240" w:line="360" w:lineRule="auto"/>
        <w:jc w:val="both"/>
        <w:rPr>
          <w:rFonts w:cstheme="minorHAnsi"/>
          <w:color w:val="353838"/>
        </w:rPr>
      </w:pPr>
      <w:r w:rsidRPr="00E03D79">
        <w:rPr>
          <w:rFonts w:cstheme="minorHAnsi"/>
          <w:color w:val="353838"/>
        </w:rPr>
        <w:t xml:space="preserve">Thank you, charge was </w:t>
      </w:r>
      <w:r w:rsidRPr="007A1D8C">
        <w:rPr>
          <w:rFonts w:cstheme="minorHAnsi"/>
          <w:b/>
          <w:bCs/>
          <w:color w:val="353838"/>
        </w:rPr>
        <w:t>added</w:t>
      </w:r>
      <w:r w:rsidRPr="00E03D79">
        <w:rPr>
          <w:rFonts w:cstheme="minorHAnsi"/>
          <w:color w:val="353838"/>
        </w:rPr>
        <w:t>.</w:t>
      </w:r>
    </w:p>
    <w:p w14:paraId="04DF7ACF" w14:textId="77777777" w:rsidR="00E67FEE" w:rsidRPr="0083458E" w:rsidRDefault="00E67FEE" w:rsidP="000F3A64">
      <w:pPr>
        <w:shd w:val="clear" w:color="auto" w:fill="D9D9D9" w:themeFill="background1" w:themeFillShade="D9"/>
        <w:autoSpaceDE w:val="0"/>
        <w:autoSpaceDN w:val="0"/>
        <w:adjustRightInd w:val="0"/>
        <w:spacing w:after="0" w:line="360" w:lineRule="auto"/>
        <w:jc w:val="both"/>
        <w:rPr>
          <w:rFonts w:cstheme="minorHAnsi"/>
          <w:color w:val="353838"/>
        </w:rPr>
      </w:pPr>
      <w:r w:rsidRPr="0083458E">
        <w:rPr>
          <w:rFonts w:cstheme="minorHAnsi"/>
          <w:color w:val="353838"/>
        </w:rPr>
        <w:t>1. Introduction:</w:t>
      </w:r>
    </w:p>
    <w:p w14:paraId="0C76FC98" w14:textId="77777777" w:rsidR="00E67FEE" w:rsidRDefault="00E67FEE" w:rsidP="000F3A64">
      <w:pPr>
        <w:shd w:val="clear" w:color="auto" w:fill="D9D9D9" w:themeFill="background1" w:themeFillShade="D9"/>
        <w:autoSpaceDE w:val="0"/>
        <w:autoSpaceDN w:val="0"/>
        <w:adjustRightInd w:val="0"/>
        <w:spacing w:after="0" w:line="360" w:lineRule="auto"/>
        <w:jc w:val="both"/>
        <w:rPr>
          <w:rFonts w:cstheme="minorHAnsi"/>
          <w:color w:val="353838"/>
        </w:rPr>
      </w:pPr>
      <w:r w:rsidRPr="0083458E">
        <w:rPr>
          <w:rFonts w:cstheme="minorHAnsi"/>
          <w:color w:val="353838"/>
        </w:rPr>
        <w:t>Introduction is well written, analytical problems are defined and relevant bases are covered.</w:t>
      </w:r>
    </w:p>
    <w:p w14:paraId="4BC4F8D5" w14:textId="77777777" w:rsidR="00E67FEE" w:rsidRPr="00E03D79" w:rsidRDefault="00E67FEE" w:rsidP="00E03D79">
      <w:pPr>
        <w:autoSpaceDE w:val="0"/>
        <w:autoSpaceDN w:val="0"/>
        <w:adjustRightInd w:val="0"/>
        <w:spacing w:after="240" w:line="360" w:lineRule="auto"/>
        <w:jc w:val="both"/>
        <w:rPr>
          <w:rFonts w:cstheme="minorHAnsi"/>
          <w:color w:val="353838"/>
        </w:rPr>
      </w:pPr>
      <w:r w:rsidRPr="00E03D79">
        <w:rPr>
          <w:rFonts w:cstheme="minorHAnsi"/>
          <w:color w:val="353838"/>
        </w:rPr>
        <w:t>Thank you for the positive feedback.</w:t>
      </w:r>
    </w:p>
    <w:p w14:paraId="5E8AE442" w14:textId="77777777" w:rsidR="00E67FEE" w:rsidRPr="0083458E" w:rsidRDefault="00E67FEE" w:rsidP="000F3A64">
      <w:pPr>
        <w:shd w:val="clear" w:color="auto" w:fill="D9D9D9" w:themeFill="background1" w:themeFillShade="D9"/>
        <w:autoSpaceDE w:val="0"/>
        <w:autoSpaceDN w:val="0"/>
        <w:adjustRightInd w:val="0"/>
        <w:spacing w:after="0" w:line="360" w:lineRule="auto"/>
        <w:jc w:val="both"/>
        <w:rPr>
          <w:rFonts w:cstheme="minorHAnsi"/>
          <w:color w:val="353838"/>
        </w:rPr>
      </w:pPr>
      <w:r w:rsidRPr="0083458E">
        <w:rPr>
          <w:rFonts w:cstheme="minorHAnsi"/>
          <w:color w:val="353838"/>
        </w:rPr>
        <w:t>2. Protocol:</w:t>
      </w:r>
    </w:p>
    <w:p w14:paraId="1163B2DD" w14:textId="77777777" w:rsidR="00E67FEE" w:rsidRDefault="00E67FEE" w:rsidP="000F3A64">
      <w:pPr>
        <w:shd w:val="clear" w:color="auto" w:fill="D9D9D9" w:themeFill="background1" w:themeFillShade="D9"/>
        <w:autoSpaceDE w:val="0"/>
        <w:autoSpaceDN w:val="0"/>
        <w:adjustRightInd w:val="0"/>
        <w:spacing w:after="0" w:line="360" w:lineRule="auto"/>
        <w:jc w:val="both"/>
        <w:rPr>
          <w:rFonts w:cstheme="minorHAnsi"/>
          <w:color w:val="353838"/>
        </w:rPr>
      </w:pPr>
      <w:r w:rsidRPr="0083458E">
        <w:rPr>
          <w:rFonts w:cstheme="minorHAnsi"/>
          <w:color w:val="353838"/>
        </w:rPr>
        <w:t>Line 216: Fix_ S1 &amp; S2</w:t>
      </w:r>
    </w:p>
    <w:p w14:paraId="38D17791" w14:textId="77777777" w:rsidR="00E67FEE" w:rsidRPr="00E03D79" w:rsidRDefault="00E67FEE" w:rsidP="00E03D79">
      <w:pPr>
        <w:autoSpaceDE w:val="0"/>
        <w:autoSpaceDN w:val="0"/>
        <w:adjustRightInd w:val="0"/>
        <w:spacing w:after="240" w:line="360" w:lineRule="auto"/>
        <w:jc w:val="both"/>
        <w:rPr>
          <w:rFonts w:cstheme="minorHAnsi"/>
          <w:color w:val="353838"/>
        </w:rPr>
      </w:pPr>
      <w:r w:rsidRPr="00E03D79">
        <w:rPr>
          <w:rFonts w:cstheme="minorHAnsi"/>
          <w:color w:val="353838"/>
        </w:rPr>
        <w:lastRenderedPageBreak/>
        <w:t xml:space="preserve">The sentences referring to the Supporting Information were </w:t>
      </w:r>
      <w:r w:rsidRPr="007A1D8C">
        <w:rPr>
          <w:rFonts w:cstheme="minorHAnsi"/>
          <w:b/>
          <w:bCs/>
          <w:color w:val="353838"/>
        </w:rPr>
        <w:t>combined</w:t>
      </w:r>
      <w:r w:rsidRPr="00E03D79">
        <w:rPr>
          <w:rFonts w:cstheme="minorHAnsi"/>
          <w:color w:val="353838"/>
        </w:rPr>
        <w:t>. The new sentence reads now as follows: “</w:t>
      </w:r>
      <w:r w:rsidRPr="00E03D79">
        <w:rPr>
          <w:rFonts w:cstheme="minorHAnsi"/>
          <w:i/>
          <w:iCs/>
          <w:color w:val="353838"/>
        </w:rPr>
        <w:t xml:space="preserve">Laboratory procedures for trace element analysis, as well as detailed fabrication procedures of all presented </w:t>
      </w:r>
      <w:r>
        <w:rPr>
          <w:rFonts w:cstheme="minorHAnsi"/>
          <w:i/>
          <w:iCs/>
          <w:color w:val="353838"/>
        </w:rPr>
        <w:t>HR-</w:t>
      </w:r>
      <w:r w:rsidRPr="00E03D79">
        <w:rPr>
          <w:rFonts w:cstheme="minorHAnsi"/>
          <w:i/>
          <w:iCs/>
          <w:color w:val="353838"/>
        </w:rPr>
        <w:t>DGT gels are described in the Supporting Information (SI) section S1 and S2.</w:t>
      </w:r>
      <w:r w:rsidRPr="00E03D79">
        <w:rPr>
          <w:rFonts w:cstheme="minorHAnsi"/>
          <w:color w:val="353838"/>
        </w:rPr>
        <w:t xml:space="preserve">” </w:t>
      </w:r>
      <w:r w:rsidRPr="0034605F">
        <w:rPr>
          <w:rFonts w:cstheme="minorHAnsi"/>
          <w:color w:val="353838"/>
        </w:rPr>
        <w:t>(lines 213-215</w:t>
      </w:r>
      <w:r w:rsidRPr="00E03D79">
        <w:rPr>
          <w:rFonts w:cstheme="minorHAnsi"/>
          <w:color w:val="353838"/>
        </w:rPr>
        <w:t>)</w:t>
      </w:r>
    </w:p>
    <w:p w14:paraId="56E4C0C1" w14:textId="77777777" w:rsidR="00E67FEE" w:rsidRDefault="00E67FEE" w:rsidP="000F3A64">
      <w:pPr>
        <w:shd w:val="clear" w:color="auto" w:fill="D9D9D9" w:themeFill="background1" w:themeFillShade="D9"/>
        <w:autoSpaceDE w:val="0"/>
        <w:autoSpaceDN w:val="0"/>
        <w:adjustRightInd w:val="0"/>
        <w:spacing w:after="0" w:line="360" w:lineRule="auto"/>
        <w:jc w:val="both"/>
        <w:rPr>
          <w:rFonts w:cstheme="minorHAnsi"/>
          <w:color w:val="353838"/>
        </w:rPr>
      </w:pPr>
      <w:r w:rsidRPr="0083458E">
        <w:rPr>
          <w:rFonts w:cstheme="minorHAnsi"/>
          <w:color w:val="353838"/>
        </w:rPr>
        <w:t>Line 221:</w:t>
      </w:r>
      <w:r>
        <w:rPr>
          <w:rFonts w:cstheme="minorHAnsi"/>
          <w:color w:val="353838"/>
        </w:rPr>
        <w:t xml:space="preserve"> </w:t>
      </w:r>
      <w:r w:rsidRPr="0083458E">
        <w:rPr>
          <w:rFonts w:cstheme="minorHAnsi"/>
          <w:color w:val="353838"/>
        </w:rPr>
        <w:t>Incorrect formula! Zirconium hydroxide formula is zirconium (IV) hydroxide, Zr(OH)4</w:t>
      </w:r>
    </w:p>
    <w:p w14:paraId="20C3861B" w14:textId="77777777" w:rsidR="00E67FEE" w:rsidRPr="00E03D79" w:rsidRDefault="00E67FEE" w:rsidP="00E03D79">
      <w:pPr>
        <w:autoSpaceDE w:val="0"/>
        <w:autoSpaceDN w:val="0"/>
        <w:adjustRightInd w:val="0"/>
        <w:spacing w:after="240" w:line="360" w:lineRule="auto"/>
        <w:jc w:val="both"/>
        <w:rPr>
          <w:rFonts w:cstheme="minorHAnsi"/>
          <w:color w:val="353838"/>
        </w:rPr>
      </w:pPr>
      <w:r w:rsidRPr="00E03D79">
        <w:rPr>
          <w:rFonts w:cstheme="minorHAnsi"/>
          <w:color w:val="353838"/>
        </w:rPr>
        <w:t xml:space="preserve">Thank you, was </w:t>
      </w:r>
      <w:r w:rsidRPr="00852019">
        <w:rPr>
          <w:rFonts w:cstheme="minorHAnsi"/>
          <w:b/>
          <w:bCs/>
          <w:color w:val="353838"/>
        </w:rPr>
        <w:t>corrected</w:t>
      </w:r>
      <w:r w:rsidRPr="00E03D79">
        <w:rPr>
          <w:rFonts w:cstheme="minorHAnsi"/>
          <w:color w:val="353838"/>
        </w:rPr>
        <w:t xml:space="preserve"> to “</w:t>
      </w:r>
      <w:r w:rsidRPr="00E03D79">
        <w:rPr>
          <w:rFonts w:cstheme="minorHAnsi"/>
          <w:i/>
          <w:iCs/>
          <w:color w:val="353838"/>
        </w:rPr>
        <w:t>zirconium (IV) hydroxide</w:t>
      </w:r>
      <w:r w:rsidRPr="00E03D79">
        <w:rPr>
          <w:rFonts w:cstheme="minorHAnsi"/>
          <w:color w:val="353838"/>
        </w:rPr>
        <w:t>” throughout the manuscript.</w:t>
      </w:r>
    </w:p>
    <w:p w14:paraId="07FC730F" w14:textId="77777777" w:rsidR="00E67FEE" w:rsidRDefault="00E67FEE" w:rsidP="000F3A64">
      <w:pPr>
        <w:shd w:val="clear" w:color="auto" w:fill="D9D9D9" w:themeFill="background1" w:themeFillShade="D9"/>
        <w:autoSpaceDE w:val="0"/>
        <w:autoSpaceDN w:val="0"/>
        <w:adjustRightInd w:val="0"/>
        <w:spacing w:after="0" w:line="360" w:lineRule="auto"/>
        <w:jc w:val="both"/>
        <w:rPr>
          <w:rFonts w:cstheme="minorHAnsi"/>
          <w:color w:val="353838"/>
        </w:rPr>
      </w:pPr>
      <w:r w:rsidRPr="0083458E">
        <w:rPr>
          <w:rFonts w:cstheme="minorHAnsi"/>
          <w:color w:val="353838"/>
        </w:rPr>
        <w:t>Line 224: spell out first HR-MBG</w:t>
      </w:r>
    </w:p>
    <w:p w14:paraId="7AD6B13B" w14:textId="77777777" w:rsidR="00E67FEE" w:rsidRPr="00E03D79" w:rsidRDefault="00E67FEE" w:rsidP="00E03D79">
      <w:pPr>
        <w:autoSpaceDE w:val="0"/>
        <w:autoSpaceDN w:val="0"/>
        <w:adjustRightInd w:val="0"/>
        <w:spacing w:after="240" w:line="360" w:lineRule="auto"/>
        <w:jc w:val="both"/>
        <w:rPr>
          <w:rFonts w:cstheme="minorHAnsi"/>
          <w:color w:val="353838"/>
        </w:rPr>
      </w:pPr>
      <w:r w:rsidRPr="00E03D79">
        <w:rPr>
          <w:rFonts w:cstheme="minorHAnsi"/>
          <w:color w:val="353838"/>
        </w:rPr>
        <w:t>Abbreviations for the high resolution</w:t>
      </w:r>
      <w:r>
        <w:rPr>
          <w:rFonts w:cstheme="minorHAnsi"/>
          <w:color w:val="353838"/>
        </w:rPr>
        <w:t xml:space="preserve"> (HR)</w:t>
      </w:r>
      <w:r w:rsidRPr="00E03D79">
        <w:rPr>
          <w:rFonts w:cstheme="minorHAnsi"/>
          <w:color w:val="353838"/>
        </w:rPr>
        <w:t xml:space="preserve">-DGT binding gels (HR-MBG, HR-ABG, and HR-CBG) </w:t>
      </w:r>
      <w:r w:rsidRPr="007A1D8C">
        <w:rPr>
          <w:rFonts w:cstheme="minorHAnsi"/>
          <w:b/>
          <w:bCs/>
          <w:color w:val="353838"/>
        </w:rPr>
        <w:t>are now spelled out</w:t>
      </w:r>
      <w:r w:rsidRPr="00E03D79">
        <w:rPr>
          <w:rFonts w:cstheme="minorHAnsi"/>
          <w:color w:val="353838"/>
        </w:rPr>
        <w:t xml:space="preserve"> before their first use.</w:t>
      </w:r>
    </w:p>
    <w:p w14:paraId="195A19C6" w14:textId="77777777" w:rsidR="00E67FEE" w:rsidRDefault="00E67FEE" w:rsidP="000F3A64">
      <w:pPr>
        <w:shd w:val="clear" w:color="auto" w:fill="D9D9D9" w:themeFill="background1" w:themeFillShade="D9"/>
        <w:autoSpaceDE w:val="0"/>
        <w:autoSpaceDN w:val="0"/>
        <w:adjustRightInd w:val="0"/>
        <w:spacing w:after="0" w:line="360" w:lineRule="auto"/>
        <w:jc w:val="both"/>
        <w:rPr>
          <w:rFonts w:cstheme="minorHAnsi"/>
          <w:color w:val="353838"/>
        </w:rPr>
      </w:pPr>
      <w:r w:rsidRPr="0083458E">
        <w:rPr>
          <w:rFonts w:cstheme="minorHAnsi"/>
          <w:color w:val="353838"/>
        </w:rPr>
        <w:t>Line 226: Zr(OH)4 or simply write zirconium (IV) hydroxide here as well as elsewhere.</w:t>
      </w:r>
    </w:p>
    <w:p w14:paraId="309B85CA" w14:textId="77777777" w:rsidR="00E67FEE" w:rsidRPr="00E03D79" w:rsidRDefault="00E67FEE" w:rsidP="00E03D79">
      <w:pPr>
        <w:autoSpaceDE w:val="0"/>
        <w:autoSpaceDN w:val="0"/>
        <w:adjustRightInd w:val="0"/>
        <w:spacing w:after="240" w:line="360" w:lineRule="auto"/>
        <w:jc w:val="both"/>
        <w:rPr>
          <w:rFonts w:cstheme="minorHAnsi"/>
          <w:color w:val="353838"/>
        </w:rPr>
      </w:pPr>
      <w:r w:rsidRPr="00852019">
        <w:rPr>
          <w:rFonts w:cstheme="minorHAnsi"/>
          <w:b/>
          <w:bCs/>
          <w:color w:val="353838"/>
        </w:rPr>
        <w:t>Corrected</w:t>
      </w:r>
      <w:r w:rsidRPr="00E03D79">
        <w:rPr>
          <w:rFonts w:cstheme="minorHAnsi"/>
          <w:color w:val="353838"/>
        </w:rPr>
        <w:t>, see comment above.</w:t>
      </w:r>
    </w:p>
    <w:p w14:paraId="59686D73" w14:textId="77777777" w:rsidR="00E67FEE" w:rsidRDefault="00E67FEE" w:rsidP="000F3A64">
      <w:pPr>
        <w:shd w:val="clear" w:color="auto" w:fill="D9D9D9" w:themeFill="background1" w:themeFillShade="D9"/>
        <w:autoSpaceDE w:val="0"/>
        <w:autoSpaceDN w:val="0"/>
        <w:adjustRightInd w:val="0"/>
        <w:spacing w:after="0" w:line="360" w:lineRule="auto"/>
        <w:jc w:val="both"/>
        <w:rPr>
          <w:rFonts w:cstheme="minorHAnsi"/>
          <w:color w:val="353838"/>
        </w:rPr>
      </w:pPr>
      <w:r w:rsidRPr="0083458E">
        <w:rPr>
          <w:rFonts w:cstheme="minorHAnsi"/>
          <w:color w:val="353838"/>
        </w:rPr>
        <w:t>Line 228: What are these solids? Soil alone? anything else?</w:t>
      </w:r>
    </w:p>
    <w:p w14:paraId="163BB12B" w14:textId="77777777" w:rsidR="00E67FEE" w:rsidRPr="00E03D79" w:rsidRDefault="00E67FEE" w:rsidP="00E03D79">
      <w:pPr>
        <w:autoSpaceDE w:val="0"/>
        <w:autoSpaceDN w:val="0"/>
        <w:adjustRightInd w:val="0"/>
        <w:spacing w:after="240" w:line="360" w:lineRule="auto"/>
        <w:jc w:val="both"/>
        <w:rPr>
          <w:rFonts w:cstheme="minorHAnsi"/>
          <w:color w:val="353838"/>
          <w:highlight w:val="yellow"/>
        </w:rPr>
      </w:pPr>
      <w:r w:rsidRPr="007A1D8C">
        <w:rPr>
          <w:rFonts w:cstheme="minorHAnsi"/>
          <w:color w:val="353838"/>
        </w:rPr>
        <w:t xml:space="preserve">Yes, we refer to the mass of </w:t>
      </w:r>
      <w:r w:rsidRPr="007A1D8C">
        <w:rPr>
          <w:rFonts w:cstheme="minorHAnsi"/>
        </w:rPr>
        <w:t>dry soil</w:t>
      </w:r>
      <w:r w:rsidRPr="00E03D79">
        <w:rPr>
          <w:rFonts w:cstheme="minorHAnsi"/>
        </w:rPr>
        <w:t xml:space="preserve"> in the rhizotron. To clarify this, </w:t>
      </w:r>
      <w:r w:rsidRPr="007A1D8C">
        <w:rPr>
          <w:rFonts w:cstheme="minorHAnsi"/>
          <w:b/>
          <w:bCs/>
        </w:rPr>
        <w:t>we adapted the symbol and its definition</w:t>
      </w:r>
      <w:r w:rsidRPr="00E03D79">
        <w:rPr>
          <w:rFonts w:cstheme="minorHAnsi"/>
        </w:rPr>
        <w:t>: “</w:t>
      </w:r>
      <w:r w:rsidRPr="00D17898">
        <w:rPr>
          <w:rFonts w:eastAsiaTheme="minorEastAsia" w:cstheme="minorHAnsi"/>
          <w:i/>
          <w:iCs/>
        </w:rPr>
        <w:t xml:space="preserve">the mass of dry soil in the rhizotron, </w:t>
      </w:r>
      <m:oMath>
        <m:sSub>
          <m:sSubPr>
            <m:ctrlPr>
              <w:rPr>
                <w:rFonts w:ascii="Cambria Math" w:hAnsi="Cambria Math" w:cstheme="minorHAnsi"/>
                <w:i/>
                <w:iCs/>
              </w:rPr>
            </m:ctrlPr>
          </m:sSubPr>
          <m:e>
            <m:r>
              <w:rPr>
                <w:rFonts w:ascii="Cambria Math" w:hAnsi="Cambria Math" w:cstheme="minorHAnsi"/>
              </w:rPr>
              <m:t>m</m:t>
            </m:r>
          </m:e>
          <m:sub>
            <m:r>
              <w:rPr>
                <w:rFonts w:ascii="Cambria Math" w:hAnsi="Cambria Math" w:cstheme="minorHAnsi"/>
              </w:rPr>
              <m:t>d, soil rt</m:t>
            </m:r>
          </m:sub>
        </m:sSub>
      </m:oMath>
      <w:r w:rsidRPr="00D17898">
        <w:rPr>
          <w:rFonts w:cstheme="minorHAnsi"/>
          <w:i/>
          <w:iCs/>
        </w:rPr>
        <w:t xml:space="preserve"> </w:t>
      </w:r>
      <w:r w:rsidRPr="0034605F">
        <w:rPr>
          <w:rFonts w:cstheme="minorHAnsi"/>
          <w:i/>
          <w:iCs/>
        </w:rPr>
        <w:t>(g)</w:t>
      </w:r>
      <w:r w:rsidRPr="0034605F">
        <w:rPr>
          <w:rFonts w:cstheme="minorHAnsi"/>
        </w:rPr>
        <w:t xml:space="preserve">” (line 272). In response to the comment of Reviewer #3, we further added equation Eq. 1, showing the exact calculation of </w:t>
      </w:r>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d, soil rt</m:t>
            </m:r>
          </m:sub>
        </m:sSub>
      </m:oMath>
      <w:r w:rsidRPr="0034605F">
        <w:rPr>
          <w:rFonts w:cstheme="minorHAnsi"/>
        </w:rPr>
        <w:t xml:space="preserve"> (line</w:t>
      </w:r>
      <w:r>
        <w:rPr>
          <w:rFonts w:cstheme="minorHAnsi"/>
        </w:rPr>
        <w:t xml:space="preserve"> 275).</w:t>
      </w:r>
    </w:p>
    <w:p w14:paraId="0B0870AD" w14:textId="77777777" w:rsidR="00E67FEE" w:rsidRDefault="00E67FEE" w:rsidP="000F3A64">
      <w:pPr>
        <w:shd w:val="clear" w:color="auto" w:fill="D9D9D9" w:themeFill="background1" w:themeFillShade="D9"/>
        <w:autoSpaceDE w:val="0"/>
        <w:autoSpaceDN w:val="0"/>
        <w:adjustRightInd w:val="0"/>
        <w:spacing w:after="0" w:line="360" w:lineRule="auto"/>
        <w:jc w:val="both"/>
        <w:rPr>
          <w:rFonts w:cstheme="minorHAnsi"/>
          <w:color w:val="353838"/>
        </w:rPr>
      </w:pPr>
      <w:r w:rsidRPr="0083458E">
        <w:rPr>
          <w:rFonts w:cstheme="minorHAnsi"/>
          <w:color w:val="353838"/>
        </w:rPr>
        <w:t>Line 465: Can you do this experiment with 213 nm laser? Must address here. What are the limitations if any?</w:t>
      </w:r>
    </w:p>
    <w:p w14:paraId="5DD75D36" w14:textId="77777777" w:rsidR="00E67FEE" w:rsidRPr="00E03D79" w:rsidRDefault="00E67FEE" w:rsidP="00E03D79">
      <w:pPr>
        <w:autoSpaceDE w:val="0"/>
        <w:autoSpaceDN w:val="0"/>
        <w:adjustRightInd w:val="0"/>
        <w:spacing w:after="240" w:line="360" w:lineRule="auto"/>
        <w:jc w:val="both"/>
        <w:rPr>
          <w:rFonts w:cstheme="minorHAnsi"/>
          <w:color w:val="353838"/>
          <w:highlight w:val="yellow"/>
        </w:rPr>
      </w:pPr>
      <w:r w:rsidRPr="00E03D79">
        <w:rPr>
          <w:rFonts w:cstheme="minorHAnsi"/>
          <w:color w:val="353838"/>
        </w:rPr>
        <w:t xml:space="preserve">Yes, the analysis of DGT binding gels can be accomplished using lasers with a wavelength of 213 nm or also 266 nm. </w:t>
      </w:r>
      <w:r w:rsidRPr="0085705B">
        <w:rPr>
          <w:rFonts w:cstheme="minorHAnsi"/>
          <w:b/>
          <w:bCs/>
          <w:color w:val="353838"/>
        </w:rPr>
        <w:t>This is now explicitly stated</w:t>
      </w:r>
      <w:r w:rsidRPr="00E03D79">
        <w:rPr>
          <w:rFonts w:cstheme="minorHAnsi"/>
          <w:color w:val="353838"/>
        </w:rPr>
        <w:t xml:space="preserve"> in the </w:t>
      </w:r>
      <w:r w:rsidRPr="0034605F">
        <w:rPr>
          <w:rFonts w:cstheme="minorHAnsi"/>
          <w:color w:val="353838"/>
        </w:rPr>
        <w:t>protocol, lines</w:t>
      </w:r>
      <w:r>
        <w:rPr>
          <w:rFonts w:cstheme="minorHAnsi"/>
          <w:color w:val="353838"/>
        </w:rPr>
        <w:t xml:space="preserve"> 471-472</w:t>
      </w:r>
      <w:r w:rsidRPr="00E03D79">
        <w:rPr>
          <w:rFonts w:cstheme="minorHAnsi"/>
          <w:color w:val="353838"/>
        </w:rPr>
        <w:t>: “</w:t>
      </w:r>
      <w:r w:rsidRPr="003A739F">
        <w:rPr>
          <w:rFonts w:cstheme="minorHAnsi"/>
          <w:i/>
          <w:iCs/>
          <w:color w:val="353838"/>
        </w:rPr>
        <w:t>Alternatively, nanosecond 213 nm or 266 nm solid-state LA systems can be applied36,39-43.</w:t>
      </w:r>
      <w:r w:rsidRPr="00E03D79">
        <w:rPr>
          <w:rFonts w:cstheme="minorHAnsi"/>
          <w:color w:val="353838"/>
        </w:rPr>
        <w:t xml:space="preserve">” Generally, the laser wavelength is a primary control for the sample penetration depth </w:t>
      </w:r>
      <w:r w:rsidRPr="00E03D79">
        <w:rPr>
          <w:rFonts w:cstheme="minorHAnsi"/>
          <w:noProof/>
          <w:color w:val="353838"/>
        </w:rPr>
        <w:t>(Gonzalez et al., 2002)</w:t>
      </w:r>
      <w:r w:rsidRPr="00E03D79">
        <w:rPr>
          <w:rFonts w:cstheme="minorHAnsi"/>
          <w:color w:val="353838"/>
        </w:rPr>
        <w:t xml:space="preserve">, as well as the particle size distribution of the generated aerosol </w:t>
      </w:r>
      <w:r w:rsidRPr="00E03D79">
        <w:rPr>
          <w:rFonts w:cstheme="minorHAnsi"/>
          <w:noProof/>
          <w:color w:val="353838"/>
        </w:rPr>
        <w:t>(Guillong et al., 2003)</w:t>
      </w:r>
      <w:r w:rsidRPr="00E03D79">
        <w:rPr>
          <w:rFonts w:cstheme="minorHAnsi"/>
          <w:color w:val="353838"/>
        </w:rPr>
        <w:t xml:space="preserve">. Previous work where laser ablation of NIST glass standards using wavelengths of 193 nm, 213 nm and 266 nm was directly compared, while other LA-ICP-MS parameters were kept constant, demonstrated that 193 nm lasers generate the smallest particle size, leading to decreased noise and thus enhanced precision and stability of the transient signals </w:t>
      </w:r>
      <w:r w:rsidRPr="00E03D79">
        <w:rPr>
          <w:rFonts w:cstheme="minorHAnsi"/>
          <w:noProof/>
          <w:color w:val="353838"/>
        </w:rPr>
        <w:t>(Guillong et al., 2003)</w:t>
      </w:r>
      <w:r w:rsidRPr="00E03D79">
        <w:rPr>
          <w:rFonts w:cstheme="minorHAnsi"/>
          <w:color w:val="353838"/>
        </w:rPr>
        <w:t>.</w:t>
      </w:r>
      <w:r>
        <w:rPr>
          <w:rFonts w:cstheme="minorHAnsi"/>
          <w:color w:val="353838"/>
        </w:rPr>
        <w:t xml:space="preserve"> Considering that the signal stability is a primary contributor to the combined measurement uncertainty (</w:t>
      </w:r>
      <w:proofErr w:type="spellStart"/>
      <w:r>
        <w:rPr>
          <w:rFonts w:cstheme="minorHAnsi"/>
          <w:i/>
          <w:iCs/>
          <w:color w:val="353838"/>
        </w:rPr>
        <w:t>u</w:t>
      </w:r>
      <w:r>
        <w:rPr>
          <w:rFonts w:cstheme="minorHAnsi"/>
          <w:i/>
          <w:iCs/>
          <w:color w:val="353838"/>
          <w:vertAlign w:val="subscript"/>
        </w:rPr>
        <w:t>c</w:t>
      </w:r>
      <w:proofErr w:type="spellEnd"/>
      <w:r>
        <w:rPr>
          <w:rFonts w:cstheme="minorHAnsi"/>
          <w:color w:val="353838"/>
        </w:rPr>
        <w:t xml:space="preserve">) in LA-ICP-MS </w:t>
      </w:r>
      <w:r>
        <w:rPr>
          <w:rFonts w:cstheme="minorHAnsi"/>
          <w:noProof/>
          <w:color w:val="353838"/>
        </w:rPr>
        <w:t>(Luo et al., 2007; Kreuzeder et al., 2015)</w:t>
      </w:r>
      <w:r>
        <w:rPr>
          <w:rFonts w:cstheme="minorHAnsi"/>
          <w:color w:val="353838"/>
        </w:rPr>
        <w:t>, the use of 193 nm lasers may improve the analytical precision in DGT ablation analysis.</w:t>
      </w:r>
      <w:r w:rsidRPr="00E03D79">
        <w:rPr>
          <w:rFonts w:cstheme="minorHAnsi"/>
          <w:color w:val="353838"/>
        </w:rPr>
        <w:t xml:space="preserve"> However, th</w:t>
      </w:r>
      <w:r>
        <w:rPr>
          <w:rFonts w:cstheme="minorHAnsi"/>
          <w:color w:val="353838"/>
        </w:rPr>
        <w:t xml:space="preserve">e typically </w:t>
      </w:r>
      <w:r w:rsidRPr="00E03D79">
        <w:rPr>
          <w:rFonts w:cstheme="minorHAnsi"/>
          <w:color w:val="353838"/>
        </w:rPr>
        <w:t>~2-fold higher uncertainty in LA-ICP-MS analysis of DGT gels (relative combined uncertainty</w:t>
      </w:r>
      <w:r>
        <w:rPr>
          <w:rFonts w:cstheme="minorHAnsi"/>
          <w:color w:val="353838"/>
        </w:rPr>
        <w:t xml:space="preserve"> (</w:t>
      </w:r>
      <w:proofErr w:type="spellStart"/>
      <w:r>
        <w:rPr>
          <w:rFonts w:cstheme="minorHAnsi"/>
          <w:i/>
          <w:iCs/>
          <w:color w:val="353838"/>
        </w:rPr>
        <w:t>U</w:t>
      </w:r>
      <w:r>
        <w:rPr>
          <w:rFonts w:cstheme="minorHAnsi"/>
          <w:color w:val="353838"/>
          <w:vertAlign w:val="subscript"/>
        </w:rPr>
        <w:t>rel</w:t>
      </w:r>
      <w:proofErr w:type="spellEnd"/>
      <w:r>
        <w:rPr>
          <w:rFonts w:cstheme="minorHAnsi"/>
          <w:color w:val="353838"/>
        </w:rPr>
        <w:t>,</w:t>
      </w:r>
      <w:r w:rsidRPr="003C47B3">
        <w:rPr>
          <w:rFonts w:cstheme="minorHAnsi"/>
          <w:i/>
          <w:iCs/>
          <w:color w:val="353838"/>
        </w:rPr>
        <w:t xml:space="preserve"> </w:t>
      </w:r>
      <w:r w:rsidRPr="00E03D79">
        <w:rPr>
          <w:rFonts w:cstheme="minorHAnsi"/>
          <w:i/>
          <w:iCs/>
          <w:color w:val="353838"/>
        </w:rPr>
        <w:t>k</w:t>
      </w:r>
      <w:r w:rsidRPr="00E03D79">
        <w:rPr>
          <w:rFonts w:cstheme="minorHAnsi"/>
          <w:color w:val="353838"/>
        </w:rPr>
        <w:t xml:space="preserve"> = 2</w:t>
      </w:r>
      <w:r>
        <w:rPr>
          <w:rFonts w:cstheme="minorHAnsi"/>
          <w:color w:val="353838"/>
        </w:rPr>
        <w:t>)</w:t>
      </w:r>
      <w:r w:rsidRPr="00E03D79">
        <w:rPr>
          <w:rFonts w:cstheme="minorHAnsi"/>
          <w:color w:val="353838"/>
        </w:rPr>
        <w:t xml:space="preserve"> of 34.4-90.5%;) </w:t>
      </w:r>
      <w:r w:rsidRPr="00E03D79">
        <w:rPr>
          <w:rFonts w:cstheme="minorHAnsi"/>
          <w:noProof/>
          <w:color w:val="353838"/>
        </w:rPr>
        <w:t>(Kreuzeder et al., 2015)</w:t>
      </w:r>
      <w:r w:rsidRPr="00E03D79">
        <w:rPr>
          <w:rFonts w:cstheme="minorHAnsi"/>
          <w:color w:val="353838"/>
        </w:rPr>
        <w:t xml:space="preserve"> compared to the uncertainty in LA-ICP-MS analysis of NIST glass standards (</w:t>
      </w:r>
      <w:proofErr w:type="spellStart"/>
      <w:r w:rsidRPr="002452B3">
        <w:rPr>
          <w:rFonts w:cstheme="minorHAnsi"/>
          <w:i/>
          <w:iCs/>
          <w:color w:val="353838"/>
        </w:rPr>
        <w:t>U</w:t>
      </w:r>
      <w:r w:rsidRPr="002452B3">
        <w:rPr>
          <w:rFonts w:cstheme="minorHAnsi"/>
          <w:color w:val="353838"/>
          <w:vertAlign w:val="subscript"/>
        </w:rPr>
        <w:t>rel</w:t>
      </w:r>
      <w:proofErr w:type="spellEnd"/>
      <w:r w:rsidRPr="00E03D79">
        <w:rPr>
          <w:rFonts w:cstheme="minorHAnsi"/>
          <w:color w:val="353838"/>
        </w:rPr>
        <w:t xml:space="preserve"> </w:t>
      </w:r>
      <w:r>
        <w:rPr>
          <w:rFonts w:cstheme="minorHAnsi"/>
          <w:color w:val="353838"/>
        </w:rPr>
        <w:t>of</w:t>
      </w:r>
      <w:r w:rsidRPr="00E03D79">
        <w:rPr>
          <w:rFonts w:cstheme="minorHAnsi"/>
          <w:color w:val="353838"/>
        </w:rPr>
        <w:t xml:space="preserve"> 6.4-42.9%</w:t>
      </w:r>
      <w:r>
        <w:rPr>
          <w:rFonts w:cstheme="minorHAnsi"/>
          <w:color w:val="353838"/>
        </w:rPr>
        <w:t>,</w:t>
      </w:r>
      <w:r w:rsidRPr="00E03D79">
        <w:rPr>
          <w:rFonts w:cstheme="minorHAnsi"/>
          <w:color w:val="353838"/>
        </w:rPr>
        <w:t xml:space="preserve"> </w:t>
      </w:r>
      <w:r w:rsidRPr="00E03D79">
        <w:rPr>
          <w:rFonts w:cstheme="minorHAnsi"/>
          <w:i/>
          <w:iCs/>
          <w:color w:val="353838"/>
        </w:rPr>
        <w:t>k</w:t>
      </w:r>
      <w:r w:rsidRPr="00E03D79">
        <w:rPr>
          <w:rFonts w:cstheme="minorHAnsi"/>
          <w:color w:val="353838"/>
        </w:rPr>
        <w:t xml:space="preserve"> = 2) </w:t>
      </w:r>
      <w:r w:rsidRPr="00E03D79">
        <w:rPr>
          <w:rFonts w:cstheme="minorHAnsi"/>
          <w:noProof/>
          <w:color w:val="353838"/>
        </w:rPr>
        <w:t>(Luo et al., 2007)</w:t>
      </w:r>
      <w:r w:rsidRPr="00E03D79">
        <w:rPr>
          <w:rFonts w:cstheme="minorHAnsi"/>
          <w:color w:val="353838"/>
        </w:rPr>
        <w:t xml:space="preserve"> indicates that the comparatively low signal stability in DGT LA-ICP-MS analysis is dominantly affected by</w:t>
      </w:r>
      <w:r>
        <w:rPr>
          <w:rFonts w:cstheme="minorHAnsi"/>
          <w:color w:val="353838"/>
        </w:rPr>
        <w:t xml:space="preserve"> other means such as</w:t>
      </w:r>
      <w:r w:rsidRPr="00E03D79">
        <w:rPr>
          <w:rFonts w:cstheme="minorHAnsi"/>
          <w:color w:val="353838"/>
        </w:rPr>
        <w:t xml:space="preserve"> </w:t>
      </w:r>
      <w:r>
        <w:rPr>
          <w:rFonts w:cstheme="minorHAnsi"/>
          <w:color w:val="353838"/>
        </w:rPr>
        <w:t xml:space="preserve">the complex </w:t>
      </w:r>
      <w:r>
        <w:rPr>
          <w:rFonts w:cstheme="minorHAnsi"/>
          <w:color w:val="353838"/>
        </w:rPr>
        <w:lastRenderedPageBreak/>
        <w:t xml:space="preserve">polymer matrix and </w:t>
      </w:r>
      <w:r w:rsidRPr="00E03D79">
        <w:rPr>
          <w:rFonts w:cstheme="minorHAnsi"/>
          <w:color w:val="353838"/>
        </w:rPr>
        <w:t>inhomogeneities in the</w:t>
      </w:r>
      <w:r>
        <w:rPr>
          <w:rFonts w:cstheme="minorHAnsi"/>
          <w:color w:val="353838"/>
        </w:rPr>
        <w:t xml:space="preserve"> embedded</w:t>
      </w:r>
      <w:r w:rsidRPr="00E03D79">
        <w:rPr>
          <w:rFonts w:cstheme="minorHAnsi"/>
          <w:color w:val="353838"/>
        </w:rPr>
        <w:t xml:space="preserve"> resin distribution </w:t>
      </w:r>
      <w:r w:rsidRPr="00E03D79">
        <w:rPr>
          <w:rFonts w:cstheme="minorHAnsi"/>
          <w:noProof/>
          <w:color w:val="353838"/>
        </w:rPr>
        <w:t>(Kreuzeder et al., 2015)</w:t>
      </w:r>
      <w:r w:rsidRPr="00E03D79">
        <w:rPr>
          <w:rFonts w:cstheme="minorHAnsi"/>
          <w:color w:val="353838"/>
        </w:rPr>
        <w:t>. We therefore suppose that the effect of the laser wavelength on the measurement uncertainty is negligible in LA-ICP-MS analysis of DGT gels.</w:t>
      </w:r>
      <w:r>
        <w:rPr>
          <w:rFonts w:cstheme="minorHAnsi"/>
          <w:color w:val="353838"/>
        </w:rPr>
        <w:t xml:space="preserve"> </w:t>
      </w:r>
    </w:p>
    <w:p w14:paraId="2A1FBB95" w14:textId="77777777" w:rsidR="00E67FEE" w:rsidRDefault="00E67FEE" w:rsidP="000F3A64">
      <w:pPr>
        <w:shd w:val="clear" w:color="auto" w:fill="D9D9D9" w:themeFill="background1" w:themeFillShade="D9"/>
        <w:autoSpaceDE w:val="0"/>
        <w:autoSpaceDN w:val="0"/>
        <w:adjustRightInd w:val="0"/>
        <w:spacing w:after="0" w:line="360" w:lineRule="auto"/>
        <w:jc w:val="both"/>
        <w:rPr>
          <w:rFonts w:cstheme="minorHAnsi"/>
          <w:color w:val="353838"/>
        </w:rPr>
      </w:pPr>
      <w:r w:rsidRPr="0083458E">
        <w:rPr>
          <w:rFonts w:cstheme="minorHAnsi"/>
          <w:color w:val="353838"/>
        </w:rPr>
        <w:t>Line 497: Have you used He gas to enhance the signal? If so what is the volume? What are the limitations and advantages?</w:t>
      </w:r>
    </w:p>
    <w:p w14:paraId="1E6C0A3D" w14:textId="77777777" w:rsidR="00E67FEE" w:rsidRPr="00ED1AED" w:rsidRDefault="00E67FEE" w:rsidP="00ED1AED">
      <w:pPr>
        <w:autoSpaceDE w:val="0"/>
        <w:autoSpaceDN w:val="0"/>
        <w:adjustRightInd w:val="0"/>
        <w:spacing w:after="240" w:line="360" w:lineRule="auto"/>
        <w:jc w:val="both"/>
        <w:rPr>
          <w:rFonts w:cstheme="minorHAnsi"/>
          <w:color w:val="353838"/>
        </w:rPr>
      </w:pPr>
      <w:r w:rsidRPr="00ED1AED">
        <w:rPr>
          <w:rFonts w:cstheme="minorHAnsi"/>
          <w:color w:val="353838"/>
        </w:rPr>
        <w:t>Yes, He was used as an aerosol carrier gas from the LA cell to the ICP-MS at a flow rate of 900 mL min</w:t>
      </w:r>
      <w:r w:rsidRPr="00ED1AED">
        <w:rPr>
          <w:rFonts w:cstheme="minorHAnsi"/>
          <w:color w:val="353838"/>
          <w:vertAlign w:val="superscript"/>
        </w:rPr>
        <w:t>-1</w:t>
      </w:r>
      <w:r w:rsidRPr="00ED1AED">
        <w:rPr>
          <w:rFonts w:cstheme="minorHAnsi"/>
          <w:color w:val="353838"/>
        </w:rPr>
        <w:t xml:space="preserve">. The He gas stream was then mixed with an </w:t>
      </w:r>
      <w:proofErr w:type="spellStart"/>
      <w:r w:rsidRPr="00ED1AED">
        <w:rPr>
          <w:rFonts w:cstheme="minorHAnsi"/>
          <w:color w:val="353838"/>
        </w:rPr>
        <w:t>Ar</w:t>
      </w:r>
      <w:proofErr w:type="spellEnd"/>
      <w:r w:rsidRPr="00ED1AED">
        <w:rPr>
          <w:rFonts w:cstheme="minorHAnsi"/>
          <w:color w:val="353838"/>
        </w:rPr>
        <w:t xml:space="preserve"> gas stream from the ICP-MS via a two-way Y connector prior to its introduction into the ICP-MS. </w:t>
      </w:r>
      <w:r w:rsidRPr="007A1D8C">
        <w:rPr>
          <w:rFonts w:cstheme="minorHAnsi"/>
          <w:b/>
          <w:bCs/>
          <w:color w:val="353838"/>
        </w:rPr>
        <w:t xml:space="preserve">This was also explicitly stated </w:t>
      </w:r>
      <w:r w:rsidRPr="007A1D8C">
        <w:rPr>
          <w:rFonts w:cstheme="minorHAnsi"/>
          <w:color w:val="353838"/>
        </w:rPr>
        <w:t>in the Supporting Information</w:t>
      </w:r>
      <w:r w:rsidRPr="00ED1AED">
        <w:rPr>
          <w:rFonts w:cstheme="minorHAnsi"/>
          <w:color w:val="353838"/>
        </w:rPr>
        <w:t xml:space="preserve"> chapter S5 (“</w:t>
      </w:r>
      <w:r w:rsidRPr="00ED1AED">
        <w:rPr>
          <w:rFonts w:cstheme="minorHAnsi"/>
          <w:i/>
          <w:iCs/>
          <w:color w:val="353838"/>
        </w:rPr>
        <w:t xml:space="preserve">Coupling the LA </w:t>
      </w:r>
      <w:r w:rsidRPr="0034605F">
        <w:rPr>
          <w:rFonts w:cstheme="minorHAnsi"/>
          <w:i/>
          <w:iCs/>
          <w:color w:val="353838"/>
        </w:rPr>
        <w:t>system to the ICP-MS</w:t>
      </w:r>
      <w:r w:rsidRPr="0034605F">
        <w:rPr>
          <w:rFonts w:cstheme="minorHAnsi"/>
          <w:color w:val="353838"/>
        </w:rPr>
        <w:t>”), lines 50</w:t>
      </w:r>
      <w:r>
        <w:rPr>
          <w:rFonts w:cstheme="minorHAnsi"/>
          <w:color w:val="353838"/>
        </w:rPr>
        <w:t>6</w:t>
      </w:r>
      <w:r w:rsidRPr="0034605F">
        <w:rPr>
          <w:rFonts w:cstheme="minorHAnsi"/>
          <w:color w:val="353838"/>
        </w:rPr>
        <w:t>-50</w:t>
      </w:r>
      <w:r>
        <w:rPr>
          <w:rFonts w:cstheme="minorHAnsi"/>
          <w:color w:val="353838"/>
        </w:rPr>
        <w:t>7</w:t>
      </w:r>
      <w:r w:rsidRPr="0034605F">
        <w:rPr>
          <w:rFonts w:cstheme="minorHAnsi"/>
          <w:color w:val="353838"/>
        </w:rPr>
        <w:t xml:space="preserve"> and lines 51</w:t>
      </w:r>
      <w:r>
        <w:rPr>
          <w:rFonts w:cstheme="minorHAnsi"/>
          <w:color w:val="353838"/>
        </w:rPr>
        <w:t>4</w:t>
      </w:r>
      <w:r w:rsidRPr="0034605F">
        <w:rPr>
          <w:rFonts w:cstheme="minorHAnsi"/>
          <w:color w:val="353838"/>
        </w:rPr>
        <w:t>-51</w:t>
      </w:r>
      <w:r>
        <w:rPr>
          <w:rFonts w:cstheme="minorHAnsi"/>
          <w:color w:val="353838"/>
        </w:rPr>
        <w:t>7</w:t>
      </w:r>
      <w:r w:rsidRPr="0034605F">
        <w:rPr>
          <w:rFonts w:cstheme="minorHAnsi"/>
          <w:color w:val="353838"/>
        </w:rPr>
        <w:t>: “</w:t>
      </w:r>
      <w:r w:rsidRPr="0034605F">
        <w:rPr>
          <w:rFonts w:cstheme="minorHAnsi"/>
          <w:i/>
          <w:iCs/>
          <w:color w:val="353838"/>
        </w:rPr>
        <w:t>S5.2. Connect N2 as purge gas to ‘N2 PRG GAS IN’ and He as carrier gas to ‘MFC 1 GAS IN’ at the gas panel of the LA system.</w:t>
      </w:r>
      <w:r w:rsidRPr="0034605F">
        <w:rPr>
          <w:rFonts w:cstheme="minorHAnsi"/>
          <w:color w:val="353838"/>
        </w:rPr>
        <w:t>”; “</w:t>
      </w:r>
      <w:r w:rsidRPr="0034605F">
        <w:rPr>
          <w:rFonts w:cstheme="minorHAnsi"/>
          <w:i/>
          <w:iCs/>
          <w:color w:val="353838"/>
        </w:rPr>
        <w:t xml:space="preserve">S5.3. Connect the ‘ONLINE GAS OUT’ He carrier gas flow of the LA system and the ‘NEB’ </w:t>
      </w:r>
      <w:proofErr w:type="spellStart"/>
      <w:r w:rsidRPr="0034605F">
        <w:rPr>
          <w:rFonts w:cstheme="minorHAnsi"/>
          <w:i/>
          <w:iCs/>
          <w:color w:val="353838"/>
        </w:rPr>
        <w:t>Ar</w:t>
      </w:r>
      <w:proofErr w:type="spellEnd"/>
      <w:r w:rsidRPr="0034605F">
        <w:rPr>
          <w:rFonts w:cstheme="minorHAnsi"/>
          <w:i/>
          <w:iCs/>
          <w:color w:val="353838"/>
        </w:rPr>
        <w:t xml:space="preserve"> nebulizer gas flow of the ICP-MS to the ICP interface via a PTFE-coated </w:t>
      </w:r>
      <w:proofErr w:type="spellStart"/>
      <w:r w:rsidRPr="0034605F">
        <w:rPr>
          <w:rFonts w:cstheme="minorHAnsi"/>
          <w:i/>
          <w:iCs/>
          <w:color w:val="353838"/>
        </w:rPr>
        <w:t>Tygon</w:t>
      </w:r>
      <w:proofErr w:type="spellEnd"/>
      <w:r w:rsidRPr="0034605F">
        <w:rPr>
          <w:rFonts w:cstheme="minorHAnsi"/>
          <w:i/>
          <w:iCs/>
          <w:color w:val="353838"/>
        </w:rPr>
        <w:t xml:space="preserve"> tubing (Table of Materials) equipped with a two-way Y connector and a torch adapter fitting to the ICP injector (Figure 5C).</w:t>
      </w:r>
      <w:r w:rsidRPr="0034605F">
        <w:rPr>
          <w:rFonts w:cstheme="minorHAnsi"/>
          <w:color w:val="353838"/>
        </w:rPr>
        <w:t>” In the associated note (lines 5</w:t>
      </w:r>
      <w:r>
        <w:rPr>
          <w:rFonts w:cstheme="minorHAnsi"/>
          <w:color w:val="353838"/>
        </w:rPr>
        <w:t>10</w:t>
      </w:r>
      <w:r w:rsidRPr="0034605F">
        <w:rPr>
          <w:rFonts w:cstheme="minorHAnsi"/>
          <w:color w:val="353838"/>
        </w:rPr>
        <w:t>-51</w:t>
      </w:r>
      <w:r>
        <w:rPr>
          <w:rFonts w:cstheme="minorHAnsi"/>
          <w:color w:val="353838"/>
        </w:rPr>
        <w:t>2</w:t>
      </w:r>
      <w:r w:rsidRPr="0034605F">
        <w:rPr>
          <w:rFonts w:cstheme="minorHAnsi"/>
          <w:color w:val="353838"/>
        </w:rPr>
        <w:t xml:space="preserve">), </w:t>
      </w:r>
      <w:r w:rsidRPr="0034605F">
        <w:rPr>
          <w:rFonts w:cstheme="minorHAnsi"/>
          <w:b/>
          <w:bCs/>
          <w:color w:val="353838"/>
        </w:rPr>
        <w:t>we provide a reference</w:t>
      </w:r>
      <w:r w:rsidRPr="0034605F">
        <w:rPr>
          <w:rFonts w:cstheme="minorHAnsi"/>
          <w:color w:val="353838"/>
        </w:rPr>
        <w:t xml:space="preserve"> </w:t>
      </w:r>
      <w:r w:rsidRPr="0034605F">
        <w:rPr>
          <w:rFonts w:cstheme="minorHAnsi"/>
          <w:noProof/>
          <w:color w:val="353838"/>
        </w:rPr>
        <w:t>(Günther and A. Heinrich, 1999)</w:t>
      </w:r>
      <w:r w:rsidRPr="0034605F">
        <w:rPr>
          <w:rFonts w:cstheme="minorHAnsi"/>
          <w:color w:val="353838"/>
        </w:rPr>
        <w:t xml:space="preserve"> for an in-depth discussion of the limitations</w:t>
      </w:r>
      <w:r w:rsidRPr="00ED1AED">
        <w:rPr>
          <w:rFonts w:cstheme="minorHAnsi"/>
          <w:color w:val="353838"/>
        </w:rPr>
        <w:t xml:space="preserve"> and advantages of using He or </w:t>
      </w:r>
      <w:proofErr w:type="spellStart"/>
      <w:r w:rsidRPr="00ED1AED">
        <w:rPr>
          <w:rFonts w:cstheme="minorHAnsi"/>
          <w:color w:val="353838"/>
        </w:rPr>
        <w:t>Ar</w:t>
      </w:r>
      <w:proofErr w:type="spellEnd"/>
      <w:r w:rsidRPr="00ED1AED">
        <w:rPr>
          <w:rFonts w:cstheme="minorHAnsi"/>
          <w:color w:val="353838"/>
        </w:rPr>
        <w:t xml:space="preserve"> (or mixtures of both) as carrier gas in LA-ICP-MS: “</w:t>
      </w:r>
      <w:r w:rsidRPr="00ED1AED">
        <w:rPr>
          <w:rFonts w:cstheme="minorHAnsi"/>
          <w:i/>
          <w:iCs/>
          <w:color w:val="353838"/>
        </w:rPr>
        <w:t xml:space="preserve">NOTE: The present protocol uses He as the aerosol carrier gas. Alternatively, </w:t>
      </w:r>
      <w:proofErr w:type="spellStart"/>
      <w:r w:rsidRPr="00ED1AED">
        <w:rPr>
          <w:rFonts w:cstheme="minorHAnsi"/>
          <w:i/>
          <w:iCs/>
          <w:color w:val="353838"/>
        </w:rPr>
        <w:t>Ar</w:t>
      </w:r>
      <w:proofErr w:type="spellEnd"/>
      <w:r w:rsidRPr="00ED1AED">
        <w:rPr>
          <w:rFonts w:cstheme="minorHAnsi"/>
          <w:i/>
          <w:iCs/>
          <w:color w:val="353838"/>
        </w:rPr>
        <w:t xml:space="preserve"> can be used as carrier gas. See Günther and Heinrich1</w:t>
      </w:r>
      <w:r>
        <w:rPr>
          <w:rFonts w:cstheme="minorHAnsi"/>
          <w:i/>
          <w:iCs/>
          <w:color w:val="353838"/>
        </w:rPr>
        <w:t>1</w:t>
      </w:r>
      <w:r w:rsidRPr="00ED1AED">
        <w:rPr>
          <w:rFonts w:cstheme="minorHAnsi"/>
          <w:i/>
          <w:iCs/>
          <w:color w:val="353838"/>
        </w:rPr>
        <w:t xml:space="preserve"> for a detailed discussion of the effects of using either He or </w:t>
      </w:r>
      <w:proofErr w:type="spellStart"/>
      <w:r w:rsidRPr="00ED1AED">
        <w:rPr>
          <w:rFonts w:cstheme="minorHAnsi"/>
          <w:i/>
          <w:iCs/>
          <w:color w:val="353838"/>
        </w:rPr>
        <w:t>Ar</w:t>
      </w:r>
      <w:proofErr w:type="spellEnd"/>
      <w:r w:rsidRPr="00ED1AED">
        <w:rPr>
          <w:rFonts w:cstheme="minorHAnsi"/>
          <w:i/>
          <w:iCs/>
          <w:color w:val="353838"/>
        </w:rPr>
        <w:t xml:space="preserve"> as carrier gas.</w:t>
      </w:r>
      <w:r w:rsidRPr="00ED1AED">
        <w:rPr>
          <w:rFonts w:cstheme="minorHAnsi"/>
          <w:color w:val="353838"/>
        </w:rPr>
        <w:t>” We provide this information in the Supporting Information to keep the focus of the main manuscript protocol on the practical implementation of the 2D DGT sampling and the operations of the LA-ICP-MS line-scan imaging, assuming an already established LA-ICP-MS coupling.</w:t>
      </w:r>
    </w:p>
    <w:p w14:paraId="31D18819" w14:textId="77777777" w:rsidR="00E67FEE" w:rsidRDefault="00E67FEE" w:rsidP="000F3A64">
      <w:pPr>
        <w:shd w:val="clear" w:color="auto" w:fill="D9D9D9" w:themeFill="background1" w:themeFillShade="D9"/>
        <w:autoSpaceDE w:val="0"/>
        <w:autoSpaceDN w:val="0"/>
        <w:adjustRightInd w:val="0"/>
        <w:spacing w:after="0" w:line="360" w:lineRule="auto"/>
        <w:jc w:val="both"/>
        <w:rPr>
          <w:rFonts w:cstheme="minorHAnsi"/>
          <w:color w:val="353838"/>
        </w:rPr>
      </w:pPr>
      <w:r w:rsidRPr="0083458E">
        <w:rPr>
          <w:rFonts w:cstheme="minorHAnsi"/>
          <w:color w:val="353838"/>
        </w:rPr>
        <w:t>Line 504-506: Give a typical example calculation here to a novice reader.</w:t>
      </w:r>
    </w:p>
    <w:p w14:paraId="4E5EFAED" w14:textId="77777777" w:rsidR="00E67FEE" w:rsidRPr="00ED1AED" w:rsidRDefault="00E67FEE" w:rsidP="00ED1AED">
      <w:pPr>
        <w:autoSpaceDE w:val="0"/>
        <w:autoSpaceDN w:val="0"/>
        <w:adjustRightInd w:val="0"/>
        <w:spacing w:after="240" w:line="360" w:lineRule="auto"/>
        <w:jc w:val="both"/>
        <w:rPr>
          <w:rFonts w:cstheme="minorHAnsi"/>
          <w:color w:val="353838"/>
        </w:rPr>
      </w:pPr>
      <w:r w:rsidRPr="00ED1AED">
        <w:rPr>
          <w:rFonts w:cstheme="minorHAnsi"/>
          <w:color w:val="353838"/>
        </w:rPr>
        <w:t xml:space="preserve">A typical example calculation </w:t>
      </w:r>
      <w:r w:rsidRPr="001651AA">
        <w:rPr>
          <w:rFonts w:cstheme="minorHAnsi"/>
          <w:b/>
          <w:bCs/>
          <w:color w:val="353838"/>
        </w:rPr>
        <w:t>was added</w:t>
      </w:r>
      <w:r w:rsidRPr="00ED1AED">
        <w:rPr>
          <w:rFonts w:cstheme="minorHAnsi"/>
          <w:color w:val="353838"/>
        </w:rPr>
        <w:t xml:space="preserve">. This reads now as </w:t>
      </w:r>
      <w:r w:rsidRPr="0034605F">
        <w:rPr>
          <w:rFonts w:cstheme="minorHAnsi"/>
          <w:color w:val="353838"/>
        </w:rPr>
        <w:t>follows (lines 510-511</w:t>
      </w:r>
      <w:r>
        <w:rPr>
          <w:rFonts w:cstheme="minorHAnsi"/>
          <w:color w:val="353838"/>
        </w:rPr>
        <w:t>)</w:t>
      </w:r>
      <w:r w:rsidRPr="00ED1AED">
        <w:rPr>
          <w:rFonts w:cstheme="minorHAnsi"/>
          <w:color w:val="353838"/>
        </w:rPr>
        <w:t>: “</w:t>
      </w:r>
      <w:r w:rsidRPr="00ED1AED">
        <w:rPr>
          <w:rFonts w:cstheme="minorHAnsi"/>
          <w:i/>
          <w:iCs/>
        </w:rPr>
        <w:t xml:space="preserve">For example, when setting a spot diameter of </w:t>
      </w:r>
      <w:r>
        <w:rPr>
          <w:rFonts w:cstheme="minorHAnsi"/>
          <w:i/>
          <w:iCs/>
        </w:rPr>
        <w:t>200</w:t>
      </w:r>
      <w:r w:rsidRPr="00ED1AED">
        <w:rPr>
          <w:rFonts w:cstheme="minorHAnsi"/>
          <w:i/>
          <w:iCs/>
        </w:rPr>
        <w:t xml:space="preserve"> µm and a total ICP-MS scan cycle duration of 0.</w:t>
      </w:r>
      <w:r>
        <w:rPr>
          <w:rFonts w:cstheme="minorHAnsi"/>
          <w:i/>
          <w:iCs/>
        </w:rPr>
        <w:t>25</w:t>
      </w:r>
      <w:r w:rsidRPr="00ED1AED">
        <w:rPr>
          <w:rFonts w:cstheme="minorHAnsi"/>
          <w:i/>
          <w:iCs/>
        </w:rPr>
        <w:t xml:space="preserve"> s, the scan speed should be ≤</w:t>
      </w:r>
      <w:r>
        <w:rPr>
          <w:rFonts w:cstheme="minorHAnsi"/>
          <w:i/>
          <w:iCs/>
        </w:rPr>
        <w:t>800</w:t>
      </w:r>
      <w:r w:rsidRPr="00ED1AED">
        <w:rPr>
          <w:rFonts w:cstheme="minorHAnsi"/>
          <w:i/>
          <w:iCs/>
        </w:rPr>
        <w:t xml:space="preserve"> µm s</w:t>
      </w:r>
      <w:r w:rsidRPr="00ED1AED">
        <w:rPr>
          <w:rFonts w:cstheme="minorHAnsi"/>
          <w:i/>
          <w:iCs/>
          <w:vertAlign w:val="superscript"/>
        </w:rPr>
        <w:t>-1</w:t>
      </w:r>
      <w:r w:rsidRPr="00ED1AED">
        <w:rPr>
          <w:rFonts w:cstheme="minorHAnsi"/>
          <w:i/>
          <w:iCs/>
        </w:rPr>
        <w:t>.</w:t>
      </w:r>
      <w:r w:rsidRPr="00ED1AED">
        <w:rPr>
          <w:rFonts w:cstheme="minorHAnsi"/>
        </w:rPr>
        <w:t>”</w:t>
      </w:r>
    </w:p>
    <w:p w14:paraId="2CCD39C1" w14:textId="77777777" w:rsidR="00E67FEE" w:rsidRDefault="00E67FEE" w:rsidP="000F3A64">
      <w:pPr>
        <w:shd w:val="clear" w:color="auto" w:fill="D9D9D9" w:themeFill="background1" w:themeFillShade="D9"/>
        <w:autoSpaceDE w:val="0"/>
        <w:autoSpaceDN w:val="0"/>
        <w:adjustRightInd w:val="0"/>
        <w:spacing w:after="0" w:line="360" w:lineRule="auto"/>
        <w:jc w:val="both"/>
        <w:rPr>
          <w:rFonts w:cstheme="minorHAnsi"/>
          <w:color w:val="353838"/>
        </w:rPr>
      </w:pPr>
      <w:r w:rsidRPr="0083458E">
        <w:rPr>
          <w:rFonts w:cstheme="minorHAnsi"/>
          <w:color w:val="353838"/>
        </w:rPr>
        <w:t>Line 512-513; Include a line pattern in a cartoon figure.</w:t>
      </w:r>
    </w:p>
    <w:p w14:paraId="582D6AEB" w14:textId="77777777" w:rsidR="00E67FEE" w:rsidRDefault="00E67FEE" w:rsidP="00ED1AED">
      <w:pPr>
        <w:autoSpaceDE w:val="0"/>
        <w:autoSpaceDN w:val="0"/>
        <w:adjustRightInd w:val="0"/>
        <w:spacing w:after="240" w:line="360" w:lineRule="auto"/>
        <w:jc w:val="both"/>
        <w:rPr>
          <w:rFonts w:cstheme="minorHAnsi"/>
          <w:color w:val="353838"/>
        </w:rPr>
      </w:pPr>
      <w:r w:rsidRPr="0096164A">
        <w:rPr>
          <w:rFonts w:cstheme="minorHAnsi"/>
          <w:color w:val="353838"/>
        </w:rPr>
        <w:t xml:space="preserve">Thank you for pointing out that a schematic representation of the line-scan pattern </w:t>
      </w:r>
      <w:r>
        <w:rPr>
          <w:rFonts w:cstheme="minorHAnsi"/>
          <w:color w:val="353838"/>
        </w:rPr>
        <w:t xml:space="preserve">was missing. </w:t>
      </w:r>
      <w:r w:rsidRPr="00E86E24">
        <w:rPr>
          <w:rFonts w:cstheme="minorHAnsi"/>
          <w:b/>
          <w:bCs/>
          <w:color w:val="353838"/>
        </w:rPr>
        <w:t>We prepared a new Figure</w:t>
      </w:r>
      <w:r>
        <w:rPr>
          <w:rFonts w:cstheme="minorHAnsi"/>
          <w:b/>
          <w:bCs/>
          <w:color w:val="353838"/>
        </w:rPr>
        <w:t xml:space="preserve"> (Figure 6)</w:t>
      </w:r>
      <w:r>
        <w:rPr>
          <w:rFonts w:cstheme="minorHAnsi"/>
          <w:color w:val="353838"/>
        </w:rPr>
        <w:t xml:space="preserve">, which will help the reader to better understand and visualize the </w:t>
      </w:r>
      <w:r w:rsidRPr="0096164A">
        <w:rPr>
          <w:rFonts w:cstheme="minorHAnsi"/>
          <w:color w:val="353838"/>
        </w:rPr>
        <w:t>associated dimensions and parameters</w:t>
      </w:r>
      <w:r>
        <w:rPr>
          <w:rFonts w:cstheme="minorHAnsi"/>
          <w:color w:val="353838"/>
        </w:rPr>
        <w:t>:</w:t>
      </w:r>
    </w:p>
    <w:p w14:paraId="616B8FFD" w14:textId="77777777" w:rsidR="00E67FEE" w:rsidRDefault="00E67FEE" w:rsidP="00ED1AED">
      <w:pPr>
        <w:autoSpaceDE w:val="0"/>
        <w:autoSpaceDN w:val="0"/>
        <w:adjustRightInd w:val="0"/>
        <w:spacing w:after="240" w:line="360" w:lineRule="auto"/>
        <w:jc w:val="both"/>
        <w:rPr>
          <w:rFonts w:cstheme="minorHAnsi"/>
          <w:color w:val="353838"/>
        </w:rPr>
      </w:pPr>
      <w:r>
        <w:rPr>
          <w:rFonts w:cstheme="minorHAnsi"/>
          <w:noProof/>
          <w:color w:val="353838"/>
          <w:lang w:val="de-DE" w:eastAsia="de-DE"/>
        </w:rPr>
        <w:lastRenderedPageBreak/>
        <w:drawing>
          <wp:inline distT="0" distB="0" distL="0" distR="0" wp14:anchorId="1C611E14" wp14:editId="54CBB91C">
            <wp:extent cx="5122545" cy="5249545"/>
            <wp:effectExtent l="0" t="0" r="190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22545" cy="5249545"/>
                    </a:xfrm>
                    <a:prstGeom prst="rect">
                      <a:avLst/>
                    </a:prstGeom>
                    <a:noFill/>
                    <a:ln>
                      <a:noFill/>
                    </a:ln>
                  </pic:spPr>
                </pic:pic>
              </a:graphicData>
            </a:graphic>
          </wp:inline>
        </w:drawing>
      </w:r>
    </w:p>
    <w:p w14:paraId="767FB5D9" w14:textId="77777777" w:rsidR="00E67FEE" w:rsidRPr="00D17898" w:rsidRDefault="00E67FEE" w:rsidP="00ED1AED">
      <w:pPr>
        <w:autoSpaceDE w:val="0"/>
        <w:autoSpaceDN w:val="0"/>
        <w:adjustRightInd w:val="0"/>
        <w:spacing w:after="240" w:line="360" w:lineRule="auto"/>
        <w:jc w:val="both"/>
        <w:rPr>
          <w:rFonts w:cstheme="minorHAnsi"/>
          <w:color w:val="353838"/>
        </w:rPr>
      </w:pPr>
      <w:r>
        <w:rPr>
          <w:rFonts w:cstheme="minorHAnsi"/>
          <w:color w:val="353838"/>
        </w:rPr>
        <w:t>“</w:t>
      </w:r>
      <w:r w:rsidRPr="00D17898">
        <w:rPr>
          <w:rFonts w:cstheme="minorHAnsi"/>
          <w:b/>
          <w:bCs/>
          <w:i/>
          <w:iCs/>
          <w:color w:val="353838"/>
        </w:rPr>
        <w:t xml:space="preserve">Figure 6: Schematic of the DGT LA-ICP-MS experimental design (not to scale). </w:t>
      </w:r>
      <w:r w:rsidRPr="00D17898">
        <w:rPr>
          <w:rFonts w:cstheme="minorHAnsi"/>
          <w:i/>
          <w:iCs/>
          <w:color w:val="353838"/>
        </w:rPr>
        <w:t>The illustration depicts the DGT-based in situ solute sampling in the rhizosphere and the LA-ICP-MS mapping of the solute distribution on the gel surface, including a close-up showing exemplary line-scan dimensions and parameters. Note that the DGT gel is horizontally flipped when transferred from the rhizosphere soil onto the glass plate, as indicated by the position of the rectangle at the bottom corner of the DGT gel.</w:t>
      </w:r>
      <w:r w:rsidRPr="00D17898">
        <w:rPr>
          <w:rFonts w:cstheme="minorHAnsi"/>
          <w:color w:val="353838"/>
        </w:rPr>
        <w:t>”</w:t>
      </w:r>
    </w:p>
    <w:p w14:paraId="1C7036FA" w14:textId="77777777" w:rsidR="00E67FEE" w:rsidRDefault="00E67FEE" w:rsidP="000F3A64">
      <w:pPr>
        <w:shd w:val="clear" w:color="auto" w:fill="D9D9D9" w:themeFill="background1" w:themeFillShade="D9"/>
        <w:autoSpaceDE w:val="0"/>
        <w:autoSpaceDN w:val="0"/>
        <w:adjustRightInd w:val="0"/>
        <w:spacing w:after="0" w:line="360" w:lineRule="auto"/>
        <w:jc w:val="both"/>
        <w:rPr>
          <w:rFonts w:cstheme="minorHAnsi"/>
          <w:color w:val="353838"/>
        </w:rPr>
      </w:pPr>
      <w:r w:rsidRPr="0083458E">
        <w:rPr>
          <w:rFonts w:cstheme="minorHAnsi"/>
          <w:color w:val="353838"/>
        </w:rPr>
        <w:t>Line 520-522: Suggestion: Give an example or show in the video clearly.</w:t>
      </w:r>
    </w:p>
    <w:p w14:paraId="17F9D317" w14:textId="77777777" w:rsidR="00E67FEE" w:rsidRPr="00ED1AED" w:rsidRDefault="00E67FEE" w:rsidP="00ED1AED">
      <w:pPr>
        <w:autoSpaceDE w:val="0"/>
        <w:autoSpaceDN w:val="0"/>
        <w:adjustRightInd w:val="0"/>
        <w:spacing w:after="240" w:line="360" w:lineRule="auto"/>
        <w:jc w:val="both"/>
        <w:rPr>
          <w:rFonts w:cstheme="minorHAnsi"/>
          <w:color w:val="353838"/>
        </w:rPr>
      </w:pPr>
      <w:r w:rsidRPr="0096164A">
        <w:rPr>
          <w:rFonts w:cstheme="minorHAnsi"/>
          <w:color w:val="353838"/>
        </w:rPr>
        <w:t xml:space="preserve">An example </w:t>
      </w:r>
      <w:r w:rsidRPr="00E86E24">
        <w:rPr>
          <w:rFonts w:cstheme="minorHAnsi"/>
          <w:b/>
          <w:bCs/>
          <w:color w:val="353838"/>
        </w:rPr>
        <w:t>is now provided</w:t>
      </w:r>
      <w:r w:rsidRPr="0096164A">
        <w:rPr>
          <w:rFonts w:cstheme="minorHAnsi"/>
          <w:color w:val="353838"/>
        </w:rPr>
        <w:t xml:space="preserve"> in the new line-scan figure</w:t>
      </w:r>
      <w:r>
        <w:rPr>
          <w:rFonts w:cstheme="minorHAnsi"/>
          <w:color w:val="353838"/>
        </w:rPr>
        <w:t xml:space="preserve"> (Figure 6)</w:t>
      </w:r>
      <w:r w:rsidRPr="0096164A">
        <w:rPr>
          <w:rFonts w:cstheme="minorHAnsi"/>
          <w:color w:val="353838"/>
        </w:rPr>
        <w:t>.</w:t>
      </w:r>
      <w:r w:rsidRPr="00ED1AED">
        <w:rPr>
          <w:rFonts w:cstheme="minorHAnsi"/>
          <w:color w:val="353838"/>
        </w:rPr>
        <w:t xml:space="preserve"> </w:t>
      </w:r>
    </w:p>
    <w:p w14:paraId="6623CAA8" w14:textId="77777777" w:rsidR="00E67FEE" w:rsidRDefault="00E67FEE" w:rsidP="000F3A64">
      <w:pPr>
        <w:shd w:val="clear" w:color="auto" w:fill="D9D9D9" w:themeFill="background1" w:themeFillShade="D9"/>
        <w:autoSpaceDE w:val="0"/>
        <w:autoSpaceDN w:val="0"/>
        <w:adjustRightInd w:val="0"/>
        <w:spacing w:after="0" w:line="360" w:lineRule="auto"/>
        <w:jc w:val="both"/>
        <w:rPr>
          <w:rFonts w:cstheme="minorHAnsi"/>
          <w:color w:val="353838"/>
        </w:rPr>
      </w:pPr>
      <w:r w:rsidRPr="0083458E">
        <w:rPr>
          <w:rFonts w:cstheme="minorHAnsi"/>
          <w:color w:val="353838"/>
        </w:rPr>
        <w:t>Line 525: Some LA-ICP-MS literature say 13C is not a good internal standard. Any comments? also and address this issue?</w:t>
      </w:r>
    </w:p>
    <w:p w14:paraId="06227CCE" w14:textId="77777777" w:rsidR="00E67FEE" w:rsidRDefault="00E67FEE" w:rsidP="005D19F8">
      <w:pPr>
        <w:autoSpaceDE w:val="0"/>
        <w:autoSpaceDN w:val="0"/>
        <w:adjustRightInd w:val="0"/>
        <w:spacing w:after="240" w:line="360" w:lineRule="auto"/>
        <w:jc w:val="both"/>
        <w:rPr>
          <w:rFonts w:cstheme="minorHAnsi"/>
          <w:color w:val="353838"/>
        </w:rPr>
      </w:pPr>
      <w:r w:rsidRPr="00ED1AED">
        <w:rPr>
          <w:rFonts w:cstheme="minorHAnsi"/>
          <w:color w:val="353838"/>
        </w:rPr>
        <w:t xml:space="preserve">Internal standardization of the analyte signals with a stable reference signal can be effective in </w:t>
      </w:r>
      <w:r>
        <w:rPr>
          <w:rFonts w:cstheme="minorHAnsi"/>
          <w:color w:val="353838"/>
        </w:rPr>
        <w:t xml:space="preserve">improving the analytical precision by </w:t>
      </w:r>
      <w:r w:rsidRPr="00ED1AED">
        <w:rPr>
          <w:rFonts w:cstheme="minorHAnsi"/>
          <w:color w:val="353838"/>
        </w:rPr>
        <w:t xml:space="preserve">correcting for temporal changes in the measurement condition and resulting sensitivity drifts. </w:t>
      </w:r>
      <w:r>
        <w:rPr>
          <w:rFonts w:cstheme="minorHAnsi"/>
          <w:color w:val="353838"/>
        </w:rPr>
        <w:t xml:space="preserve">This is particularly important in DGT ablation analysis because </w:t>
      </w:r>
      <w:r>
        <w:rPr>
          <w:rFonts w:cstheme="minorHAnsi"/>
          <w:color w:val="353838"/>
        </w:rPr>
        <w:lastRenderedPageBreak/>
        <w:t>measurement times of individual DGT gels are significant (typically 3-6 h for gel areas of 5-15 cm</w:t>
      </w:r>
      <w:r w:rsidRPr="00406CA0">
        <w:rPr>
          <w:rFonts w:cstheme="minorHAnsi"/>
          <w:color w:val="353838"/>
          <w:vertAlign w:val="superscript"/>
        </w:rPr>
        <w:t>2</w:t>
      </w:r>
      <w:r>
        <w:rPr>
          <w:rFonts w:cstheme="minorHAnsi"/>
          <w:color w:val="353838"/>
        </w:rPr>
        <w:t xml:space="preserve">) and replicate measurements may be performed over the course of several days or weeks. </w:t>
      </w:r>
    </w:p>
    <w:p w14:paraId="741AA248" w14:textId="77777777" w:rsidR="00E67FEE" w:rsidRDefault="00E67FEE" w:rsidP="005D19F8">
      <w:pPr>
        <w:autoSpaceDE w:val="0"/>
        <w:autoSpaceDN w:val="0"/>
        <w:adjustRightInd w:val="0"/>
        <w:spacing w:after="240" w:line="360" w:lineRule="auto"/>
        <w:jc w:val="both"/>
        <w:rPr>
          <w:rFonts w:cstheme="minorHAnsi"/>
          <w:color w:val="353838"/>
        </w:rPr>
      </w:pPr>
      <w:r>
        <w:rPr>
          <w:rFonts w:cstheme="minorHAnsi"/>
          <w:color w:val="353838"/>
        </w:rPr>
        <w:t xml:space="preserve">Carbon is a major component in </w:t>
      </w:r>
      <w:r w:rsidRPr="00ED1AED">
        <w:rPr>
          <w:rFonts w:cstheme="minorHAnsi"/>
          <w:color w:val="353838"/>
        </w:rPr>
        <w:t>biological materials and polymers</w:t>
      </w:r>
      <w:r>
        <w:rPr>
          <w:rFonts w:cstheme="minorHAnsi"/>
          <w:color w:val="353838"/>
        </w:rPr>
        <w:t xml:space="preserve"> and therefore</w:t>
      </w:r>
      <w:r w:rsidRPr="00ED1AED">
        <w:rPr>
          <w:rFonts w:cstheme="minorHAnsi"/>
          <w:color w:val="353838"/>
        </w:rPr>
        <w:t xml:space="preserve"> </w:t>
      </w:r>
      <w:r>
        <w:rPr>
          <w:rFonts w:cstheme="minorHAnsi"/>
          <w:color w:val="353838"/>
        </w:rPr>
        <w:t>one of the</w:t>
      </w:r>
      <w:r w:rsidRPr="00ED1AED">
        <w:rPr>
          <w:rFonts w:cstheme="minorHAnsi"/>
          <w:color w:val="353838"/>
        </w:rPr>
        <w:t xml:space="preserve"> most applied elements for signal normalization in LA-ICP-MS </w:t>
      </w:r>
      <w:r w:rsidRPr="00ED1AED">
        <w:rPr>
          <w:rFonts w:cstheme="minorHAnsi"/>
          <w:noProof/>
          <w:color w:val="353838"/>
        </w:rPr>
        <w:t>(Walas et al., 2014)</w:t>
      </w:r>
      <w:r w:rsidRPr="00ED1AED">
        <w:rPr>
          <w:rFonts w:cstheme="minorHAnsi"/>
          <w:color w:val="353838"/>
        </w:rPr>
        <w:t xml:space="preserve">. In DGT gels, carbon represents </w:t>
      </w:r>
      <w:r>
        <w:rPr>
          <w:rFonts w:cstheme="minorHAnsi"/>
          <w:color w:val="353838"/>
        </w:rPr>
        <w:t>the</w:t>
      </w:r>
      <w:r w:rsidRPr="00ED1AED">
        <w:rPr>
          <w:rFonts w:cstheme="minorHAnsi"/>
          <w:color w:val="353838"/>
        </w:rPr>
        <w:t xml:space="preserve"> major matrix element accounting for ~41 and ~51 mass percent in the polyurethane and polyacrylamide matrix, respectively. </w:t>
      </w:r>
      <w:r>
        <w:rPr>
          <w:rFonts w:cstheme="minorHAnsi"/>
          <w:color w:val="353838"/>
        </w:rPr>
        <w:t>Several studies have demonstrated</w:t>
      </w:r>
      <w:r w:rsidRPr="00ED1AED">
        <w:rPr>
          <w:rFonts w:cstheme="minorHAnsi"/>
          <w:color w:val="353838"/>
        </w:rPr>
        <w:t xml:space="preserve"> that </w:t>
      </w:r>
      <w:r w:rsidRPr="00453118">
        <w:rPr>
          <w:rFonts w:cstheme="minorHAnsi"/>
          <w:color w:val="353838"/>
          <w:vertAlign w:val="superscript"/>
        </w:rPr>
        <w:t>13</w:t>
      </w:r>
      <w:r w:rsidRPr="00ED1AED">
        <w:rPr>
          <w:rFonts w:cstheme="minorHAnsi"/>
          <w:color w:val="353838"/>
        </w:rPr>
        <w:t>C is well applicable for internal normalization in the LA-ICP-MS analysis of the HR-MBG</w:t>
      </w:r>
      <w:r>
        <w:rPr>
          <w:rFonts w:cstheme="minorHAnsi"/>
          <w:color w:val="353838"/>
        </w:rPr>
        <w:t xml:space="preserve"> </w:t>
      </w:r>
      <w:r>
        <w:rPr>
          <w:rFonts w:cstheme="minorHAnsi"/>
          <w:noProof/>
          <w:color w:val="353838"/>
        </w:rPr>
        <w:t>(Kreuzeder et al., 2013; Kreuzeder et al., 2018; Wagner et al., 2020)</w:t>
      </w:r>
      <w:r>
        <w:rPr>
          <w:rFonts w:cstheme="minorHAnsi"/>
          <w:color w:val="353838"/>
        </w:rPr>
        <w:t xml:space="preserve">, HR-ABG </w:t>
      </w:r>
      <w:r>
        <w:rPr>
          <w:rFonts w:cstheme="minorHAnsi"/>
          <w:noProof/>
          <w:color w:val="353838"/>
        </w:rPr>
        <w:t>(Guan et al., 2015)</w:t>
      </w:r>
      <w:r>
        <w:rPr>
          <w:rFonts w:cstheme="minorHAnsi"/>
          <w:color w:val="353838"/>
        </w:rPr>
        <w:t xml:space="preserve"> and</w:t>
      </w:r>
      <w:r w:rsidRPr="00ED1AED">
        <w:rPr>
          <w:rFonts w:cstheme="minorHAnsi"/>
          <w:color w:val="353838"/>
        </w:rPr>
        <w:t xml:space="preserve"> HR-CBG gels</w:t>
      </w:r>
      <w:r>
        <w:rPr>
          <w:rFonts w:cstheme="minorHAnsi"/>
          <w:color w:val="353838"/>
        </w:rPr>
        <w:t xml:space="preserve"> </w:t>
      </w:r>
      <w:r>
        <w:rPr>
          <w:rFonts w:cstheme="minorHAnsi"/>
          <w:noProof/>
          <w:color w:val="353838"/>
        </w:rPr>
        <w:t>(Gao and Lehto, 2012; Lehto et al., 2012; Williams et al., 2014; Hoefer et al., 2015; Lehto et al., 2017)</w:t>
      </w:r>
      <w:r>
        <w:rPr>
          <w:rFonts w:cstheme="minorHAnsi"/>
          <w:color w:val="353838"/>
        </w:rPr>
        <w:t>. The approach gives relative standard deviations (RSD)</w:t>
      </w:r>
      <w:r w:rsidRPr="00ED1AED">
        <w:rPr>
          <w:rFonts w:cstheme="minorHAnsi"/>
          <w:color w:val="353838"/>
        </w:rPr>
        <w:t xml:space="preserve"> </w:t>
      </w:r>
      <w:r w:rsidRPr="00402E51">
        <w:rPr>
          <w:rFonts w:cstheme="minorHAnsi"/>
          <w:color w:val="353838"/>
        </w:rPr>
        <w:t xml:space="preserve">for </w:t>
      </w:r>
      <w:r w:rsidRPr="00402E51">
        <w:rPr>
          <w:rFonts w:cstheme="minorHAnsi"/>
          <w:color w:val="353838"/>
          <w:vertAlign w:val="superscript"/>
        </w:rPr>
        <w:t>13</w:t>
      </w:r>
      <w:r w:rsidRPr="00402E51">
        <w:rPr>
          <w:rFonts w:cstheme="minorHAnsi"/>
          <w:color w:val="353838"/>
        </w:rPr>
        <w:t xml:space="preserve">C over 10 mm line-scan ablations of typically </w:t>
      </w:r>
      <w:r>
        <w:rPr>
          <w:rFonts w:cstheme="minorHAnsi"/>
          <w:color w:val="353838"/>
        </w:rPr>
        <w:t>~</w:t>
      </w:r>
      <w:r w:rsidRPr="00402E51">
        <w:rPr>
          <w:rFonts w:cstheme="minorHAnsi"/>
          <w:color w:val="353838"/>
        </w:rPr>
        <w:t>5%</w:t>
      </w:r>
      <w:r w:rsidRPr="00DE5912">
        <w:rPr>
          <w:rFonts w:cstheme="minorHAnsi"/>
          <w:color w:val="353838"/>
        </w:rPr>
        <w:t xml:space="preserve"> (S. Wagner, J. Santner and T. </w:t>
      </w:r>
      <w:proofErr w:type="spellStart"/>
      <w:r w:rsidRPr="00DE5912">
        <w:rPr>
          <w:rFonts w:cstheme="minorHAnsi"/>
          <w:color w:val="353838"/>
        </w:rPr>
        <w:t>Prohaska</w:t>
      </w:r>
      <w:proofErr w:type="spellEnd"/>
      <w:r w:rsidRPr="00DE5912">
        <w:rPr>
          <w:rFonts w:cstheme="minorHAnsi"/>
          <w:color w:val="353838"/>
        </w:rPr>
        <w:t xml:space="preserve">, </w:t>
      </w:r>
      <w:r>
        <w:rPr>
          <w:rFonts w:cstheme="minorHAnsi"/>
          <w:color w:val="353838"/>
        </w:rPr>
        <w:t>manuscript in preparation</w:t>
      </w:r>
      <w:r w:rsidRPr="00DE5912">
        <w:rPr>
          <w:rFonts w:cstheme="minorHAnsi"/>
          <w:color w:val="353838"/>
        </w:rPr>
        <w:t>)</w:t>
      </w:r>
      <w:r>
        <w:rPr>
          <w:rFonts w:cstheme="minorHAnsi"/>
          <w:color w:val="353838"/>
        </w:rPr>
        <w:t xml:space="preserve">. </w:t>
      </w:r>
    </w:p>
    <w:p w14:paraId="3CD08DE1" w14:textId="77777777" w:rsidR="00E67FEE" w:rsidRDefault="00E67FEE" w:rsidP="005D19F8">
      <w:pPr>
        <w:autoSpaceDE w:val="0"/>
        <w:autoSpaceDN w:val="0"/>
        <w:adjustRightInd w:val="0"/>
        <w:spacing w:after="240" w:line="360" w:lineRule="auto"/>
        <w:jc w:val="both"/>
        <w:rPr>
          <w:rFonts w:cstheme="minorHAnsi"/>
          <w:color w:val="353838"/>
        </w:rPr>
      </w:pPr>
      <w:r>
        <w:rPr>
          <w:rFonts w:cstheme="minorHAnsi"/>
          <w:color w:val="353838"/>
        </w:rPr>
        <w:t xml:space="preserve">An alternative approach is to use dual-layer DGT gels where a second gel layer underneath the actual sample gel is loaded with known amounts of internal standard elements </w:t>
      </w:r>
      <w:r>
        <w:rPr>
          <w:rFonts w:cstheme="minorHAnsi"/>
          <w:noProof/>
          <w:color w:val="353838"/>
        </w:rPr>
        <w:t>(Warnken et al., 2004a)</w:t>
      </w:r>
      <w:r>
        <w:rPr>
          <w:rFonts w:cstheme="minorHAnsi"/>
          <w:color w:val="353838"/>
        </w:rPr>
        <w:t xml:space="preserve">. Laser parameters are adjusted to ensure penetration of the laser beam through the first gel layer and thus ablation of both gel layers simultaneously. Using this approach, </w:t>
      </w:r>
      <w:r>
        <w:rPr>
          <w:rFonts w:cstheme="minorHAnsi"/>
          <w:noProof/>
          <w:color w:val="353838"/>
        </w:rPr>
        <w:t>Warnken et al. (2004a)</w:t>
      </w:r>
      <w:r>
        <w:rPr>
          <w:rFonts w:cstheme="minorHAnsi"/>
          <w:color w:val="353838"/>
        </w:rPr>
        <w:t xml:space="preserve"> evaluated the use of Sc, In, Ba, La, Ce and Tb as internal standards. Of the investigated elements, Ba showed the best precision (≤10%) but could not be used as an internal standard due to its relatively high and variable presence in natural soils and sediments. Therefore, </w:t>
      </w:r>
      <w:r w:rsidRPr="00406CA0">
        <w:rPr>
          <w:rFonts w:cstheme="minorHAnsi"/>
          <w:color w:val="353838"/>
          <w:vertAlign w:val="superscript"/>
        </w:rPr>
        <w:t>115</w:t>
      </w:r>
      <w:r>
        <w:rPr>
          <w:rFonts w:cstheme="minorHAnsi"/>
          <w:color w:val="353838"/>
        </w:rPr>
        <w:t>In was applied for internal standardization,</w:t>
      </w:r>
      <w:r w:rsidRPr="00CB4A6E">
        <w:rPr>
          <w:rFonts w:cstheme="minorHAnsi"/>
          <w:color w:val="353838"/>
        </w:rPr>
        <w:t xml:space="preserve"> </w:t>
      </w:r>
      <w:r>
        <w:rPr>
          <w:rFonts w:cstheme="minorHAnsi"/>
          <w:color w:val="353838"/>
        </w:rPr>
        <w:t xml:space="preserve">showing a substantially higher RSD (~10%) compared to </w:t>
      </w:r>
      <w:r w:rsidRPr="00CB4A6E">
        <w:rPr>
          <w:rFonts w:cstheme="minorHAnsi"/>
          <w:color w:val="353838"/>
          <w:vertAlign w:val="superscript"/>
        </w:rPr>
        <w:t>13</w:t>
      </w:r>
      <w:r>
        <w:rPr>
          <w:rFonts w:cstheme="minorHAnsi"/>
          <w:color w:val="353838"/>
        </w:rPr>
        <w:t xml:space="preserve">C, indicating that the preparation of spiked dual-layer DGT gels is unnecessarily complex. Moreover, the dual-layer DGT approach requires spot ablation to ensure penetration through the sample gel into the internal standard gel. Line-scan ablation is not possible, thereby leading to a decreased lateral resolution, decreased sensitivity, increased limits of detection and a 30% increase of the measurement time and gas consumption of the analysis </w:t>
      </w:r>
      <w:r>
        <w:rPr>
          <w:rFonts w:cstheme="minorHAnsi"/>
          <w:noProof/>
          <w:color w:val="353838"/>
        </w:rPr>
        <w:t>(Gao and Lehto, 2012)</w:t>
      </w:r>
      <w:r>
        <w:rPr>
          <w:rFonts w:cstheme="minorHAnsi"/>
          <w:color w:val="353838"/>
        </w:rPr>
        <w:t xml:space="preserve">. Moreover, the introduction of additional sample preparation steps will generate additional sources of uncertainty in DGT ablation analysis. </w:t>
      </w:r>
    </w:p>
    <w:p w14:paraId="27DFD5F8" w14:textId="77777777" w:rsidR="00E67FEE" w:rsidRDefault="00E67FEE" w:rsidP="005D19F8">
      <w:pPr>
        <w:autoSpaceDE w:val="0"/>
        <w:autoSpaceDN w:val="0"/>
        <w:adjustRightInd w:val="0"/>
        <w:spacing w:after="240" w:line="360" w:lineRule="auto"/>
        <w:jc w:val="both"/>
        <w:rPr>
          <w:rFonts w:cstheme="minorHAnsi"/>
          <w:color w:val="353838"/>
        </w:rPr>
      </w:pPr>
      <w:r>
        <w:rPr>
          <w:rFonts w:cstheme="minorHAnsi"/>
          <w:color w:val="353838"/>
        </w:rPr>
        <w:t xml:space="preserve">In conclusion, internal normalization using </w:t>
      </w:r>
      <w:r w:rsidRPr="009B3B75">
        <w:rPr>
          <w:rFonts w:cstheme="minorHAnsi"/>
          <w:color w:val="353838"/>
          <w:vertAlign w:val="superscript"/>
        </w:rPr>
        <w:t>13</w:t>
      </w:r>
      <w:r>
        <w:rPr>
          <w:rFonts w:cstheme="minorHAnsi"/>
          <w:color w:val="353838"/>
        </w:rPr>
        <w:t xml:space="preserve">C is the method of choice in high resolution DGT LA-ICP-MS analysis to date. The different approaches for internal normalization in DGT LA-ICP-MS analysis have been discussed in detail in previous reviews on the DGT LA-ICP-MS technique </w:t>
      </w:r>
      <w:r>
        <w:rPr>
          <w:rFonts w:cstheme="minorHAnsi"/>
          <w:noProof/>
          <w:color w:val="353838"/>
        </w:rPr>
        <w:t>(Santner et al., 2015; Santner and Williams, 2016)</w:t>
      </w:r>
      <w:r>
        <w:rPr>
          <w:rFonts w:cstheme="minorHAnsi"/>
          <w:color w:val="353838"/>
        </w:rPr>
        <w:t>. We therefore prefer not to re-address this issue in this method protocol.</w:t>
      </w:r>
    </w:p>
    <w:p w14:paraId="51204DC7" w14:textId="77777777" w:rsidR="00E67FEE" w:rsidRDefault="00E67FEE" w:rsidP="000F3A64">
      <w:pPr>
        <w:shd w:val="clear" w:color="auto" w:fill="D9D9D9" w:themeFill="background1" w:themeFillShade="D9"/>
        <w:autoSpaceDE w:val="0"/>
        <w:autoSpaceDN w:val="0"/>
        <w:adjustRightInd w:val="0"/>
        <w:spacing w:after="0" w:line="360" w:lineRule="auto"/>
        <w:jc w:val="both"/>
        <w:rPr>
          <w:rFonts w:cstheme="minorHAnsi"/>
          <w:color w:val="353838"/>
        </w:rPr>
      </w:pPr>
      <w:r w:rsidRPr="0083458E">
        <w:rPr>
          <w:rFonts w:cstheme="minorHAnsi"/>
          <w:color w:val="353838"/>
        </w:rPr>
        <w:t>Line 560-561: Why explain? How to minimize these laser fluency</w:t>
      </w:r>
      <w:r>
        <w:rPr>
          <w:rFonts w:cstheme="minorHAnsi"/>
          <w:color w:val="353838"/>
        </w:rPr>
        <w:t xml:space="preserve"> </w:t>
      </w:r>
      <w:r w:rsidRPr="0083458E">
        <w:rPr>
          <w:rFonts w:cstheme="minorHAnsi"/>
          <w:color w:val="353838"/>
        </w:rPr>
        <w:t>variations? Explain to the audience.</w:t>
      </w:r>
    </w:p>
    <w:p w14:paraId="5F54BE75" w14:textId="77777777" w:rsidR="00E67FEE" w:rsidRPr="00660A93" w:rsidRDefault="00E67FEE" w:rsidP="008241CA">
      <w:pPr>
        <w:autoSpaceDE w:val="0"/>
        <w:autoSpaceDN w:val="0"/>
        <w:adjustRightInd w:val="0"/>
        <w:spacing w:after="240" w:line="360" w:lineRule="auto"/>
        <w:jc w:val="both"/>
        <w:rPr>
          <w:rFonts w:cstheme="minorHAnsi"/>
          <w:color w:val="353838"/>
        </w:rPr>
      </w:pPr>
      <w:r w:rsidRPr="008241CA">
        <w:rPr>
          <w:rFonts w:cstheme="minorHAnsi"/>
          <w:color w:val="353838"/>
        </w:rPr>
        <w:t>The laser fluenc</w:t>
      </w:r>
      <w:r>
        <w:rPr>
          <w:rFonts w:cstheme="minorHAnsi"/>
          <w:color w:val="353838"/>
        </w:rPr>
        <w:t>e</w:t>
      </w:r>
      <w:r w:rsidRPr="008241CA">
        <w:rPr>
          <w:rFonts w:cstheme="minorHAnsi"/>
          <w:color w:val="353838"/>
        </w:rPr>
        <w:t>, or energy density, is the tota</w:t>
      </w:r>
      <w:r>
        <w:rPr>
          <w:rFonts w:cstheme="minorHAnsi"/>
          <w:color w:val="353838"/>
        </w:rPr>
        <w:t>l</w:t>
      </w:r>
      <w:r w:rsidRPr="008241CA">
        <w:rPr>
          <w:rFonts w:cstheme="minorHAnsi"/>
          <w:color w:val="353838"/>
        </w:rPr>
        <w:t xml:space="preserve"> energy </w:t>
      </w:r>
      <w:r>
        <w:rPr>
          <w:rFonts w:cstheme="minorHAnsi"/>
          <w:color w:val="353838"/>
        </w:rPr>
        <w:t>contained within the laser light per unit area (J cm</w:t>
      </w:r>
      <w:r w:rsidRPr="00DB5871">
        <w:rPr>
          <w:rFonts w:cstheme="minorHAnsi"/>
          <w:color w:val="353838"/>
          <w:vertAlign w:val="superscript"/>
        </w:rPr>
        <w:t>-2</w:t>
      </w:r>
      <w:r>
        <w:rPr>
          <w:rFonts w:cstheme="minorHAnsi"/>
          <w:color w:val="353838"/>
        </w:rPr>
        <w:t xml:space="preserve">) and thus determines the energy </w:t>
      </w:r>
      <w:r w:rsidRPr="008241CA">
        <w:rPr>
          <w:rFonts w:cstheme="minorHAnsi"/>
          <w:color w:val="353838"/>
        </w:rPr>
        <w:t>arriving at the sample surface. The stability of the laser fluenc</w:t>
      </w:r>
      <w:r>
        <w:rPr>
          <w:rFonts w:cstheme="minorHAnsi"/>
          <w:color w:val="353838"/>
        </w:rPr>
        <w:t>e</w:t>
      </w:r>
      <w:r w:rsidRPr="008241CA">
        <w:rPr>
          <w:rFonts w:cstheme="minorHAnsi"/>
          <w:color w:val="353838"/>
        </w:rPr>
        <w:t xml:space="preserve"> </w:t>
      </w:r>
      <w:r w:rsidRPr="008241CA">
        <w:rPr>
          <w:rFonts w:cstheme="minorHAnsi"/>
          <w:color w:val="353838"/>
        </w:rPr>
        <w:lastRenderedPageBreak/>
        <w:t xml:space="preserve">thereby directly reflects the stability of the material ablation process, i.e. the higher the variation in laser fluency, the higher the variation in the amount of ablated material. </w:t>
      </w:r>
      <w:r>
        <w:rPr>
          <w:rFonts w:cstheme="minorHAnsi"/>
          <w:color w:val="353838"/>
        </w:rPr>
        <w:t xml:space="preserve">If the laser fluency would be highly variable, this would either indicate a degraded laser source and/or mirror system, leading to variable energy densities arriving at the sample surface. Laser fluency variations can be effectively minimized by regular technical service of the laser source and mirror system. </w:t>
      </w:r>
      <w:r w:rsidRPr="0034605F">
        <w:rPr>
          <w:rFonts w:cstheme="minorHAnsi"/>
          <w:color w:val="353838"/>
        </w:rPr>
        <w:t xml:space="preserve">To provide this context for the reader, </w:t>
      </w:r>
      <w:r w:rsidRPr="0034605F">
        <w:rPr>
          <w:rFonts w:cstheme="minorHAnsi"/>
          <w:b/>
          <w:bCs/>
          <w:color w:val="353838"/>
        </w:rPr>
        <w:t>we added the following sentence</w:t>
      </w:r>
      <w:r w:rsidRPr="0034605F">
        <w:rPr>
          <w:rFonts w:cstheme="minorHAnsi"/>
          <w:color w:val="353838"/>
        </w:rPr>
        <w:t xml:space="preserve"> to the protocol, lines 566-568</w:t>
      </w:r>
      <w:r>
        <w:rPr>
          <w:rFonts w:cstheme="minorHAnsi"/>
          <w:color w:val="353838"/>
        </w:rPr>
        <w:t>: “</w:t>
      </w:r>
      <w:r w:rsidRPr="00660A93">
        <w:rPr>
          <w:rFonts w:cstheme="minorHAnsi"/>
          <w:i/>
          <w:iCs/>
          <w:color w:val="353838"/>
        </w:rPr>
        <w:t>4.2.15. Monitor the laser fluenc</w:t>
      </w:r>
      <w:r>
        <w:rPr>
          <w:rFonts w:cstheme="minorHAnsi"/>
          <w:i/>
          <w:iCs/>
          <w:color w:val="353838"/>
        </w:rPr>
        <w:t>e</w:t>
      </w:r>
      <w:r w:rsidRPr="00660A93">
        <w:rPr>
          <w:rFonts w:cstheme="minorHAnsi"/>
          <w:i/>
          <w:iCs/>
          <w:color w:val="353838"/>
        </w:rPr>
        <w:t xml:space="preserve"> (J cm-2) during analysis to assess the laser stability. If the </w:t>
      </w:r>
      <w:r>
        <w:rPr>
          <w:rFonts w:cstheme="minorHAnsi"/>
          <w:i/>
          <w:iCs/>
          <w:color w:val="353838"/>
        </w:rPr>
        <w:t>fluence</w:t>
      </w:r>
      <w:r w:rsidRPr="00660A93">
        <w:rPr>
          <w:rFonts w:cstheme="minorHAnsi"/>
          <w:i/>
          <w:iCs/>
          <w:color w:val="353838"/>
        </w:rPr>
        <w:t xml:space="preserve"> varies </w:t>
      </w:r>
      <w:r>
        <w:rPr>
          <w:rFonts w:cstheme="minorHAnsi"/>
          <w:i/>
          <w:iCs/>
          <w:color w:val="353838"/>
        </w:rPr>
        <w:t>largely</w:t>
      </w:r>
      <w:r w:rsidRPr="00660A93">
        <w:rPr>
          <w:rFonts w:cstheme="minorHAnsi"/>
          <w:i/>
          <w:iCs/>
          <w:color w:val="353838"/>
        </w:rPr>
        <w:t>,</w:t>
      </w:r>
      <w:r>
        <w:rPr>
          <w:rFonts w:cstheme="minorHAnsi"/>
          <w:i/>
          <w:iCs/>
          <w:color w:val="353838"/>
        </w:rPr>
        <w:t xml:space="preserve"> abort the analysis and</w:t>
      </w:r>
      <w:r w:rsidRPr="00660A93">
        <w:rPr>
          <w:rFonts w:cstheme="minorHAnsi"/>
          <w:i/>
          <w:iCs/>
          <w:color w:val="353838"/>
        </w:rPr>
        <w:t xml:space="preserve"> verify that the laser source and/or its mirror system are fully functional.</w:t>
      </w:r>
      <w:r>
        <w:rPr>
          <w:rFonts w:cstheme="minorHAnsi"/>
          <w:color w:val="353838"/>
        </w:rPr>
        <w:t>”</w:t>
      </w:r>
    </w:p>
    <w:p w14:paraId="511B6F4F" w14:textId="77777777" w:rsidR="00E67FEE" w:rsidRDefault="00E67FEE" w:rsidP="000F3A64">
      <w:pPr>
        <w:shd w:val="clear" w:color="auto" w:fill="D9D9D9" w:themeFill="background1" w:themeFillShade="D9"/>
        <w:autoSpaceDE w:val="0"/>
        <w:autoSpaceDN w:val="0"/>
        <w:adjustRightInd w:val="0"/>
        <w:spacing w:after="0" w:line="360" w:lineRule="auto"/>
        <w:jc w:val="both"/>
        <w:rPr>
          <w:rFonts w:cstheme="minorHAnsi"/>
          <w:color w:val="353838"/>
        </w:rPr>
      </w:pPr>
      <w:r w:rsidRPr="0083458E">
        <w:rPr>
          <w:rFonts w:cstheme="minorHAnsi"/>
          <w:color w:val="353838"/>
        </w:rPr>
        <w:t>Line 588: ... intensity ratio... This ratio is a unitless (a dimensionless quantity) parameter</w:t>
      </w:r>
    </w:p>
    <w:p w14:paraId="248A1D9E" w14:textId="77777777" w:rsidR="00E67FEE" w:rsidRPr="008241CA" w:rsidRDefault="00E67FEE" w:rsidP="008241CA">
      <w:pPr>
        <w:autoSpaceDE w:val="0"/>
        <w:autoSpaceDN w:val="0"/>
        <w:adjustRightInd w:val="0"/>
        <w:spacing w:after="240" w:line="360" w:lineRule="auto"/>
        <w:jc w:val="both"/>
        <w:rPr>
          <w:rFonts w:cstheme="minorHAnsi"/>
          <w:color w:val="353838"/>
        </w:rPr>
      </w:pPr>
      <w:r w:rsidRPr="008241CA">
        <w:rPr>
          <w:rFonts w:cstheme="minorHAnsi"/>
          <w:color w:val="353838"/>
        </w:rPr>
        <w:t xml:space="preserve">Thank you, the unit was </w:t>
      </w:r>
      <w:r w:rsidRPr="00E86E24">
        <w:rPr>
          <w:rFonts w:cstheme="minorHAnsi"/>
          <w:b/>
          <w:bCs/>
          <w:color w:val="353838"/>
        </w:rPr>
        <w:t>removed</w:t>
      </w:r>
      <w:r w:rsidRPr="008241CA">
        <w:rPr>
          <w:rFonts w:cstheme="minorHAnsi"/>
          <w:color w:val="353838"/>
        </w:rPr>
        <w:t>.</w:t>
      </w:r>
    </w:p>
    <w:p w14:paraId="619EE9CC" w14:textId="77777777" w:rsidR="00E67FEE" w:rsidRDefault="00E67FEE" w:rsidP="000F3A64">
      <w:pPr>
        <w:shd w:val="clear" w:color="auto" w:fill="D9D9D9" w:themeFill="background1" w:themeFillShade="D9"/>
        <w:autoSpaceDE w:val="0"/>
        <w:autoSpaceDN w:val="0"/>
        <w:adjustRightInd w:val="0"/>
        <w:spacing w:after="0" w:line="360" w:lineRule="auto"/>
        <w:jc w:val="both"/>
        <w:rPr>
          <w:rFonts w:cstheme="minorHAnsi"/>
          <w:color w:val="353838"/>
        </w:rPr>
      </w:pPr>
      <w:r w:rsidRPr="0083458E">
        <w:rPr>
          <w:rFonts w:cstheme="minorHAnsi"/>
          <w:color w:val="353838"/>
        </w:rPr>
        <w:t>Line 589: …compute the calibration function (y =ax + b) using a linear regression…</w:t>
      </w:r>
    </w:p>
    <w:p w14:paraId="287C282E" w14:textId="77777777" w:rsidR="00E67FEE" w:rsidRPr="008241CA" w:rsidRDefault="00E67FEE" w:rsidP="008241CA">
      <w:pPr>
        <w:autoSpaceDE w:val="0"/>
        <w:autoSpaceDN w:val="0"/>
        <w:adjustRightInd w:val="0"/>
        <w:spacing w:after="240" w:line="360" w:lineRule="auto"/>
        <w:jc w:val="both"/>
        <w:rPr>
          <w:rFonts w:cstheme="minorHAnsi"/>
          <w:color w:val="353838"/>
        </w:rPr>
      </w:pPr>
      <w:r w:rsidRPr="008241CA">
        <w:rPr>
          <w:rFonts w:cstheme="minorHAnsi"/>
          <w:color w:val="353838"/>
        </w:rPr>
        <w:t>Thank you, “(</w:t>
      </w:r>
      <w:r w:rsidRPr="008241CA">
        <w:rPr>
          <w:rFonts w:cstheme="minorHAnsi"/>
          <w:i/>
          <w:iCs/>
          <w:color w:val="353838"/>
        </w:rPr>
        <w:t>y</w:t>
      </w:r>
      <w:r w:rsidRPr="008241CA">
        <w:rPr>
          <w:rFonts w:cstheme="minorHAnsi"/>
          <w:color w:val="353838"/>
        </w:rPr>
        <w:t xml:space="preserve"> = </w:t>
      </w:r>
      <w:r w:rsidRPr="008241CA">
        <w:rPr>
          <w:rFonts w:cstheme="minorHAnsi"/>
          <w:i/>
          <w:iCs/>
          <w:color w:val="353838"/>
        </w:rPr>
        <w:t>ax</w:t>
      </w:r>
      <w:r w:rsidRPr="008241CA">
        <w:rPr>
          <w:rFonts w:cstheme="minorHAnsi"/>
          <w:color w:val="353838"/>
        </w:rPr>
        <w:t xml:space="preserve"> + </w:t>
      </w:r>
      <w:r w:rsidRPr="008241CA">
        <w:rPr>
          <w:rFonts w:cstheme="minorHAnsi"/>
          <w:i/>
          <w:iCs/>
          <w:color w:val="353838"/>
        </w:rPr>
        <w:t>b</w:t>
      </w:r>
      <w:r w:rsidRPr="008241CA">
        <w:rPr>
          <w:rFonts w:cstheme="minorHAnsi"/>
          <w:color w:val="353838"/>
        </w:rPr>
        <w:t xml:space="preserve">)” was </w:t>
      </w:r>
      <w:r w:rsidRPr="00E86E24">
        <w:rPr>
          <w:rFonts w:cstheme="minorHAnsi"/>
          <w:b/>
          <w:bCs/>
          <w:color w:val="353838"/>
        </w:rPr>
        <w:t>added</w:t>
      </w:r>
      <w:r w:rsidRPr="008241CA">
        <w:rPr>
          <w:rFonts w:cstheme="minorHAnsi"/>
          <w:color w:val="353838"/>
        </w:rPr>
        <w:t>.</w:t>
      </w:r>
    </w:p>
    <w:p w14:paraId="3E1E23DC" w14:textId="77777777" w:rsidR="00E67FEE" w:rsidRDefault="00E67FEE" w:rsidP="000F3A64">
      <w:pPr>
        <w:shd w:val="clear" w:color="auto" w:fill="D9D9D9" w:themeFill="background1" w:themeFillShade="D9"/>
        <w:autoSpaceDE w:val="0"/>
        <w:autoSpaceDN w:val="0"/>
        <w:adjustRightInd w:val="0"/>
        <w:spacing w:after="0" w:line="360" w:lineRule="auto"/>
        <w:jc w:val="both"/>
        <w:rPr>
          <w:rFonts w:cstheme="minorHAnsi"/>
          <w:color w:val="353838"/>
        </w:rPr>
      </w:pPr>
      <w:r w:rsidRPr="0083458E">
        <w:rPr>
          <w:rFonts w:cstheme="minorHAnsi"/>
          <w:color w:val="353838"/>
        </w:rPr>
        <w:t>Line 594: … notice cps cps-1 cancels out! Thus, a unitless parameter_ Fix.</w:t>
      </w:r>
    </w:p>
    <w:p w14:paraId="25527CC6" w14:textId="77777777" w:rsidR="00E67FEE" w:rsidRPr="008241CA" w:rsidRDefault="00E67FEE" w:rsidP="008241CA">
      <w:pPr>
        <w:autoSpaceDE w:val="0"/>
        <w:autoSpaceDN w:val="0"/>
        <w:adjustRightInd w:val="0"/>
        <w:spacing w:after="240" w:line="360" w:lineRule="auto"/>
        <w:jc w:val="both"/>
        <w:rPr>
          <w:rFonts w:cstheme="minorHAnsi"/>
          <w:color w:val="353838"/>
        </w:rPr>
      </w:pPr>
      <w:r w:rsidRPr="008241CA">
        <w:rPr>
          <w:rFonts w:cstheme="minorHAnsi"/>
          <w:color w:val="353838"/>
        </w:rPr>
        <w:t xml:space="preserve">Thank you, the unit was </w:t>
      </w:r>
      <w:r w:rsidRPr="00E86E24">
        <w:rPr>
          <w:rFonts w:cstheme="minorHAnsi"/>
          <w:b/>
          <w:bCs/>
          <w:color w:val="353838"/>
        </w:rPr>
        <w:t>removed</w:t>
      </w:r>
      <w:r w:rsidRPr="008241CA">
        <w:rPr>
          <w:rFonts w:cstheme="minorHAnsi"/>
          <w:color w:val="353838"/>
        </w:rPr>
        <w:t>.</w:t>
      </w:r>
    </w:p>
    <w:p w14:paraId="68898734" w14:textId="77777777" w:rsidR="00E67FEE" w:rsidRDefault="00E67FEE" w:rsidP="000F3A64">
      <w:pPr>
        <w:shd w:val="clear" w:color="auto" w:fill="D9D9D9" w:themeFill="background1" w:themeFillShade="D9"/>
        <w:autoSpaceDE w:val="0"/>
        <w:autoSpaceDN w:val="0"/>
        <w:adjustRightInd w:val="0"/>
        <w:spacing w:after="0" w:line="360" w:lineRule="auto"/>
        <w:jc w:val="both"/>
        <w:rPr>
          <w:rFonts w:cstheme="minorHAnsi"/>
          <w:color w:val="353838"/>
        </w:rPr>
      </w:pPr>
      <w:r w:rsidRPr="0083458E">
        <w:rPr>
          <w:rFonts w:cstheme="minorHAnsi"/>
          <w:color w:val="353838"/>
        </w:rPr>
        <w:t>Line 615-618: Include a cartoon of this scan depicting these dimensions and conditions.</w:t>
      </w:r>
    </w:p>
    <w:p w14:paraId="7F14B678" w14:textId="77777777" w:rsidR="00E67FEE" w:rsidRPr="0039322B" w:rsidRDefault="00E67FEE" w:rsidP="008241CA">
      <w:pPr>
        <w:autoSpaceDE w:val="0"/>
        <w:autoSpaceDN w:val="0"/>
        <w:adjustRightInd w:val="0"/>
        <w:spacing w:after="240" w:line="360" w:lineRule="auto"/>
        <w:jc w:val="both"/>
        <w:rPr>
          <w:rFonts w:cstheme="minorHAnsi"/>
          <w:color w:val="353838"/>
        </w:rPr>
      </w:pPr>
      <w:r w:rsidRPr="00E86E24">
        <w:rPr>
          <w:rFonts w:cstheme="minorHAnsi"/>
          <w:b/>
          <w:bCs/>
          <w:color w:val="353838"/>
        </w:rPr>
        <w:t>A line-scan cartoon figure (Figure 6) w</w:t>
      </w:r>
      <w:r w:rsidRPr="00F7789B">
        <w:rPr>
          <w:rFonts w:cstheme="minorHAnsi"/>
          <w:b/>
          <w:bCs/>
          <w:color w:val="353838"/>
        </w:rPr>
        <w:t>as added</w:t>
      </w:r>
      <w:r w:rsidRPr="0039322B">
        <w:rPr>
          <w:rFonts w:cstheme="minorHAnsi"/>
          <w:color w:val="353838"/>
        </w:rPr>
        <w:t xml:space="preserve">. The dimensions and conditions in the text were slightly adapted to match with those shown in Figure 6. </w:t>
      </w:r>
    </w:p>
    <w:p w14:paraId="58A91EF7" w14:textId="77777777" w:rsidR="00E67FEE" w:rsidRPr="0083458E" w:rsidRDefault="00E67FEE" w:rsidP="000F3A64">
      <w:pPr>
        <w:shd w:val="clear" w:color="auto" w:fill="D9D9D9" w:themeFill="background1" w:themeFillShade="D9"/>
        <w:autoSpaceDE w:val="0"/>
        <w:autoSpaceDN w:val="0"/>
        <w:adjustRightInd w:val="0"/>
        <w:spacing w:after="0" w:line="360" w:lineRule="auto"/>
        <w:jc w:val="both"/>
        <w:rPr>
          <w:rFonts w:cstheme="minorHAnsi"/>
          <w:color w:val="353838"/>
        </w:rPr>
      </w:pPr>
      <w:r w:rsidRPr="0083458E">
        <w:rPr>
          <w:rFonts w:cstheme="minorHAnsi"/>
          <w:color w:val="353838"/>
        </w:rPr>
        <w:t>Representative Results/Discussion</w:t>
      </w:r>
    </w:p>
    <w:p w14:paraId="6B15CFDB" w14:textId="77777777" w:rsidR="00E67FEE" w:rsidRPr="0083458E" w:rsidRDefault="00E67FEE" w:rsidP="000F3A64">
      <w:pPr>
        <w:shd w:val="clear" w:color="auto" w:fill="D9D9D9" w:themeFill="background1" w:themeFillShade="D9"/>
        <w:autoSpaceDE w:val="0"/>
        <w:autoSpaceDN w:val="0"/>
        <w:adjustRightInd w:val="0"/>
        <w:spacing w:after="0" w:line="360" w:lineRule="auto"/>
        <w:jc w:val="both"/>
        <w:rPr>
          <w:rFonts w:cstheme="minorHAnsi"/>
          <w:color w:val="353838"/>
        </w:rPr>
      </w:pPr>
      <w:r w:rsidRPr="0083458E">
        <w:rPr>
          <w:rFonts w:cstheme="minorHAnsi"/>
          <w:color w:val="353838"/>
        </w:rPr>
        <w:t>Although, it appears that the material has been presented in various publications previously but this is a good discussion for a "how</w:t>
      </w:r>
      <w:r>
        <w:rPr>
          <w:rFonts w:cstheme="minorHAnsi"/>
          <w:color w:val="353838"/>
        </w:rPr>
        <w:t xml:space="preserve"> </w:t>
      </w:r>
      <w:r w:rsidRPr="0083458E">
        <w:rPr>
          <w:rFonts w:cstheme="minorHAnsi"/>
          <w:color w:val="353838"/>
        </w:rPr>
        <w:t>to do type video journal article." It also discusses advantages, limitations,</w:t>
      </w:r>
      <w:r>
        <w:rPr>
          <w:rFonts w:cstheme="minorHAnsi"/>
          <w:color w:val="353838"/>
        </w:rPr>
        <w:t xml:space="preserve"> </w:t>
      </w:r>
      <w:r w:rsidRPr="0083458E">
        <w:rPr>
          <w:rFonts w:cstheme="minorHAnsi"/>
          <w:color w:val="353838"/>
        </w:rPr>
        <w:t>artifacts and practical hints to improve rhizotron studies,</w:t>
      </w:r>
      <w:r>
        <w:rPr>
          <w:rFonts w:cstheme="minorHAnsi"/>
          <w:color w:val="353838"/>
        </w:rPr>
        <w:t xml:space="preserve"> </w:t>
      </w:r>
      <w:r w:rsidRPr="0083458E">
        <w:rPr>
          <w:rFonts w:cstheme="minorHAnsi"/>
          <w:color w:val="353838"/>
        </w:rPr>
        <w:t>including potential pitfalls.</w:t>
      </w:r>
    </w:p>
    <w:p w14:paraId="3ED3F480" w14:textId="77777777" w:rsidR="00E67FEE" w:rsidRDefault="00E67FEE" w:rsidP="000F3A64">
      <w:pPr>
        <w:shd w:val="clear" w:color="auto" w:fill="D9D9D9" w:themeFill="background1" w:themeFillShade="D9"/>
        <w:autoSpaceDE w:val="0"/>
        <w:autoSpaceDN w:val="0"/>
        <w:adjustRightInd w:val="0"/>
        <w:spacing w:after="0" w:line="360" w:lineRule="auto"/>
        <w:jc w:val="both"/>
        <w:rPr>
          <w:rFonts w:cstheme="minorHAnsi"/>
          <w:color w:val="353838"/>
        </w:rPr>
      </w:pPr>
      <w:r w:rsidRPr="0083458E">
        <w:rPr>
          <w:rFonts w:cstheme="minorHAnsi"/>
          <w:color w:val="353838"/>
        </w:rPr>
        <w:t>Line 859: Correct this dimensionless parameter: Pb images show 13C-normalized intensity ratio (cps cps-1).</w:t>
      </w:r>
    </w:p>
    <w:p w14:paraId="6457BAB9" w14:textId="77777777" w:rsidR="00E67FEE" w:rsidRPr="00F443CD" w:rsidRDefault="00E67FEE" w:rsidP="00F443CD">
      <w:pPr>
        <w:autoSpaceDE w:val="0"/>
        <w:autoSpaceDN w:val="0"/>
        <w:adjustRightInd w:val="0"/>
        <w:spacing w:after="240" w:line="360" w:lineRule="auto"/>
        <w:jc w:val="both"/>
        <w:rPr>
          <w:rFonts w:cstheme="minorHAnsi"/>
          <w:color w:val="353838"/>
        </w:rPr>
      </w:pPr>
      <w:r w:rsidRPr="00F443CD">
        <w:rPr>
          <w:rFonts w:cstheme="minorHAnsi"/>
          <w:color w:val="353838"/>
        </w:rPr>
        <w:t xml:space="preserve">Thank you, the unit was </w:t>
      </w:r>
      <w:r w:rsidRPr="004A2C01">
        <w:rPr>
          <w:rFonts w:cstheme="minorHAnsi"/>
          <w:b/>
          <w:bCs/>
          <w:color w:val="353838"/>
        </w:rPr>
        <w:t>removed</w:t>
      </w:r>
      <w:r w:rsidRPr="00F443CD">
        <w:rPr>
          <w:rFonts w:cstheme="minorHAnsi"/>
          <w:color w:val="353838"/>
        </w:rPr>
        <w:t>.</w:t>
      </w:r>
    </w:p>
    <w:p w14:paraId="14A33E73" w14:textId="77777777" w:rsidR="00E67FEE" w:rsidRDefault="00E67FEE" w:rsidP="000F3A64">
      <w:pPr>
        <w:shd w:val="clear" w:color="auto" w:fill="D9D9D9" w:themeFill="background1" w:themeFillShade="D9"/>
        <w:autoSpaceDE w:val="0"/>
        <w:autoSpaceDN w:val="0"/>
        <w:adjustRightInd w:val="0"/>
        <w:spacing w:after="0" w:line="360" w:lineRule="auto"/>
        <w:jc w:val="both"/>
        <w:rPr>
          <w:rFonts w:cstheme="minorHAnsi"/>
          <w:color w:val="353838"/>
        </w:rPr>
      </w:pPr>
      <w:r w:rsidRPr="0083458E">
        <w:rPr>
          <w:rFonts w:cstheme="minorHAnsi"/>
          <w:color w:val="353838"/>
        </w:rPr>
        <w:t>Line 861; include copyright clearance numbers and</w:t>
      </w:r>
      <w:r>
        <w:rPr>
          <w:rFonts w:cstheme="minorHAnsi"/>
          <w:color w:val="353838"/>
        </w:rPr>
        <w:t xml:space="preserve"> </w:t>
      </w:r>
      <w:r w:rsidRPr="0083458E">
        <w:rPr>
          <w:rFonts w:cstheme="minorHAnsi"/>
          <w:color w:val="353838"/>
        </w:rPr>
        <w:t>citations clearly here:</w:t>
      </w:r>
      <w:r>
        <w:rPr>
          <w:rFonts w:cstheme="minorHAnsi"/>
          <w:color w:val="353838"/>
        </w:rPr>
        <w:t xml:space="preserve"> </w:t>
      </w:r>
      <w:r w:rsidRPr="0083458E">
        <w:rPr>
          <w:rFonts w:cstheme="minorHAnsi"/>
          <w:color w:val="353838"/>
        </w:rPr>
        <w:t>…. are reproduced from the cited articles (Refs) licensed under CC-BY</w:t>
      </w:r>
    </w:p>
    <w:p w14:paraId="559F8330" w14:textId="77777777" w:rsidR="00E67FEE" w:rsidRPr="00F443CD" w:rsidRDefault="00E67FEE" w:rsidP="00F443CD">
      <w:pPr>
        <w:autoSpaceDE w:val="0"/>
        <w:autoSpaceDN w:val="0"/>
        <w:adjustRightInd w:val="0"/>
        <w:spacing w:after="240" w:line="360" w:lineRule="auto"/>
        <w:jc w:val="both"/>
        <w:rPr>
          <w:rFonts w:cstheme="minorHAnsi"/>
          <w:color w:val="353838"/>
        </w:rPr>
      </w:pPr>
      <w:r w:rsidRPr="00F443CD">
        <w:rPr>
          <w:rFonts w:cstheme="minorHAnsi"/>
          <w:color w:val="353838"/>
        </w:rPr>
        <w:t xml:space="preserve">Thank you, </w:t>
      </w:r>
      <w:r w:rsidRPr="004A2C01">
        <w:rPr>
          <w:rFonts w:cstheme="minorHAnsi"/>
          <w:b/>
          <w:bCs/>
          <w:color w:val="353838"/>
        </w:rPr>
        <w:t>citations were added</w:t>
      </w:r>
      <w:r w:rsidRPr="00F443CD">
        <w:rPr>
          <w:rFonts w:cstheme="minorHAnsi"/>
          <w:color w:val="353838"/>
        </w:rPr>
        <w:t xml:space="preserve"> to make this clearer.</w:t>
      </w:r>
    </w:p>
    <w:p w14:paraId="6378B83B" w14:textId="77777777" w:rsidR="00E67FEE" w:rsidRPr="002E2644" w:rsidRDefault="00E67FEE" w:rsidP="000F3A64">
      <w:pPr>
        <w:shd w:val="clear" w:color="auto" w:fill="D9D9D9" w:themeFill="background1" w:themeFillShade="D9"/>
        <w:autoSpaceDE w:val="0"/>
        <w:autoSpaceDN w:val="0"/>
        <w:adjustRightInd w:val="0"/>
        <w:spacing w:after="0" w:line="360" w:lineRule="auto"/>
        <w:jc w:val="both"/>
        <w:rPr>
          <w:rFonts w:cstheme="minorHAnsi"/>
          <w:color w:val="353838"/>
        </w:rPr>
      </w:pPr>
      <w:r w:rsidRPr="0083458E">
        <w:rPr>
          <w:rFonts w:cstheme="minorHAnsi"/>
          <w:color w:val="353838"/>
        </w:rPr>
        <w:t>Figs. 2 &amp; 3</w:t>
      </w:r>
      <w:r>
        <w:rPr>
          <w:rFonts w:cstheme="minorHAnsi"/>
          <w:color w:val="353838"/>
        </w:rPr>
        <w:t xml:space="preserve"> </w:t>
      </w:r>
      <w:r w:rsidRPr="0083458E">
        <w:rPr>
          <w:rFonts w:cstheme="minorHAnsi"/>
          <w:color w:val="353838"/>
        </w:rPr>
        <w:t>label important devices/parts in Figs 2&amp;3 just like you did in Fig. 1</w:t>
      </w:r>
    </w:p>
    <w:p w14:paraId="29408993" w14:textId="77777777" w:rsidR="00E67FEE" w:rsidRDefault="00E67FEE" w:rsidP="000B374D">
      <w:pPr>
        <w:autoSpaceDE w:val="0"/>
        <w:autoSpaceDN w:val="0"/>
        <w:adjustRightInd w:val="0"/>
        <w:spacing w:after="240" w:line="360" w:lineRule="auto"/>
        <w:jc w:val="both"/>
        <w:rPr>
          <w:rFonts w:cstheme="minorHAnsi"/>
          <w:color w:val="353838"/>
        </w:rPr>
      </w:pPr>
      <w:r>
        <w:rPr>
          <w:rFonts w:cstheme="minorHAnsi"/>
          <w:color w:val="353838"/>
        </w:rPr>
        <w:t xml:space="preserve">Important components in Figures 2, 3 and 4 </w:t>
      </w:r>
      <w:r w:rsidRPr="004A2C01">
        <w:rPr>
          <w:rFonts w:cstheme="minorHAnsi"/>
          <w:b/>
          <w:bCs/>
          <w:color w:val="353838"/>
        </w:rPr>
        <w:t>are now labelled</w:t>
      </w:r>
      <w:r>
        <w:rPr>
          <w:rFonts w:cstheme="minorHAnsi"/>
          <w:color w:val="353838"/>
        </w:rPr>
        <w:t>:</w:t>
      </w:r>
    </w:p>
    <w:p w14:paraId="2BEA9396" w14:textId="77777777" w:rsidR="00E67FEE" w:rsidRDefault="00E67FEE" w:rsidP="000B374D">
      <w:pPr>
        <w:autoSpaceDE w:val="0"/>
        <w:autoSpaceDN w:val="0"/>
        <w:adjustRightInd w:val="0"/>
        <w:spacing w:after="240" w:line="360" w:lineRule="auto"/>
        <w:jc w:val="both"/>
        <w:rPr>
          <w:rFonts w:cstheme="minorHAnsi"/>
          <w:color w:val="353838"/>
        </w:rPr>
      </w:pPr>
      <w:r>
        <w:rPr>
          <w:rFonts w:cstheme="minorHAnsi"/>
          <w:noProof/>
          <w:color w:val="353838"/>
        </w:rPr>
        <w:lastRenderedPageBreak/>
        <w:drawing>
          <wp:inline distT="0" distB="0" distL="0" distR="0" wp14:anchorId="26894AD4" wp14:editId="7C0870D1">
            <wp:extent cx="5762625" cy="24479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2625" cy="2447925"/>
                    </a:xfrm>
                    <a:prstGeom prst="rect">
                      <a:avLst/>
                    </a:prstGeom>
                    <a:noFill/>
                    <a:ln>
                      <a:noFill/>
                    </a:ln>
                  </pic:spPr>
                </pic:pic>
              </a:graphicData>
            </a:graphic>
          </wp:inline>
        </w:drawing>
      </w:r>
    </w:p>
    <w:p w14:paraId="612CAA65" w14:textId="77777777" w:rsidR="00E67FEE" w:rsidRPr="00A45C4E" w:rsidRDefault="00E67FEE" w:rsidP="000B374D">
      <w:pPr>
        <w:autoSpaceDE w:val="0"/>
        <w:autoSpaceDN w:val="0"/>
        <w:adjustRightInd w:val="0"/>
        <w:spacing w:after="240" w:line="360" w:lineRule="auto"/>
        <w:jc w:val="both"/>
        <w:rPr>
          <w:rFonts w:cstheme="minorHAnsi"/>
          <w:b/>
          <w:bCs/>
          <w:i/>
          <w:iCs/>
          <w:color w:val="353838"/>
        </w:rPr>
      </w:pPr>
      <w:r w:rsidRPr="00A45C4E">
        <w:rPr>
          <w:rFonts w:cstheme="minorHAnsi"/>
          <w:color w:val="353838"/>
        </w:rPr>
        <w:t>“</w:t>
      </w:r>
      <w:r w:rsidRPr="00A45C4E">
        <w:rPr>
          <w:rFonts w:cstheme="minorHAnsi"/>
          <w:b/>
          <w:bCs/>
          <w:i/>
          <w:iCs/>
          <w:color w:val="353838"/>
        </w:rPr>
        <w:t xml:space="preserve">Figure 2: Rhizotron assembly and filling to grow plants in soil for solute imaging in the rhizosphere. </w:t>
      </w:r>
      <w:r w:rsidRPr="00A45C4E">
        <w:rPr>
          <w:rFonts w:cstheme="minorHAnsi"/>
          <w:i/>
          <w:iCs/>
          <w:color w:val="353838"/>
        </w:rPr>
        <w:t xml:space="preserve">(A) Soil filling into the rhizotron. (B) Compaction of the filled soil using a compaction tool. (C) Soil-filled rhizotron with small </w:t>
      </w:r>
      <w:r>
        <w:rPr>
          <w:rFonts w:cstheme="minorHAnsi"/>
          <w:i/>
          <w:iCs/>
          <w:color w:val="353838"/>
        </w:rPr>
        <w:t xml:space="preserve">acrylic </w:t>
      </w:r>
      <w:r w:rsidRPr="00A45C4E">
        <w:rPr>
          <w:rFonts w:cstheme="minorHAnsi"/>
          <w:i/>
          <w:iCs/>
          <w:color w:val="353838"/>
        </w:rPr>
        <w:t>plates and clamps. (D) Soil-filled rhizotron with exposed soil surface. (E) Soil-filled rhizotron with a protective PTFE and plastic foil cover.</w:t>
      </w:r>
      <w:r w:rsidRPr="00A45C4E">
        <w:rPr>
          <w:rFonts w:cstheme="minorHAnsi"/>
          <w:color w:val="353838"/>
        </w:rPr>
        <w:t>”</w:t>
      </w:r>
    </w:p>
    <w:p w14:paraId="0991DAC8" w14:textId="77777777" w:rsidR="00E67FEE" w:rsidRDefault="00E67FEE" w:rsidP="000B374D">
      <w:pPr>
        <w:autoSpaceDE w:val="0"/>
        <w:autoSpaceDN w:val="0"/>
        <w:adjustRightInd w:val="0"/>
        <w:spacing w:after="240" w:line="360" w:lineRule="auto"/>
        <w:jc w:val="both"/>
        <w:rPr>
          <w:rFonts w:cstheme="minorHAnsi"/>
          <w:b/>
          <w:bCs/>
          <w:color w:val="353838"/>
        </w:rPr>
      </w:pPr>
      <w:r>
        <w:rPr>
          <w:rFonts w:cstheme="minorHAnsi"/>
          <w:b/>
          <w:bCs/>
          <w:noProof/>
          <w:color w:val="353838"/>
          <w:lang w:val="de-DE" w:eastAsia="de-DE"/>
        </w:rPr>
        <w:drawing>
          <wp:inline distT="0" distB="0" distL="0" distR="0" wp14:anchorId="6ADCFEE7" wp14:editId="3B2BE339">
            <wp:extent cx="5760720" cy="45034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503420"/>
                    </a:xfrm>
                    <a:prstGeom prst="rect">
                      <a:avLst/>
                    </a:prstGeom>
                    <a:noFill/>
                    <a:ln>
                      <a:noFill/>
                    </a:ln>
                  </pic:spPr>
                </pic:pic>
              </a:graphicData>
            </a:graphic>
          </wp:inline>
        </w:drawing>
      </w:r>
    </w:p>
    <w:p w14:paraId="3B82E853" w14:textId="77777777" w:rsidR="00E67FEE" w:rsidRPr="00A45C4E" w:rsidRDefault="00E67FEE" w:rsidP="000B374D">
      <w:pPr>
        <w:autoSpaceDE w:val="0"/>
        <w:autoSpaceDN w:val="0"/>
        <w:adjustRightInd w:val="0"/>
        <w:spacing w:after="240" w:line="360" w:lineRule="auto"/>
        <w:jc w:val="both"/>
        <w:rPr>
          <w:rFonts w:cstheme="minorHAnsi"/>
          <w:color w:val="353838"/>
        </w:rPr>
      </w:pPr>
      <w:r>
        <w:rPr>
          <w:rFonts w:cstheme="minorHAnsi"/>
          <w:b/>
          <w:bCs/>
          <w:color w:val="353838"/>
        </w:rPr>
        <w:lastRenderedPageBreak/>
        <w:t>“</w:t>
      </w:r>
      <w:r w:rsidRPr="00A45C4E">
        <w:rPr>
          <w:rFonts w:cstheme="minorHAnsi"/>
          <w:b/>
          <w:bCs/>
          <w:i/>
          <w:iCs/>
          <w:color w:val="353838"/>
        </w:rPr>
        <w:t xml:space="preserve">Figure 3: Rhizotron handling and DGT gel application. </w:t>
      </w:r>
      <w:r w:rsidRPr="00A45C4E">
        <w:rPr>
          <w:rFonts w:cstheme="minorHAnsi"/>
          <w:i/>
          <w:iCs/>
          <w:color w:val="353838"/>
        </w:rPr>
        <w:t xml:space="preserve">(A) Soil watering using 10 mL pipette tips in the watering holes in the back of the rhizotron. (B) Planting of seedlings (indicated as green spots) into the soil-filled and closed rhizotron. (C) Rhizotron planted with Salix </w:t>
      </w:r>
      <w:proofErr w:type="spellStart"/>
      <w:r w:rsidRPr="00A45C4E">
        <w:rPr>
          <w:rFonts w:cstheme="minorHAnsi"/>
          <w:i/>
          <w:iCs/>
          <w:color w:val="353838"/>
        </w:rPr>
        <w:t>smithiana</w:t>
      </w:r>
      <w:proofErr w:type="spellEnd"/>
      <w:r w:rsidRPr="00A45C4E">
        <w:rPr>
          <w:rFonts w:cstheme="minorHAnsi"/>
          <w:i/>
          <w:iCs/>
          <w:color w:val="353838"/>
        </w:rPr>
        <w:t xml:space="preserve"> cuttings and removed front plate and plastic foil cover. (D) Carefully peeling off the PTFE foil cover before DGT gel application. (E) High-resolution photo of the soil-root interface ROI. (F) Application of the front plate equipped with the DGT gel onto the rhizotron. (G) Photo of the ROI with the DGT gel applied during solute sampling.</w:t>
      </w:r>
      <w:r>
        <w:rPr>
          <w:rFonts w:cstheme="minorHAnsi"/>
          <w:color w:val="353838"/>
        </w:rPr>
        <w:t>”</w:t>
      </w:r>
    </w:p>
    <w:p w14:paraId="28177E70" w14:textId="77777777" w:rsidR="00E67FEE" w:rsidRDefault="00E67FEE" w:rsidP="000B374D">
      <w:pPr>
        <w:autoSpaceDE w:val="0"/>
        <w:autoSpaceDN w:val="0"/>
        <w:adjustRightInd w:val="0"/>
        <w:spacing w:after="240" w:line="360" w:lineRule="auto"/>
        <w:jc w:val="both"/>
        <w:rPr>
          <w:rFonts w:cstheme="minorHAnsi"/>
          <w:b/>
          <w:bCs/>
          <w:color w:val="353838"/>
        </w:rPr>
      </w:pPr>
      <w:r>
        <w:rPr>
          <w:rFonts w:cstheme="minorHAnsi"/>
          <w:b/>
          <w:bCs/>
          <w:noProof/>
          <w:color w:val="353838"/>
          <w:lang w:val="de-DE" w:eastAsia="de-DE"/>
        </w:rPr>
        <w:drawing>
          <wp:inline distT="0" distB="0" distL="0" distR="0" wp14:anchorId="1DB8CC90" wp14:editId="558C7565">
            <wp:extent cx="5762625" cy="14573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1457325"/>
                    </a:xfrm>
                    <a:prstGeom prst="rect">
                      <a:avLst/>
                    </a:prstGeom>
                    <a:noFill/>
                    <a:ln>
                      <a:noFill/>
                    </a:ln>
                  </pic:spPr>
                </pic:pic>
              </a:graphicData>
            </a:graphic>
          </wp:inline>
        </w:drawing>
      </w:r>
    </w:p>
    <w:p w14:paraId="285A50B3" w14:textId="77777777" w:rsidR="00E67FEE" w:rsidRPr="00A45C4E" w:rsidRDefault="00E67FEE" w:rsidP="000B374D">
      <w:pPr>
        <w:autoSpaceDE w:val="0"/>
        <w:autoSpaceDN w:val="0"/>
        <w:adjustRightInd w:val="0"/>
        <w:spacing w:after="240" w:line="360" w:lineRule="auto"/>
        <w:jc w:val="both"/>
        <w:rPr>
          <w:rFonts w:cstheme="minorHAnsi"/>
          <w:b/>
          <w:bCs/>
          <w:i/>
          <w:iCs/>
          <w:color w:val="353838"/>
        </w:rPr>
      </w:pPr>
      <w:r>
        <w:rPr>
          <w:rFonts w:cstheme="minorHAnsi"/>
          <w:b/>
          <w:bCs/>
          <w:color w:val="353838"/>
        </w:rPr>
        <w:t>“</w:t>
      </w:r>
      <w:r w:rsidRPr="00A45C4E">
        <w:rPr>
          <w:rFonts w:cstheme="minorHAnsi"/>
          <w:b/>
          <w:bCs/>
          <w:i/>
          <w:iCs/>
          <w:color w:val="353838"/>
        </w:rPr>
        <w:t xml:space="preserve">Figure 4: DGT gel retrieval and preparation for drying upon solute sampling. </w:t>
      </w:r>
      <w:r w:rsidRPr="00A45C4E">
        <w:rPr>
          <w:rFonts w:cstheme="minorHAnsi"/>
          <w:i/>
          <w:iCs/>
          <w:color w:val="353838"/>
        </w:rPr>
        <w:t>(A) Plate with the DGT gel and rhizotron directly after solute sampling. (B) Retrieval of the DGT gel from the plate in a laminar flow bench. (C) Stack of gel blotting paper/</w:t>
      </w:r>
      <w:proofErr w:type="spellStart"/>
      <w:r w:rsidRPr="00A45C4E">
        <w:rPr>
          <w:rFonts w:cstheme="minorHAnsi"/>
          <w:i/>
          <w:iCs/>
          <w:color w:val="353838"/>
        </w:rPr>
        <w:t>polyethersulfone</w:t>
      </w:r>
      <w:proofErr w:type="spellEnd"/>
      <w:r w:rsidRPr="00A45C4E">
        <w:rPr>
          <w:rFonts w:cstheme="minorHAnsi"/>
          <w:i/>
          <w:iCs/>
          <w:color w:val="353838"/>
        </w:rPr>
        <w:t xml:space="preserve"> membrane/DGT gel/plastic foil</w:t>
      </w:r>
      <w:r>
        <w:rPr>
          <w:rFonts w:cstheme="minorHAnsi"/>
          <w:i/>
          <w:iCs/>
          <w:color w:val="353838"/>
        </w:rPr>
        <w:t xml:space="preserve"> cover</w:t>
      </w:r>
      <w:r w:rsidRPr="00A45C4E">
        <w:rPr>
          <w:rFonts w:cstheme="minorHAnsi"/>
          <w:i/>
          <w:iCs/>
          <w:color w:val="353838"/>
        </w:rPr>
        <w:t xml:space="preserve"> for gel drying. Note that the gel is slightly colored after its deployment on soil.</w:t>
      </w:r>
      <w:r w:rsidRPr="00A45C4E">
        <w:rPr>
          <w:rFonts w:cstheme="minorHAnsi"/>
          <w:color w:val="353838"/>
        </w:rPr>
        <w:t>”</w:t>
      </w:r>
    </w:p>
    <w:p w14:paraId="2BD6BDD8" w14:textId="77777777" w:rsidR="00E67FEE" w:rsidRPr="000B374D" w:rsidRDefault="00E67FEE" w:rsidP="000B374D">
      <w:pPr>
        <w:autoSpaceDE w:val="0"/>
        <w:autoSpaceDN w:val="0"/>
        <w:adjustRightInd w:val="0"/>
        <w:spacing w:after="240" w:line="360" w:lineRule="auto"/>
        <w:jc w:val="both"/>
        <w:rPr>
          <w:rFonts w:cstheme="minorHAnsi"/>
          <w:color w:val="353838"/>
          <w:highlight w:val="cyan"/>
        </w:rPr>
      </w:pPr>
      <w:r>
        <w:rPr>
          <w:rFonts w:cstheme="minorHAnsi"/>
          <w:b/>
          <w:bCs/>
          <w:color w:val="353838"/>
        </w:rPr>
        <w:t>Reviewer #2</w:t>
      </w:r>
    </w:p>
    <w:p w14:paraId="683DC0A3" w14:textId="77777777" w:rsidR="00E67FEE" w:rsidRPr="001B34F9" w:rsidRDefault="00E67FEE" w:rsidP="000F3A64">
      <w:pPr>
        <w:pStyle w:val="ListParagraph"/>
        <w:shd w:val="clear" w:color="auto" w:fill="D9D9D9" w:themeFill="background1" w:themeFillShade="D9"/>
        <w:autoSpaceDE w:val="0"/>
        <w:autoSpaceDN w:val="0"/>
        <w:adjustRightInd w:val="0"/>
        <w:spacing w:after="240" w:line="360" w:lineRule="auto"/>
        <w:ind w:left="0"/>
        <w:jc w:val="both"/>
        <w:rPr>
          <w:rFonts w:cstheme="minorHAnsi"/>
          <w:color w:val="353838"/>
        </w:rPr>
      </w:pPr>
      <w:r w:rsidRPr="001B34F9">
        <w:rPr>
          <w:rFonts w:cstheme="minorHAnsi"/>
          <w:color w:val="353838"/>
        </w:rPr>
        <w:t>Manuscript Summary:</w:t>
      </w:r>
    </w:p>
    <w:p w14:paraId="24141DC2" w14:textId="77777777" w:rsidR="00E67FEE" w:rsidRDefault="00E67FEE" w:rsidP="000F3A64">
      <w:pPr>
        <w:pStyle w:val="ListParagraph"/>
        <w:shd w:val="clear" w:color="auto" w:fill="D9D9D9" w:themeFill="background1" w:themeFillShade="D9"/>
        <w:autoSpaceDE w:val="0"/>
        <w:autoSpaceDN w:val="0"/>
        <w:adjustRightInd w:val="0"/>
        <w:spacing w:after="240" w:line="360" w:lineRule="auto"/>
        <w:ind w:left="0"/>
        <w:jc w:val="both"/>
        <w:rPr>
          <w:rFonts w:cstheme="minorHAnsi"/>
          <w:color w:val="353838"/>
        </w:rPr>
      </w:pPr>
      <w:r w:rsidRPr="001B34F9">
        <w:rPr>
          <w:rFonts w:cstheme="minorHAnsi"/>
          <w:color w:val="353838"/>
        </w:rPr>
        <w:t>In this manuscript, the authors described an effective method to visualize and quantify inorganic nutrient and metal elements in soil</w:t>
      </w:r>
      <w:r>
        <w:rPr>
          <w:rFonts w:cstheme="minorHAnsi"/>
          <w:color w:val="353838"/>
        </w:rPr>
        <w:t xml:space="preserve"> </w:t>
      </w:r>
      <w:r w:rsidRPr="001B34F9">
        <w:rPr>
          <w:rFonts w:cstheme="minorHAnsi"/>
          <w:color w:val="353838"/>
        </w:rPr>
        <w:t>adjacent to plant roots by combing the technologies of DGT and a highly sensitive LA-ICP-MS. The details for making DGT gels,</w:t>
      </w:r>
      <w:r>
        <w:rPr>
          <w:rFonts w:cstheme="minorHAnsi"/>
          <w:color w:val="353838"/>
        </w:rPr>
        <w:t xml:space="preserve"> </w:t>
      </w:r>
      <w:r w:rsidRPr="001B34F9">
        <w:rPr>
          <w:rFonts w:cstheme="minorHAnsi"/>
          <w:color w:val="353838"/>
        </w:rPr>
        <w:t>cultivating plant, sampling of solute and chemical analysis were well explained. This method can be widely used to visually quantify</w:t>
      </w:r>
      <w:r>
        <w:rPr>
          <w:rFonts w:cstheme="minorHAnsi"/>
          <w:color w:val="353838"/>
        </w:rPr>
        <w:t xml:space="preserve"> </w:t>
      </w:r>
      <w:r w:rsidRPr="001B34F9">
        <w:rPr>
          <w:rFonts w:cstheme="minorHAnsi"/>
          <w:color w:val="353838"/>
        </w:rPr>
        <w:t>inorganic elements in various fields.</w:t>
      </w:r>
      <w:r>
        <w:rPr>
          <w:rFonts w:cstheme="minorHAnsi"/>
          <w:color w:val="353838"/>
        </w:rPr>
        <w:t xml:space="preserve"> </w:t>
      </w:r>
    </w:p>
    <w:p w14:paraId="32C66E93" w14:textId="77777777" w:rsidR="00E67FEE" w:rsidRPr="00F443CD" w:rsidRDefault="00E67FEE" w:rsidP="00F443CD">
      <w:pPr>
        <w:autoSpaceDE w:val="0"/>
        <w:autoSpaceDN w:val="0"/>
        <w:adjustRightInd w:val="0"/>
        <w:spacing w:after="240" w:line="360" w:lineRule="auto"/>
        <w:jc w:val="both"/>
        <w:rPr>
          <w:rFonts w:cstheme="minorHAnsi"/>
          <w:color w:val="353838"/>
        </w:rPr>
      </w:pPr>
      <w:r w:rsidRPr="00F443CD">
        <w:rPr>
          <w:rFonts w:cstheme="minorHAnsi"/>
          <w:color w:val="353838"/>
        </w:rPr>
        <w:t>Thank you for the positive feedback.</w:t>
      </w:r>
    </w:p>
    <w:p w14:paraId="018CC1BE" w14:textId="77777777" w:rsidR="00E67FEE" w:rsidRPr="001B34F9" w:rsidRDefault="00E67FEE" w:rsidP="000F3A64">
      <w:pPr>
        <w:pStyle w:val="ListParagraph"/>
        <w:shd w:val="clear" w:color="auto" w:fill="D9D9D9" w:themeFill="background1" w:themeFillShade="D9"/>
        <w:autoSpaceDE w:val="0"/>
        <w:autoSpaceDN w:val="0"/>
        <w:adjustRightInd w:val="0"/>
        <w:spacing w:after="240" w:line="360" w:lineRule="auto"/>
        <w:ind w:left="0"/>
        <w:jc w:val="both"/>
        <w:rPr>
          <w:rFonts w:cstheme="minorHAnsi"/>
          <w:color w:val="353838"/>
        </w:rPr>
      </w:pPr>
      <w:r w:rsidRPr="001B34F9">
        <w:rPr>
          <w:rFonts w:cstheme="minorHAnsi"/>
          <w:color w:val="353838"/>
        </w:rPr>
        <w:t>Minor Concerns:</w:t>
      </w:r>
    </w:p>
    <w:p w14:paraId="0FF13C51" w14:textId="77777777" w:rsidR="00E67FEE" w:rsidRPr="001B34F9" w:rsidRDefault="00E67FEE" w:rsidP="000F3A64">
      <w:pPr>
        <w:pStyle w:val="ListParagraph"/>
        <w:shd w:val="clear" w:color="auto" w:fill="D9D9D9" w:themeFill="background1" w:themeFillShade="D9"/>
        <w:autoSpaceDE w:val="0"/>
        <w:autoSpaceDN w:val="0"/>
        <w:adjustRightInd w:val="0"/>
        <w:spacing w:after="240" w:line="360" w:lineRule="auto"/>
        <w:ind w:left="0"/>
        <w:jc w:val="both"/>
        <w:rPr>
          <w:rFonts w:cstheme="minorHAnsi"/>
          <w:color w:val="353838"/>
        </w:rPr>
      </w:pPr>
      <w:r w:rsidRPr="001B34F9">
        <w:rPr>
          <w:rFonts w:cstheme="minorHAnsi"/>
          <w:color w:val="353838"/>
        </w:rPr>
        <w:t>How can you ensure the samples you concerned were totally bound to the gel?</w:t>
      </w:r>
    </w:p>
    <w:p w14:paraId="34A39BEF" w14:textId="77777777" w:rsidR="00E67FEE" w:rsidRDefault="00E67FEE" w:rsidP="00CB65B4">
      <w:pPr>
        <w:spacing w:line="360" w:lineRule="auto"/>
        <w:jc w:val="both"/>
        <w:rPr>
          <w:rFonts w:cstheme="minorHAnsi"/>
          <w:color w:val="353838"/>
        </w:rPr>
      </w:pPr>
      <w:r w:rsidRPr="00F443CD">
        <w:rPr>
          <w:rFonts w:cstheme="minorHAnsi"/>
          <w:color w:val="353838"/>
        </w:rPr>
        <w:t xml:space="preserve">Quantitative sampling of labile anionic and cationic solutes by the presented DGT gels has been characterized and validated in detail in the original gel development publications </w:t>
      </w:r>
      <w:r w:rsidRPr="00F443CD">
        <w:rPr>
          <w:rFonts w:cstheme="minorHAnsi"/>
          <w:noProof/>
          <w:color w:val="353838"/>
        </w:rPr>
        <w:t>(Warnken et al., 2004b; Kreuzeder et al., 2013; Guan et al., 2015)</w:t>
      </w:r>
      <w:r w:rsidRPr="00F443CD">
        <w:rPr>
          <w:rFonts w:cstheme="minorHAnsi"/>
          <w:color w:val="353838"/>
        </w:rPr>
        <w:t xml:space="preserve">. This published data shows linear accumulation of the target solute species over time if the resin binding sites in the </w:t>
      </w:r>
      <w:r w:rsidRPr="0034605F">
        <w:rPr>
          <w:rFonts w:cstheme="minorHAnsi"/>
          <w:color w:val="353838"/>
        </w:rPr>
        <w:t xml:space="preserve">DGT gels are not saturated. </w:t>
      </w:r>
      <w:r w:rsidRPr="0034605F">
        <w:rPr>
          <w:rFonts w:cstheme="minorHAnsi"/>
          <w:b/>
          <w:bCs/>
          <w:color w:val="353838"/>
        </w:rPr>
        <w:t>This aspect is explicitly stated</w:t>
      </w:r>
      <w:r w:rsidRPr="0034605F">
        <w:rPr>
          <w:rFonts w:cstheme="minorHAnsi"/>
          <w:color w:val="353838"/>
        </w:rPr>
        <w:t xml:space="preserve"> in the Supporting Information, lines 33</w:t>
      </w:r>
      <w:r>
        <w:rPr>
          <w:rFonts w:cstheme="minorHAnsi"/>
          <w:color w:val="353838"/>
        </w:rPr>
        <w:t>5</w:t>
      </w:r>
      <w:r w:rsidRPr="0034605F">
        <w:rPr>
          <w:rFonts w:cstheme="minorHAnsi"/>
          <w:color w:val="353838"/>
        </w:rPr>
        <w:t>-33</w:t>
      </w:r>
      <w:r>
        <w:rPr>
          <w:rFonts w:cstheme="minorHAnsi"/>
          <w:color w:val="353838"/>
        </w:rPr>
        <w:t>6</w:t>
      </w:r>
      <w:r w:rsidRPr="00F443CD">
        <w:rPr>
          <w:rFonts w:cstheme="minorHAnsi"/>
          <w:color w:val="353838"/>
        </w:rPr>
        <w:t>: “</w:t>
      </w:r>
      <w:r w:rsidRPr="00986D38">
        <w:rPr>
          <w:rFonts w:cstheme="minorHAnsi"/>
          <w:i/>
          <w:iCs/>
          <w:color w:val="353838"/>
        </w:rPr>
        <w:t xml:space="preserve">Verify that the total gel analyte </w:t>
      </w:r>
      <w:r w:rsidRPr="00986D38">
        <w:rPr>
          <w:rFonts w:cstheme="minorHAnsi"/>
          <w:i/>
          <w:iCs/>
          <w:color w:val="353838"/>
        </w:rPr>
        <w:lastRenderedPageBreak/>
        <w:t xml:space="preserve">loading </w:t>
      </w:r>
      <w:r w:rsidRPr="00986D38">
        <w:rPr>
          <w:rFonts w:cstheme="minorHAnsi"/>
          <w:i/>
          <w:iCs/>
        </w:rPr>
        <w:t xml:space="preserve">(i.e. </w:t>
      </w:r>
      <m:oMath>
        <m:nary>
          <m:naryPr>
            <m:chr m:val="∑"/>
            <m:limLoc m:val="undOvr"/>
            <m:subHide m:val="1"/>
            <m:supHide m:val="1"/>
            <m:ctrlPr>
              <w:rPr>
                <w:rFonts w:ascii="Cambria Math" w:hAnsi="Cambria Math" w:cstheme="minorHAnsi"/>
                <w:i/>
                <w:iCs/>
              </w:rPr>
            </m:ctrlPr>
          </m:naryPr>
          <m:sub/>
          <m:sup/>
          <m:e>
            <m:sSub>
              <m:sSubPr>
                <m:ctrlPr>
                  <w:rPr>
                    <w:rFonts w:ascii="Cambria Math" w:hAnsi="Cambria Math" w:cstheme="minorHAnsi"/>
                    <w:i/>
                    <w:iCs/>
                  </w:rPr>
                </m:ctrlPr>
              </m:sSubPr>
              <m:e>
                <m:r>
                  <w:rPr>
                    <w:rFonts w:ascii="Cambria Math" w:hAnsi="Cambria Math" w:cstheme="minorHAnsi"/>
                  </w:rPr>
                  <m:t>Γ</m:t>
                </m:r>
              </m:e>
              <m:sub>
                <m:r>
                  <w:rPr>
                    <w:rFonts w:ascii="Cambria Math" w:hAnsi="Cambria Math" w:cstheme="minorHAnsi"/>
                  </w:rPr>
                  <m:t>DGT</m:t>
                </m:r>
              </m:sub>
            </m:sSub>
          </m:e>
        </m:nary>
      </m:oMath>
      <w:r w:rsidRPr="00986D38">
        <w:rPr>
          <w:rFonts w:cstheme="minorHAnsi"/>
          <w:i/>
          <w:iCs/>
          <w:color w:val="353838"/>
        </w:rPr>
        <w:t>) of the highest calibration standard is well below the total analyte binding gel capacity (≤80 %).</w:t>
      </w:r>
      <w:r w:rsidRPr="00F443CD">
        <w:rPr>
          <w:rFonts w:cstheme="minorHAnsi"/>
          <w:color w:val="353838"/>
        </w:rPr>
        <w:t>” Thus, we ensure quantitative solute sampling by maintaining the total DGT gel analyte loading below 80 % of its total analyte binding capacity.</w:t>
      </w:r>
    </w:p>
    <w:p w14:paraId="03A2011F" w14:textId="77777777" w:rsidR="00E67FEE" w:rsidRPr="00CB65B4" w:rsidRDefault="00E67FEE" w:rsidP="00CB65B4">
      <w:pPr>
        <w:spacing w:line="360" w:lineRule="auto"/>
        <w:jc w:val="both"/>
        <w:rPr>
          <w:rFonts w:cstheme="minorHAnsi"/>
          <w:color w:val="353838"/>
        </w:rPr>
      </w:pPr>
    </w:p>
    <w:p w14:paraId="7911C38F" w14:textId="77777777" w:rsidR="00E67FEE" w:rsidRDefault="00E67FEE" w:rsidP="000F3A64">
      <w:pPr>
        <w:pStyle w:val="ListParagraph"/>
        <w:autoSpaceDE w:val="0"/>
        <w:autoSpaceDN w:val="0"/>
        <w:adjustRightInd w:val="0"/>
        <w:spacing w:after="240" w:line="360" w:lineRule="auto"/>
        <w:ind w:left="0"/>
        <w:jc w:val="both"/>
        <w:rPr>
          <w:rFonts w:cstheme="minorHAnsi"/>
          <w:b/>
          <w:bCs/>
          <w:color w:val="353838"/>
        </w:rPr>
      </w:pPr>
      <w:r w:rsidRPr="002C16E3">
        <w:rPr>
          <w:rFonts w:cstheme="minorHAnsi"/>
          <w:b/>
          <w:bCs/>
          <w:color w:val="353838"/>
        </w:rPr>
        <w:t>Reviewer #3</w:t>
      </w:r>
    </w:p>
    <w:p w14:paraId="39883D79" w14:textId="77777777" w:rsidR="00E67FEE" w:rsidRPr="001B34F9" w:rsidRDefault="00E67FEE" w:rsidP="000F3A64">
      <w:pPr>
        <w:pStyle w:val="ListParagraph"/>
        <w:shd w:val="clear" w:color="auto" w:fill="D9D9D9" w:themeFill="background1" w:themeFillShade="D9"/>
        <w:autoSpaceDE w:val="0"/>
        <w:autoSpaceDN w:val="0"/>
        <w:adjustRightInd w:val="0"/>
        <w:spacing w:after="240" w:line="360" w:lineRule="auto"/>
        <w:ind w:left="0"/>
        <w:jc w:val="both"/>
        <w:rPr>
          <w:rFonts w:cstheme="minorHAnsi"/>
          <w:color w:val="353838"/>
        </w:rPr>
      </w:pPr>
      <w:r w:rsidRPr="001B34F9">
        <w:rPr>
          <w:rFonts w:cstheme="minorHAnsi"/>
          <w:color w:val="353838"/>
        </w:rPr>
        <w:t>Manuscript Summary:</w:t>
      </w:r>
    </w:p>
    <w:p w14:paraId="3AAB1835" w14:textId="77777777" w:rsidR="00E67FEE" w:rsidRPr="001B34F9" w:rsidRDefault="00E67FEE" w:rsidP="000F3A64">
      <w:pPr>
        <w:pStyle w:val="ListParagraph"/>
        <w:shd w:val="clear" w:color="auto" w:fill="D9D9D9" w:themeFill="background1" w:themeFillShade="D9"/>
        <w:autoSpaceDE w:val="0"/>
        <w:autoSpaceDN w:val="0"/>
        <w:adjustRightInd w:val="0"/>
        <w:spacing w:after="240" w:line="360" w:lineRule="auto"/>
        <w:ind w:left="0"/>
        <w:jc w:val="both"/>
        <w:rPr>
          <w:rFonts w:cstheme="minorHAnsi"/>
          <w:color w:val="353838"/>
        </w:rPr>
      </w:pPr>
      <w:r w:rsidRPr="001B34F9">
        <w:rPr>
          <w:rFonts w:cstheme="minorHAnsi"/>
          <w:color w:val="353838"/>
        </w:rPr>
        <w:t>The authors describe in detail the method for 2D visualization of elements (e.g., inorganic</w:t>
      </w:r>
      <w:r>
        <w:rPr>
          <w:rFonts w:cstheme="minorHAnsi"/>
          <w:color w:val="353838"/>
        </w:rPr>
        <w:t xml:space="preserve"> </w:t>
      </w:r>
      <w:r w:rsidRPr="001B34F9">
        <w:rPr>
          <w:rFonts w:cstheme="minorHAnsi"/>
          <w:color w:val="353838"/>
        </w:rPr>
        <w:t>nutrients and contaminants) in soil using</w:t>
      </w:r>
      <w:r>
        <w:rPr>
          <w:rFonts w:cstheme="minorHAnsi"/>
          <w:color w:val="353838"/>
        </w:rPr>
        <w:t xml:space="preserve"> </w:t>
      </w:r>
      <w:r w:rsidRPr="001B34F9">
        <w:rPr>
          <w:rFonts w:cstheme="minorHAnsi"/>
          <w:color w:val="353838"/>
        </w:rPr>
        <w:t>diffusive gradients in thin films (DGT) and laser ablation inductively coupled plasma mass spectrometry (LA-ICP-MS). The spatial</w:t>
      </w:r>
      <w:r>
        <w:rPr>
          <w:rFonts w:cstheme="minorHAnsi"/>
          <w:color w:val="353838"/>
        </w:rPr>
        <w:t xml:space="preserve"> </w:t>
      </w:r>
      <w:r w:rsidRPr="001B34F9">
        <w:rPr>
          <w:rFonts w:cstheme="minorHAnsi"/>
          <w:color w:val="353838"/>
        </w:rPr>
        <w:t>resolution is sub-mm, which enables inspection of the rhizosphere. Images can be quantitative by relative normalization within the</w:t>
      </w:r>
      <w:r>
        <w:rPr>
          <w:rFonts w:cstheme="minorHAnsi"/>
          <w:color w:val="353838"/>
        </w:rPr>
        <w:t xml:space="preserve"> </w:t>
      </w:r>
      <w:r w:rsidRPr="001B34F9">
        <w:rPr>
          <w:rFonts w:cstheme="minorHAnsi"/>
          <w:color w:val="353838"/>
        </w:rPr>
        <w:t>sample or compared to an external standard, creation of which is described within the text. It appears that a reader could</w:t>
      </w:r>
      <w:r>
        <w:rPr>
          <w:rFonts w:cstheme="minorHAnsi"/>
          <w:color w:val="353838"/>
        </w:rPr>
        <w:t xml:space="preserve"> </w:t>
      </w:r>
      <w:r w:rsidRPr="001B34F9">
        <w:rPr>
          <w:rFonts w:cstheme="minorHAnsi"/>
          <w:color w:val="353838"/>
        </w:rPr>
        <w:t>follow these</w:t>
      </w:r>
      <w:r>
        <w:rPr>
          <w:rFonts w:cstheme="minorHAnsi"/>
          <w:color w:val="353838"/>
        </w:rPr>
        <w:t xml:space="preserve"> </w:t>
      </w:r>
      <w:r w:rsidRPr="001B34F9">
        <w:rPr>
          <w:rFonts w:cstheme="minorHAnsi"/>
          <w:color w:val="353838"/>
        </w:rPr>
        <w:t>steps and attain the results suggested. This detailed method and photographs will be greatly helpful for others that would like to use</w:t>
      </w:r>
      <w:r>
        <w:rPr>
          <w:rFonts w:cstheme="minorHAnsi"/>
          <w:color w:val="353838"/>
        </w:rPr>
        <w:t xml:space="preserve"> </w:t>
      </w:r>
      <w:r w:rsidRPr="001B34F9">
        <w:rPr>
          <w:rFonts w:cstheme="minorHAnsi"/>
          <w:color w:val="353838"/>
        </w:rPr>
        <w:t>DGT. The method can complement other methods/applications described in the literature, and will be useful for investigating soil</w:t>
      </w:r>
      <w:r>
        <w:rPr>
          <w:rFonts w:cstheme="minorHAnsi"/>
          <w:color w:val="353838"/>
        </w:rPr>
        <w:t xml:space="preserve"> </w:t>
      </w:r>
      <w:r w:rsidRPr="001B34F9">
        <w:rPr>
          <w:rFonts w:cstheme="minorHAnsi"/>
          <w:color w:val="353838"/>
        </w:rPr>
        <w:t>rhizosphere</w:t>
      </w:r>
      <w:r>
        <w:rPr>
          <w:rFonts w:cstheme="minorHAnsi"/>
          <w:color w:val="353838"/>
        </w:rPr>
        <w:t xml:space="preserve"> </w:t>
      </w:r>
      <w:r w:rsidRPr="001B34F9">
        <w:rPr>
          <w:rFonts w:cstheme="minorHAnsi"/>
          <w:color w:val="353838"/>
        </w:rPr>
        <w:t>questions.</w:t>
      </w:r>
    </w:p>
    <w:p w14:paraId="50CC8D82" w14:textId="77777777" w:rsidR="00E67FEE" w:rsidRPr="00F443CD" w:rsidRDefault="00E67FEE" w:rsidP="00F443CD">
      <w:pPr>
        <w:shd w:val="clear" w:color="auto" w:fill="FFFFFF" w:themeFill="background1"/>
        <w:autoSpaceDE w:val="0"/>
        <w:autoSpaceDN w:val="0"/>
        <w:adjustRightInd w:val="0"/>
        <w:spacing w:after="240" w:line="360" w:lineRule="auto"/>
        <w:jc w:val="both"/>
        <w:rPr>
          <w:rFonts w:cstheme="minorHAnsi"/>
          <w:color w:val="353838"/>
        </w:rPr>
      </w:pPr>
      <w:r w:rsidRPr="00F443CD">
        <w:rPr>
          <w:rFonts w:cstheme="minorHAnsi"/>
          <w:color w:val="353838"/>
        </w:rPr>
        <w:t>Thank you for the positive feedback.</w:t>
      </w:r>
    </w:p>
    <w:p w14:paraId="525D8F6A" w14:textId="77777777" w:rsidR="00E67FEE" w:rsidRPr="001B34F9" w:rsidRDefault="00E67FEE" w:rsidP="000F3A64">
      <w:pPr>
        <w:pStyle w:val="ListParagraph"/>
        <w:shd w:val="clear" w:color="auto" w:fill="D9D9D9" w:themeFill="background1" w:themeFillShade="D9"/>
        <w:autoSpaceDE w:val="0"/>
        <w:autoSpaceDN w:val="0"/>
        <w:adjustRightInd w:val="0"/>
        <w:spacing w:after="240" w:line="360" w:lineRule="auto"/>
        <w:ind w:left="0"/>
        <w:jc w:val="both"/>
        <w:rPr>
          <w:rFonts w:cstheme="minorHAnsi"/>
          <w:color w:val="353838"/>
        </w:rPr>
      </w:pPr>
      <w:r w:rsidRPr="001B34F9">
        <w:rPr>
          <w:rFonts w:cstheme="minorHAnsi"/>
          <w:color w:val="353838"/>
        </w:rPr>
        <w:t>Major Concerns:</w:t>
      </w:r>
    </w:p>
    <w:p w14:paraId="6A53B184" w14:textId="77777777" w:rsidR="00E67FEE" w:rsidRPr="001B34F9" w:rsidRDefault="00E67FEE" w:rsidP="000F3A64">
      <w:pPr>
        <w:pStyle w:val="ListParagraph"/>
        <w:shd w:val="clear" w:color="auto" w:fill="D9D9D9" w:themeFill="background1" w:themeFillShade="D9"/>
        <w:autoSpaceDE w:val="0"/>
        <w:autoSpaceDN w:val="0"/>
        <w:adjustRightInd w:val="0"/>
        <w:spacing w:after="240" w:line="360" w:lineRule="auto"/>
        <w:ind w:left="0"/>
        <w:jc w:val="both"/>
        <w:rPr>
          <w:rFonts w:cstheme="minorHAnsi"/>
          <w:color w:val="353838"/>
        </w:rPr>
      </w:pPr>
      <w:r w:rsidRPr="001B34F9">
        <w:rPr>
          <w:rFonts w:cstheme="minorHAnsi"/>
          <w:color w:val="353838"/>
        </w:rPr>
        <w:t>In regard to controls, is there a way to check that DGT is working as anticipated (or in contrast, did not</w:t>
      </w:r>
      <w:r>
        <w:rPr>
          <w:rFonts w:cstheme="minorHAnsi"/>
          <w:color w:val="353838"/>
        </w:rPr>
        <w:t xml:space="preserve"> </w:t>
      </w:r>
      <w:r w:rsidRPr="001B34F9">
        <w:rPr>
          <w:rFonts w:cstheme="minorHAnsi"/>
          <w:color w:val="353838"/>
        </w:rPr>
        <w:t>work correctly)? Are there</w:t>
      </w:r>
      <w:r>
        <w:rPr>
          <w:rFonts w:cstheme="minorHAnsi"/>
          <w:color w:val="353838"/>
        </w:rPr>
        <w:t xml:space="preserve"> </w:t>
      </w:r>
      <w:r w:rsidRPr="001B34F9">
        <w:rPr>
          <w:rFonts w:cstheme="minorHAnsi"/>
          <w:color w:val="353838"/>
        </w:rPr>
        <w:t>checkpoints along the way that authors can suggest to assure the method (e.g., preparation of</w:t>
      </w:r>
      <w:r>
        <w:rPr>
          <w:rFonts w:cstheme="minorHAnsi"/>
          <w:color w:val="353838"/>
        </w:rPr>
        <w:t xml:space="preserve"> </w:t>
      </w:r>
      <w:r w:rsidRPr="001B34F9">
        <w:rPr>
          <w:rFonts w:cstheme="minorHAnsi"/>
          <w:color w:val="353838"/>
        </w:rPr>
        <w:t>gels) was done correctly (e.g., to mimic</w:t>
      </w:r>
      <w:r>
        <w:rPr>
          <w:rFonts w:cstheme="minorHAnsi"/>
          <w:color w:val="353838"/>
        </w:rPr>
        <w:t xml:space="preserve"> </w:t>
      </w:r>
      <w:r w:rsidRPr="001B34F9">
        <w:rPr>
          <w:rFonts w:cstheme="minorHAnsi"/>
          <w:color w:val="353838"/>
        </w:rPr>
        <w:t>soil/nutrient diffusion system)? For example, if at the end the images do not produce expected are there ways the reader could assess</w:t>
      </w:r>
    </w:p>
    <w:p w14:paraId="27CE1741" w14:textId="77777777" w:rsidR="00E67FEE" w:rsidRDefault="00E67FEE" w:rsidP="000F3A64">
      <w:pPr>
        <w:pStyle w:val="ListParagraph"/>
        <w:shd w:val="clear" w:color="auto" w:fill="D9D9D9" w:themeFill="background1" w:themeFillShade="D9"/>
        <w:autoSpaceDE w:val="0"/>
        <w:autoSpaceDN w:val="0"/>
        <w:adjustRightInd w:val="0"/>
        <w:spacing w:after="240" w:line="360" w:lineRule="auto"/>
        <w:ind w:left="0"/>
        <w:jc w:val="both"/>
        <w:rPr>
          <w:rFonts w:cstheme="minorHAnsi"/>
          <w:color w:val="353838"/>
        </w:rPr>
      </w:pPr>
      <w:r w:rsidRPr="001B34F9">
        <w:rPr>
          <w:rFonts w:cstheme="minorHAnsi"/>
          <w:color w:val="353838"/>
        </w:rPr>
        <w:t>that they performed the method correctly (i.e., discern error made in the method vs. result of the specific soil system).</w:t>
      </w:r>
      <w:r>
        <w:rPr>
          <w:rFonts w:cstheme="minorHAnsi"/>
          <w:color w:val="353838"/>
        </w:rPr>
        <w:t xml:space="preserve"> </w:t>
      </w:r>
    </w:p>
    <w:p w14:paraId="285EED95" w14:textId="77777777" w:rsidR="00E67FEE" w:rsidRDefault="00E67FEE" w:rsidP="00F443CD">
      <w:pPr>
        <w:shd w:val="clear" w:color="auto" w:fill="FFFFFF" w:themeFill="background1"/>
        <w:autoSpaceDE w:val="0"/>
        <w:autoSpaceDN w:val="0"/>
        <w:adjustRightInd w:val="0"/>
        <w:spacing w:after="240" w:line="360" w:lineRule="auto"/>
        <w:jc w:val="both"/>
        <w:rPr>
          <w:rFonts w:cstheme="minorHAnsi"/>
          <w:color w:val="353838"/>
        </w:rPr>
      </w:pPr>
      <w:r>
        <w:rPr>
          <w:rFonts w:cstheme="minorHAnsi"/>
          <w:color w:val="353838"/>
        </w:rPr>
        <w:t>The correct chemical functionality of the DGT imaging technique can be verified by several means:</w:t>
      </w:r>
      <w:r>
        <w:rPr>
          <w:rFonts w:cstheme="minorHAnsi"/>
          <w:color w:val="353838"/>
        </w:rPr>
        <w:br/>
      </w:r>
      <w:r>
        <w:rPr>
          <w:rFonts w:cstheme="minorHAnsi"/>
          <w:color w:val="353838"/>
        </w:rPr>
        <w:br/>
        <w:t xml:space="preserve">1) </w:t>
      </w:r>
      <w:bookmarkStart w:id="0" w:name="_Hlk45176923"/>
      <w:r>
        <w:rPr>
          <w:rFonts w:cstheme="minorHAnsi"/>
          <w:color w:val="353838"/>
        </w:rPr>
        <w:t xml:space="preserve">Correct gel preparation can be </w:t>
      </w:r>
      <w:r w:rsidRPr="00A679BA">
        <w:rPr>
          <w:rFonts w:cstheme="minorHAnsi"/>
          <w:color w:val="353838"/>
        </w:rPr>
        <w:t xml:space="preserve">simply </w:t>
      </w:r>
      <w:r>
        <w:rPr>
          <w:rFonts w:cstheme="minorHAnsi"/>
          <w:color w:val="353838"/>
        </w:rPr>
        <w:t>checked</w:t>
      </w:r>
      <w:r w:rsidRPr="00A679BA">
        <w:rPr>
          <w:rFonts w:cstheme="minorHAnsi"/>
          <w:color w:val="353838"/>
        </w:rPr>
        <w:t xml:space="preserve"> by visual inspection of the fabricated gels for areas of inhomogeneous material distribution. </w:t>
      </w:r>
      <w:bookmarkStart w:id="1" w:name="_Hlk45029025"/>
      <w:bookmarkEnd w:id="0"/>
      <w:r w:rsidRPr="00A679BA">
        <w:rPr>
          <w:rFonts w:cstheme="minorHAnsi"/>
          <w:color w:val="353838"/>
        </w:rPr>
        <w:t xml:space="preserve">If prepared correctly, the binding gels </w:t>
      </w:r>
      <w:r>
        <w:rPr>
          <w:rFonts w:cstheme="minorHAnsi"/>
          <w:color w:val="353838"/>
        </w:rPr>
        <w:t xml:space="preserve">enable quantitative sampling of the target solute species if the gel loading is kept below capacity thresholds </w:t>
      </w:r>
      <w:r>
        <w:rPr>
          <w:rFonts w:cstheme="minorHAnsi"/>
          <w:noProof/>
          <w:color w:val="353838"/>
        </w:rPr>
        <w:t>(Davison, 2016)</w:t>
      </w:r>
      <w:r>
        <w:rPr>
          <w:rFonts w:cstheme="minorHAnsi"/>
          <w:color w:val="353838"/>
        </w:rPr>
        <w:t xml:space="preserve">. </w:t>
      </w:r>
    </w:p>
    <w:p w14:paraId="5CCD4638" w14:textId="77777777" w:rsidR="00E67FEE" w:rsidRDefault="00E67FEE" w:rsidP="00F443CD">
      <w:pPr>
        <w:shd w:val="clear" w:color="auto" w:fill="FFFFFF" w:themeFill="background1"/>
        <w:autoSpaceDE w:val="0"/>
        <w:autoSpaceDN w:val="0"/>
        <w:adjustRightInd w:val="0"/>
        <w:spacing w:after="240" w:line="360" w:lineRule="auto"/>
        <w:jc w:val="both"/>
        <w:rPr>
          <w:rFonts w:cstheme="minorHAnsi"/>
          <w:color w:val="353838"/>
        </w:rPr>
      </w:pPr>
      <w:r>
        <w:rPr>
          <w:rFonts w:cstheme="minorHAnsi"/>
          <w:color w:val="353838"/>
        </w:rPr>
        <w:t>2) Quantitative solute sampling is verified during the DGT standard preparation experiment as outlined in the Supporting Information, chapter S4 (“</w:t>
      </w:r>
      <w:r>
        <w:rPr>
          <w:rFonts w:cstheme="minorHAnsi"/>
          <w:i/>
          <w:iCs/>
          <w:color w:val="353838"/>
        </w:rPr>
        <w:t>Preparation of DGT LA-ICP-MS calibration standards</w:t>
      </w:r>
      <w:r>
        <w:rPr>
          <w:rFonts w:cstheme="minorHAnsi"/>
          <w:color w:val="353838"/>
        </w:rPr>
        <w:t>”).</w:t>
      </w:r>
      <w:bookmarkEnd w:id="1"/>
      <w:r>
        <w:rPr>
          <w:rFonts w:cstheme="minorHAnsi"/>
          <w:color w:val="353838"/>
        </w:rPr>
        <w:t xml:space="preserve"> Here, gel standards are prepared in quadruplicates by controlled loading of the DGT gels with the </w:t>
      </w:r>
      <w:r>
        <w:rPr>
          <w:rFonts w:cstheme="minorHAnsi"/>
          <w:color w:val="353838"/>
        </w:rPr>
        <w:lastRenderedPageBreak/>
        <w:t xml:space="preserve">target analytes following the DGT theory based on Fick’s first law of diffusion </w:t>
      </w:r>
      <w:r>
        <w:rPr>
          <w:rFonts w:cstheme="minorHAnsi"/>
          <w:noProof/>
          <w:color w:val="353838"/>
        </w:rPr>
        <w:t>(Davison, 2016)</w:t>
      </w:r>
      <w:r>
        <w:rPr>
          <w:rFonts w:cstheme="minorHAnsi"/>
          <w:color w:val="353838"/>
        </w:rPr>
        <w:t xml:space="preserve">. The analyte loading is then assessed in three gel replicates by gel elution (HR-ABG and HR-CBG) or complete digestion (HR-MBG) followed by analyte quantification using an established analytical technique (e.g. ICP-MS) in combination with metrological validation using certified liquid reference materials. If the experimentally determined gel loading differs largely from the targeted gel loading, this indicates that the DGT gels are not working correctly. The remaining gel replicate is dried and then used as a matrix-matched reference gel with known analyte loading for LA-ICP-MS analysis. </w:t>
      </w:r>
    </w:p>
    <w:p w14:paraId="4A0BAB0F" w14:textId="77777777" w:rsidR="00E67FEE" w:rsidRDefault="00E67FEE" w:rsidP="00F443CD">
      <w:pPr>
        <w:shd w:val="clear" w:color="auto" w:fill="FFFFFF" w:themeFill="background1"/>
        <w:autoSpaceDE w:val="0"/>
        <w:autoSpaceDN w:val="0"/>
        <w:adjustRightInd w:val="0"/>
        <w:spacing w:after="240" w:line="360" w:lineRule="auto"/>
        <w:jc w:val="both"/>
        <w:rPr>
          <w:rFonts w:cstheme="minorHAnsi"/>
          <w:color w:val="353838"/>
        </w:rPr>
      </w:pPr>
      <w:r>
        <w:rPr>
          <w:rFonts w:cstheme="minorHAnsi"/>
          <w:color w:val="353838"/>
        </w:rPr>
        <w:t xml:space="preserve">3) Correct sample preparation (drying, mounting on glass plates) for LA-ICP-MS analysis can be verified by testing the analytical performance of standard gels. If prepared correctly, the detected LA-ICP-MS line-scan signal intensity of gel standards should be clearly distinguishable from the gas blank and method (gel) blank background signal, especially for high analyte loadings. </w:t>
      </w:r>
      <w:r w:rsidRPr="00182ECB">
        <w:rPr>
          <w:rFonts w:cstheme="minorHAnsi"/>
          <w:color w:val="353838"/>
        </w:rPr>
        <w:t xml:space="preserve">If unable to obtain a </w:t>
      </w:r>
      <w:r>
        <w:rPr>
          <w:rFonts w:cstheme="minorHAnsi"/>
          <w:color w:val="353838"/>
        </w:rPr>
        <w:t>signal that can be distinguished from the background</w:t>
      </w:r>
      <w:r w:rsidRPr="00182ECB">
        <w:rPr>
          <w:rFonts w:cstheme="minorHAnsi"/>
          <w:color w:val="353838"/>
        </w:rPr>
        <w:t>,</w:t>
      </w:r>
      <w:r>
        <w:rPr>
          <w:rFonts w:cstheme="minorHAnsi"/>
          <w:color w:val="353838"/>
        </w:rPr>
        <w:t xml:space="preserve"> the reader must </w:t>
      </w:r>
      <w:r w:rsidRPr="00182ECB">
        <w:rPr>
          <w:rFonts w:cstheme="minorHAnsi"/>
          <w:color w:val="353838"/>
        </w:rPr>
        <w:t>ensure that</w:t>
      </w:r>
      <w:r>
        <w:rPr>
          <w:rFonts w:cstheme="minorHAnsi"/>
          <w:color w:val="353838"/>
        </w:rPr>
        <w:t xml:space="preserve"> </w:t>
      </w:r>
      <w:r w:rsidRPr="00182ECB">
        <w:rPr>
          <w:rFonts w:cstheme="minorHAnsi"/>
          <w:color w:val="353838"/>
        </w:rPr>
        <w:t>all protocol steps were performed</w:t>
      </w:r>
      <w:r>
        <w:rPr>
          <w:rFonts w:cstheme="minorHAnsi"/>
          <w:color w:val="353838"/>
        </w:rPr>
        <w:t xml:space="preserve"> correctly</w:t>
      </w:r>
      <w:r w:rsidRPr="00182ECB">
        <w:rPr>
          <w:rFonts w:cstheme="minorHAnsi"/>
          <w:color w:val="353838"/>
        </w:rPr>
        <w:t>. Sometimes, the DGT gel is accidentally flipped after solute sampling with the loaded</w:t>
      </w:r>
      <w:r>
        <w:rPr>
          <w:rFonts w:cstheme="minorHAnsi"/>
          <w:color w:val="353838"/>
        </w:rPr>
        <w:t>, soil-exposed</w:t>
      </w:r>
      <w:r w:rsidRPr="00182ECB">
        <w:rPr>
          <w:rFonts w:cstheme="minorHAnsi"/>
          <w:color w:val="353838"/>
        </w:rPr>
        <w:t xml:space="preserve"> side facing towards the glass plate rather than the laser beam</w:t>
      </w:r>
      <w:r>
        <w:rPr>
          <w:rFonts w:cstheme="minorHAnsi"/>
          <w:color w:val="353838"/>
        </w:rPr>
        <w:t>, resulting in low signal intensities and erroneously flipped features in the final solute flux image.</w:t>
      </w:r>
    </w:p>
    <w:p w14:paraId="3CAE3AB0" w14:textId="77777777" w:rsidR="00E67FEE" w:rsidRPr="00753308" w:rsidRDefault="00E67FEE" w:rsidP="00F443CD">
      <w:pPr>
        <w:shd w:val="clear" w:color="auto" w:fill="FFFFFF" w:themeFill="background1"/>
        <w:autoSpaceDE w:val="0"/>
        <w:autoSpaceDN w:val="0"/>
        <w:adjustRightInd w:val="0"/>
        <w:spacing w:after="240" w:line="360" w:lineRule="auto"/>
        <w:jc w:val="both"/>
        <w:rPr>
          <w:rFonts w:cstheme="minorHAnsi"/>
          <w:color w:val="353838"/>
        </w:rPr>
      </w:pPr>
      <w:r>
        <w:rPr>
          <w:rFonts w:cstheme="minorHAnsi"/>
          <w:color w:val="353838"/>
        </w:rPr>
        <w:t xml:space="preserve">4) Detectability of solutes bound to the gel from a specific soil can be tested using bulk DGT piston sampling in preliminary experiments </w:t>
      </w:r>
      <w:r>
        <w:rPr>
          <w:rFonts w:cstheme="minorHAnsi"/>
          <w:noProof/>
          <w:color w:val="353838"/>
        </w:rPr>
        <w:t>(Hooda et al., 1999; Smolders et al., 2020)</w:t>
      </w:r>
      <w:r>
        <w:rPr>
          <w:rFonts w:cstheme="minorHAnsi"/>
          <w:color w:val="353838"/>
        </w:rPr>
        <w:t>.</w:t>
      </w:r>
    </w:p>
    <w:p w14:paraId="030E3C6C" w14:textId="77777777" w:rsidR="00E67FEE" w:rsidRPr="00C8342F" w:rsidRDefault="00E67FEE" w:rsidP="0073323F">
      <w:pPr>
        <w:shd w:val="clear" w:color="auto" w:fill="FFFFFF" w:themeFill="background1"/>
        <w:autoSpaceDE w:val="0"/>
        <w:autoSpaceDN w:val="0"/>
        <w:adjustRightInd w:val="0"/>
        <w:spacing w:after="240" w:line="360" w:lineRule="auto"/>
        <w:jc w:val="both"/>
        <w:rPr>
          <w:rFonts w:cstheme="minorHAnsi"/>
          <w:color w:val="353838"/>
        </w:rPr>
      </w:pPr>
      <w:r w:rsidRPr="00986D38">
        <w:rPr>
          <w:rFonts w:cstheme="minorHAnsi"/>
          <w:b/>
          <w:bCs/>
          <w:color w:val="353838"/>
        </w:rPr>
        <w:t xml:space="preserve">This information </w:t>
      </w:r>
      <w:r>
        <w:rPr>
          <w:rFonts w:cstheme="minorHAnsi"/>
          <w:b/>
          <w:bCs/>
          <w:color w:val="353838"/>
        </w:rPr>
        <w:t>is now provided</w:t>
      </w:r>
      <w:r w:rsidRPr="004A2C01">
        <w:rPr>
          <w:rFonts w:cstheme="minorHAnsi"/>
          <w:color w:val="353838"/>
        </w:rPr>
        <w:t xml:space="preserve"> in</w:t>
      </w:r>
      <w:r w:rsidRPr="00A679BA">
        <w:rPr>
          <w:rFonts w:cstheme="minorHAnsi"/>
          <w:color w:val="353838"/>
        </w:rPr>
        <w:t xml:space="preserve"> the </w:t>
      </w:r>
      <w:r w:rsidRPr="0034605F">
        <w:rPr>
          <w:rFonts w:cstheme="minorHAnsi"/>
          <w:color w:val="353838"/>
        </w:rPr>
        <w:t>Discussion, lines 852-</w:t>
      </w:r>
      <w:r>
        <w:rPr>
          <w:rFonts w:cstheme="minorHAnsi"/>
          <w:color w:val="353838"/>
        </w:rPr>
        <w:t>874</w:t>
      </w:r>
      <w:r w:rsidRPr="00A679BA">
        <w:rPr>
          <w:rFonts w:cstheme="minorHAnsi"/>
          <w:color w:val="353838"/>
        </w:rPr>
        <w:t>: “</w:t>
      </w:r>
      <w:r w:rsidRPr="002813F9">
        <w:rPr>
          <w:rFonts w:cstheme="minorHAnsi"/>
          <w:i/>
          <w:iCs/>
          <w:color w:val="353838"/>
        </w:rPr>
        <w:t xml:space="preserve">Another important consideration is the chemical functionality of the fabricated DGT binding gel. By following the protocol, thin gels with a homogeneous distribution of binding phases are obtained. If the gels have areas of inhomogeneous material distribution (e.g. holes in the gel or aggregates of binding phases) these areas need to be removed or, if too extensive, the gel fabrication protocol needs to be repeated. If prepared correctly, the gel must be able to bind the solutes that diffuse into the gel immediately and quantitatively27, which is determined by the specific gel binding capacity. While exceeding the gel capacity is less problematic in uncontaminated soils, it should be considered in metal-contaminated soils and saline soil environments. Thus, if very high quantities of labile nutrient/contaminant species are expected in the target soil environment, preliminary tests should be performed. For estimating expected DGT loadings, bulk soil DGT piston sampling followed by gel elution and wet-chemical analysis can be applied15,49. If necessary, DGT deployment times may be adjusted to reduce the gel contact time and thus avoid gel saturation above capacity thresholds. Preliminary tests can also be helpful to verify gel functioning and to adjust contact times if very low solute loadings are expected. Quantitative sampling of the target solute species can be further verified by controlled loading of DGT gels in the preparation of DGT LA-ICP-MS calibration standards. The gel standard provides a matrix-matched reference gel </w:t>
      </w:r>
      <w:r w:rsidRPr="002813F9">
        <w:rPr>
          <w:rFonts w:cstheme="minorHAnsi"/>
          <w:i/>
          <w:iCs/>
          <w:color w:val="353838"/>
        </w:rPr>
        <w:lastRenderedPageBreak/>
        <w:t>analyte loading that can be used to assess if the sample gel loading determined by LA-ICP-MS is within the expected range. If unable to obtain a signal which is different from the gas and method blank background noise, the operator must ensure that all protocol steps were performed correctly. Sometimes, the DGT gel is accidentally flipped after solute sampling with the soil-exposed, loaded side facing towards the glass plate rather than the laser beam, resulting in low signal intensities and erroneously flipped features in the final solute flux images</w:t>
      </w:r>
      <w:r w:rsidRPr="00C94A41">
        <w:rPr>
          <w:rFonts w:cstheme="minorHAnsi"/>
          <w:i/>
          <w:iCs/>
          <w:color w:val="353838"/>
        </w:rPr>
        <w:t>.</w:t>
      </w:r>
      <w:r>
        <w:rPr>
          <w:rFonts w:cstheme="minorHAnsi"/>
          <w:color w:val="353838"/>
        </w:rPr>
        <w:t>”</w:t>
      </w:r>
    </w:p>
    <w:p w14:paraId="54309D7A" w14:textId="77777777" w:rsidR="00E67FEE" w:rsidRDefault="00E67FEE" w:rsidP="000F3A64">
      <w:pPr>
        <w:pStyle w:val="ListParagraph"/>
        <w:shd w:val="clear" w:color="auto" w:fill="D9D9D9" w:themeFill="background1" w:themeFillShade="D9"/>
        <w:autoSpaceDE w:val="0"/>
        <w:autoSpaceDN w:val="0"/>
        <w:adjustRightInd w:val="0"/>
        <w:spacing w:after="240" w:line="360" w:lineRule="auto"/>
        <w:ind w:left="0"/>
        <w:jc w:val="both"/>
        <w:rPr>
          <w:rFonts w:cstheme="minorHAnsi"/>
          <w:color w:val="353838"/>
        </w:rPr>
      </w:pPr>
      <w:r w:rsidRPr="001B34F9">
        <w:rPr>
          <w:rFonts w:cstheme="minorHAnsi"/>
          <w:color w:val="353838"/>
        </w:rPr>
        <w:t>Also, I realize method time can vary, but it could be helpful to outline approximate times for general steps to provide context for the</w:t>
      </w:r>
      <w:r>
        <w:rPr>
          <w:rFonts w:cstheme="minorHAnsi"/>
          <w:color w:val="353838"/>
        </w:rPr>
        <w:t xml:space="preserve"> </w:t>
      </w:r>
      <w:r w:rsidRPr="001B34F9">
        <w:rPr>
          <w:rFonts w:cstheme="minorHAnsi"/>
          <w:color w:val="353838"/>
        </w:rPr>
        <w:t>reader. E.g., this is a method you could implement in a day, a week, over the course of a month; this step may take several hours. A</w:t>
      </w:r>
      <w:r>
        <w:rPr>
          <w:rFonts w:cstheme="minorHAnsi"/>
          <w:color w:val="353838"/>
        </w:rPr>
        <w:t xml:space="preserve"> </w:t>
      </w:r>
      <w:r w:rsidRPr="001B34F9">
        <w:rPr>
          <w:rFonts w:cstheme="minorHAnsi"/>
          <w:color w:val="353838"/>
        </w:rPr>
        <w:t>general timeline (e.g., a table or figure) could be helpful.</w:t>
      </w:r>
    </w:p>
    <w:p w14:paraId="68162B89" w14:textId="77777777" w:rsidR="00E67FEE" w:rsidRDefault="00E67FEE" w:rsidP="00F443CD">
      <w:pPr>
        <w:shd w:val="clear" w:color="auto" w:fill="FFFFFF" w:themeFill="background1"/>
        <w:autoSpaceDE w:val="0"/>
        <w:autoSpaceDN w:val="0"/>
        <w:adjustRightInd w:val="0"/>
        <w:spacing w:after="240" w:line="360" w:lineRule="auto"/>
        <w:jc w:val="both"/>
        <w:rPr>
          <w:rFonts w:cstheme="minorHAnsi"/>
          <w:color w:val="353838"/>
        </w:rPr>
      </w:pPr>
      <w:r w:rsidRPr="004A2C01">
        <w:rPr>
          <w:rFonts w:cstheme="minorHAnsi"/>
          <w:b/>
          <w:bCs/>
          <w:color w:val="353838"/>
        </w:rPr>
        <w:t>A new table was prepared</w:t>
      </w:r>
      <w:r w:rsidRPr="0073323F">
        <w:rPr>
          <w:rFonts w:cstheme="minorHAnsi"/>
          <w:color w:val="353838"/>
        </w:rPr>
        <w:t xml:space="preserve"> showing approximate times for general steps of the method</w:t>
      </w:r>
      <w:r>
        <w:rPr>
          <w:rFonts w:cstheme="minorHAnsi"/>
          <w:color w:val="353838"/>
        </w:rPr>
        <w:t>. The table (Table 1) was included in the Representative Resul</w:t>
      </w:r>
      <w:r w:rsidRPr="00A35D87">
        <w:rPr>
          <w:rFonts w:cstheme="minorHAnsi"/>
          <w:color w:val="353838"/>
        </w:rPr>
        <w:t>ts</w:t>
      </w:r>
      <w:r w:rsidRPr="0034605F">
        <w:rPr>
          <w:rFonts w:cstheme="minorHAnsi"/>
          <w:color w:val="353838"/>
        </w:rPr>
        <w:t>, lines 647</w:t>
      </w:r>
      <w:r>
        <w:rPr>
          <w:rFonts w:cstheme="minorHAnsi"/>
          <w:color w:val="353838"/>
        </w:rPr>
        <w:t>-648</w:t>
      </w:r>
      <w:r w:rsidRPr="00A35D87">
        <w:rPr>
          <w:rFonts w:cstheme="minorHAnsi"/>
          <w:color w:val="353838"/>
        </w:rPr>
        <w:t>:</w:t>
      </w:r>
      <w:r>
        <w:rPr>
          <w:rFonts w:cstheme="minorHAnsi"/>
          <w:color w:val="353838"/>
        </w:rPr>
        <w:t xml:space="preserve"> “</w:t>
      </w:r>
      <w:r w:rsidRPr="004A2C01">
        <w:rPr>
          <w:rFonts w:cstheme="minorHAnsi"/>
          <w:i/>
          <w:iCs/>
          <w:color w:val="353838"/>
        </w:rPr>
        <w:t>Approximate times for general steps of the protocol are presented in Table 1.</w:t>
      </w:r>
      <w:r>
        <w:rPr>
          <w:rFonts w:cstheme="minorHAnsi"/>
          <w:i/>
          <w:iCs/>
          <w:color w:val="353838"/>
        </w:rPr>
        <w:t xml:space="preserve"> [Place Table 1 here]</w:t>
      </w:r>
      <w:r w:rsidRPr="004A2C01">
        <w:rPr>
          <w:rFonts w:cstheme="minorHAnsi"/>
          <w:color w:val="353838"/>
        </w:rPr>
        <w:t>”</w:t>
      </w:r>
    </w:p>
    <w:p w14:paraId="35910BEC" w14:textId="77777777" w:rsidR="00E67FEE" w:rsidRDefault="00E67FEE" w:rsidP="00F45034">
      <w:r>
        <w:t>“</w:t>
      </w:r>
      <w:r w:rsidRPr="00F45034">
        <w:rPr>
          <w:i/>
          <w:iCs/>
        </w:rPr>
        <w:t>Table 1: Approximate times for general steps of the DGT LA-ICP-MS technique.</w:t>
      </w:r>
      <w:r>
        <w:t>”</w:t>
      </w:r>
    </w:p>
    <w:tbl>
      <w:tblPr>
        <w:tblStyle w:val="TableGrid"/>
        <w:tblW w:w="0" w:type="auto"/>
        <w:tblLook w:val="04A0" w:firstRow="1" w:lastRow="0" w:firstColumn="1" w:lastColumn="0" w:noHBand="0" w:noVBand="1"/>
      </w:tblPr>
      <w:tblGrid>
        <w:gridCol w:w="1843"/>
        <w:gridCol w:w="1985"/>
        <w:gridCol w:w="2268"/>
        <w:gridCol w:w="2966"/>
      </w:tblGrid>
      <w:tr w:rsidR="00E67FEE" w:rsidRPr="00BE599F" w14:paraId="2B686C3F" w14:textId="77777777" w:rsidTr="002C32B3">
        <w:tc>
          <w:tcPr>
            <w:tcW w:w="1843" w:type="dxa"/>
            <w:shd w:val="clear" w:color="auto" w:fill="F2F2F2" w:themeFill="background1" w:themeFillShade="F2"/>
          </w:tcPr>
          <w:p w14:paraId="18833ED1" w14:textId="77777777" w:rsidR="00E67FEE" w:rsidRPr="00BE599F" w:rsidRDefault="00E67FEE" w:rsidP="00311FFE">
            <w:pPr>
              <w:rPr>
                <w:b/>
                <w:bCs/>
                <w:sz w:val="20"/>
                <w:szCs w:val="20"/>
              </w:rPr>
            </w:pPr>
            <w:bookmarkStart w:id="2" w:name="_Hlk45187737"/>
            <w:r w:rsidRPr="00BE599F">
              <w:rPr>
                <w:b/>
                <w:bCs/>
                <w:sz w:val="20"/>
                <w:szCs w:val="20"/>
              </w:rPr>
              <w:t>DGT gel fabrication</w:t>
            </w:r>
          </w:p>
        </w:tc>
        <w:tc>
          <w:tcPr>
            <w:tcW w:w="1985" w:type="dxa"/>
            <w:shd w:val="clear" w:color="auto" w:fill="F2F2F2" w:themeFill="background1" w:themeFillShade="F2"/>
          </w:tcPr>
          <w:p w14:paraId="7E0DA8D8" w14:textId="77777777" w:rsidR="00E67FEE" w:rsidRPr="00BE599F" w:rsidRDefault="00E67FEE" w:rsidP="00311FFE">
            <w:pPr>
              <w:rPr>
                <w:b/>
                <w:bCs/>
                <w:sz w:val="20"/>
                <w:szCs w:val="20"/>
              </w:rPr>
            </w:pPr>
            <w:r w:rsidRPr="00BE599F">
              <w:rPr>
                <w:b/>
                <w:bCs/>
                <w:sz w:val="20"/>
                <w:szCs w:val="20"/>
              </w:rPr>
              <w:t>Plant cultivation</w:t>
            </w:r>
          </w:p>
        </w:tc>
        <w:tc>
          <w:tcPr>
            <w:tcW w:w="2268" w:type="dxa"/>
            <w:shd w:val="clear" w:color="auto" w:fill="F2F2F2" w:themeFill="background1" w:themeFillShade="F2"/>
          </w:tcPr>
          <w:p w14:paraId="6D136D43" w14:textId="77777777" w:rsidR="00E67FEE" w:rsidRPr="00BE599F" w:rsidRDefault="00E67FEE" w:rsidP="00311FFE">
            <w:pPr>
              <w:rPr>
                <w:b/>
                <w:bCs/>
                <w:sz w:val="20"/>
                <w:szCs w:val="20"/>
              </w:rPr>
            </w:pPr>
            <w:r w:rsidRPr="00BE599F">
              <w:rPr>
                <w:b/>
                <w:bCs/>
                <w:i/>
                <w:iCs/>
                <w:sz w:val="20"/>
                <w:szCs w:val="20"/>
              </w:rPr>
              <w:t>In situ</w:t>
            </w:r>
            <w:r w:rsidRPr="00BE599F">
              <w:rPr>
                <w:b/>
                <w:bCs/>
                <w:sz w:val="20"/>
                <w:szCs w:val="20"/>
              </w:rPr>
              <w:t xml:space="preserve"> solute sampling</w:t>
            </w:r>
          </w:p>
        </w:tc>
        <w:tc>
          <w:tcPr>
            <w:tcW w:w="2966" w:type="dxa"/>
            <w:shd w:val="clear" w:color="auto" w:fill="F2F2F2" w:themeFill="background1" w:themeFillShade="F2"/>
          </w:tcPr>
          <w:p w14:paraId="1D539ADA" w14:textId="77777777" w:rsidR="00E67FEE" w:rsidRPr="00BE599F" w:rsidRDefault="00E67FEE" w:rsidP="00311FFE">
            <w:pPr>
              <w:rPr>
                <w:b/>
                <w:bCs/>
                <w:sz w:val="20"/>
                <w:szCs w:val="20"/>
              </w:rPr>
            </w:pPr>
            <w:r w:rsidRPr="00BE599F">
              <w:rPr>
                <w:b/>
                <w:bCs/>
                <w:sz w:val="20"/>
                <w:szCs w:val="20"/>
              </w:rPr>
              <w:t>LA-ICP-MS solute flux mapping</w:t>
            </w:r>
          </w:p>
        </w:tc>
      </w:tr>
      <w:tr w:rsidR="00E67FEE" w:rsidRPr="00BE599F" w14:paraId="3C1521E2" w14:textId="77777777" w:rsidTr="002C32B3">
        <w:tc>
          <w:tcPr>
            <w:tcW w:w="1843" w:type="dxa"/>
          </w:tcPr>
          <w:p w14:paraId="600D7890" w14:textId="77777777" w:rsidR="00E67FEE" w:rsidRPr="00311FFE" w:rsidRDefault="00E67FEE" w:rsidP="00311FFE">
            <w:pPr>
              <w:rPr>
                <w:sz w:val="20"/>
                <w:szCs w:val="20"/>
              </w:rPr>
            </w:pPr>
            <w:r w:rsidRPr="00BE599F">
              <w:rPr>
                <w:sz w:val="20"/>
                <w:szCs w:val="20"/>
              </w:rPr>
              <w:t>HR-MBG</w:t>
            </w:r>
            <w:r>
              <w:rPr>
                <w:sz w:val="20"/>
                <w:szCs w:val="20"/>
              </w:rPr>
              <w:br/>
            </w:r>
            <w:r w:rsidRPr="002C2D13">
              <w:rPr>
                <w:i/>
                <w:iCs/>
                <w:sz w:val="20"/>
                <w:szCs w:val="20"/>
              </w:rPr>
              <w:t>1 week</w:t>
            </w:r>
          </w:p>
        </w:tc>
        <w:tc>
          <w:tcPr>
            <w:tcW w:w="1985" w:type="dxa"/>
          </w:tcPr>
          <w:p w14:paraId="7FD717AE" w14:textId="77777777" w:rsidR="00E67FEE" w:rsidRPr="00311FFE" w:rsidRDefault="00E67FEE" w:rsidP="00311FFE">
            <w:pPr>
              <w:rPr>
                <w:sz w:val="20"/>
                <w:szCs w:val="20"/>
              </w:rPr>
            </w:pPr>
            <w:r w:rsidRPr="00BE599F">
              <w:rPr>
                <w:sz w:val="20"/>
                <w:szCs w:val="20"/>
              </w:rPr>
              <w:t xml:space="preserve">Soil preparation </w:t>
            </w:r>
            <w:r>
              <w:rPr>
                <w:sz w:val="20"/>
                <w:szCs w:val="20"/>
              </w:rPr>
              <w:br/>
            </w:r>
            <w:r w:rsidRPr="002C2D13">
              <w:rPr>
                <w:i/>
                <w:iCs/>
                <w:sz w:val="20"/>
                <w:szCs w:val="20"/>
              </w:rPr>
              <w:t>1 week</w:t>
            </w:r>
          </w:p>
        </w:tc>
        <w:tc>
          <w:tcPr>
            <w:tcW w:w="2268" w:type="dxa"/>
          </w:tcPr>
          <w:p w14:paraId="79B47993" w14:textId="77777777" w:rsidR="00E67FEE" w:rsidRPr="00311FFE" w:rsidRDefault="00E67FEE" w:rsidP="00311FFE">
            <w:pPr>
              <w:rPr>
                <w:sz w:val="20"/>
                <w:szCs w:val="20"/>
              </w:rPr>
            </w:pPr>
            <w:r w:rsidRPr="00BE599F">
              <w:rPr>
                <w:sz w:val="20"/>
                <w:szCs w:val="20"/>
              </w:rPr>
              <w:t>Gel application</w:t>
            </w:r>
            <w:r>
              <w:rPr>
                <w:sz w:val="20"/>
                <w:szCs w:val="20"/>
              </w:rPr>
              <w:br/>
            </w:r>
            <w:r>
              <w:rPr>
                <w:i/>
                <w:iCs/>
                <w:sz w:val="20"/>
                <w:szCs w:val="20"/>
              </w:rPr>
              <w:t>1</w:t>
            </w:r>
            <w:r w:rsidRPr="002C2D13">
              <w:rPr>
                <w:i/>
                <w:iCs/>
                <w:sz w:val="20"/>
                <w:szCs w:val="20"/>
              </w:rPr>
              <w:t xml:space="preserve"> hour per gel</w:t>
            </w:r>
          </w:p>
        </w:tc>
        <w:tc>
          <w:tcPr>
            <w:tcW w:w="2966" w:type="dxa"/>
          </w:tcPr>
          <w:p w14:paraId="1BA8F6EA" w14:textId="77777777" w:rsidR="00E67FEE" w:rsidRPr="00311FFE" w:rsidRDefault="00E67FEE" w:rsidP="00311FFE">
            <w:pPr>
              <w:rPr>
                <w:sz w:val="20"/>
                <w:szCs w:val="20"/>
              </w:rPr>
            </w:pPr>
            <w:r w:rsidRPr="00BE599F">
              <w:rPr>
                <w:sz w:val="20"/>
                <w:szCs w:val="20"/>
              </w:rPr>
              <w:t>Sample preparation</w:t>
            </w:r>
            <w:r>
              <w:rPr>
                <w:sz w:val="20"/>
                <w:szCs w:val="20"/>
              </w:rPr>
              <w:br/>
            </w:r>
            <w:r w:rsidRPr="002C2D13">
              <w:rPr>
                <w:i/>
                <w:iCs/>
                <w:sz w:val="20"/>
                <w:szCs w:val="20"/>
              </w:rPr>
              <w:t>1 hour per gel</w:t>
            </w:r>
          </w:p>
        </w:tc>
      </w:tr>
      <w:tr w:rsidR="00E67FEE" w:rsidRPr="00BE599F" w14:paraId="2B55DA8D" w14:textId="77777777" w:rsidTr="002C32B3">
        <w:tc>
          <w:tcPr>
            <w:tcW w:w="1843" w:type="dxa"/>
          </w:tcPr>
          <w:p w14:paraId="11C1C1C2" w14:textId="77777777" w:rsidR="00E67FEE" w:rsidRPr="00311FFE" w:rsidRDefault="00E67FEE" w:rsidP="00311FFE">
            <w:pPr>
              <w:rPr>
                <w:sz w:val="20"/>
                <w:szCs w:val="20"/>
              </w:rPr>
            </w:pPr>
            <w:r w:rsidRPr="00BE599F">
              <w:rPr>
                <w:sz w:val="20"/>
                <w:szCs w:val="20"/>
              </w:rPr>
              <w:t xml:space="preserve">HR-ABG </w:t>
            </w:r>
            <w:r>
              <w:rPr>
                <w:sz w:val="20"/>
                <w:szCs w:val="20"/>
              </w:rPr>
              <w:br/>
            </w:r>
            <w:r w:rsidRPr="002C2D13">
              <w:rPr>
                <w:i/>
                <w:iCs/>
                <w:sz w:val="20"/>
                <w:szCs w:val="20"/>
              </w:rPr>
              <w:t>3 days</w:t>
            </w:r>
          </w:p>
        </w:tc>
        <w:tc>
          <w:tcPr>
            <w:tcW w:w="1985" w:type="dxa"/>
          </w:tcPr>
          <w:p w14:paraId="5132DD1B" w14:textId="77777777" w:rsidR="00E67FEE" w:rsidRPr="00311FFE" w:rsidRDefault="00E67FEE" w:rsidP="00311FFE">
            <w:pPr>
              <w:rPr>
                <w:sz w:val="20"/>
                <w:szCs w:val="20"/>
              </w:rPr>
            </w:pPr>
            <w:r w:rsidRPr="00BE599F">
              <w:rPr>
                <w:sz w:val="20"/>
                <w:szCs w:val="20"/>
              </w:rPr>
              <w:t>Rhizotron assembly</w:t>
            </w:r>
            <w:r>
              <w:rPr>
                <w:sz w:val="20"/>
                <w:szCs w:val="20"/>
              </w:rPr>
              <w:br/>
            </w:r>
            <w:r>
              <w:rPr>
                <w:i/>
                <w:iCs/>
                <w:sz w:val="20"/>
                <w:szCs w:val="20"/>
              </w:rPr>
              <w:t>2</w:t>
            </w:r>
            <w:r w:rsidRPr="002C2D13">
              <w:rPr>
                <w:i/>
                <w:iCs/>
                <w:sz w:val="20"/>
                <w:szCs w:val="20"/>
              </w:rPr>
              <w:t xml:space="preserve"> </w:t>
            </w:r>
            <w:r>
              <w:rPr>
                <w:i/>
                <w:iCs/>
                <w:sz w:val="20"/>
                <w:szCs w:val="20"/>
              </w:rPr>
              <w:t>hours per replicate</w:t>
            </w:r>
          </w:p>
        </w:tc>
        <w:tc>
          <w:tcPr>
            <w:tcW w:w="2268" w:type="dxa"/>
          </w:tcPr>
          <w:p w14:paraId="27594667" w14:textId="77777777" w:rsidR="00E67FEE" w:rsidRPr="00BE599F" w:rsidRDefault="00E67FEE">
            <w:pPr>
              <w:rPr>
                <w:sz w:val="20"/>
                <w:szCs w:val="20"/>
              </w:rPr>
            </w:pPr>
            <w:r w:rsidRPr="00BE599F">
              <w:rPr>
                <w:sz w:val="20"/>
                <w:szCs w:val="20"/>
              </w:rPr>
              <w:t>Solute sampling period</w:t>
            </w:r>
            <w:r>
              <w:rPr>
                <w:sz w:val="20"/>
                <w:szCs w:val="20"/>
              </w:rPr>
              <w:br/>
            </w:r>
            <w:r>
              <w:rPr>
                <w:i/>
                <w:iCs/>
                <w:sz w:val="20"/>
                <w:szCs w:val="20"/>
              </w:rPr>
              <w:t>variable, typically</w:t>
            </w:r>
            <w:r w:rsidRPr="002C2D13">
              <w:rPr>
                <w:i/>
                <w:iCs/>
                <w:sz w:val="20"/>
                <w:szCs w:val="20"/>
              </w:rPr>
              <w:t xml:space="preserve"> 24 hours</w:t>
            </w:r>
          </w:p>
        </w:tc>
        <w:tc>
          <w:tcPr>
            <w:tcW w:w="2966" w:type="dxa"/>
          </w:tcPr>
          <w:p w14:paraId="26EE9EFB" w14:textId="77777777" w:rsidR="00E67FEE" w:rsidRPr="00311FFE" w:rsidRDefault="00E67FEE" w:rsidP="00311FFE">
            <w:pPr>
              <w:rPr>
                <w:sz w:val="20"/>
                <w:szCs w:val="20"/>
              </w:rPr>
            </w:pPr>
            <w:r w:rsidRPr="00BE599F">
              <w:rPr>
                <w:sz w:val="20"/>
                <w:szCs w:val="20"/>
              </w:rPr>
              <w:t>LA-ICP-MS analysis</w:t>
            </w:r>
            <w:r>
              <w:rPr>
                <w:sz w:val="20"/>
                <w:szCs w:val="20"/>
              </w:rPr>
              <w:br/>
            </w:r>
            <w:r w:rsidRPr="002C2D13">
              <w:rPr>
                <w:i/>
                <w:iCs/>
                <w:sz w:val="20"/>
                <w:szCs w:val="20"/>
              </w:rPr>
              <w:t>1 day per gel</w:t>
            </w:r>
          </w:p>
        </w:tc>
      </w:tr>
      <w:tr w:rsidR="00E67FEE" w:rsidRPr="00BE599F" w14:paraId="750F5BA5" w14:textId="77777777" w:rsidTr="002C32B3">
        <w:tc>
          <w:tcPr>
            <w:tcW w:w="1843" w:type="dxa"/>
          </w:tcPr>
          <w:p w14:paraId="17AE251F" w14:textId="77777777" w:rsidR="00E67FEE" w:rsidRPr="00311FFE" w:rsidRDefault="00E67FEE" w:rsidP="00311FFE">
            <w:pPr>
              <w:rPr>
                <w:sz w:val="20"/>
                <w:szCs w:val="20"/>
              </w:rPr>
            </w:pPr>
            <w:r w:rsidRPr="00BE599F">
              <w:rPr>
                <w:sz w:val="20"/>
                <w:szCs w:val="20"/>
              </w:rPr>
              <w:t>HR-CBG</w:t>
            </w:r>
            <w:r>
              <w:rPr>
                <w:sz w:val="20"/>
                <w:szCs w:val="20"/>
              </w:rPr>
              <w:br/>
            </w:r>
            <w:r w:rsidRPr="002C2D13">
              <w:rPr>
                <w:i/>
                <w:iCs/>
                <w:sz w:val="20"/>
                <w:szCs w:val="20"/>
              </w:rPr>
              <w:t>3 days</w:t>
            </w:r>
          </w:p>
        </w:tc>
        <w:tc>
          <w:tcPr>
            <w:tcW w:w="1985" w:type="dxa"/>
          </w:tcPr>
          <w:p w14:paraId="0ED2DE32" w14:textId="77777777" w:rsidR="00E67FEE" w:rsidRPr="00311FFE" w:rsidRDefault="00E67FEE">
            <w:pPr>
              <w:rPr>
                <w:sz w:val="20"/>
                <w:szCs w:val="20"/>
              </w:rPr>
            </w:pPr>
            <w:r w:rsidRPr="00BE599F">
              <w:rPr>
                <w:sz w:val="20"/>
                <w:szCs w:val="20"/>
              </w:rPr>
              <w:t>Plant growth</w:t>
            </w:r>
            <w:r>
              <w:rPr>
                <w:sz w:val="20"/>
                <w:szCs w:val="20"/>
              </w:rPr>
              <w:br/>
            </w:r>
            <w:r>
              <w:rPr>
                <w:i/>
                <w:iCs/>
                <w:sz w:val="20"/>
                <w:szCs w:val="20"/>
              </w:rPr>
              <w:t>dependent on study</w:t>
            </w:r>
          </w:p>
        </w:tc>
        <w:tc>
          <w:tcPr>
            <w:tcW w:w="2268" w:type="dxa"/>
          </w:tcPr>
          <w:p w14:paraId="4AA2E607" w14:textId="77777777" w:rsidR="00E67FEE" w:rsidRPr="00311FFE" w:rsidRDefault="00E67FEE" w:rsidP="00311FFE">
            <w:pPr>
              <w:rPr>
                <w:sz w:val="20"/>
                <w:szCs w:val="20"/>
              </w:rPr>
            </w:pPr>
            <w:r w:rsidRPr="00BE599F">
              <w:rPr>
                <w:sz w:val="20"/>
                <w:szCs w:val="20"/>
              </w:rPr>
              <w:t>Gel retrieval</w:t>
            </w:r>
            <w:r>
              <w:rPr>
                <w:sz w:val="20"/>
                <w:szCs w:val="20"/>
              </w:rPr>
              <w:br/>
            </w:r>
            <w:r>
              <w:rPr>
                <w:i/>
                <w:iCs/>
                <w:sz w:val="20"/>
                <w:szCs w:val="20"/>
              </w:rPr>
              <w:t>1</w:t>
            </w:r>
            <w:r w:rsidRPr="002C2D13">
              <w:rPr>
                <w:i/>
                <w:iCs/>
                <w:sz w:val="20"/>
                <w:szCs w:val="20"/>
              </w:rPr>
              <w:t xml:space="preserve"> hour per gel</w:t>
            </w:r>
          </w:p>
        </w:tc>
        <w:tc>
          <w:tcPr>
            <w:tcW w:w="2966" w:type="dxa"/>
          </w:tcPr>
          <w:p w14:paraId="665F676B" w14:textId="77777777" w:rsidR="00E67FEE" w:rsidRPr="00311FFE" w:rsidRDefault="00E67FEE" w:rsidP="00311FFE">
            <w:pPr>
              <w:rPr>
                <w:sz w:val="20"/>
                <w:szCs w:val="20"/>
              </w:rPr>
            </w:pPr>
            <w:r w:rsidRPr="00BE599F">
              <w:rPr>
                <w:sz w:val="20"/>
                <w:szCs w:val="20"/>
              </w:rPr>
              <w:t>Data processing</w:t>
            </w:r>
            <w:r>
              <w:rPr>
                <w:sz w:val="20"/>
                <w:szCs w:val="20"/>
              </w:rPr>
              <w:br/>
            </w:r>
            <w:r>
              <w:rPr>
                <w:i/>
                <w:iCs/>
                <w:sz w:val="20"/>
                <w:szCs w:val="20"/>
              </w:rPr>
              <w:t>4 hours</w:t>
            </w:r>
            <w:r w:rsidRPr="002C2D13">
              <w:rPr>
                <w:i/>
                <w:iCs/>
                <w:sz w:val="20"/>
                <w:szCs w:val="20"/>
              </w:rPr>
              <w:t xml:space="preserve"> per gel</w:t>
            </w:r>
          </w:p>
        </w:tc>
      </w:tr>
      <w:tr w:rsidR="00E67FEE" w:rsidRPr="00BE599F" w14:paraId="1B992B19" w14:textId="77777777" w:rsidTr="002C32B3">
        <w:tc>
          <w:tcPr>
            <w:tcW w:w="1843" w:type="dxa"/>
          </w:tcPr>
          <w:p w14:paraId="693BB8BB" w14:textId="77777777" w:rsidR="00E67FEE" w:rsidRPr="00BE599F" w:rsidRDefault="00E67FEE" w:rsidP="00311FFE">
            <w:pPr>
              <w:rPr>
                <w:sz w:val="20"/>
                <w:szCs w:val="20"/>
              </w:rPr>
            </w:pPr>
          </w:p>
        </w:tc>
        <w:tc>
          <w:tcPr>
            <w:tcW w:w="1985" w:type="dxa"/>
          </w:tcPr>
          <w:p w14:paraId="332ADE70" w14:textId="77777777" w:rsidR="00E67FEE" w:rsidRPr="00BE599F" w:rsidRDefault="00E67FEE" w:rsidP="00311FFE">
            <w:pPr>
              <w:rPr>
                <w:sz w:val="20"/>
                <w:szCs w:val="20"/>
              </w:rPr>
            </w:pPr>
          </w:p>
        </w:tc>
        <w:tc>
          <w:tcPr>
            <w:tcW w:w="2268" w:type="dxa"/>
          </w:tcPr>
          <w:p w14:paraId="0EA435DF" w14:textId="77777777" w:rsidR="00E67FEE" w:rsidRPr="00311FFE" w:rsidRDefault="00E67FEE" w:rsidP="00311FFE">
            <w:pPr>
              <w:rPr>
                <w:sz w:val="20"/>
                <w:szCs w:val="20"/>
              </w:rPr>
            </w:pPr>
            <w:r w:rsidRPr="00BE599F">
              <w:rPr>
                <w:sz w:val="20"/>
                <w:szCs w:val="20"/>
              </w:rPr>
              <w:t>Gel drying</w:t>
            </w:r>
            <w:r>
              <w:rPr>
                <w:sz w:val="20"/>
                <w:szCs w:val="20"/>
              </w:rPr>
              <w:br/>
            </w:r>
            <w:r>
              <w:rPr>
                <w:i/>
                <w:iCs/>
                <w:sz w:val="20"/>
                <w:szCs w:val="20"/>
              </w:rPr>
              <w:t>2</w:t>
            </w:r>
            <w:r w:rsidRPr="002C2D13">
              <w:rPr>
                <w:i/>
                <w:iCs/>
                <w:sz w:val="20"/>
                <w:szCs w:val="20"/>
              </w:rPr>
              <w:t>-3 days</w:t>
            </w:r>
          </w:p>
        </w:tc>
        <w:tc>
          <w:tcPr>
            <w:tcW w:w="2966" w:type="dxa"/>
          </w:tcPr>
          <w:p w14:paraId="4CB374EB" w14:textId="77777777" w:rsidR="00E67FEE" w:rsidRPr="00311FFE" w:rsidRDefault="00E67FEE" w:rsidP="00311FFE">
            <w:pPr>
              <w:rPr>
                <w:sz w:val="20"/>
                <w:szCs w:val="20"/>
              </w:rPr>
            </w:pPr>
            <w:r w:rsidRPr="00BE599F">
              <w:rPr>
                <w:sz w:val="20"/>
                <w:szCs w:val="20"/>
              </w:rPr>
              <w:t>Image generation</w:t>
            </w:r>
            <w:r>
              <w:rPr>
                <w:sz w:val="20"/>
                <w:szCs w:val="20"/>
              </w:rPr>
              <w:br/>
            </w:r>
            <w:r>
              <w:rPr>
                <w:i/>
                <w:iCs/>
                <w:sz w:val="20"/>
                <w:szCs w:val="20"/>
              </w:rPr>
              <w:t>30 min</w:t>
            </w:r>
            <w:r w:rsidRPr="002C2D13">
              <w:rPr>
                <w:i/>
                <w:iCs/>
                <w:sz w:val="20"/>
                <w:szCs w:val="20"/>
              </w:rPr>
              <w:t xml:space="preserve"> per image</w:t>
            </w:r>
          </w:p>
        </w:tc>
      </w:tr>
      <w:bookmarkEnd w:id="2"/>
    </w:tbl>
    <w:p w14:paraId="5E171BBF" w14:textId="77777777" w:rsidR="00E67FEE" w:rsidRPr="0073323F" w:rsidRDefault="00E67FEE" w:rsidP="00F443CD">
      <w:pPr>
        <w:shd w:val="clear" w:color="auto" w:fill="FFFFFF" w:themeFill="background1"/>
        <w:autoSpaceDE w:val="0"/>
        <w:autoSpaceDN w:val="0"/>
        <w:adjustRightInd w:val="0"/>
        <w:spacing w:after="240" w:line="360" w:lineRule="auto"/>
        <w:jc w:val="both"/>
        <w:rPr>
          <w:rFonts w:cstheme="minorHAnsi"/>
          <w:color w:val="353838"/>
        </w:rPr>
      </w:pPr>
    </w:p>
    <w:p w14:paraId="37905B09" w14:textId="77777777" w:rsidR="00E67FEE" w:rsidRPr="001B34F9" w:rsidRDefault="00E67FEE" w:rsidP="000F3A64">
      <w:pPr>
        <w:pStyle w:val="ListParagraph"/>
        <w:shd w:val="clear" w:color="auto" w:fill="D9D9D9" w:themeFill="background1" w:themeFillShade="D9"/>
        <w:autoSpaceDE w:val="0"/>
        <w:autoSpaceDN w:val="0"/>
        <w:adjustRightInd w:val="0"/>
        <w:spacing w:after="240" w:line="360" w:lineRule="auto"/>
        <w:ind w:left="0"/>
        <w:jc w:val="both"/>
        <w:rPr>
          <w:rFonts w:cstheme="minorHAnsi"/>
          <w:color w:val="353838"/>
        </w:rPr>
      </w:pPr>
      <w:r w:rsidRPr="001B34F9">
        <w:rPr>
          <w:rFonts w:cstheme="minorHAnsi"/>
          <w:color w:val="353838"/>
        </w:rPr>
        <w:t>I made suggestions for additional methods and references to include in introduction/discussion to provide context for the reader.</w:t>
      </w:r>
    </w:p>
    <w:p w14:paraId="38012A48" w14:textId="77777777" w:rsidR="00E67FEE" w:rsidRDefault="00E67FEE" w:rsidP="000F3A64">
      <w:pPr>
        <w:pStyle w:val="ListParagraph"/>
        <w:shd w:val="clear" w:color="auto" w:fill="D9D9D9" w:themeFill="background1" w:themeFillShade="D9"/>
        <w:autoSpaceDE w:val="0"/>
        <w:autoSpaceDN w:val="0"/>
        <w:adjustRightInd w:val="0"/>
        <w:spacing w:after="240" w:line="360" w:lineRule="auto"/>
        <w:ind w:left="0"/>
        <w:jc w:val="both"/>
        <w:rPr>
          <w:rFonts w:cstheme="minorHAnsi"/>
          <w:color w:val="353838"/>
        </w:rPr>
      </w:pPr>
    </w:p>
    <w:p w14:paraId="1FBFE6F9" w14:textId="77777777" w:rsidR="00E67FEE" w:rsidRPr="001B34F9" w:rsidRDefault="00E67FEE" w:rsidP="000F3A64">
      <w:pPr>
        <w:pStyle w:val="ListParagraph"/>
        <w:shd w:val="clear" w:color="auto" w:fill="D9D9D9" w:themeFill="background1" w:themeFillShade="D9"/>
        <w:autoSpaceDE w:val="0"/>
        <w:autoSpaceDN w:val="0"/>
        <w:adjustRightInd w:val="0"/>
        <w:spacing w:after="240" w:line="360" w:lineRule="auto"/>
        <w:ind w:left="0"/>
        <w:jc w:val="both"/>
        <w:rPr>
          <w:rFonts w:cstheme="minorHAnsi"/>
          <w:color w:val="353838"/>
        </w:rPr>
      </w:pPr>
      <w:r w:rsidRPr="001B34F9">
        <w:rPr>
          <w:rFonts w:cstheme="minorHAnsi"/>
          <w:color w:val="353838"/>
        </w:rPr>
        <w:t>Specific comments:</w:t>
      </w:r>
    </w:p>
    <w:p w14:paraId="200C97A1" w14:textId="77777777" w:rsidR="00E67FEE" w:rsidRDefault="00E67FEE" w:rsidP="000F3A64">
      <w:pPr>
        <w:pStyle w:val="ListParagraph"/>
        <w:shd w:val="clear" w:color="auto" w:fill="D9D9D9" w:themeFill="background1" w:themeFillShade="D9"/>
        <w:autoSpaceDE w:val="0"/>
        <w:autoSpaceDN w:val="0"/>
        <w:adjustRightInd w:val="0"/>
        <w:spacing w:after="240" w:line="360" w:lineRule="auto"/>
        <w:ind w:left="0"/>
        <w:jc w:val="both"/>
        <w:rPr>
          <w:rFonts w:cstheme="minorHAnsi"/>
          <w:color w:val="353838"/>
        </w:rPr>
      </w:pPr>
      <w:r w:rsidRPr="001B34F9">
        <w:rPr>
          <w:rFonts w:cstheme="minorHAnsi"/>
          <w:color w:val="353838"/>
        </w:rPr>
        <w:t>Line 140: DGT is not the "only technique capable of multi-element mapping of nutrients and contaminants". It would be worth</w:t>
      </w:r>
      <w:r>
        <w:rPr>
          <w:rFonts w:cstheme="minorHAnsi"/>
          <w:color w:val="353838"/>
        </w:rPr>
        <w:t xml:space="preserve"> </w:t>
      </w:r>
      <w:r w:rsidRPr="001B34F9">
        <w:rPr>
          <w:rFonts w:cstheme="minorHAnsi"/>
          <w:color w:val="353838"/>
        </w:rPr>
        <w:t>mentioning the high-resolution elemental</w:t>
      </w:r>
      <w:r>
        <w:rPr>
          <w:rFonts w:cstheme="minorHAnsi"/>
          <w:color w:val="353838"/>
        </w:rPr>
        <w:t xml:space="preserve"> </w:t>
      </w:r>
      <w:r w:rsidRPr="001B34F9">
        <w:rPr>
          <w:rFonts w:cstheme="minorHAnsi"/>
          <w:color w:val="353838"/>
        </w:rPr>
        <w:t>mapping method of laser-induced breakdown spectroscopy (LIBS) [</w:t>
      </w:r>
      <w:proofErr w:type="spellStart"/>
      <w:r w:rsidRPr="001B34F9">
        <w:rPr>
          <w:rFonts w:cstheme="minorHAnsi"/>
          <w:color w:val="353838"/>
        </w:rPr>
        <w:t>Ilhardet</w:t>
      </w:r>
      <w:proofErr w:type="spellEnd"/>
      <w:r w:rsidRPr="001B34F9">
        <w:rPr>
          <w:rFonts w:cstheme="minorHAnsi"/>
          <w:color w:val="353838"/>
        </w:rPr>
        <w:t xml:space="preserve"> et al. 2019,</w:t>
      </w:r>
      <w:r>
        <w:rPr>
          <w:rFonts w:cstheme="minorHAnsi"/>
          <w:color w:val="353838"/>
        </w:rPr>
        <w:t xml:space="preserve"> </w:t>
      </w:r>
      <w:r w:rsidRPr="001B34F9">
        <w:rPr>
          <w:rFonts w:cstheme="minorHAnsi"/>
          <w:color w:val="353838"/>
        </w:rPr>
        <w:t xml:space="preserve">SBB], perhaps in the prior paragraph, and </w:t>
      </w:r>
      <w:r w:rsidRPr="001B34F9">
        <w:rPr>
          <w:rFonts w:cstheme="minorHAnsi"/>
          <w:color w:val="353838"/>
        </w:rPr>
        <w:lastRenderedPageBreak/>
        <w:t>rephrasing this line for clarification. [Similar comment for lines 732-735, DGT may be one of</w:t>
      </w:r>
      <w:r>
        <w:rPr>
          <w:rFonts w:cstheme="minorHAnsi"/>
          <w:color w:val="353838"/>
        </w:rPr>
        <w:t xml:space="preserve"> </w:t>
      </w:r>
      <w:r w:rsidRPr="001B34F9">
        <w:rPr>
          <w:rFonts w:cstheme="minorHAnsi"/>
          <w:color w:val="353838"/>
        </w:rPr>
        <w:t>the few but is not the only method.]</w:t>
      </w:r>
    </w:p>
    <w:p w14:paraId="1E21C5AB" w14:textId="77777777" w:rsidR="00E67FEE" w:rsidRDefault="00E67FEE" w:rsidP="00F443CD">
      <w:pPr>
        <w:shd w:val="clear" w:color="auto" w:fill="FFFFFF" w:themeFill="background1"/>
        <w:autoSpaceDE w:val="0"/>
        <w:autoSpaceDN w:val="0"/>
        <w:adjustRightInd w:val="0"/>
        <w:spacing w:after="240" w:line="360" w:lineRule="auto"/>
        <w:jc w:val="both"/>
        <w:rPr>
          <w:rFonts w:cstheme="minorHAnsi"/>
        </w:rPr>
      </w:pPr>
      <w:r w:rsidRPr="00F443CD">
        <w:rPr>
          <w:rFonts w:cstheme="minorHAnsi"/>
        </w:rPr>
        <w:t xml:space="preserve">Thank you for highlighting that this point was not elaborated in sufficient detail. The sentence in line 140 was misleading, as it was not our intention to state that DGT is “the only technique capable of multi-element mapping of nutrients and contaminants”. Yet, the DGT technique is unique in its ability to selectively sample labile (i.e. reversibly adsorbed) </w:t>
      </w:r>
      <w:r>
        <w:rPr>
          <w:rFonts w:cstheme="minorHAnsi"/>
        </w:rPr>
        <w:t>solute</w:t>
      </w:r>
      <w:r w:rsidRPr="00F443CD">
        <w:rPr>
          <w:rFonts w:cstheme="minorHAnsi"/>
        </w:rPr>
        <w:t xml:space="preserve"> species </w:t>
      </w:r>
      <w:r w:rsidRPr="00F443CD">
        <w:rPr>
          <w:rFonts w:cstheme="minorHAnsi"/>
          <w:i/>
          <w:iCs/>
        </w:rPr>
        <w:t>in situ</w:t>
      </w:r>
      <w:r w:rsidRPr="00F443CD">
        <w:rPr>
          <w:rFonts w:cstheme="minorHAnsi"/>
        </w:rPr>
        <w:t xml:space="preserve"> and at high spatial resolution while preserving the original solute distribution in the intact soil-rhizosphere-root system</w:t>
      </w:r>
      <w:r>
        <w:rPr>
          <w:rFonts w:cstheme="minorHAnsi"/>
        </w:rPr>
        <w:t xml:space="preserve"> </w:t>
      </w:r>
      <w:r>
        <w:rPr>
          <w:rFonts w:cstheme="minorHAnsi"/>
          <w:noProof/>
        </w:rPr>
        <w:t>(Oburger and Schmidt, 2016; Santner and Williams, 2016)</w:t>
      </w:r>
      <w:r w:rsidRPr="00F443CD">
        <w:rPr>
          <w:rFonts w:cstheme="minorHAnsi"/>
        </w:rPr>
        <w:t>. To the best of our knowledge, this is not possible with other solute sampling methods available to date. The combination of the DGT-based passive sampling approach with chemical mapping by LA-ICP-MS further enables the targeted</w:t>
      </w:r>
      <w:r>
        <w:rPr>
          <w:rFonts w:cstheme="minorHAnsi"/>
        </w:rPr>
        <w:t xml:space="preserve"> 2D</w:t>
      </w:r>
      <w:r w:rsidRPr="00F443CD">
        <w:rPr>
          <w:rFonts w:cstheme="minorHAnsi"/>
        </w:rPr>
        <w:t xml:space="preserve"> visualization of these labile, plant-available element fractions</w:t>
      </w:r>
      <w:r>
        <w:rPr>
          <w:rFonts w:cstheme="minorHAnsi"/>
        </w:rPr>
        <w:t xml:space="preserve">. </w:t>
      </w:r>
      <w:r w:rsidRPr="00F443CD">
        <w:rPr>
          <w:rFonts w:cstheme="minorHAnsi"/>
        </w:rPr>
        <w:t xml:space="preserve">Thereby, the DGT LA-ICP-MS technique differs from the method presented by </w:t>
      </w:r>
      <w:r w:rsidRPr="00F443CD">
        <w:rPr>
          <w:rFonts w:cstheme="minorHAnsi"/>
          <w:noProof/>
        </w:rPr>
        <w:t>Ilhardt et al. (2019)</w:t>
      </w:r>
      <w:r w:rsidRPr="00F443CD">
        <w:rPr>
          <w:rFonts w:cstheme="minorHAnsi"/>
        </w:rPr>
        <w:t xml:space="preserve">, where LIBS was used </w:t>
      </w:r>
      <w:bookmarkStart w:id="3" w:name="_Hlk44668921"/>
      <w:r w:rsidRPr="00F443CD">
        <w:rPr>
          <w:rFonts w:cstheme="minorHAnsi"/>
        </w:rPr>
        <w:t>to analyze total element distributions in soil-root samples extracted from rhizotrons by sampling soil cores followed by careful sample preparation to preserve the natural element distribution</w:t>
      </w:r>
      <w:bookmarkEnd w:id="3"/>
      <w:r w:rsidRPr="00F443CD">
        <w:rPr>
          <w:rFonts w:cstheme="minorHAnsi"/>
        </w:rPr>
        <w:t xml:space="preserve">. This method is well suited to be combined with the DGT LA-ICP-MS technique, complementing the DGT solute flux and elemental speciation data with detailed information on mineralogy and solid phase trace element patterns in the soil-rhizosphere-root </w:t>
      </w:r>
      <w:r>
        <w:rPr>
          <w:rFonts w:cstheme="minorHAnsi"/>
        </w:rPr>
        <w:t>system</w:t>
      </w:r>
      <w:r w:rsidRPr="00F443CD">
        <w:rPr>
          <w:rFonts w:cstheme="minorHAnsi"/>
        </w:rPr>
        <w:t xml:space="preserve">. </w:t>
      </w:r>
    </w:p>
    <w:p w14:paraId="10A90438" w14:textId="77777777" w:rsidR="00E67FEE" w:rsidRPr="0034605F" w:rsidRDefault="00E67FEE" w:rsidP="008429B6">
      <w:pPr>
        <w:shd w:val="clear" w:color="auto" w:fill="FFFFFF" w:themeFill="background1"/>
        <w:autoSpaceDE w:val="0"/>
        <w:autoSpaceDN w:val="0"/>
        <w:adjustRightInd w:val="0"/>
        <w:spacing w:after="240" w:line="360" w:lineRule="auto"/>
        <w:jc w:val="both"/>
        <w:rPr>
          <w:rFonts w:cstheme="minorHAnsi"/>
          <w:i/>
          <w:iCs/>
        </w:rPr>
      </w:pPr>
      <w:r>
        <w:rPr>
          <w:rFonts w:cstheme="minorHAnsi"/>
        </w:rPr>
        <w:t xml:space="preserve">To clarify the targeted solute sampling approach by DGT and its </w:t>
      </w:r>
      <w:r w:rsidRPr="0034605F">
        <w:rPr>
          <w:rFonts w:cstheme="minorHAnsi"/>
        </w:rPr>
        <w:t xml:space="preserve">distinction from other techniques, </w:t>
      </w:r>
      <w:r w:rsidRPr="0034605F">
        <w:rPr>
          <w:rFonts w:cstheme="minorHAnsi"/>
          <w:b/>
          <w:bCs/>
        </w:rPr>
        <w:t>we corrected</w:t>
      </w:r>
      <w:r w:rsidRPr="0034605F">
        <w:rPr>
          <w:rFonts w:cstheme="minorHAnsi"/>
        </w:rPr>
        <w:t xml:space="preserve"> the corresponding paragraph in the main manuscript, lines 147-150: “</w:t>
      </w:r>
      <w:r w:rsidRPr="0034605F">
        <w:rPr>
          <w:rFonts w:cstheme="minorHAnsi"/>
          <w:i/>
          <w:iCs/>
        </w:rPr>
        <w:t>The only technique capable of targeted 2D sampling of multiple nutrient and contaminant solutes at high spatial resolution is the diffusive gradients in thin films (DGT) technique, a sink-based sampling method that immobilizes labile trace metal(loid) species in situ on a binding material embedded in a hydrogel layer26,27.”</w:t>
      </w:r>
    </w:p>
    <w:p w14:paraId="3F139CAE" w14:textId="77777777" w:rsidR="00E67FEE" w:rsidRPr="008429B6" w:rsidRDefault="00E67FEE" w:rsidP="008429B6">
      <w:pPr>
        <w:shd w:val="clear" w:color="auto" w:fill="FFFFFF" w:themeFill="background1"/>
        <w:autoSpaceDE w:val="0"/>
        <w:autoSpaceDN w:val="0"/>
        <w:adjustRightInd w:val="0"/>
        <w:spacing w:after="240" w:line="360" w:lineRule="auto"/>
        <w:jc w:val="both"/>
        <w:rPr>
          <w:rFonts w:cstheme="minorHAnsi"/>
        </w:rPr>
      </w:pPr>
      <w:r w:rsidRPr="0034605F">
        <w:rPr>
          <w:rFonts w:cstheme="minorHAnsi"/>
          <w:b/>
          <w:bCs/>
        </w:rPr>
        <w:t xml:space="preserve">The method of </w:t>
      </w:r>
      <w:proofErr w:type="spellStart"/>
      <w:r w:rsidRPr="0034605F">
        <w:rPr>
          <w:rFonts w:cstheme="minorHAnsi"/>
          <w:b/>
          <w:bCs/>
        </w:rPr>
        <w:t>Ilhardt</w:t>
      </w:r>
      <w:proofErr w:type="spellEnd"/>
      <w:r w:rsidRPr="0034605F">
        <w:rPr>
          <w:rFonts w:cstheme="minorHAnsi"/>
          <w:b/>
          <w:bCs/>
        </w:rPr>
        <w:t xml:space="preserve"> et al. (2019) was added</w:t>
      </w:r>
      <w:r w:rsidRPr="0034605F">
        <w:rPr>
          <w:rFonts w:cstheme="minorHAnsi"/>
        </w:rPr>
        <w:t xml:space="preserve"> </w:t>
      </w:r>
      <w:r w:rsidRPr="0034605F">
        <w:rPr>
          <w:rFonts w:cstheme="minorHAnsi"/>
          <w:b/>
          <w:bCs/>
        </w:rPr>
        <w:t>(Ref 25)</w:t>
      </w:r>
      <w:r w:rsidRPr="0034605F">
        <w:rPr>
          <w:rFonts w:cstheme="minorHAnsi"/>
        </w:rPr>
        <w:t xml:space="preserve"> to the introduction, lines 142-145</w:t>
      </w:r>
      <w:r>
        <w:rPr>
          <w:rFonts w:cstheme="minorHAnsi"/>
        </w:rPr>
        <w:t>, as another example for chemical imaging techniques applied in rhizosphere research: “</w:t>
      </w:r>
      <w:r w:rsidRPr="00CF1127">
        <w:rPr>
          <w:rFonts w:cstheme="minorHAnsi"/>
          <w:i/>
          <w:iCs/>
        </w:rPr>
        <w:t>More</w:t>
      </w:r>
      <w:r>
        <w:rPr>
          <w:rFonts w:cstheme="minorHAnsi"/>
        </w:rPr>
        <w:t xml:space="preserve"> r</w:t>
      </w:r>
      <w:r w:rsidRPr="00223E96">
        <w:rPr>
          <w:rFonts w:cstheme="minorHAnsi"/>
          <w:i/>
          <w:iCs/>
        </w:rPr>
        <w:t xml:space="preserve">ecently, P. D. </w:t>
      </w:r>
      <w:proofErr w:type="spellStart"/>
      <w:r w:rsidRPr="00223E96">
        <w:rPr>
          <w:rFonts w:cstheme="minorHAnsi"/>
          <w:i/>
          <w:iCs/>
        </w:rPr>
        <w:t>Ilhardt</w:t>
      </w:r>
      <w:proofErr w:type="spellEnd"/>
      <w:r w:rsidRPr="00223E96">
        <w:rPr>
          <w:rFonts w:cstheme="minorHAnsi"/>
          <w:i/>
          <w:iCs/>
        </w:rPr>
        <w:t>, et al. 2</w:t>
      </w:r>
      <w:r>
        <w:rPr>
          <w:rFonts w:cstheme="minorHAnsi"/>
          <w:i/>
          <w:iCs/>
        </w:rPr>
        <w:t>5</w:t>
      </w:r>
      <w:r w:rsidRPr="00223E96">
        <w:rPr>
          <w:rFonts w:cstheme="minorHAnsi"/>
          <w:i/>
          <w:iCs/>
        </w:rPr>
        <w:t xml:space="preserve"> presented a novel approach using laser induced breakdown spectroscopy (LIBS) to map </w:t>
      </w:r>
      <w:r>
        <w:rPr>
          <w:rFonts w:cstheme="minorHAnsi"/>
          <w:i/>
          <w:iCs/>
        </w:rPr>
        <w:t xml:space="preserve">2D </w:t>
      </w:r>
      <w:r w:rsidRPr="00223E96">
        <w:rPr>
          <w:rFonts w:cstheme="minorHAnsi"/>
          <w:i/>
          <w:iCs/>
        </w:rPr>
        <w:t>total multi-element distributions in soil-root core samples where the natural element distribution was preserved by careful sample preparation.</w:t>
      </w:r>
      <w:r>
        <w:rPr>
          <w:rFonts w:cstheme="minorHAnsi"/>
          <w:i/>
          <w:iCs/>
        </w:rPr>
        <w:t>”</w:t>
      </w:r>
    </w:p>
    <w:p w14:paraId="6E6E8BDC" w14:textId="77777777" w:rsidR="00E67FEE" w:rsidRDefault="00E67FEE" w:rsidP="000F3A64">
      <w:pPr>
        <w:pStyle w:val="ListParagraph"/>
        <w:shd w:val="clear" w:color="auto" w:fill="D9D9D9" w:themeFill="background1" w:themeFillShade="D9"/>
        <w:autoSpaceDE w:val="0"/>
        <w:autoSpaceDN w:val="0"/>
        <w:adjustRightInd w:val="0"/>
        <w:spacing w:after="240" w:line="360" w:lineRule="auto"/>
        <w:ind w:left="0"/>
        <w:jc w:val="both"/>
        <w:rPr>
          <w:rFonts w:cstheme="minorHAnsi"/>
          <w:color w:val="353838"/>
        </w:rPr>
      </w:pPr>
      <w:r w:rsidRPr="001B34F9">
        <w:rPr>
          <w:rFonts w:cstheme="minorHAnsi"/>
          <w:color w:val="353838"/>
        </w:rPr>
        <w:t>Line 243: It could be helpful to provide references by other authors (some may have already been cited elsewhere in the manuscript)</w:t>
      </w:r>
      <w:r>
        <w:rPr>
          <w:rFonts w:cstheme="minorHAnsi"/>
          <w:color w:val="353838"/>
        </w:rPr>
        <w:t xml:space="preserve"> </w:t>
      </w:r>
      <w:r w:rsidRPr="001B34F9">
        <w:rPr>
          <w:rFonts w:cstheme="minorHAnsi"/>
          <w:color w:val="353838"/>
        </w:rPr>
        <w:t>that show rhizotron setups, as designs can vary. The diagrams in this</w:t>
      </w:r>
      <w:r>
        <w:rPr>
          <w:rFonts w:cstheme="minorHAnsi"/>
          <w:color w:val="353838"/>
        </w:rPr>
        <w:t xml:space="preserve"> </w:t>
      </w:r>
      <w:r w:rsidRPr="001B34F9">
        <w:rPr>
          <w:rFonts w:cstheme="minorHAnsi"/>
          <w:color w:val="353838"/>
        </w:rPr>
        <w:t>manuscript for how to craft rhizotrons will make it a lot easier</w:t>
      </w:r>
      <w:r>
        <w:rPr>
          <w:rFonts w:cstheme="minorHAnsi"/>
          <w:color w:val="353838"/>
        </w:rPr>
        <w:t xml:space="preserve"> </w:t>
      </w:r>
      <w:r w:rsidRPr="001B34F9">
        <w:rPr>
          <w:rFonts w:cstheme="minorHAnsi"/>
          <w:color w:val="353838"/>
        </w:rPr>
        <w:t>for future readers to emulate the method.</w:t>
      </w:r>
    </w:p>
    <w:p w14:paraId="21F87028" w14:textId="77777777" w:rsidR="00E67FEE" w:rsidRPr="009751C0" w:rsidRDefault="00E67FEE" w:rsidP="009751C0">
      <w:pPr>
        <w:shd w:val="clear" w:color="auto" w:fill="FFFFFF" w:themeFill="background1"/>
        <w:autoSpaceDE w:val="0"/>
        <w:autoSpaceDN w:val="0"/>
        <w:adjustRightInd w:val="0"/>
        <w:spacing w:after="240" w:line="360" w:lineRule="auto"/>
        <w:jc w:val="both"/>
        <w:rPr>
          <w:rFonts w:cstheme="minorHAnsi"/>
          <w:color w:val="353838"/>
          <w:highlight w:val="yellow"/>
        </w:rPr>
      </w:pPr>
      <w:r w:rsidRPr="000D2D1D">
        <w:rPr>
          <w:rFonts w:cstheme="minorHAnsi"/>
          <w:color w:val="353838"/>
        </w:rPr>
        <w:lastRenderedPageBreak/>
        <w:t xml:space="preserve">The review of </w:t>
      </w:r>
      <w:r>
        <w:rPr>
          <w:rFonts w:cstheme="minorHAnsi"/>
          <w:noProof/>
          <w:color w:val="353838"/>
        </w:rPr>
        <w:t>Luster et al. (2009)</w:t>
      </w:r>
      <w:r>
        <w:rPr>
          <w:rFonts w:cstheme="minorHAnsi"/>
          <w:color w:val="353838"/>
        </w:rPr>
        <w:t xml:space="preserve"> was </w:t>
      </w:r>
      <w:r w:rsidRPr="004A2C01">
        <w:rPr>
          <w:rFonts w:cstheme="minorHAnsi"/>
          <w:b/>
          <w:bCs/>
          <w:color w:val="353838"/>
        </w:rPr>
        <w:t>added</w:t>
      </w:r>
      <w:r>
        <w:rPr>
          <w:rFonts w:cstheme="minorHAnsi"/>
          <w:color w:val="353838"/>
        </w:rPr>
        <w:t>. In this reference several examples for different rhizotron studies are provided.</w:t>
      </w:r>
    </w:p>
    <w:p w14:paraId="52F38479" w14:textId="77777777" w:rsidR="00E67FEE" w:rsidRPr="00190A8A" w:rsidRDefault="00E67FEE" w:rsidP="000F3A64">
      <w:pPr>
        <w:pStyle w:val="ListParagraph"/>
        <w:shd w:val="clear" w:color="auto" w:fill="D9D9D9" w:themeFill="background1" w:themeFillShade="D9"/>
        <w:autoSpaceDE w:val="0"/>
        <w:autoSpaceDN w:val="0"/>
        <w:adjustRightInd w:val="0"/>
        <w:spacing w:after="240" w:line="360" w:lineRule="auto"/>
        <w:ind w:left="0"/>
        <w:jc w:val="both"/>
        <w:rPr>
          <w:rFonts w:cstheme="minorHAnsi"/>
          <w:color w:val="353838"/>
        </w:rPr>
      </w:pPr>
      <w:r w:rsidRPr="00190A8A">
        <w:rPr>
          <w:rFonts w:cstheme="minorHAnsi"/>
          <w:color w:val="353838"/>
        </w:rPr>
        <w:t>Line 273: "calculate the weight of dry soil in the rhizotron". How is this calculated?</w:t>
      </w:r>
    </w:p>
    <w:p w14:paraId="632DFCE8" w14:textId="77777777" w:rsidR="00E67FEE" w:rsidRPr="00F443CD" w:rsidRDefault="00E67FEE" w:rsidP="00F443CD">
      <w:pPr>
        <w:shd w:val="clear" w:color="auto" w:fill="FFFFFF" w:themeFill="background1"/>
        <w:autoSpaceDE w:val="0"/>
        <w:autoSpaceDN w:val="0"/>
        <w:adjustRightInd w:val="0"/>
        <w:spacing w:after="240" w:line="360" w:lineRule="auto"/>
        <w:jc w:val="both"/>
        <w:rPr>
          <w:rFonts w:cstheme="minorHAnsi"/>
          <w:color w:val="353838"/>
        </w:rPr>
      </w:pPr>
      <w:r w:rsidRPr="00F443CD">
        <w:rPr>
          <w:rFonts w:cstheme="minorHAnsi"/>
          <w:color w:val="353838"/>
        </w:rPr>
        <w:t xml:space="preserve">The calculation of the mass of dry soil in the rhizotron, </w:t>
      </w:r>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d, soil rt</m:t>
            </m:r>
          </m:sub>
        </m:sSub>
      </m:oMath>
      <w:r w:rsidRPr="00F443CD">
        <w:rPr>
          <w:rFonts w:eastAsiaTheme="minorEastAsia" w:cstheme="minorHAnsi"/>
        </w:rPr>
        <w:t>,</w:t>
      </w:r>
      <w:r w:rsidRPr="00F443CD">
        <w:rPr>
          <w:rFonts w:cstheme="minorHAnsi"/>
        </w:rPr>
        <w:t xml:space="preserve"> </w:t>
      </w:r>
      <w:r w:rsidRPr="004A2C01">
        <w:rPr>
          <w:rFonts w:cstheme="minorHAnsi"/>
          <w:b/>
          <w:bCs/>
        </w:rPr>
        <w:t>is now explicitly stated in equation Eq. 1</w:t>
      </w:r>
      <w:r w:rsidRPr="00F443CD">
        <w:rPr>
          <w:rFonts w:cstheme="minorHAnsi"/>
        </w:rPr>
        <w:t>, which was added and reads as follows:  “</w:t>
      </w:r>
      <w:r w:rsidRPr="000D2D1D">
        <w:rPr>
          <w:rFonts w:cstheme="minorHAnsi"/>
          <w:i/>
          <w:iCs/>
        </w:rPr>
        <w:t xml:space="preserve">(Eq. 1)  </w:t>
      </w:r>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d, soil rt</m:t>
            </m:r>
          </m:sub>
        </m:sSub>
        <m:r>
          <w:rPr>
            <w:rFonts w:ascii="Cambria Math" w:hAnsi="Cambria Math" w:cstheme="minorHAnsi"/>
          </w:rPr>
          <m:t>=</m:t>
        </m:r>
        <m:sSub>
          <m:sSubPr>
            <m:ctrlPr>
              <w:rPr>
                <w:rFonts w:ascii="Cambria Math" w:eastAsia="Times New Roman" w:hAnsi="Cambria Math" w:cstheme="minorHAnsi"/>
                <w:i/>
              </w:rPr>
            </m:ctrlPr>
          </m:sSubPr>
          <m:e>
            <m:r>
              <w:rPr>
                <w:rFonts w:ascii="Cambria Math" w:hAnsi="Cambria Math" w:cstheme="minorHAnsi"/>
              </w:rPr>
              <m:t>m</m:t>
            </m:r>
          </m:e>
          <m:sub>
            <m:r>
              <w:rPr>
                <w:rFonts w:ascii="Cambria Math" w:hAnsi="Cambria Math" w:cstheme="minorHAnsi"/>
              </w:rPr>
              <m:t>m, soil rt</m:t>
            </m:r>
          </m:sub>
        </m:sSub>
        <m:r>
          <w:rPr>
            <w:rFonts w:ascii="Cambria Math" w:hAnsi="Cambria Math" w:cstheme="minorHAnsi"/>
          </w:rPr>
          <m:t>-</m:t>
        </m:r>
        <m:sSub>
          <m:sSubPr>
            <m:ctrlPr>
              <w:rPr>
                <w:rFonts w:ascii="Cambria Math" w:eastAsia="Times New Roman" w:hAnsi="Cambria Math" w:cstheme="minorHAnsi"/>
                <w:i/>
              </w:rPr>
            </m:ctrlPr>
          </m:sSubPr>
          <m:e>
            <m:r>
              <w:rPr>
                <w:rFonts w:ascii="Cambria Math" w:hAnsi="Cambria Math" w:cstheme="minorHAnsi"/>
              </w:rPr>
              <m:t>m</m:t>
            </m:r>
          </m:e>
          <m:sub>
            <m:r>
              <w:rPr>
                <w:rFonts w:ascii="Cambria Math" w:hAnsi="Cambria Math" w:cstheme="minorHAnsi"/>
              </w:rPr>
              <m:t>m, soil rt</m:t>
            </m:r>
          </m:sub>
        </m:sSub>
        <m:r>
          <w:rPr>
            <w:rFonts w:ascii="Cambria Math" w:hAnsi="Cambria Math" w:cstheme="minorHAnsi"/>
          </w:rPr>
          <m:t>×</m:t>
        </m:r>
        <m:sSub>
          <m:sSubPr>
            <m:ctrlPr>
              <w:rPr>
                <w:rFonts w:ascii="Cambria Math" w:eastAsia="Times New Roman" w:hAnsi="Cambria Math" w:cstheme="minorHAnsi"/>
                <w:i/>
              </w:rPr>
            </m:ctrlPr>
          </m:sSubPr>
          <m:e>
            <m:r>
              <w:rPr>
                <w:rFonts w:ascii="Cambria Math" w:hAnsi="Cambria Math" w:cstheme="minorHAnsi"/>
              </w:rPr>
              <m:t>w</m:t>
            </m:r>
          </m:e>
          <m:sub>
            <m:r>
              <w:rPr>
                <w:rFonts w:ascii="Cambria Math" w:hAnsi="Cambria Math" w:cstheme="minorHAnsi"/>
              </w:rPr>
              <m:t>soil</m:t>
            </m:r>
          </m:sub>
        </m:sSub>
      </m:oMath>
      <w:r w:rsidRPr="0034605F">
        <w:rPr>
          <w:rFonts w:eastAsiaTheme="minorEastAsia" w:cstheme="minorHAnsi"/>
        </w:rPr>
        <w:t xml:space="preserve">” (line 275). Here, </w:t>
      </w:r>
      <m:oMath>
        <m:sSub>
          <m:sSubPr>
            <m:ctrlPr>
              <w:rPr>
                <w:rFonts w:ascii="Cambria Math" w:eastAsia="Times New Roman" w:hAnsi="Cambria Math" w:cstheme="minorHAnsi"/>
                <w:i/>
              </w:rPr>
            </m:ctrlPr>
          </m:sSubPr>
          <m:e>
            <m:r>
              <w:rPr>
                <w:rFonts w:ascii="Cambria Math" w:hAnsi="Cambria Math" w:cstheme="minorHAnsi"/>
              </w:rPr>
              <m:t>m</m:t>
            </m:r>
          </m:e>
          <m:sub>
            <m:r>
              <w:rPr>
                <w:rFonts w:ascii="Cambria Math" w:hAnsi="Cambria Math" w:cstheme="minorHAnsi"/>
              </w:rPr>
              <m:t>m, soil rt</m:t>
            </m:r>
          </m:sub>
        </m:sSub>
      </m:oMath>
      <w:r w:rsidRPr="0034605F">
        <w:rPr>
          <w:rFonts w:eastAsiaTheme="minorEastAsia" w:cstheme="minorHAnsi"/>
        </w:rPr>
        <w:t xml:space="preserve"> is the mass of moist soil in the rhizotron, and </w:t>
      </w:r>
      <m:oMath>
        <m:sSub>
          <m:sSubPr>
            <m:ctrlPr>
              <w:rPr>
                <w:rFonts w:ascii="Cambria Math" w:eastAsia="Times New Roman" w:hAnsi="Cambria Math" w:cstheme="minorHAnsi"/>
                <w:i/>
              </w:rPr>
            </m:ctrlPr>
          </m:sSubPr>
          <m:e>
            <m:r>
              <w:rPr>
                <w:rFonts w:ascii="Cambria Math" w:hAnsi="Cambria Math" w:cstheme="minorHAnsi"/>
              </w:rPr>
              <m:t>w</m:t>
            </m:r>
          </m:e>
          <m:sub>
            <m:r>
              <w:rPr>
                <w:rFonts w:ascii="Cambria Math" w:hAnsi="Cambria Math" w:cstheme="minorHAnsi"/>
              </w:rPr>
              <m:t>soil</m:t>
            </m:r>
          </m:sub>
        </m:sSub>
      </m:oMath>
      <w:r w:rsidRPr="0034605F">
        <w:rPr>
          <w:rFonts w:eastAsiaTheme="minorEastAsia" w:cstheme="minorHAnsi"/>
        </w:rPr>
        <w:t xml:space="preserve"> is the gravimetric water content of the pre</w:t>
      </w:r>
      <w:r w:rsidRPr="00F443CD">
        <w:rPr>
          <w:rFonts w:eastAsiaTheme="minorEastAsia" w:cstheme="minorHAnsi"/>
        </w:rPr>
        <w:t>-moistened soil.</w:t>
      </w:r>
    </w:p>
    <w:p w14:paraId="764C4025" w14:textId="77777777" w:rsidR="00E67FEE" w:rsidRDefault="00E67FEE" w:rsidP="000F3A64">
      <w:pPr>
        <w:pStyle w:val="ListParagraph"/>
        <w:shd w:val="clear" w:color="auto" w:fill="D9D9D9" w:themeFill="background1" w:themeFillShade="D9"/>
        <w:autoSpaceDE w:val="0"/>
        <w:autoSpaceDN w:val="0"/>
        <w:adjustRightInd w:val="0"/>
        <w:spacing w:after="240" w:line="360" w:lineRule="auto"/>
        <w:ind w:left="0"/>
        <w:jc w:val="both"/>
        <w:rPr>
          <w:rFonts w:cstheme="minorHAnsi"/>
          <w:color w:val="353838"/>
        </w:rPr>
      </w:pPr>
      <w:r w:rsidRPr="001B34F9">
        <w:rPr>
          <w:rFonts w:cstheme="minorHAnsi"/>
          <w:color w:val="353838"/>
        </w:rPr>
        <w:t>Line 359: Any suggestions on how to account for the weight of the plant biomass?</w:t>
      </w:r>
    </w:p>
    <w:p w14:paraId="6645D2E9" w14:textId="77777777" w:rsidR="00E67FEE" w:rsidRPr="000D2D1D" w:rsidRDefault="00E67FEE" w:rsidP="000D2D1D">
      <w:pPr>
        <w:shd w:val="clear" w:color="auto" w:fill="FFFFFF" w:themeFill="background1"/>
        <w:autoSpaceDE w:val="0"/>
        <w:autoSpaceDN w:val="0"/>
        <w:adjustRightInd w:val="0"/>
        <w:spacing w:after="240" w:line="360" w:lineRule="auto"/>
        <w:jc w:val="both"/>
        <w:rPr>
          <w:rFonts w:cstheme="minorHAnsi"/>
          <w:color w:val="353838"/>
        </w:rPr>
      </w:pPr>
      <w:r>
        <w:rPr>
          <w:rFonts w:cstheme="minorHAnsi"/>
          <w:color w:val="353838"/>
        </w:rPr>
        <w:t>Compared to the weight of soil in the rhizotron, long-term experience from our group has shown that the weight of the plant biomass is typically not significant in rhizotron studies. However, i</w:t>
      </w:r>
      <w:r w:rsidRPr="000D2D1D">
        <w:rPr>
          <w:rFonts w:cstheme="minorHAnsi"/>
          <w:color w:val="353838"/>
        </w:rPr>
        <w:t xml:space="preserve">f significant, the weight of plant biomass </w:t>
      </w:r>
      <w:r>
        <w:rPr>
          <w:rFonts w:cstheme="minorHAnsi"/>
          <w:color w:val="353838"/>
        </w:rPr>
        <w:t>could</w:t>
      </w:r>
      <w:r w:rsidRPr="000D2D1D">
        <w:rPr>
          <w:rFonts w:cstheme="minorHAnsi"/>
          <w:color w:val="353838"/>
        </w:rPr>
        <w:t xml:space="preserve"> be accounted for by growing plants in separate rhizotron replicates and periodic harvest of the tissues</w:t>
      </w:r>
      <w:r>
        <w:rPr>
          <w:rFonts w:cstheme="minorHAnsi"/>
          <w:color w:val="353838"/>
        </w:rPr>
        <w:t xml:space="preserve"> at defined intervals</w:t>
      </w:r>
      <w:r w:rsidRPr="000D2D1D">
        <w:rPr>
          <w:rFonts w:cstheme="minorHAnsi"/>
          <w:color w:val="353838"/>
        </w:rPr>
        <w:t>.</w:t>
      </w:r>
      <w:r>
        <w:rPr>
          <w:rFonts w:cstheme="minorHAnsi"/>
          <w:color w:val="353838"/>
        </w:rPr>
        <w:t xml:space="preserve"> </w:t>
      </w:r>
      <w:r w:rsidRPr="00230E71">
        <w:rPr>
          <w:rFonts w:cstheme="minorHAnsi"/>
          <w:b/>
          <w:bCs/>
          <w:color w:val="353838"/>
        </w:rPr>
        <w:t xml:space="preserve">This </w:t>
      </w:r>
      <w:r>
        <w:rPr>
          <w:rFonts w:cstheme="minorHAnsi"/>
          <w:b/>
          <w:bCs/>
          <w:color w:val="353838"/>
        </w:rPr>
        <w:t>information is now provided</w:t>
      </w:r>
      <w:r>
        <w:rPr>
          <w:rFonts w:cstheme="minorHAnsi"/>
          <w:color w:val="353838"/>
        </w:rPr>
        <w:t xml:space="preserve"> in the protocol, </w:t>
      </w:r>
      <w:r w:rsidRPr="0034605F">
        <w:rPr>
          <w:rFonts w:cstheme="minorHAnsi"/>
          <w:color w:val="353838"/>
        </w:rPr>
        <w:t>lines 360-363</w:t>
      </w:r>
      <w:r>
        <w:rPr>
          <w:rFonts w:cstheme="minorHAnsi"/>
          <w:color w:val="353838"/>
        </w:rPr>
        <w:t>: “</w:t>
      </w:r>
      <w:r w:rsidRPr="000D2D1D">
        <w:rPr>
          <w:rFonts w:cstheme="minorHAnsi"/>
          <w:i/>
          <w:iCs/>
          <w:color w:val="353838"/>
        </w:rPr>
        <w:t xml:space="preserve">Note: </w:t>
      </w:r>
      <w:bookmarkStart w:id="4" w:name="_Hlk45267474"/>
      <w:r w:rsidRPr="000D2D1D">
        <w:rPr>
          <w:rFonts w:cstheme="minorHAnsi"/>
          <w:i/>
          <w:iCs/>
          <w:color w:val="353838"/>
        </w:rPr>
        <w:t xml:space="preserve">If </w:t>
      </w:r>
      <w:r>
        <w:rPr>
          <w:rFonts w:cstheme="minorHAnsi"/>
          <w:i/>
          <w:iCs/>
          <w:color w:val="353838"/>
        </w:rPr>
        <w:t xml:space="preserve">plants are grown for extended periods and the plant biomass is expected to substantially decrease the amount of water added to the rhizotron by the proposed method, </w:t>
      </w:r>
      <w:r w:rsidRPr="000D2D1D">
        <w:rPr>
          <w:rFonts w:cstheme="minorHAnsi"/>
          <w:i/>
          <w:iCs/>
          <w:color w:val="353838"/>
        </w:rPr>
        <w:t xml:space="preserve"> account for the weight of the plant biomass by growing plants in separate rhizotron replicates and harvesting</w:t>
      </w:r>
      <w:r>
        <w:rPr>
          <w:rFonts w:cstheme="minorHAnsi"/>
          <w:i/>
          <w:iCs/>
          <w:color w:val="353838"/>
        </w:rPr>
        <w:t xml:space="preserve"> and weighing</w:t>
      </w:r>
      <w:r w:rsidRPr="000D2D1D">
        <w:rPr>
          <w:rFonts w:cstheme="minorHAnsi"/>
          <w:i/>
          <w:iCs/>
          <w:color w:val="353838"/>
        </w:rPr>
        <w:t xml:space="preserve"> the plant tissues at defined intervals</w:t>
      </w:r>
      <w:bookmarkEnd w:id="4"/>
      <w:r w:rsidRPr="000D2D1D">
        <w:rPr>
          <w:rFonts w:cstheme="minorHAnsi"/>
          <w:i/>
          <w:iCs/>
          <w:color w:val="353838"/>
        </w:rPr>
        <w:t>.</w:t>
      </w:r>
      <w:r>
        <w:rPr>
          <w:rFonts w:cstheme="minorHAnsi"/>
          <w:color w:val="353838"/>
        </w:rPr>
        <w:t>”</w:t>
      </w:r>
    </w:p>
    <w:p w14:paraId="1FB91E12" w14:textId="77777777" w:rsidR="00E67FEE" w:rsidRDefault="00E67FEE" w:rsidP="000F3A64">
      <w:pPr>
        <w:pStyle w:val="ListParagraph"/>
        <w:shd w:val="clear" w:color="auto" w:fill="D9D9D9" w:themeFill="background1" w:themeFillShade="D9"/>
        <w:autoSpaceDE w:val="0"/>
        <w:autoSpaceDN w:val="0"/>
        <w:adjustRightInd w:val="0"/>
        <w:spacing w:after="240" w:line="360" w:lineRule="auto"/>
        <w:ind w:left="0"/>
        <w:jc w:val="both"/>
        <w:rPr>
          <w:rFonts w:cstheme="minorHAnsi"/>
          <w:color w:val="353838"/>
        </w:rPr>
      </w:pPr>
      <w:r w:rsidRPr="001B34F9">
        <w:rPr>
          <w:rFonts w:cstheme="minorHAnsi"/>
          <w:color w:val="353838"/>
        </w:rPr>
        <w:t>Line 732-735: See comment on Line 140. DGT may be one of the few but is not the only method.</w:t>
      </w:r>
    </w:p>
    <w:p w14:paraId="1BC361D2" w14:textId="77777777" w:rsidR="00E67FEE" w:rsidRPr="00F443CD" w:rsidRDefault="00E67FEE" w:rsidP="00F443CD">
      <w:pPr>
        <w:shd w:val="clear" w:color="auto" w:fill="FFFFFF" w:themeFill="background1"/>
        <w:autoSpaceDE w:val="0"/>
        <w:autoSpaceDN w:val="0"/>
        <w:adjustRightInd w:val="0"/>
        <w:spacing w:after="240" w:line="360" w:lineRule="auto"/>
        <w:jc w:val="both"/>
        <w:rPr>
          <w:rFonts w:cstheme="minorHAnsi"/>
          <w:color w:val="353838"/>
          <w:highlight w:val="cyan"/>
        </w:rPr>
      </w:pPr>
      <w:r w:rsidRPr="007C480F">
        <w:rPr>
          <w:rFonts w:cstheme="minorHAnsi"/>
          <w:color w:val="353838"/>
        </w:rPr>
        <w:t xml:space="preserve">See our response above. </w:t>
      </w:r>
      <w:r w:rsidRPr="00230E71">
        <w:rPr>
          <w:rFonts w:cstheme="minorHAnsi"/>
          <w:b/>
          <w:bCs/>
          <w:color w:val="353838"/>
        </w:rPr>
        <w:t>The paragraph was corrected</w:t>
      </w:r>
      <w:r>
        <w:rPr>
          <w:rFonts w:cstheme="minorHAnsi"/>
          <w:color w:val="353838"/>
        </w:rPr>
        <w:t xml:space="preserve"> </w:t>
      </w:r>
      <w:r w:rsidRPr="007C480F">
        <w:rPr>
          <w:rFonts w:cstheme="minorHAnsi"/>
          <w:color w:val="353838"/>
        </w:rPr>
        <w:t xml:space="preserve">for </w:t>
      </w:r>
      <w:r w:rsidRPr="0034605F">
        <w:rPr>
          <w:rFonts w:cstheme="minorHAnsi"/>
          <w:color w:val="353838"/>
        </w:rPr>
        <w:t>clarification (lines 821-825): “</w:t>
      </w:r>
      <w:r w:rsidRPr="007B5601">
        <w:rPr>
          <w:rFonts w:cstheme="minorHAnsi"/>
          <w:i/>
          <w:iCs/>
          <w:color w:val="353838"/>
        </w:rPr>
        <w:t>The solute imaging protocol presented here is a versatile method to visualize and quantify nutrient and contaminant fluxes in soil environments. It is unique in its capability to generate multi-element, 2D images of labile solute species in the soil/rhizosphere environment at sub-mm resolution, exceeding the achievable spatial resolution of alternative methods for measuring solute gradients in the rhizosphere substantially4.</w:t>
      </w:r>
      <w:r>
        <w:rPr>
          <w:rFonts w:cstheme="minorHAnsi"/>
          <w:color w:val="353838"/>
        </w:rPr>
        <w:t>”</w:t>
      </w:r>
    </w:p>
    <w:p w14:paraId="318C817E" w14:textId="77777777" w:rsidR="00E67FEE" w:rsidRDefault="00E67FEE" w:rsidP="000F3A64">
      <w:pPr>
        <w:pStyle w:val="ListParagraph"/>
        <w:shd w:val="clear" w:color="auto" w:fill="D9D9D9" w:themeFill="background1" w:themeFillShade="D9"/>
        <w:autoSpaceDE w:val="0"/>
        <w:autoSpaceDN w:val="0"/>
        <w:adjustRightInd w:val="0"/>
        <w:spacing w:after="240" w:line="360" w:lineRule="auto"/>
        <w:ind w:left="0"/>
        <w:jc w:val="both"/>
        <w:rPr>
          <w:rFonts w:cstheme="minorHAnsi"/>
          <w:color w:val="353838"/>
        </w:rPr>
      </w:pPr>
      <w:r w:rsidRPr="001B34F9">
        <w:rPr>
          <w:rFonts w:cstheme="minorHAnsi"/>
          <w:color w:val="353838"/>
        </w:rPr>
        <w:t>Line 785: Another complementary diffusion-based imaging example to include is the fluorescent</w:t>
      </w:r>
      <w:r>
        <w:rPr>
          <w:rFonts w:cstheme="minorHAnsi"/>
          <w:color w:val="353838"/>
        </w:rPr>
        <w:t xml:space="preserve"> </w:t>
      </w:r>
      <w:r w:rsidRPr="001B34F9">
        <w:rPr>
          <w:rFonts w:cstheme="minorHAnsi"/>
          <w:color w:val="353838"/>
        </w:rPr>
        <w:t>indicator imaging technique that</w:t>
      </w:r>
      <w:r>
        <w:rPr>
          <w:rFonts w:cstheme="minorHAnsi"/>
          <w:color w:val="353838"/>
        </w:rPr>
        <w:t xml:space="preserve"> </w:t>
      </w:r>
      <w:r w:rsidRPr="001B34F9">
        <w:rPr>
          <w:rFonts w:cstheme="minorHAnsi"/>
          <w:color w:val="353838"/>
        </w:rPr>
        <w:t>was</w:t>
      </w:r>
      <w:r>
        <w:rPr>
          <w:rFonts w:cstheme="minorHAnsi"/>
          <w:color w:val="353838"/>
        </w:rPr>
        <w:t xml:space="preserve"> </w:t>
      </w:r>
      <w:r w:rsidRPr="001B34F9">
        <w:rPr>
          <w:rFonts w:cstheme="minorHAnsi"/>
          <w:color w:val="353838"/>
        </w:rPr>
        <w:t>recently published: Lin et al. 2020, SBB, Non-destructive spatial analysis of phosphatase activity and total protein distribution in the</w:t>
      </w:r>
      <w:r>
        <w:rPr>
          <w:rFonts w:cstheme="minorHAnsi"/>
          <w:color w:val="353838"/>
        </w:rPr>
        <w:t xml:space="preserve"> </w:t>
      </w:r>
      <w:r w:rsidRPr="001B34F9">
        <w:rPr>
          <w:rFonts w:cstheme="minorHAnsi"/>
          <w:color w:val="353838"/>
        </w:rPr>
        <w:t>rhizosphere using a root blotting method. It looks like this method would be a helpful addition to the introduction (perhaps as</w:t>
      </w:r>
      <w:r>
        <w:rPr>
          <w:rFonts w:cstheme="minorHAnsi"/>
          <w:color w:val="353838"/>
        </w:rPr>
        <w:t xml:space="preserve"> </w:t>
      </w:r>
      <w:r w:rsidRPr="001B34F9">
        <w:rPr>
          <w:rFonts w:cstheme="minorHAnsi"/>
          <w:color w:val="353838"/>
        </w:rPr>
        <w:t>another method in lines 129-138).</w:t>
      </w:r>
    </w:p>
    <w:p w14:paraId="76508E32" w14:textId="77777777" w:rsidR="00E67FEE" w:rsidRDefault="00E67FEE" w:rsidP="00F443CD">
      <w:pPr>
        <w:shd w:val="clear" w:color="auto" w:fill="FFFFFF" w:themeFill="background1"/>
        <w:autoSpaceDE w:val="0"/>
        <w:autoSpaceDN w:val="0"/>
        <w:adjustRightInd w:val="0"/>
        <w:spacing w:after="240" w:line="360" w:lineRule="auto"/>
        <w:jc w:val="both"/>
        <w:rPr>
          <w:rFonts w:cstheme="minorHAnsi"/>
          <w:color w:val="353838"/>
        </w:rPr>
      </w:pPr>
      <w:r w:rsidRPr="00A31A5A">
        <w:rPr>
          <w:rFonts w:cstheme="minorHAnsi"/>
          <w:color w:val="353838"/>
        </w:rPr>
        <w:t>Thank you for</w:t>
      </w:r>
      <w:r>
        <w:rPr>
          <w:rFonts w:cstheme="minorHAnsi"/>
          <w:color w:val="353838"/>
        </w:rPr>
        <w:t xml:space="preserve"> this reference.</w:t>
      </w:r>
      <w:r>
        <w:rPr>
          <w:rFonts w:cstheme="minorHAnsi"/>
          <w:b/>
          <w:bCs/>
          <w:color w:val="353838"/>
        </w:rPr>
        <w:t xml:space="preserve"> T</w:t>
      </w:r>
      <w:r w:rsidRPr="00B77954">
        <w:rPr>
          <w:rFonts w:cstheme="minorHAnsi"/>
          <w:b/>
          <w:bCs/>
          <w:color w:val="353838"/>
        </w:rPr>
        <w:t>he method</w:t>
      </w:r>
      <w:r>
        <w:rPr>
          <w:rFonts w:cstheme="minorHAnsi"/>
          <w:b/>
          <w:bCs/>
          <w:color w:val="353838"/>
        </w:rPr>
        <w:t xml:space="preserve"> by Lin et al. (2020)</w:t>
      </w:r>
      <w:r w:rsidRPr="00B77954">
        <w:rPr>
          <w:rFonts w:cstheme="minorHAnsi"/>
          <w:b/>
          <w:bCs/>
          <w:color w:val="353838"/>
        </w:rPr>
        <w:t xml:space="preserve"> was added</w:t>
      </w:r>
      <w:r w:rsidRPr="00D7003B">
        <w:rPr>
          <w:rFonts w:cstheme="minorHAnsi"/>
          <w:b/>
          <w:bCs/>
          <w:color w:val="353838"/>
        </w:rPr>
        <w:t xml:space="preserve"> (Ref 2</w:t>
      </w:r>
      <w:r>
        <w:rPr>
          <w:rFonts w:cstheme="minorHAnsi"/>
          <w:b/>
          <w:bCs/>
          <w:color w:val="353838"/>
        </w:rPr>
        <w:t>4</w:t>
      </w:r>
      <w:r w:rsidRPr="00D7003B">
        <w:rPr>
          <w:rFonts w:cstheme="minorHAnsi"/>
          <w:b/>
          <w:bCs/>
          <w:color w:val="353838"/>
        </w:rPr>
        <w:t xml:space="preserve">) </w:t>
      </w:r>
      <w:r w:rsidRPr="00532C48">
        <w:rPr>
          <w:rFonts w:cstheme="minorHAnsi"/>
          <w:color w:val="353838"/>
        </w:rPr>
        <w:t xml:space="preserve">to </w:t>
      </w:r>
      <w:r>
        <w:rPr>
          <w:rFonts w:cstheme="minorHAnsi"/>
          <w:color w:val="353838"/>
        </w:rPr>
        <w:t xml:space="preserve">both </w:t>
      </w:r>
      <w:r w:rsidRPr="00532C48">
        <w:rPr>
          <w:rFonts w:cstheme="minorHAnsi"/>
          <w:color w:val="353838"/>
        </w:rPr>
        <w:t>the introduction</w:t>
      </w:r>
      <w:r>
        <w:rPr>
          <w:rFonts w:cstheme="minorHAnsi"/>
          <w:color w:val="353838"/>
        </w:rPr>
        <w:t xml:space="preserve"> and the discussion:</w:t>
      </w:r>
    </w:p>
    <w:p w14:paraId="0B6C02B0" w14:textId="77777777" w:rsidR="00E67FEE" w:rsidRPr="0034605F" w:rsidRDefault="00E67FEE" w:rsidP="00F443CD">
      <w:pPr>
        <w:shd w:val="clear" w:color="auto" w:fill="FFFFFF" w:themeFill="background1"/>
        <w:autoSpaceDE w:val="0"/>
        <w:autoSpaceDN w:val="0"/>
        <w:adjustRightInd w:val="0"/>
        <w:spacing w:after="240" w:line="360" w:lineRule="auto"/>
        <w:jc w:val="both"/>
        <w:rPr>
          <w:rFonts w:cstheme="minorHAnsi"/>
          <w:color w:val="353838"/>
        </w:rPr>
      </w:pPr>
      <w:r w:rsidRPr="0034605F">
        <w:rPr>
          <w:rFonts w:cstheme="minorHAnsi"/>
          <w:color w:val="353838"/>
        </w:rPr>
        <w:lastRenderedPageBreak/>
        <w:t>Introduction, lines 135-137: “</w:t>
      </w:r>
      <w:r w:rsidRPr="0034605F">
        <w:rPr>
          <w:rFonts w:cstheme="minorHAnsi"/>
          <w:i/>
          <w:iCs/>
          <w:color w:val="353838"/>
        </w:rPr>
        <w:t xml:space="preserve">Planar </w:t>
      </w:r>
      <w:proofErr w:type="spellStart"/>
      <w:r w:rsidRPr="0034605F">
        <w:rPr>
          <w:rFonts w:cstheme="minorHAnsi"/>
          <w:i/>
          <w:iCs/>
          <w:color w:val="353838"/>
        </w:rPr>
        <w:t>optodes</w:t>
      </w:r>
      <w:proofErr w:type="spellEnd"/>
      <w:r w:rsidRPr="0034605F">
        <w:rPr>
          <w:rFonts w:cstheme="minorHAnsi"/>
          <w:i/>
          <w:iCs/>
          <w:color w:val="353838"/>
        </w:rPr>
        <w:t xml:space="preserve"> are capable of imaging important soil chemical parameters such as pH and pO217-19, and enzyme activity or total protein distributions can be mapped using soil zymography20-23 and fluorescent indicator imaging based on root blotting methods24.</w:t>
      </w:r>
      <w:r w:rsidRPr="0034605F">
        <w:rPr>
          <w:rFonts w:cstheme="minorHAnsi"/>
          <w:color w:val="353838"/>
        </w:rPr>
        <w:t xml:space="preserve">” </w:t>
      </w:r>
    </w:p>
    <w:p w14:paraId="49AFCA6A" w14:textId="77777777" w:rsidR="00E67FEE" w:rsidRPr="009C6FF7" w:rsidRDefault="00E67FEE" w:rsidP="00F443CD">
      <w:pPr>
        <w:shd w:val="clear" w:color="auto" w:fill="FFFFFF" w:themeFill="background1"/>
        <w:autoSpaceDE w:val="0"/>
        <w:autoSpaceDN w:val="0"/>
        <w:adjustRightInd w:val="0"/>
        <w:spacing w:after="240" w:line="360" w:lineRule="auto"/>
        <w:jc w:val="both"/>
        <w:rPr>
          <w:rFonts w:cstheme="minorHAnsi"/>
          <w:color w:val="353838"/>
        </w:rPr>
      </w:pPr>
      <w:r w:rsidRPr="0034605F">
        <w:rPr>
          <w:rFonts w:cstheme="minorHAnsi"/>
          <w:color w:val="353838"/>
        </w:rPr>
        <w:t>Discussion, lines 890-893: “</w:t>
      </w:r>
      <w:r w:rsidRPr="0034605F">
        <w:rPr>
          <w:rFonts w:cstheme="minorHAnsi"/>
          <w:i/>
          <w:iCs/>
          <w:color w:val="353838"/>
        </w:rPr>
        <w:t>In addition</w:t>
      </w:r>
      <w:r w:rsidRPr="007B5601">
        <w:rPr>
          <w:rFonts w:cstheme="minorHAnsi"/>
          <w:i/>
          <w:iCs/>
          <w:color w:val="353838"/>
        </w:rPr>
        <w:t xml:space="preserve"> to DGT-only applications, the method can be combined with other, diffusion-based imaging techniques like planar optodes3,33,42,43,48,51 and zymography20-24 (C. </w:t>
      </w:r>
      <w:proofErr w:type="spellStart"/>
      <w:r w:rsidRPr="007B5601">
        <w:rPr>
          <w:rFonts w:cstheme="minorHAnsi"/>
          <w:i/>
          <w:iCs/>
          <w:color w:val="353838"/>
        </w:rPr>
        <w:t>Roschitz</w:t>
      </w:r>
      <w:proofErr w:type="spellEnd"/>
      <w:r w:rsidRPr="007B5601">
        <w:rPr>
          <w:rFonts w:cstheme="minorHAnsi"/>
          <w:i/>
          <w:iCs/>
          <w:color w:val="353838"/>
        </w:rPr>
        <w:t xml:space="preserve">, W.W. Wenzel, J. </w:t>
      </w:r>
      <w:proofErr w:type="spellStart"/>
      <w:r w:rsidRPr="007B5601">
        <w:rPr>
          <w:rFonts w:cstheme="minorHAnsi"/>
          <w:i/>
          <w:iCs/>
          <w:color w:val="353838"/>
        </w:rPr>
        <w:t>Santner</w:t>
      </w:r>
      <w:proofErr w:type="spellEnd"/>
      <w:r w:rsidRPr="007B5601">
        <w:rPr>
          <w:rFonts w:cstheme="minorHAnsi"/>
          <w:i/>
          <w:iCs/>
          <w:color w:val="353838"/>
        </w:rPr>
        <w:t xml:space="preserve"> et al., under review), and may be developed further for including additional elements and soil parameters.</w:t>
      </w:r>
      <w:r>
        <w:rPr>
          <w:rFonts w:cstheme="minorHAnsi"/>
          <w:color w:val="353838"/>
        </w:rPr>
        <w:t>”</w:t>
      </w:r>
    </w:p>
    <w:p w14:paraId="77F53259" w14:textId="77777777" w:rsidR="00E67FEE" w:rsidRPr="001B34F9" w:rsidRDefault="00E67FEE" w:rsidP="000F3A64">
      <w:pPr>
        <w:pStyle w:val="ListParagraph"/>
        <w:shd w:val="clear" w:color="auto" w:fill="D9D9D9" w:themeFill="background1" w:themeFillShade="D9"/>
        <w:autoSpaceDE w:val="0"/>
        <w:autoSpaceDN w:val="0"/>
        <w:adjustRightInd w:val="0"/>
        <w:spacing w:after="240" w:line="360" w:lineRule="auto"/>
        <w:ind w:left="0"/>
        <w:jc w:val="both"/>
        <w:rPr>
          <w:rFonts w:cstheme="minorHAnsi"/>
          <w:color w:val="353838"/>
        </w:rPr>
      </w:pPr>
      <w:r w:rsidRPr="001B34F9">
        <w:rPr>
          <w:rFonts w:cstheme="minorHAnsi"/>
          <w:color w:val="353838"/>
        </w:rPr>
        <w:t>Line 786: Rather than self-citing unpublished data on zymography, citing published literature by other authors would be appropriate.</w:t>
      </w:r>
      <w:r>
        <w:rPr>
          <w:rFonts w:cstheme="minorHAnsi"/>
          <w:color w:val="353838"/>
        </w:rPr>
        <w:t xml:space="preserve"> </w:t>
      </w:r>
      <w:r w:rsidRPr="001B34F9">
        <w:rPr>
          <w:rFonts w:cstheme="minorHAnsi"/>
          <w:color w:val="353838"/>
        </w:rPr>
        <w:t>Work by Spohn et al. 2013 (ref 19), and there is additional literature</w:t>
      </w:r>
      <w:r>
        <w:rPr>
          <w:rFonts w:cstheme="minorHAnsi"/>
          <w:color w:val="353838"/>
        </w:rPr>
        <w:t xml:space="preserve"> </w:t>
      </w:r>
      <w:r w:rsidRPr="001B34F9">
        <w:rPr>
          <w:rFonts w:cstheme="minorHAnsi"/>
          <w:color w:val="353838"/>
        </w:rPr>
        <w:t xml:space="preserve">since then using zymography, for example, </w:t>
      </w:r>
      <w:proofErr w:type="spellStart"/>
      <w:r w:rsidRPr="001B34F9">
        <w:rPr>
          <w:rFonts w:cstheme="minorHAnsi"/>
          <w:color w:val="353838"/>
        </w:rPr>
        <w:t>Heitkotter</w:t>
      </w:r>
      <w:proofErr w:type="spellEnd"/>
      <w:r w:rsidRPr="001B34F9">
        <w:rPr>
          <w:rFonts w:cstheme="minorHAnsi"/>
          <w:color w:val="353838"/>
        </w:rPr>
        <w:t xml:space="preserve"> and</w:t>
      </w:r>
      <w:r>
        <w:rPr>
          <w:rFonts w:cstheme="minorHAnsi"/>
          <w:color w:val="353838"/>
        </w:rPr>
        <w:t xml:space="preserve"> </w:t>
      </w:r>
      <w:proofErr w:type="spellStart"/>
      <w:r w:rsidRPr="001B34F9">
        <w:rPr>
          <w:rFonts w:cstheme="minorHAnsi"/>
          <w:color w:val="353838"/>
        </w:rPr>
        <w:t>Marschner</w:t>
      </w:r>
      <w:proofErr w:type="spellEnd"/>
      <w:r w:rsidRPr="001B34F9">
        <w:rPr>
          <w:rFonts w:cstheme="minorHAnsi"/>
          <w:color w:val="353838"/>
        </w:rPr>
        <w:t xml:space="preserve"> 2018, SBB.</w:t>
      </w:r>
    </w:p>
    <w:p w14:paraId="14998B7A" w14:textId="77777777" w:rsidR="00E67FEE" w:rsidRPr="00F443CD" w:rsidRDefault="00E67FEE" w:rsidP="00F443CD">
      <w:pPr>
        <w:shd w:val="clear" w:color="auto" w:fill="FFFFFF" w:themeFill="background1"/>
        <w:autoSpaceDE w:val="0"/>
        <w:autoSpaceDN w:val="0"/>
        <w:adjustRightInd w:val="0"/>
        <w:spacing w:after="240" w:line="360" w:lineRule="auto"/>
        <w:jc w:val="both"/>
        <w:rPr>
          <w:rFonts w:cstheme="minorHAnsi"/>
          <w:color w:val="353838"/>
        </w:rPr>
      </w:pPr>
      <w:r w:rsidRPr="00F443CD">
        <w:rPr>
          <w:rFonts w:cstheme="minorHAnsi"/>
          <w:color w:val="353838"/>
        </w:rPr>
        <w:t>Our intention was to cite a study, where DGT LA-ICP-MS solute imaging has been actually combined with zymography to enable simultaneous multi-parameter visualization</w:t>
      </w:r>
      <w:r>
        <w:rPr>
          <w:rFonts w:cstheme="minorHAnsi"/>
          <w:color w:val="353838"/>
        </w:rPr>
        <w:t xml:space="preserve">. The cited manuscript was reviewed by </w:t>
      </w:r>
      <w:r w:rsidRPr="003A6FA4">
        <w:rPr>
          <w:rFonts w:cstheme="minorHAnsi"/>
          <w:i/>
          <w:color w:val="353838"/>
        </w:rPr>
        <w:t>Soil Biology and Biochemistry</w:t>
      </w:r>
      <w:r>
        <w:rPr>
          <w:rFonts w:cstheme="minorHAnsi"/>
          <w:color w:val="353838"/>
        </w:rPr>
        <w:t xml:space="preserve"> and we are currently working on revising the paper for publication in SBB. We will resubmit this manuscript shortly. Therefore, we would like to keep this citation. However, w</w:t>
      </w:r>
      <w:r w:rsidRPr="00013BE1">
        <w:t xml:space="preserve">orks by Spohn et al. </w:t>
      </w:r>
      <w:r w:rsidRPr="00FA71AA">
        <w:rPr>
          <w:lang w:val="en-GB"/>
        </w:rPr>
        <w:t xml:space="preserve">(2013), Spohn and </w:t>
      </w:r>
      <w:proofErr w:type="spellStart"/>
      <w:r w:rsidRPr="00FA71AA">
        <w:rPr>
          <w:lang w:val="en-GB"/>
        </w:rPr>
        <w:t>Kuzyakov</w:t>
      </w:r>
      <w:proofErr w:type="spellEnd"/>
      <w:r w:rsidRPr="00FA71AA">
        <w:rPr>
          <w:lang w:val="en-GB"/>
        </w:rPr>
        <w:t xml:space="preserve"> (2014), </w:t>
      </w:r>
      <w:proofErr w:type="spellStart"/>
      <w:r w:rsidRPr="00FA71AA">
        <w:rPr>
          <w:lang w:val="en-GB"/>
        </w:rPr>
        <w:t>Heitkötter</w:t>
      </w:r>
      <w:proofErr w:type="spellEnd"/>
      <w:r w:rsidRPr="00FA71AA">
        <w:rPr>
          <w:lang w:val="en-GB"/>
        </w:rPr>
        <w:t xml:space="preserve"> and </w:t>
      </w:r>
      <w:proofErr w:type="spellStart"/>
      <w:r w:rsidRPr="00FA71AA">
        <w:rPr>
          <w:lang w:val="en-GB"/>
        </w:rPr>
        <w:t>Marschner</w:t>
      </w:r>
      <w:proofErr w:type="spellEnd"/>
      <w:r w:rsidRPr="00FA71AA">
        <w:rPr>
          <w:lang w:val="en-GB"/>
        </w:rPr>
        <w:t xml:space="preserve"> (2018), </w:t>
      </w:r>
      <w:proofErr w:type="spellStart"/>
      <w:r w:rsidRPr="00FA71AA">
        <w:rPr>
          <w:lang w:val="en-GB"/>
        </w:rPr>
        <w:t>Guber</w:t>
      </w:r>
      <w:proofErr w:type="spellEnd"/>
      <w:r w:rsidRPr="00FA71AA">
        <w:rPr>
          <w:lang w:val="en-GB"/>
        </w:rPr>
        <w:t xml:space="preserve"> et al. </w:t>
      </w:r>
      <w:r w:rsidRPr="00B00018">
        <w:t xml:space="preserve">(2019), and Lin et al. </w:t>
      </w:r>
      <w:r>
        <w:t xml:space="preserve">(2020) (Refs 20-24) </w:t>
      </w:r>
      <w:r w:rsidRPr="005421F5">
        <w:rPr>
          <w:b/>
          <w:bCs/>
        </w:rPr>
        <w:t xml:space="preserve">are </w:t>
      </w:r>
      <w:r>
        <w:rPr>
          <w:b/>
          <w:bCs/>
        </w:rPr>
        <w:t>now in</w:t>
      </w:r>
      <w:r w:rsidRPr="0034605F">
        <w:rPr>
          <w:b/>
          <w:bCs/>
        </w:rPr>
        <w:t>cluded in the Discussion</w:t>
      </w:r>
      <w:r w:rsidRPr="0034605F">
        <w:t>, lines 890-893: “</w:t>
      </w:r>
      <w:r w:rsidRPr="0034605F">
        <w:rPr>
          <w:rFonts w:cstheme="minorHAnsi"/>
          <w:i/>
          <w:iCs/>
          <w:color w:val="353838"/>
        </w:rPr>
        <w:t>In</w:t>
      </w:r>
      <w:r w:rsidRPr="00FA71AA">
        <w:rPr>
          <w:rFonts w:cstheme="minorHAnsi"/>
          <w:i/>
          <w:iCs/>
          <w:color w:val="353838"/>
        </w:rPr>
        <w:t xml:space="preserve"> addition to DGT-only applications, the method can be combined with other, diffusion-based imaging techniques like planar optodes3,33,42,43,48,51</w:t>
      </w:r>
      <w:r>
        <w:rPr>
          <w:rFonts w:cstheme="minorHAnsi"/>
          <w:i/>
          <w:iCs/>
          <w:color w:val="353838"/>
        </w:rPr>
        <w:t xml:space="preserve"> </w:t>
      </w:r>
      <w:r w:rsidRPr="00FA71AA">
        <w:rPr>
          <w:rFonts w:cstheme="minorHAnsi"/>
          <w:i/>
          <w:iCs/>
          <w:color w:val="353838"/>
        </w:rPr>
        <w:t xml:space="preserve">and zymography20-24 (C. </w:t>
      </w:r>
      <w:proofErr w:type="spellStart"/>
      <w:r w:rsidRPr="00FA71AA">
        <w:rPr>
          <w:rFonts w:cstheme="minorHAnsi"/>
          <w:i/>
          <w:iCs/>
          <w:color w:val="353838"/>
        </w:rPr>
        <w:t>Roschitz</w:t>
      </w:r>
      <w:proofErr w:type="spellEnd"/>
      <w:r w:rsidRPr="00FA71AA">
        <w:rPr>
          <w:rFonts w:cstheme="minorHAnsi"/>
          <w:i/>
          <w:iCs/>
          <w:color w:val="353838"/>
        </w:rPr>
        <w:t xml:space="preserve">, W.W. Wenzel, J. </w:t>
      </w:r>
      <w:proofErr w:type="spellStart"/>
      <w:r w:rsidRPr="00FA71AA">
        <w:rPr>
          <w:rFonts w:cstheme="minorHAnsi"/>
          <w:i/>
          <w:iCs/>
          <w:color w:val="353838"/>
        </w:rPr>
        <w:t>Santner</w:t>
      </w:r>
      <w:proofErr w:type="spellEnd"/>
      <w:r w:rsidRPr="00FA71AA">
        <w:rPr>
          <w:rFonts w:cstheme="minorHAnsi"/>
          <w:i/>
          <w:iCs/>
          <w:color w:val="353838"/>
        </w:rPr>
        <w:t xml:space="preserve"> et al., under review), and may be developed further for including additional elements and soil parameters.</w:t>
      </w:r>
      <w:r>
        <w:rPr>
          <w:rFonts w:cstheme="minorHAnsi"/>
          <w:color w:val="353838"/>
        </w:rPr>
        <w:t>”</w:t>
      </w:r>
    </w:p>
    <w:p w14:paraId="618886A2" w14:textId="77777777" w:rsidR="00E67FEE" w:rsidRPr="001B34F9" w:rsidRDefault="00E67FEE" w:rsidP="000F3A64">
      <w:pPr>
        <w:pStyle w:val="ListParagraph"/>
        <w:shd w:val="clear" w:color="auto" w:fill="D9D9D9" w:themeFill="background1" w:themeFillShade="D9"/>
        <w:autoSpaceDE w:val="0"/>
        <w:autoSpaceDN w:val="0"/>
        <w:adjustRightInd w:val="0"/>
        <w:spacing w:after="240" w:line="360" w:lineRule="auto"/>
        <w:ind w:left="0"/>
        <w:jc w:val="both"/>
        <w:rPr>
          <w:rFonts w:cstheme="minorHAnsi"/>
          <w:color w:val="353838"/>
        </w:rPr>
      </w:pPr>
      <w:r w:rsidRPr="001B34F9">
        <w:rPr>
          <w:rFonts w:cstheme="minorHAnsi"/>
          <w:color w:val="353838"/>
        </w:rPr>
        <w:t>Minor Concerns:</w:t>
      </w:r>
    </w:p>
    <w:p w14:paraId="4DA1E159" w14:textId="77777777" w:rsidR="00E67FEE" w:rsidRDefault="00E67FEE" w:rsidP="000F3A64">
      <w:pPr>
        <w:pStyle w:val="ListParagraph"/>
        <w:shd w:val="clear" w:color="auto" w:fill="D9D9D9" w:themeFill="background1" w:themeFillShade="D9"/>
        <w:autoSpaceDE w:val="0"/>
        <w:autoSpaceDN w:val="0"/>
        <w:adjustRightInd w:val="0"/>
        <w:spacing w:after="240" w:line="360" w:lineRule="auto"/>
        <w:ind w:left="0"/>
        <w:jc w:val="both"/>
        <w:rPr>
          <w:rFonts w:cstheme="minorHAnsi"/>
          <w:color w:val="353838"/>
        </w:rPr>
      </w:pPr>
      <w:r w:rsidRPr="001B34F9">
        <w:rPr>
          <w:rFonts w:cstheme="minorHAnsi"/>
          <w:color w:val="353838"/>
        </w:rPr>
        <w:t>Line 291: Define PTFE when first mentioned.</w:t>
      </w:r>
    </w:p>
    <w:p w14:paraId="564EEDC5" w14:textId="77777777" w:rsidR="00E67FEE" w:rsidRPr="00F443CD" w:rsidRDefault="00E67FEE" w:rsidP="00F443CD">
      <w:pPr>
        <w:autoSpaceDE w:val="0"/>
        <w:autoSpaceDN w:val="0"/>
        <w:adjustRightInd w:val="0"/>
        <w:spacing w:after="240" w:line="360" w:lineRule="auto"/>
        <w:jc w:val="both"/>
        <w:rPr>
          <w:rFonts w:cstheme="minorHAnsi"/>
          <w:color w:val="353838"/>
        </w:rPr>
      </w:pPr>
      <w:r w:rsidRPr="005421F5">
        <w:rPr>
          <w:rFonts w:cstheme="minorHAnsi"/>
          <w:b/>
          <w:bCs/>
          <w:color w:val="353838"/>
        </w:rPr>
        <w:t>Corrected to</w:t>
      </w:r>
      <w:r w:rsidRPr="00F443CD">
        <w:rPr>
          <w:rFonts w:cstheme="minorHAnsi"/>
          <w:color w:val="353838"/>
        </w:rPr>
        <w:t>: “</w:t>
      </w:r>
      <w:r w:rsidRPr="00F443CD">
        <w:rPr>
          <w:rFonts w:cstheme="minorHAnsi"/>
          <w:i/>
          <w:iCs/>
          <w:color w:val="353838"/>
        </w:rPr>
        <w:t>polytetrafluoroethylene (PTFE)</w:t>
      </w:r>
      <w:r w:rsidRPr="00F443CD">
        <w:rPr>
          <w:rFonts w:cstheme="minorHAnsi"/>
          <w:color w:val="353838"/>
        </w:rPr>
        <w:t xml:space="preserve">” </w:t>
      </w:r>
      <w:r w:rsidRPr="0034605F">
        <w:rPr>
          <w:rFonts w:cstheme="minorHAnsi"/>
          <w:color w:val="353838"/>
        </w:rPr>
        <w:t>(line 291</w:t>
      </w:r>
      <w:r w:rsidRPr="00F443CD">
        <w:rPr>
          <w:rFonts w:cstheme="minorHAnsi"/>
          <w:color w:val="353838"/>
        </w:rPr>
        <w:t>)</w:t>
      </w:r>
    </w:p>
    <w:p w14:paraId="2D0481A0" w14:textId="77777777" w:rsidR="00E67FEE" w:rsidRDefault="00E67FEE" w:rsidP="000F3A64">
      <w:pPr>
        <w:pStyle w:val="ListParagraph"/>
        <w:shd w:val="clear" w:color="auto" w:fill="D9D9D9" w:themeFill="background1" w:themeFillShade="D9"/>
        <w:autoSpaceDE w:val="0"/>
        <w:autoSpaceDN w:val="0"/>
        <w:adjustRightInd w:val="0"/>
        <w:spacing w:after="240" w:line="360" w:lineRule="auto"/>
        <w:ind w:left="0"/>
        <w:jc w:val="both"/>
        <w:rPr>
          <w:rFonts w:cstheme="minorHAnsi"/>
          <w:color w:val="353838"/>
        </w:rPr>
      </w:pPr>
      <w:r w:rsidRPr="001B34F9">
        <w:rPr>
          <w:rFonts w:cstheme="minorHAnsi"/>
          <w:color w:val="353838"/>
        </w:rPr>
        <w:t>Line 373: At the first mention of "laminar flow bench", it would be helpful to include the purpose of this specifically. For example,</w:t>
      </w:r>
      <w:r>
        <w:rPr>
          <w:rFonts w:cstheme="minorHAnsi"/>
          <w:color w:val="353838"/>
        </w:rPr>
        <w:t xml:space="preserve"> </w:t>
      </w:r>
      <w:r w:rsidRPr="001B34F9">
        <w:rPr>
          <w:rFonts w:cstheme="minorHAnsi"/>
          <w:color w:val="353838"/>
        </w:rPr>
        <w:t>Supplemental line 56: "or any other dust- and metal-free environment."</w:t>
      </w:r>
    </w:p>
    <w:p w14:paraId="20ED8F8C" w14:textId="77777777" w:rsidR="00E67FEE" w:rsidRPr="00F443CD" w:rsidRDefault="00E67FEE" w:rsidP="00F443CD">
      <w:pPr>
        <w:autoSpaceDE w:val="0"/>
        <w:autoSpaceDN w:val="0"/>
        <w:adjustRightInd w:val="0"/>
        <w:spacing w:after="240" w:line="360" w:lineRule="auto"/>
        <w:jc w:val="both"/>
        <w:rPr>
          <w:rFonts w:cstheme="minorHAnsi"/>
          <w:color w:val="353838"/>
        </w:rPr>
      </w:pPr>
      <w:r w:rsidRPr="005421F5">
        <w:rPr>
          <w:rFonts w:cstheme="minorHAnsi"/>
          <w:b/>
          <w:bCs/>
          <w:color w:val="353838"/>
        </w:rPr>
        <w:t>Corrected to</w:t>
      </w:r>
      <w:r w:rsidRPr="00F443CD">
        <w:rPr>
          <w:rFonts w:cstheme="minorHAnsi"/>
          <w:color w:val="353838"/>
        </w:rPr>
        <w:t>: “</w:t>
      </w:r>
      <w:r w:rsidRPr="00F443CD">
        <w:rPr>
          <w:rFonts w:cstheme="minorHAnsi"/>
          <w:i/>
          <w:iCs/>
          <w:color w:val="353838"/>
        </w:rPr>
        <w:t>Transfer the plate into a laminar flow bench (Table of Materials) or any other dust- and metal-free environment, unmarked side facing up</w:t>
      </w:r>
      <w:r w:rsidRPr="0034605F">
        <w:rPr>
          <w:rFonts w:cstheme="minorHAnsi"/>
          <w:i/>
          <w:iCs/>
          <w:color w:val="353838"/>
        </w:rPr>
        <w:t>.</w:t>
      </w:r>
      <w:r w:rsidRPr="0034605F">
        <w:rPr>
          <w:rFonts w:cstheme="minorHAnsi"/>
          <w:color w:val="353838"/>
        </w:rPr>
        <w:t>” (lines 377-378)</w:t>
      </w:r>
    </w:p>
    <w:p w14:paraId="54A8BF15" w14:textId="77777777" w:rsidR="00E67FEE" w:rsidRDefault="00E67FEE" w:rsidP="000F3A64">
      <w:pPr>
        <w:pStyle w:val="ListParagraph"/>
        <w:shd w:val="clear" w:color="auto" w:fill="D9D9D9" w:themeFill="background1" w:themeFillShade="D9"/>
        <w:autoSpaceDE w:val="0"/>
        <w:autoSpaceDN w:val="0"/>
        <w:adjustRightInd w:val="0"/>
        <w:spacing w:after="240" w:line="360" w:lineRule="auto"/>
        <w:ind w:left="0"/>
        <w:jc w:val="both"/>
        <w:rPr>
          <w:rFonts w:cstheme="minorHAnsi"/>
          <w:color w:val="353838"/>
        </w:rPr>
      </w:pPr>
      <w:r w:rsidRPr="001B34F9">
        <w:rPr>
          <w:rFonts w:cstheme="minorHAnsi"/>
          <w:color w:val="353838"/>
        </w:rPr>
        <w:t>Line 569: Define "cps" unit.</w:t>
      </w:r>
    </w:p>
    <w:p w14:paraId="68B75E92" w14:textId="77777777" w:rsidR="00E67FEE" w:rsidRPr="009751C0" w:rsidRDefault="00E67FEE" w:rsidP="009751C0">
      <w:pPr>
        <w:autoSpaceDE w:val="0"/>
        <w:autoSpaceDN w:val="0"/>
        <w:adjustRightInd w:val="0"/>
        <w:spacing w:after="240" w:line="360" w:lineRule="auto"/>
        <w:jc w:val="both"/>
        <w:rPr>
          <w:rFonts w:cstheme="minorHAnsi"/>
          <w:color w:val="353838"/>
        </w:rPr>
      </w:pPr>
      <w:r w:rsidRPr="004A2C01">
        <w:rPr>
          <w:rFonts w:cstheme="minorHAnsi"/>
          <w:b/>
          <w:bCs/>
          <w:color w:val="353838"/>
        </w:rPr>
        <w:t>The unit “cps” was defined at its first appearance</w:t>
      </w:r>
      <w:r w:rsidRPr="009751C0">
        <w:rPr>
          <w:rFonts w:cstheme="minorHAnsi"/>
          <w:color w:val="353838"/>
        </w:rPr>
        <w:t xml:space="preserve"> in the protocol, i.e. before line 569. The corresponding text (</w:t>
      </w:r>
      <w:r w:rsidRPr="0034605F">
        <w:rPr>
          <w:rFonts w:cstheme="minorHAnsi"/>
          <w:color w:val="353838"/>
        </w:rPr>
        <w:t>lines 562-563</w:t>
      </w:r>
      <w:r w:rsidRPr="009751C0">
        <w:rPr>
          <w:rFonts w:cstheme="minorHAnsi"/>
          <w:color w:val="353838"/>
        </w:rPr>
        <w:t>) reads as follows: “</w:t>
      </w:r>
      <w:r w:rsidRPr="009751C0">
        <w:rPr>
          <w:rFonts w:cstheme="minorHAnsi"/>
          <w:i/>
          <w:iCs/>
          <w:color w:val="353838"/>
        </w:rPr>
        <w:t xml:space="preserve">4.2.14. Click ‘Run’ in the ‘Run experiment’ window </w:t>
      </w:r>
      <w:r w:rsidRPr="009751C0">
        <w:rPr>
          <w:rFonts w:cstheme="minorHAnsi"/>
          <w:i/>
          <w:iCs/>
          <w:color w:val="353838"/>
        </w:rPr>
        <w:lastRenderedPageBreak/>
        <w:t>to start the line-scan analysis and monitor the raw signal intensity in counts per second (cps) for each isotope on the ICP-MS in real time.</w:t>
      </w:r>
      <w:r w:rsidRPr="009751C0">
        <w:rPr>
          <w:rFonts w:cstheme="minorHAnsi"/>
          <w:color w:val="353838"/>
        </w:rPr>
        <w:t>”</w:t>
      </w:r>
    </w:p>
    <w:p w14:paraId="5DB3EDFD" w14:textId="77777777" w:rsidR="00E67FEE" w:rsidRPr="001B34F9" w:rsidRDefault="00E67FEE" w:rsidP="000F3A64">
      <w:pPr>
        <w:pStyle w:val="ListParagraph"/>
        <w:shd w:val="clear" w:color="auto" w:fill="D9D9D9" w:themeFill="background1" w:themeFillShade="D9"/>
        <w:autoSpaceDE w:val="0"/>
        <w:autoSpaceDN w:val="0"/>
        <w:adjustRightInd w:val="0"/>
        <w:spacing w:after="240" w:line="360" w:lineRule="auto"/>
        <w:ind w:left="0"/>
        <w:jc w:val="both"/>
        <w:rPr>
          <w:rFonts w:cstheme="minorHAnsi"/>
          <w:color w:val="353838"/>
        </w:rPr>
      </w:pPr>
      <w:r w:rsidRPr="001B34F9">
        <w:rPr>
          <w:rFonts w:cstheme="minorHAnsi"/>
          <w:color w:val="353838"/>
        </w:rPr>
        <w:t>Figure 6: Be aware that for figure</w:t>
      </w:r>
      <w:r>
        <w:rPr>
          <w:rFonts w:cstheme="minorHAnsi"/>
          <w:color w:val="353838"/>
        </w:rPr>
        <w:t xml:space="preserve"> </w:t>
      </w:r>
      <w:r w:rsidRPr="001B34F9">
        <w:rPr>
          <w:rFonts w:cstheme="minorHAnsi"/>
          <w:color w:val="353838"/>
        </w:rPr>
        <w:t>resolution, the text associated with the color scales was difficult to read. However, opening up the</w:t>
      </w:r>
      <w:r>
        <w:rPr>
          <w:rFonts w:cstheme="minorHAnsi"/>
          <w:color w:val="353838"/>
        </w:rPr>
        <w:t xml:space="preserve"> </w:t>
      </w:r>
      <w:r w:rsidRPr="001B34F9">
        <w:rPr>
          <w:rFonts w:cstheme="minorHAnsi"/>
          <w:color w:val="353838"/>
        </w:rPr>
        <w:t>.jpg file directly was fine (this more high-resolution image would be better for the final version).</w:t>
      </w:r>
    </w:p>
    <w:p w14:paraId="5ABDF2C7" w14:textId="77777777" w:rsidR="00E67FEE" w:rsidRDefault="00E67FEE" w:rsidP="00230E71">
      <w:pPr>
        <w:autoSpaceDE w:val="0"/>
        <w:autoSpaceDN w:val="0"/>
        <w:adjustRightInd w:val="0"/>
        <w:spacing w:after="240" w:line="360" w:lineRule="auto"/>
        <w:jc w:val="both"/>
        <w:rPr>
          <w:rFonts w:cstheme="minorHAnsi"/>
          <w:color w:val="353838"/>
        </w:rPr>
      </w:pPr>
      <w:r w:rsidRPr="00FD3A8E">
        <w:rPr>
          <w:rFonts w:cstheme="minorHAnsi"/>
          <w:color w:val="353838"/>
        </w:rPr>
        <w:t>Thank you</w:t>
      </w:r>
      <w:r>
        <w:rPr>
          <w:rFonts w:cstheme="minorHAnsi"/>
          <w:color w:val="353838"/>
        </w:rPr>
        <w:t xml:space="preserve"> for the information, </w:t>
      </w:r>
      <w:r w:rsidRPr="004A2C01">
        <w:rPr>
          <w:rFonts w:cstheme="minorHAnsi"/>
          <w:b/>
          <w:bCs/>
          <w:color w:val="353838"/>
        </w:rPr>
        <w:t>the text font was slightly enlarged</w:t>
      </w:r>
      <w:r>
        <w:rPr>
          <w:rFonts w:cstheme="minorHAnsi"/>
          <w:color w:val="353838"/>
        </w:rPr>
        <w:t xml:space="preserve"> for better readability:</w:t>
      </w:r>
    </w:p>
    <w:p w14:paraId="44179D66" w14:textId="77777777" w:rsidR="00E67FEE" w:rsidRDefault="00E67FEE" w:rsidP="00230E71">
      <w:pPr>
        <w:autoSpaceDE w:val="0"/>
        <w:autoSpaceDN w:val="0"/>
        <w:adjustRightInd w:val="0"/>
        <w:spacing w:after="240" w:line="360" w:lineRule="auto"/>
        <w:jc w:val="both"/>
        <w:rPr>
          <w:rFonts w:cstheme="minorHAnsi"/>
          <w:color w:val="353838"/>
        </w:rPr>
      </w:pPr>
      <w:r>
        <w:rPr>
          <w:rFonts w:cstheme="minorHAnsi"/>
          <w:noProof/>
          <w:color w:val="353838"/>
        </w:rPr>
        <w:drawing>
          <wp:inline distT="0" distB="0" distL="0" distR="0" wp14:anchorId="08808FAB" wp14:editId="47143CC8">
            <wp:extent cx="5757545" cy="533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7545" cy="5334000"/>
                    </a:xfrm>
                    <a:prstGeom prst="rect">
                      <a:avLst/>
                    </a:prstGeom>
                    <a:noFill/>
                    <a:ln>
                      <a:noFill/>
                    </a:ln>
                  </pic:spPr>
                </pic:pic>
              </a:graphicData>
            </a:graphic>
          </wp:inline>
        </w:drawing>
      </w:r>
    </w:p>
    <w:p w14:paraId="58FE3B7A" w14:textId="77777777" w:rsidR="00E67FEE" w:rsidRDefault="00E67FEE" w:rsidP="00230E71">
      <w:pPr>
        <w:autoSpaceDE w:val="0"/>
        <w:autoSpaceDN w:val="0"/>
        <w:adjustRightInd w:val="0"/>
        <w:spacing w:after="240" w:line="360" w:lineRule="auto"/>
        <w:jc w:val="both"/>
        <w:rPr>
          <w:rFonts w:cstheme="minorHAnsi"/>
          <w:color w:val="353838"/>
        </w:rPr>
      </w:pPr>
      <w:r>
        <w:rPr>
          <w:rFonts w:cstheme="minorHAnsi"/>
          <w:color w:val="353838"/>
        </w:rPr>
        <w:t>“</w:t>
      </w:r>
      <w:r w:rsidRPr="007D66D6">
        <w:rPr>
          <w:rFonts w:cstheme="minorHAnsi"/>
          <w:b/>
          <w:bCs/>
          <w:i/>
          <w:iCs/>
          <w:color w:val="353838"/>
        </w:rPr>
        <w:t>Figure 7: Sub-mm 2D distribution of labile nutrient and contaminant species across soil-root interfaces.</w:t>
      </w:r>
      <w:r w:rsidRPr="007D66D6">
        <w:rPr>
          <w:rFonts w:cstheme="minorHAnsi"/>
          <w:i/>
          <w:iCs/>
          <w:color w:val="353838"/>
        </w:rPr>
        <w:t xml:space="preserve"> (A) Distribution of anionic P and cationic Mg, Al, </w:t>
      </w:r>
      <w:proofErr w:type="gramStart"/>
      <w:r w:rsidRPr="007D66D6">
        <w:rPr>
          <w:rFonts w:cstheme="minorHAnsi"/>
          <w:i/>
          <w:iCs/>
          <w:color w:val="353838"/>
        </w:rPr>
        <w:t>Mn</w:t>
      </w:r>
      <w:proofErr w:type="gramEnd"/>
      <w:r w:rsidRPr="007D66D6">
        <w:rPr>
          <w:rFonts w:cstheme="minorHAnsi"/>
          <w:i/>
          <w:iCs/>
          <w:color w:val="353838"/>
        </w:rPr>
        <w:t xml:space="preserve"> and Fe solutes around a young F. esculentum root. Co-localized sampling of anionic and cationic solutes was achieved using HR-MBG for 24 h at a soil water saturation of ~75 % WHC. The Al, P and Mn images are displayed as calibrated </w:t>
      </w:r>
      <w:proofErr w:type="spellStart"/>
      <w:r w:rsidRPr="007D66D6">
        <w:rPr>
          <w:rFonts w:cstheme="minorHAnsi"/>
          <w:i/>
          <w:iCs/>
          <w:color w:val="353838"/>
        </w:rPr>
        <w:t>fDGT</w:t>
      </w:r>
      <w:proofErr w:type="spellEnd"/>
      <w:r w:rsidRPr="007D66D6">
        <w:rPr>
          <w:rFonts w:cstheme="minorHAnsi"/>
          <w:i/>
          <w:iCs/>
          <w:color w:val="353838"/>
        </w:rPr>
        <w:t xml:space="preserve"> values (</w:t>
      </w:r>
      <w:proofErr w:type="spellStart"/>
      <w:r w:rsidRPr="007D66D6">
        <w:rPr>
          <w:rFonts w:cstheme="minorHAnsi"/>
          <w:i/>
          <w:iCs/>
          <w:color w:val="353838"/>
        </w:rPr>
        <w:t>pg</w:t>
      </w:r>
      <w:proofErr w:type="spellEnd"/>
      <w:r w:rsidRPr="007D66D6">
        <w:rPr>
          <w:rFonts w:cstheme="minorHAnsi"/>
          <w:i/>
          <w:iCs/>
          <w:color w:val="353838"/>
        </w:rPr>
        <w:t xml:space="preserve"> cm-2 s-1), whereas Mg and Fe images show 13C-normalized intensities. Scale bar represents </w:t>
      </w:r>
      <w:r w:rsidRPr="007D66D6">
        <w:rPr>
          <w:rFonts w:cstheme="minorHAnsi"/>
          <w:i/>
          <w:iCs/>
          <w:color w:val="353838"/>
        </w:rPr>
        <w:lastRenderedPageBreak/>
        <w:t xml:space="preserve">1 cm. Adapted from A. </w:t>
      </w:r>
      <w:proofErr w:type="spellStart"/>
      <w:r w:rsidRPr="007D66D6">
        <w:rPr>
          <w:rFonts w:cstheme="minorHAnsi"/>
          <w:i/>
          <w:iCs/>
          <w:color w:val="353838"/>
        </w:rPr>
        <w:t>Kreuzeder</w:t>
      </w:r>
      <w:proofErr w:type="spellEnd"/>
      <w:r w:rsidRPr="007D66D6">
        <w:rPr>
          <w:rFonts w:cstheme="minorHAnsi"/>
          <w:i/>
          <w:iCs/>
          <w:color w:val="353838"/>
        </w:rPr>
        <w:t xml:space="preserve">, et al. 48. (B) Distribution of Mn, Fe, Zn, Cd and Pb around a S. </w:t>
      </w:r>
      <w:proofErr w:type="spellStart"/>
      <w:r w:rsidRPr="007D66D6">
        <w:rPr>
          <w:rFonts w:cstheme="minorHAnsi"/>
          <w:i/>
          <w:iCs/>
          <w:color w:val="353838"/>
        </w:rPr>
        <w:t>smithiana</w:t>
      </w:r>
      <w:proofErr w:type="spellEnd"/>
      <w:r w:rsidRPr="007D66D6">
        <w:rPr>
          <w:rFonts w:cstheme="minorHAnsi"/>
          <w:i/>
          <w:iCs/>
          <w:color w:val="353838"/>
        </w:rPr>
        <w:t xml:space="preserve"> root grown in soil moderately contaminated with Zn, Cd and Pb. Cationic trace metal solutes were sampled using HR-CBG for 20 h at a soil water saturation of ~80 % WHC. All images are displayed as calibrated </w:t>
      </w:r>
      <w:proofErr w:type="spellStart"/>
      <w:r w:rsidRPr="007D66D6">
        <w:rPr>
          <w:rFonts w:cstheme="minorHAnsi"/>
          <w:i/>
          <w:iCs/>
          <w:color w:val="353838"/>
        </w:rPr>
        <w:t>fDGT</w:t>
      </w:r>
      <w:proofErr w:type="spellEnd"/>
      <w:r w:rsidRPr="007D66D6">
        <w:rPr>
          <w:rFonts w:cstheme="minorHAnsi"/>
          <w:i/>
          <w:iCs/>
          <w:color w:val="353838"/>
        </w:rPr>
        <w:t xml:space="preserve"> values (</w:t>
      </w:r>
      <w:proofErr w:type="spellStart"/>
      <w:r w:rsidRPr="007D66D6">
        <w:rPr>
          <w:rFonts w:cstheme="minorHAnsi"/>
          <w:i/>
          <w:iCs/>
          <w:color w:val="353838"/>
        </w:rPr>
        <w:t>pg</w:t>
      </w:r>
      <w:proofErr w:type="spellEnd"/>
      <w:r w:rsidRPr="007D66D6">
        <w:rPr>
          <w:rFonts w:cstheme="minorHAnsi"/>
          <w:i/>
          <w:iCs/>
          <w:color w:val="353838"/>
        </w:rPr>
        <w:t xml:space="preserve"> cm-2 s-1). Scale bar represents 0.5 mm. Adapted from C. </w:t>
      </w:r>
      <w:proofErr w:type="spellStart"/>
      <w:r w:rsidRPr="007D66D6">
        <w:rPr>
          <w:rFonts w:cstheme="minorHAnsi"/>
          <w:i/>
          <w:iCs/>
          <w:color w:val="353838"/>
        </w:rPr>
        <w:t>Hoefer</w:t>
      </w:r>
      <w:proofErr w:type="spellEnd"/>
      <w:r w:rsidRPr="007D66D6">
        <w:rPr>
          <w:rFonts w:cstheme="minorHAnsi"/>
          <w:i/>
          <w:iCs/>
          <w:color w:val="353838"/>
        </w:rPr>
        <w:t xml:space="preserve">, J. </w:t>
      </w:r>
      <w:proofErr w:type="spellStart"/>
      <w:r w:rsidRPr="007D66D6">
        <w:rPr>
          <w:rFonts w:cstheme="minorHAnsi"/>
          <w:i/>
          <w:iCs/>
          <w:color w:val="353838"/>
        </w:rPr>
        <w:t>Santner</w:t>
      </w:r>
      <w:proofErr w:type="spellEnd"/>
      <w:r w:rsidRPr="007D66D6">
        <w:rPr>
          <w:rFonts w:cstheme="minorHAnsi"/>
          <w:i/>
          <w:iCs/>
          <w:color w:val="353838"/>
        </w:rPr>
        <w:t xml:space="preserve">, M. </w:t>
      </w:r>
      <w:proofErr w:type="spellStart"/>
      <w:r w:rsidRPr="007D66D6">
        <w:rPr>
          <w:rFonts w:cstheme="minorHAnsi"/>
          <w:i/>
          <w:iCs/>
          <w:color w:val="353838"/>
        </w:rPr>
        <w:t>Puschenreiter</w:t>
      </w:r>
      <w:proofErr w:type="spellEnd"/>
      <w:r w:rsidRPr="007D66D6">
        <w:rPr>
          <w:rFonts w:cstheme="minorHAnsi"/>
          <w:i/>
          <w:iCs/>
          <w:color w:val="353838"/>
        </w:rPr>
        <w:t xml:space="preserve"> and W. W. Wenzel 3. (C) Distribution of pH and multiple cationic solutes around S. </w:t>
      </w:r>
      <w:proofErr w:type="spellStart"/>
      <w:r w:rsidRPr="007D66D6">
        <w:rPr>
          <w:rFonts w:cstheme="minorHAnsi"/>
          <w:i/>
          <w:iCs/>
          <w:color w:val="353838"/>
        </w:rPr>
        <w:t>smithiana</w:t>
      </w:r>
      <w:proofErr w:type="spellEnd"/>
      <w:r w:rsidRPr="007D66D6">
        <w:rPr>
          <w:rFonts w:cstheme="minorHAnsi"/>
          <w:i/>
          <w:iCs/>
          <w:color w:val="353838"/>
        </w:rPr>
        <w:t xml:space="preserve"> roots grown in soil spiked with Cd. Co-localization of pH and solute dynamics was achieved using a modification of the HR-MBG protocol, allowing for simultaneous solute sampling and planar </w:t>
      </w:r>
      <w:proofErr w:type="spellStart"/>
      <w:r w:rsidRPr="007D66D6">
        <w:rPr>
          <w:rFonts w:cstheme="minorHAnsi"/>
          <w:i/>
          <w:iCs/>
          <w:color w:val="353838"/>
        </w:rPr>
        <w:t>optode</w:t>
      </w:r>
      <w:proofErr w:type="spellEnd"/>
      <w:r w:rsidRPr="007D66D6">
        <w:rPr>
          <w:rFonts w:cstheme="minorHAnsi"/>
          <w:i/>
          <w:iCs/>
          <w:color w:val="353838"/>
        </w:rPr>
        <w:t xml:space="preserve"> imaging33. The Mn, Cu, Zn and Cd images are displayed as calibrated </w:t>
      </w:r>
      <w:proofErr w:type="spellStart"/>
      <w:r w:rsidRPr="007D66D6">
        <w:rPr>
          <w:rFonts w:cstheme="minorHAnsi"/>
          <w:i/>
          <w:iCs/>
          <w:color w:val="353838"/>
        </w:rPr>
        <w:t>fDGT</w:t>
      </w:r>
      <w:proofErr w:type="spellEnd"/>
      <w:r w:rsidRPr="007D66D6">
        <w:rPr>
          <w:rFonts w:cstheme="minorHAnsi"/>
          <w:i/>
          <w:iCs/>
          <w:color w:val="353838"/>
        </w:rPr>
        <w:t xml:space="preserve"> values (</w:t>
      </w:r>
      <w:proofErr w:type="spellStart"/>
      <w:r w:rsidRPr="007D66D6">
        <w:rPr>
          <w:rFonts w:cstheme="minorHAnsi"/>
          <w:i/>
          <w:iCs/>
          <w:color w:val="353838"/>
        </w:rPr>
        <w:t>pg</w:t>
      </w:r>
      <w:proofErr w:type="spellEnd"/>
      <w:r w:rsidRPr="007D66D6">
        <w:rPr>
          <w:rFonts w:cstheme="minorHAnsi"/>
          <w:i/>
          <w:iCs/>
          <w:color w:val="353838"/>
        </w:rPr>
        <w:t xml:space="preserve"> cm-2 s-1), whereas Fe, Co, Ni and Pb images show 13C-normalized intensities. Scale bar represents 1 cm. Adapted from C. </w:t>
      </w:r>
      <w:proofErr w:type="spellStart"/>
      <w:r w:rsidRPr="007D66D6">
        <w:rPr>
          <w:rFonts w:cstheme="minorHAnsi"/>
          <w:i/>
          <w:iCs/>
          <w:color w:val="353838"/>
        </w:rPr>
        <w:t>Hoefer</w:t>
      </w:r>
      <w:proofErr w:type="spellEnd"/>
      <w:r w:rsidRPr="007D66D6">
        <w:rPr>
          <w:rFonts w:cstheme="minorHAnsi"/>
          <w:i/>
          <w:iCs/>
          <w:color w:val="353838"/>
        </w:rPr>
        <w:t xml:space="preserve">, J. </w:t>
      </w:r>
      <w:proofErr w:type="spellStart"/>
      <w:r w:rsidRPr="007D66D6">
        <w:rPr>
          <w:rFonts w:cstheme="minorHAnsi"/>
          <w:i/>
          <w:iCs/>
          <w:color w:val="353838"/>
        </w:rPr>
        <w:t>Santner</w:t>
      </w:r>
      <w:proofErr w:type="spellEnd"/>
      <w:r w:rsidRPr="007D66D6">
        <w:rPr>
          <w:rFonts w:cstheme="minorHAnsi"/>
          <w:i/>
          <w:iCs/>
          <w:color w:val="353838"/>
        </w:rPr>
        <w:t xml:space="preserve">, S. M. Borisov, W. W. Wenzel and M. </w:t>
      </w:r>
      <w:proofErr w:type="spellStart"/>
      <w:r w:rsidRPr="007D66D6">
        <w:rPr>
          <w:rFonts w:cstheme="minorHAnsi"/>
          <w:i/>
          <w:iCs/>
          <w:color w:val="353838"/>
        </w:rPr>
        <w:t>Puschenreiter</w:t>
      </w:r>
      <w:proofErr w:type="spellEnd"/>
      <w:r w:rsidRPr="007D66D6">
        <w:rPr>
          <w:rFonts w:cstheme="minorHAnsi"/>
          <w:i/>
          <w:iCs/>
          <w:color w:val="353838"/>
        </w:rPr>
        <w:t xml:space="preserve"> 33. The presented figures are reproduced from the cited articles3,33,48 licensed under CC BY.</w:t>
      </w:r>
      <w:r w:rsidRPr="007D66D6">
        <w:rPr>
          <w:rFonts w:cstheme="minorHAnsi"/>
          <w:color w:val="353838"/>
        </w:rPr>
        <w:t>”</w:t>
      </w:r>
    </w:p>
    <w:p w14:paraId="2C3CA6F7" w14:textId="77777777" w:rsidR="00E67FEE" w:rsidRPr="00230E71" w:rsidRDefault="00E67FEE" w:rsidP="00230E71">
      <w:pPr>
        <w:autoSpaceDE w:val="0"/>
        <w:autoSpaceDN w:val="0"/>
        <w:adjustRightInd w:val="0"/>
        <w:spacing w:after="240" w:line="360" w:lineRule="auto"/>
        <w:jc w:val="both"/>
        <w:rPr>
          <w:rFonts w:cstheme="minorHAnsi"/>
          <w:color w:val="353838"/>
        </w:rPr>
      </w:pPr>
      <w:r>
        <w:rPr>
          <w:rFonts w:cstheme="minorHAnsi"/>
          <w:b/>
          <w:bCs/>
          <w:color w:val="353838"/>
        </w:rPr>
        <w:t>Reviewer #4</w:t>
      </w:r>
    </w:p>
    <w:p w14:paraId="2DDE1DEF" w14:textId="77777777" w:rsidR="00E67FEE" w:rsidRPr="001B34F9" w:rsidRDefault="00E67FEE" w:rsidP="000F3A64">
      <w:pPr>
        <w:pStyle w:val="ListParagraph"/>
        <w:shd w:val="clear" w:color="auto" w:fill="D9D9D9" w:themeFill="background1" w:themeFillShade="D9"/>
        <w:autoSpaceDE w:val="0"/>
        <w:autoSpaceDN w:val="0"/>
        <w:adjustRightInd w:val="0"/>
        <w:spacing w:after="240" w:line="360" w:lineRule="auto"/>
        <w:ind w:left="0"/>
        <w:jc w:val="both"/>
        <w:rPr>
          <w:rFonts w:cstheme="minorHAnsi"/>
          <w:color w:val="353838"/>
        </w:rPr>
      </w:pPr>
      <w:r w:rsidRPr="001B34F9">
        <w:rPr>
          <w:rFonts w:cstheme="minorHAnsi"/>
          <w:color w:val="353838"/>
        </w:rPr>
        <w:t>Manuscript Summary:</w:t>
      </w:r>
    </w:p>
    <w:p w14:paraId="3D2F2940" w14:textId="77777777" w:rsidR="00E67FEE" w:rsidRPr="001B34F9" w:rsidRDefault="00E67FEE" w:rsidP="000F3A64">
      <w:pPr>
        <w:pStyle w:val="ListParagraph"/>
        <w:shd w:val="clear" w:color="auto" w:fill="D9D9D9" w:themeFill="background1" w:themeFillShade="D9"/>
        <w:autoSpaceDE w:val="0"/>
        <w:autoSpaceDN w:val="0"/>
        <w:adjustRightInd w:val="0"/>
        <w:spacing w:after="240" w:line="360" w:lineRule="auto"/>
        <w:ind w:left="0"/>
        <w:jc w:val="both"/>
        <w:rPr>
          <w:rFonts w:cstheme="minorHAnsi"/>
          <w:color w:val="353838"/>
        </w:rPr>
      </w:pPr>
      <w:r w:rsidRPr="001B34F9">
        <w:rPr>
          <w:rFonts w:cstheme="minorHAnsi"/>
          <w:color w:val="353838"/>
        </w:rPr>
        <w:t>The manuscript describes a method for visualizing the flow of plant nutrients and contaminants in soils using diffusive gradients in</w:t>
      </w:r>
      <w:r>
        <w:rPr>
          <w:rFonts w:cstheme="minorHAnsi"/>
          <w:color w:val="353838"/>
        </w:rPr>
        <w:t xml:space="preserve"> </w:t>
      </w:r>
      <w:r w:rsidRPr="001B34F9">
        <w:rPr>
          <w:rFonts w:cstheme="minorHAnsi"/>
          <w:color w:val="353838"/>
        </w:rPr>
        <w:t>thin films and LA-ICP-MS. The method is well described and detailed, and the results are interesting.</w:t>
      </w:r>
    </w:p>
    <w:p w14:paraId="554E4468" w14:textId="77777777" w:rsidR="00E67FEE" w:rsidRDefault="00E67FEE" w:rsidP="000F3A64">
      <w:pPr>
        <w:pStyle w:val="ListParagraph"/>
        <w:shd w:val="clear" w:color="auto" w:fill="D9D9D9" w:themeFill="background1" w:themeFillShade="D9"/>
        <w:autoSpaceDE w:val="0"/>
        <w:autoSpaceDN w:val="0"/>
        <w:adjustRightInd w:val="0"/>
        <w:spacing w:after="240" w:line="360" w:lineRule="auto"/>
        <w:ind w:left="0"/>
        <w:jc w:val="both"/>
        <w:rPr>
          <w:rFonts w:cstheme="minorHAnsi"/>
          <w:color w:val="353838"/>
        </w:rPr>
      </w:pPr>
    </w:p>
    <w:p w14:paraId="36A3208D" w14:textId="77777777" w:rsidR="00E67FEE" w:rsidRDefault="00E67FEE" w:rsidP="000F3A64">
      <w:pPr>
        <w:pStyle w:val="ListParagraph"/>
        <w:shd w:val="clear" w:color="auto" w:fill="D9D9D9" w:themeFill="background1" w:themeFillShade="D9"/>
        <w:autoSpaceDE w:val="0"/>
        <w:autoSpaceDN w:val="0"/>
        <w:adjustRightInd w:val="0"/>
        <w:spacing w:after="240" w:line="360" w:lineRule="auto"/>
        <w:ind w:left="0"/>
        <w:jc w:val="both"/>
        <w:rPr>
          <w:rFonts w:cstheme="minorHAnsi"/>
          <w:color w:val="353838"/>
        </w:rPr>
      </w:pPr>
      <w:r w:rsidRPr="001B34F9">
        <w:rPr>
          <w:rFonts w:cstheme="minorHAnsi"/>
          <w:color w:val="353838"/>
        </w:rPr>
        <w:t>Major Concerns:</w:t>
      </w:r>
      <w:r>
        <w:rPr>
          <w:rFonts w:cstheme="minorHAnsi"/>
          <w:color w:val="353838"/>
        </w:rPr>
        <w:t xml:space="preserve"> </w:t>
      </w:r>
    </w:p>
    <w:p w14:paraId="2B2481BD" w14:textId="77777777" w:rsidR="00E67FEE" w:rsidRDefault="00E67FEE" w:rsidP="000F3A64">
      <w:pPr>
        <w:pStyle w:val="ListParagraph"/>
        <w:shd w:val="clear" w:color="auto" w:fill="D9D9D9" w:themeFill="background1" w:themeFillShade="D9"/>
        <w:autoSpaceDE w:val="0"/>
        <w:autoSpaceDN w:val="0"/>
        <w:adjustRightInd w:val="0"/>
        <w:spacing w:after="240" w:line="360" w:lineRule="auto"/>
        <w:ind w:left="0"/>
        <w:jc w:val="both"/>
        <w:rPr>
          <w:rFonts w:cstheme="minorHAnsi"/>
          <w:color w:val="353838"/>
        </w:rPr>
      </w:pPr>
      <w:r w:rsidRPr="001B34F9">
        <w:rPr>
          <w:rFonts w:cstheme="minorHAnsi"/>
          <w:color w:val="353838"/>
        </w:rPr>
        <w:t>None.</w:t>
      </w:r>
    </w:p>
    <w:p w14:paraId="3291F233" w14:textId="77777777" w:rsidR="00E67FEE" w:rsidRPr="009751C0" w:rsidRDefault="00E67FEE" w:rsidP="009751C0">
      <w:pPr>
        <w:shd w:val="clear" w:color="auto" w:fill="FFFFFF" w:themeFill="background1"/>
        <w:autoSpaceDE w:val="0"/>
        <w:autoSpaceDN w:val="0"/>
        <w:adjustRightInd w:val="0"/>
        <w:spacing w:after="240" w:line="360" w:lineRule="auto"/>
        <w:jc w:val="both"/>
        <w:rPr>
          <w:rFonts w:cstheme="minorHAnsi"/>
          <w:color w:val="353838"/>
        </w:rPr>
      </w:pPr>
      <w:r w:rsidRPr="009751C0">
        <w:rPr>
          <w:rFonts w:cstheme="minorHAnsi"/>
          <w:color w:val="353838"/>
        </w:rPr>
        <w:t>Thank you for the positive feedback.</w:t>
      </w:r>
    </w:p>
    <w:p w14:paraId="24054D65" w14:textId="77777777" w:rsidR="00E67FEE" w:rsidRPr="001B34F9" w:rsidRDefault="00E67FEE" w:rsidP="000F3A64">
      <w:pPr>
        <w:pStyle w:val="ListParagraph"/>
        <w:shd w:val="clear" w:color="auto" w:fill="D9D9D9" w:themeFill="background1" w:themeFillShade="D9"/>
        <w:autoSpaceDE w:val="0"/>
        <w:autoSpaceDN w:val="0"/>
        <w:adjustRightInd w:val="0"/>
        <w:spacing w:after="240" w:line="360" w:lineRule="auto"/>
        <w:ind w:left="0"/>
        <w:jc w:val="both"/>
        <w:rPr>
          <w:rFonts w:cstheme="minorHAnsi"/>
          <w:color w:val="353838"/>
        </w:rPr>
      </w:pPr>
      <w:r w:rsidRPr="001B34F9">
        <w:rPr>
          <w:rFonts w:cstheme="minorHAnsi"/>
          <w:color w:val="353838"/>
        </w:rPr>
        <w:t>Minor Concerns:</w:t>
      </w:r>
    </w:p>
    <w:p w14:paraId="7A76DE60" w14:textId="77777777" w:rsidR="00E67FEE" w:rsidRPr="00CA7518" w:rsidRDefault="00E67FEE" w:rsidP="000F3A64">
      <w:pPr>
        <w:pStyle w:val="ListParagraph"/>
        <w:shd w:val="clear" w:color="auto" w:fill="D9D9D9" w:themeFill="background1" w:themeFillShade="D9"/>
        <w:autoSpaceDE w:val="0"/>
        <w:autoSpaceDN w:val="0"/>
        <w:adjustRightInd w:val="0"/>
        <w:spacing w:after="240" w:line="360" w:lineRule="auto"/>
        <w:ind w:left="0"/>
        <w:jc w:val="both"/>
        <w:rPr>
          <w:rFonts w:cstheme="minorHAnsi"/>
          <w:color w:val="353838"/>
        </w:rPr>
      </w:pPr>
      <w:r w:rsidRPr="001B34F9">
        <w:rPr>
          <w:rFonts w:cstheme="minorHAnsi"/>
          <w:color w:val="353838"/>
        </w:rPr>
        <w:t>Line 746. I believe that the authors meant "less compacted" than "compacted less".</w:t>
      </w:r>
    </w:p>
    <w:p w14:paraId="3D3DFC0A" w14:textId="77777777" w:rsidR="00E67FEE" w:rsidRPr="009751C0" w:rsidRDefault="00E67FEE" w:rsidP="009751C0">
      <w:pPr>
        <w:autoSpaceDE w:val="0"/>
        <w:autoSpaceDN w:val="0"/>
        <w:adjustRightInd w:val="0"/>
        <w:spacing w:after="240" w:line="360" w:lineRule="auto"/>
        <w:jc w:val="both"/>
        <w:rPr>
          <w:rFonts w:cstheme="minorHAnsi"/>
          <w:color w:val="353838"/>
        </w:rPr>
      </w:pPr>
      <w:r w:rsidRPr="009751C0">
        <w:rPr>
          <w:rFonts w:cstheme="minorHAnsi"/>
          <w:color w:val="353838"/>
        </w:rPr>
        <w:t xml:space="preserve">Thank you. The grammatical typo was </w:t>
      </w:r>
      <w:r w:rsidRPr="00021F97">
        <w:rPr>
          <w:rFonts w:cstheme="minorHAnsi"/>
          <w:b/>
          <w:bCs/>
          <w:color w:val="353838"/>
        </w:rPr>
        <w:t>corrected</w:t>
      </w:r>
      <w:r w:rsidRPr="009751C0">
        <w:rPr>
          <w:rFonts w:cstheme="minorHAnsi"/>
          <w:color w:val="353838"/>
        </w:rPr>
        <w:t>.</w:t>
      </w:r>
    </w:p>
    <w:p w14:paraId="0DFAEC85" w14:textId="77777777" w:rsidR="00E67FEE" w:rsidRDefault="00E67FEE" w:rsidP="000F3A64">
      <w:pPr>
        <w:pStyle w:val="ListParagraph"/>
        <w:autoSpaceDE w:val="0"/>
        <w:autoSpaceDN w:val="0"/>
        <w:adjustRightInd w:val="0"/>
        <w:spacing w:after="240" w:line="360" w:lineRule="auto"/>
        <w:ind w:left="0"/>
        <w:jc w:val="both"/>
        <w:rPr>
          <w:rFonts w:cstheme="minorHAnsi"/>
          <w:b/>
          <w:bCs/>
          <w:color w:val="353838"/>
        </w:rPr>
      </w:pPr>
    </w:p>
    <w:p w14:paraId="6E505878" w14:textId="77777777" w:rsidR="00E67FEE" w:rsidRDefault="00E67FEE" w:rsidP="000F3A64">
      <w:pPr>
        <w:pStyle w:val="ListParagraph"/>
        <w:autoSpaceDE w:val="0"/>
        <w:autoSpaceDN w:val="0"/>
        <w:adjustRightInd w:val="0"/>
        <w:spacing w:after="240" w:line="360" w:lineRule="auto"/>
        <w:ind w:left="0"/>
        <w:jc w:val="both"/>
        <w:rPr>
          <w:rFonts w:cstheme="minorHAnsi"/>
          <w:b/>
          <w:bCs/>
          <w:color w:val="353838"/>
        </w:rPr>
      </w:pPr>
    </w:p>
    <w:p w14:paraId="1B5EEF9A" w14:textId="77777777" w:rsidR="00E67FEE" w:rsidRDefault="00E67FEE" w:rsidP="000F3A64">
      <w:pPr>
        <w:pStyle w:val="ListParagraph"/>
        <w:autoSpaceDE w:val="0"/>
        <w:autoSpaceDN w:val="0"/>
        <w:adjustRightInd w:val="0"/>
        <w:spacing w:after="240" w:line="360" w:lineRule="auto"/>
        <w:ind w:left="0"/>
        <w:jc w:val="both"/>
        <w:rPr>
          <w:rFonts w:cstheme="minorHAnsi"/>
          <w:b/>
          <w:bCs/>
          <w:color w:val="353838"/>
        </w:rPr>
      </w:pPr>
    </w:p>
    <w:p w14:paraId="241AB21A" w14:textId="77777777" w:rsidR="00E67FEE" w:rsidRDefault="00E67FEE" w:rsidP="00F93DD3">
      <w:pPr>
        <w:pStyle w:val="ListParagraph"/>
        <w:autoSpaceDE w:val="0"/>
        <w:autoSpaceDN w:val="0"/>
        <w:adjustRightInd w:val="0"/>
        <w:spacing w:after="240" w:line="360" w:lineRule="auto"/>
        <w:ind w:left="0"/>
        <w:jc w:val="both"/>
        <w:rPr>
          <w:rFonts w:cstheme="minorHAnsi"/>
          <w:b/>
          <w:bCs/>
          <w:color w:val="353838"/>
        </w:rPr>
      </w:pPr>
    </w:p>
    <w:p w14:paraId="2F2F4A0A" w14:textId="77777777" w:rsidR="00E67FEE" w:rsidRDefault="00E67FEE" w:rsidP="00F93DD3">
      <w:pPr>
        <w:pStyle w:val="ListParagraph"/>
        <w:autoSpaceDE w:val="0"/>
        <w:autoSpaceDN w:val="0"/>
        <w:adjustRightInd w:val="0"/>
        <w:spacing w:after="240" w:line="360" w:lineRule="auto"/>
        <w:ind w:left="0"/>
        <w:jc w:val="both"/>
        <w:rPr>
          <w:rFonts w:cstheme="minorHAnsi"/>
          <w:b/>
          <w:bCs/>
          <w:color w:val="353838"/>
        </w:rPr>
      </w:pPr>
    </w:p>
    <w:p w14:paraId="44383D1F" w14:textId="77777777" w:rsidR="00E67FEE" w:rsidRDefault="00E67FEE" w:rsidP="00F93DD3">
      <w:pPr>
        <w:pStyle w:val="ListParagraph"/>
        <w:autoSpaceDE w:val="0"/>
        <w:autoSpaceDN w:val="0"/>
        <w:adjustRightInd w:val="0"/>
        <w:spacing w:after="240" w:line="360" w:lineRule="auto"/>
        <w:ind w:left="0"/>
        <w:jc w:val="both"/>
        <w:rPr>
          <w:rFonts w:cstheme="minorHAnsi"/>
          <w:b/>
          <w:bCs/>
          <w:color w:val="353838"/>
        </w:rPr>
      </w:pPr>
    </w:p>
    <w:p w14:paraId="3C8D9FC9" w14:textId="77777777" w:rsidR="00E67FEE" w:rsidRDefault="00E67FEE" w:rsidP="00F93DD3">
      <w:pPr>
        <w:pStyle w:val="ListParagraph"/>
        <w:autoSpaceDE w:val="0"/>
        <w:autoSpaceDN w:val="0"/>
        <w:adjustRightInd w:val="0"/>
        <w:spacing w:after="240" w:line="360" w:lineRule="auto"/>
        <w:ind w:left="0"/>
        <w:jc w:val="both"/>
        <w:rPr>
          <w:rFonts w:cstheme="minorHAnsi"/>
          <w:b/>
          <w:bCs/>
          <w:color w:val="353838"/>
        </w:rPr>
      </w:pPr>
    </w:p>
    <w:p w14:paraId="2037AD79" w14:textId="77777777" w:rsidR="00E67FEE" w:rsidRDefault="00E67FEE" w:rsidP="00F93DD3">
      <w:pPr>
        <w:pStyle w:val="ListParagraph"/>
        <w:autoSpaceDE w:val="0"/>
        <w:autoSpaceDN w:val="0"/>
        <w:adjustRightInd w:val="0"/>
        <w:spacing w:after="240" w:line="360" w:lineRule="auto"/>
        <w:ind w:left="0"/>
        <w:jc w:val="both"/>
        <w:rPr>
          <w:rFonts w:cstheme="minorHAnsi"/>
          <w:b/>
          <w:bCs/>
          <w:color w:val="353838"/>
        </w:rPr>
      </w:pPr>
    </w:p>
    <w:p w14:paraId="1306D16D" w14:textId="77777777" w:rsidR="00E67FEE" w:rsidRPr="00F93DD3" w:rsidRDefault="00E67FEE" w:rsidP="00F93DD3">
      <w:pPr>
        <w:pStyle w:val="ListParagraph"/>
        <w:autoSpaceDE w:val="0"/>
        <w:autoSpaceDN w:val="0"/>
        <w:adjustRightInd w:val="0"/>
        <w:spacing w:after="240" w:line="360" w:lineRule="auto"/>
        <w:ind w:left="0"/>
        <w:jc w:val="both"/>
        <w:rPr>
          <w:rFonts w:cstheme="minorHAnsi"/>
          <w:b/>
          <w:bCs/>
          <w:color w:val="353838"/>
        </w:rPr>
      </w:pPr>
      <w:r w:rsidRPr="00C8261D">
        <w:rPr>
          <w:rFonts w:cstheme="minorHAnsi"/>
          <w:b/>
          <w:bCs/>
          <w:color w:val="353838"/>
        </w:rPr>
        <w:lastRenderedPageBreak/>
        <w:t>References</w:t>
      </w:r>
      <w:r>
        <w:rPr>
          <w:rFonts w:cstheme="minorHAnsi"/>
          <w:b/>
          <w:bCs/>
          <w:color w:val="353838"/>
        </w:rPr>
        <w:t xml:space="preserve"> used in this response letter</w:t>
      </w:r>
    </w:p>
    <w:p w14:paraId="079D0D9B" w14:textId="621F60C4" w:rsidR="00E67FEE" w:rsidRDefault="00E67FEE" w:rsidP="002813F9">
      <w:pPr>
        <w:pStyle w:val="EndNoteBibliography"/>
        <w:spacing w:after="0"/>
      </w:pPr>
      <w:r w:rsidRPr="002813F9">
        <w:t>Davison, W., 2016. Diffusive Gradients in Thin-Films for Environmental Measurements. Cambridge University Press, Cambridge.</w:t>
      </w:r>
    </w:p>
    <w:p w14:paraId="68D030F1" w14:textId="77777777" w:rsidR="00E67FEE" w:rsidRPr="002813F9" w:rsidRDefault="00E67FEE" w:rsidP="002813F9">
      <w:pPr>
        <w:pStyle w:val="EndNoteBibliography"/>
        <w:spacing w:after="0"/>
      </w:pPr>
    </w:p>
    <w:p w14:paraId="2F1F9FF8" w14:textId="15F2836A" w:rsidR="00E67FEE" w:rsidRDefault="00E67FEE" w:rsidP="002813F9">
      <w:pPr>
        <w:pStyle w:val="EndNoteBibliography"/>
        <w:spacing w:after="0"/>
      </w:pPr>
      <w:r w:rsidRPr="002813F9">
        <w:t>Gao, Y., Lehto, N., 2012. A simple laser ablation ICPMS method for the determination of trace metals in a resin gel. Talanta 92, 78-83.</w:t>
      </w:r>
    </w:p>
    <w:p w14:paraId="13A848A3" w14:textId="77777777" w:rsidR="00E67FEE" w:rsidRPr="002813F9" w:rsidRDefault="00E67FEE" w:rsidP="002813F9">
      <w:pPr>
        <w:pStyle w:val="EndNoteBibliography"/>
        <w:spacing w:after="0"/>
      </w:pPr>
    </w:p>
    <w:p w14:paraId="6B48AA75" w14:textId="39F74180" w:rsidR="00E67FEE" w:rsidRDefault="00E67FEE" w:rsidP="002813F9">
      <w:pPr>
        <w:pStyle w:val="EndNoteBibliography"/>
        <w:spacing w:after="0"/>
      </w:pPr>
      <w:r w:rsidRPr="002813F9">
        <w:t>Gonzalez, J., Mao, X.L., Roy, J., Mao, S.S., Russo, R.E., 2002. Comparison of 193, 213 and 266 nm laser ablation ICP-MS. Journal of Analytical Atomic Spectrometry 17, 1108-1113.</w:t>
      </w:r>
    </w:p>
    <w:p w14:paraId="5D988C63" w14:textId="77777777" w:rsidR="00E67FEE" w:rsidRPr="002813F9" w:rsidRDefault="00E67FEE" w:rsidP="002813F9">
      <w:pPr>
        <w:pStyle w:val="EndNoteBibliography"/>
        <w:spacing w:after="0"/>
      </w:pPr>
    </w:p>
    <w:p w14:paraId="5DC041A3" w14:textId="404E9758" w:rsidR="00E67FEE" w:rsidRDefault="00E67FEE" w:rsidP="002813F9">
      <w:pPr>
        <w:pStyle w:val="EndNoteBibliography"/>
        <w:spacing w:after="0"/>
      </w:pPr>
      <w:r w:rsidRPr="002813F9">
        <w:t>Guan, D.-X., Williams, P.N., Luo, J., Zheng, J.-L., Xu, H.-C., Cai, C., Ma, L.Q., 2015. Novel Precipitated Zirconia-Based DGT Technique for High-Resolution Imaging of Oxyanions in Waters and Sediments. Environmental Science &amp; Technology 49, 3653-3661.</w:t>
      </w:r>
    </w:p>
    <w:p w14:paraId="2210DB98" w14:textId="77777777" w:rsidR="00E67FEE" w:rsidRPr="002813F9" w:rsidRDefault="00E67FEE" w:rsidP="002813F9">
      <w:pPr>
        <w:pStyle w:val="EndNoteBibliography"/>
        <w:spacing w:after="0"/>
      </w:pPr>
    </w:p>
    <w:p w14:paraId="33A3033A" w14:textId="7BC51AC6" w:rsidR="00E67FEE" w:rsidRDefault="00E67FEE" w:rsidP="002813F9">
      <w:pPr>
        <w:pStyle w:val="EndNoteBibliography"/>
        <w:spacing w:after="0"/>
      </w:pPr>
      <w:r w:rsidRPr="002813F9">
        <w:t>Guillong, M., Horn, I., Günther, D., 2003. A comparison of 266 nm, 213 nm and 193 nm produced from a single solid state Nd:YAG laser for laser ablation ICP-MS. Journal of Analytical Atomic Spectrometry 18, 1224-1230.</w:t>
      </w:r>
    </w:p>
    <w:p w14:paraId="53A125D9" w14:textId="77777777" w:rsidR="00E67FEE" w:rsidRPr="002813F9" w:rsidRDefault="00E67FEE" w:rsidP="002813F9">
      <w:pPr>
        <w:pStyle w:val="EndNoteBibliography"/>
        <w:spacing w:after="0"/>
      </w:pPr>
    </w:p>
    <w:p w14:paraId="0FBF88F6" w14:textId="6835E2DA" w:rsidR="00E67FEE" w:rsidRDefault="00E67FEE" w:rsidP="002813F9">
      <w:pPr>
        <w:pStyle w:val="EndNoteBibliography"/>
        <w:spacing w:after="0"/>
      </w:pPr>
      <w:r w:rsidRPr="002813F9">
        <w:t>Günther, D., A. Heinrich, C., 1999. Enhanced sensitivity in laser ablation-ICP mass spectrometry using helium-argon mixtures as aerosol carrier. Journal of Analytical Atomic Spectrometry 14, 1363-1368.</w:t>
      </w:r>
    </w:p>
    <w:p w14:paraId="764CAA0C" w14:textId="77777777" w:rsidR="00E67FEE" w:rsidRPr="002813F9" w:rsidRDefault="00E67FEE" w:rsidP="002813F9">
      <w:pPr>
        <w:pStyle w:val="EndNoteBibliography"/>
        <w:spacing w:after="0"/>
      </w:pPr>
    </w:p>
    <w:p w14:paraId="41F60462" w14:textId="76247AED" w:rsidR="00E67FEE" w:rsidRDefault="00E67FEE" w:rsidP="002813F9">
      <w:pPr>
        <w:pStyle w:val="EndNoteBibliography"/>
        <w:spacing w:after="0"/>
      </w:pPr>
      <w:r w:rsidRPr="002813F9">
        <w:t>Hoefer, C., Santner, J., Puschenreiter, M., Wenzel, W.W., 2015. Localized metal solubilization in the rhizosphere of Salix smithiana upon sulfur application. Environmental Science &amp; Technology 49, 4522-4529.</w:t>
      </w:r>
    </w:p>
    <w:p w14:paraId="708CDDF1" w14:textId="77777777" w:rsidR="00E67FEE" w:rsidRPr="002813F9" w:rsidRDefault="00E67FEE" w:rsidP="002813F9">
      <w:pPr>
        <w:pStyle w:val="EndNoteBibliography"/>
        <w:spacing w:after="0"/>
      </w:pPr>
    </w:p>
    <w:p w14:paraId="1612F43A" w14:textId="672B4C87" w:rsidR="00E67FEE" w:rsidRDefault="00E67FEE" w:rsidP="002813F9">
      <w:pPr>
        <w:pStyle w:val="EndNoteBibliography"/>
        <w:spacing w:after="0"/>
      </w:pPr>
      <w:r w:rsidRPr="002813F9">
        <w:t>Hooda, P.S., Zhang, H., Davison, W., Edwards, A.C., 1999. Measuring bioavailable trace metals by diffusive gradients in thin films (DGT): soil moisture effects on its performance in soils. European Journal of Soil Science 50, 285-294.</w:t>
      </w:r>
    </w:p>
    <w:p w14:paraId="0323B921" w14:textId="77777777" w:rsidR="00E67FEE" w:rsidRPr="002813F9" w:rsidRDefault="00E67FEE" w:rsidP="002813F9">
      <w:pPr>
        <w:pStyle w:val="EndNoteBibliography"/>
        <w:spacing w:after="0"/>
      </w:pPr>
    </w:p>
    <w:p w14:paraId="703019A1" w14:textId="0C81D18D" w:rsidR="00E67FEE" w:rsidRDefault="00E67FEE" w:rsidP="002813F9">
      <w:pPr>
        <w:pStyle w:val="EndNoteBibliography"/>
        <w:spacing w:after="0"/>
      </w:pPr>
      <w:r w:rsidRPr="002813F9">
        <w:t>Ilhardt, P.D., Nuñez, J.R., Denis, E.H., Rosnow, J.J., Krogstad, E.J., Renslow, R.S., Moran, J.J., 2019. High-resolution elemental mapping of the root-rhizosphere-soil continuum using laser-induced breakdown spectroscopy (LIBS). Soil Biology and Biochemistry 131, 119-132.</w:t>
      </w:r>
    </w:p>
    <w:p w14:paraId="6B50C84B" w14:textId="77777777" w:rsidR="00E67FEE" w:rsidRPr="002813F9" w:rsidRDefault="00E67FEE" w:rsidP="002813F9">
      <w:pPr>
        <w:pStyle w:val="EndNoteBibliography"/>
        <w:spacing w:after="0"/>
      </w:pPr>
    </w:p>
    <w:p w14:paraId="0054170D" w14:textId="1520CD51" w:rsidR="00E67FEE" w:rsidRDefault="00E67FEE" w:rsidP="002813F9">
      <w:pPr>
        <w:pStyle w:val="EndNoteBibliography"/>
        <w:spacing w:after="0"/>
        <w:rPr>
          <w:lang w:val="de-AT"/>
        </w:rPr>
      </w:pPr>
      <w:r w:rsidRPr="002813F9">
        <w:t xml:space="preserve">Kreuzeder, A., Santner, J., Prohaska, T., Wenzel, W.W., 2013. Gel for simultaneous chemical imaging of anionic and cationic solutes using diffusive gradients in thin films. </w:t>
      </w:r>
      <w:r w:rsidRPr="008C18AB">
        <w:rPr>
          <w:lang w:val="de-AT"/>
        </w:rPr>
        <w:t>Anal Chem 85, 12028-12036.</w:t>
      </w:r>
    </w:p>
    <w:p w14:paraId="26714C28" w14:textId="77777777" w:rsidR="00E67FEE" w:rsidRPr="008C18AB" w:rsidRDefault="00E67FEE" w:rsidP="002813F9">
      <w:pPr>
        <w:pStyle w:val="EndNoteBibliography"/>
        <w:spacing w:after="0"/>
        <w:rPr>
          <w:lang w:val="de-AT"/>
        </w:rPr>
      </w:pPr>
    </w:p>
    <w:p w14:paraId="3504EE05" w14:textId="6383690E" w:rsidR="00E67FEE" w:rsidRDefault="00E67FEE" w:rsidP="002813F9">
      <w:pPr>
        <w:pStyle w:val="EndNoteBibliography"/>
        <w:spacing w:after="0"/>
        <w:rPr>
          <w:lang w:val="de-AT"/>
        </w:rPr>
      </w:pPr>
      <w:r w:rsidRPr="008C18AB">
        <w:rPr>
          <w:lang w:val="de-AT"/>
        </w:rPr>
        <w:t xml:space="preserve">Kreuzeder, A., Santner, J., Scharsching, V., Oburger, E., Hoefer, C., Hann, S., Wenzel, W.W., 2018. </w:t>
      </w:r>
      <w:r w:rsidRPr="002813F9">
        <w:t xml:space="preserve">In situ observation of localized, sub-mm scale changes of phosphorus biogeochemistry in the rhizosphere. </w:t>
      </w:r>
      <w:r w:rsidRPr="008C18AB">
        <w:rPr>
          <w:lang w:val="de-AT"/>
        </w:rPr>
        <w:t>Plant and Soil.</w:t>
      </w:r>
    </w:p>
    <w:p w14:paraId="436225B6" w14:textId="77777777" w:rsidR="00E67FEE" w:rsidRPr="008C18AB" w:rsidRDefault="00E67FEE" w:rsidP="002813F9">
      <w:pPr>
        <w:pStyle w:val="EndNoteBibliography"/>
        <w:spacing w:after="0"/>
        <w:rPr>
          <w:lang w:val="de-AT"/>
        </w:rPr>
      </w:pPr>
    </w:p>
    <w:p w14:paraId="192BF450" w14:textId="274D98FA" w:rsidR="00E67FEE" w:rsidRDefault="00E67FEE" w:rsidP="002813F9">
      <w:pPr>
        <w:pStyle w:val="EndNoteBibliography"/>
        <w:spacing w:after="0"/>
      </w:pPr>
      <w:r w:rsidRPr="008C18AB">
        <w:rPr>
          <w:lang w:val="de-AT"/>
        </w:rPr>
        <w:t xml:space="preserve">Kreuzeder, A., Santner, J., Zhang, H., Prohaska, T., Wenzel, W.W., 2015. </w:t>
      </w:r>
      <w:r w:rsidRPr="002813F9">
        <w:t>Uncertainty evaluation of the diffusive gradients in thin films technique. Environ Sci Technol 49, 1594-1602.</w:t>
      </w:r>
    </w:p>
    <w:p w14:paraId="66F26AD6" w14:textId="77777777" w:rsidR="00E67FEE" w:rsidRPr="002813F9" w:rsidRDefault="00E67FEE" w:rsidP="002813F9">
      <w:pPr>
        <w:pStyle w:val="EndNoteBibliography"/>
        <w:spacing w:after="0"/>
      </w:pPr>
    </w:p>
    <w:p w14:paraId="46484F4B" w14:textId="7CF98089" w:rsidR="00E67FEE" w:rsidRDefault="00E67FEE" w:rsidP="002813F9">
      <w:pPr>
        <w:pStyle w:val="EndNoteBibliography"/>
        <w:spacing w:after="0"/>
      </w:pPr>
      <w:r w:rsidRPr="002813F9">
        <w:t>Lehto, N.J., Davison, W., Zhang, H., 2012. The use of ultra-thin diffusive gradients in thin-films (DGT) devices for the analysis of trace metal dynamics in soils and sediments: a measurement and modelling approach. Environmental Chemistry 9, 415-423.</w:t>
      </w:r>
    </w:p>
    <w:p w14:paraId="0AC4FE16" w14:textId="77777777" w:rsidR="00E67FEE" w:rsidRPr="002813F9" w:rsidRDefault="00E67FEE" w:rsidP="002813F9">
      <w:pPr>
        <w:pStyle w:val="EndNoteBibliography"/>
        <w:spacing w:after="0"/>
      </w:pPr>
    </w:p>
    <w:p w14:paraId="5F16CCDB" w14:textId="42543E46" w:rsidR="00E67FEE" w:rsidRDefault="00E67FEE" w:rsidP="002813F9">
      <w:pPr>
        <w:pStyle w:val="EndNoteBibliography"/>
        <w:spacing w:after="0"/>
      </w:pPr>
      <w:r w:rsidRPr="002813F9">
        <w:t>Lehto, N.J., Larsen, M., Zhang, H., Glud, R.N., Davison, W., 2017. A mesocosm study of oxygen and trace metal dynamics in sediment microniches of reactive organic material. Scientific Reports 7, 11369.</w:t>
      </w:r>
    </w:p>
    <w:p w14:paraId="34E5EAAF" w14:textId="77777777" w:rsidR="00E67FEE" w:rsidRPr="002813F9" w:rsidRDefault="00E67FEE" w:rsidP="002813F9">
      <w:pPr>
        <w:pStyle w:val="EndNoteBibliography"/>
        <w:spacing w:after="0"/>
      </w:pPr>
    </w:p>
    <w:p w14:paraId="08BDDAE2" w14:textId="7368FA96" w:rsidR="00E67FEE" w:rsidRDefault="00E67FEE" w:rsidP="002813F9">
      <w:pPr>
        <w:pStyle w:val="EndNoteBibliography"/>
        <w:spacing w:after="0"/>
      </w:pPr>
      <w:r w:rsidRPr="002813F9">
        <w:lastRenderedPageBreak/>
        <w:t>Luo, Y., Gao, S., Longerich, H.P., Günther, D., Wunderli, S., Yuan, H.-L., Liu, X.-M., 2007. The uncertainty budget of the multi-element analysis of glasses using LA-ICP-MS. Journal of Analytical Atomic Spectrometry 22, 122-130.</w:t>
      </w:r>
    </w:p>
    <w:p w14:paraId="1D62437B" w14:textId="77777777" w:rsidR="00E67FEE" w:rsidRPr="002813F9" w:rsidRDefault="00E67FEE" w:rsidP="002813F9">
      <w:pPr>
        <w:pStyle w:val="EndNoteBibliography"/>
        <w:spacing w:after="0"/>
      </w:pPr>
    </w:p>
    <w:p w14:paraId="7682C419" w14:textId="5DC38A3E" w:rsidR="00E67FEE" w:rsidRDefault="00E67FEE" w:rsidP="002813F9">
      <w:pPr>
        <w:pStyle w:val="EndNoteBibliography"/>
        <w:spacing w:after="0"/>
      </w:pPr>
      <w:r w:rsidRPr="002813F9">
        <w:t>Luster, J., Göttlein, A., Nowack, B., Sarret, G., 2009. Sampling, defining, characterising and modeling the rhizosphere—the soil science tool box. Plant and Soil 321, 457-482.</w:t>
      </w:r>
    </w:p>
    <w:p w14:paraId="319B4E15" w14:textId="77777777" w:rsidR="00E67FEE" w:rsidRPr="002813F9" w:rsidRDefault="00E67FEE" w:rsidP="002813F9">
      <w:pPr>
        <w:pStyle w:val="EndNoteBibliography"/>
        <w:spacing w:after="0"/>
      </w:pPr>
    </w:p>
    <w:p w14:paraId="11A9F589" w14:textId="2E0F4223" w:rsidR="00E67FEE" w:rsidRDefault="00E67FEE" w:rsidP="002813F9">
      <w:pPr>
        <w:pStyle w:val="EndNoteBibliography"/>
        <w:spacing w:after="0"/>
        <w:rPr>
          <w:lang w:val="de-AT"/>
        </w:rPr>
      </w:pPr>
      <w:r w:rsidRPr="002813F9">
        <w:t xml:space="preserve">Oburger, E., Schmidt, H., 2016. New Methods To Unravel Rhizosphere Processes. </w:t>
      </w:r>
      <w:r w:rsidRPr="008C18AB">
        <w:rPr>
          <w:lang w:val="de-AT"/>
        </w:rPr>
        <w:t>Trends Plant Sci 21, 243-255.</w:t>
      </w:r>
    </w:p>
    <w:p w14:paraId="1A690FA2" w14:textId="77777777" w:rsidR="00E67FEE" w:rsidRPr="008C18AB" w:rsidRDefault="00E67FEE" w:rsidP="002813F9">
      <w:pPr>
        <w:pStyle w:val="EndNoteBibliography"/>
        <w:spacing w:after="0"/>
        <w:rPr>
          <w:lang w:val="de-AT"/>
        </w:rPr>
      </w:pPr>
    </w:p>
    <w:p w14:paraId="403D4563" w14:textId="4B89884D" w:rsidR="00E67FEE" w:rsidRDefault="00E67FEE" w:rsidP="002813F9">
      <w:pPr>
        <w:pStyle w:val="EndNoteBibliography"/>
        <w:spacing w:after="0"/>
      </w:pPr>
      <w:r w:rsidRPr="008C18AB">
        <w:rPr>
          <w:lang w:val="de-AT"/>
        </w:rPr>
        <w:t xml:space="preserve">Santner, J., Larsen, M., Kreuzeder, A., Glud, R.N., 2015. </w:t>
      </w:r>
      <w:r w:rsidRPr="002813F9">
        <w:t>Two decades of chemical imaging of solutes in sediments and soils--a review. Anal Chim Acta 878, 9-42.</w:t>
      </w:r>
    </w:p>
    <w:p w14:paraId="763ED2A1" w14:textId="77777777" w:rsidR="00E67FEE" w:rsidRPr="002813F9" w:rsidRDefault="00E67FEE" w:rsidP="002813F9">
      <w:pPr>
        <w:pStyle w:val="EndNoteBibliography"/>
        <w:spacing w:after="0"/>
      </w:pPr>
    </w:p>
    <w:p w14:paraId="099BBEC9" w14:textId="63235077" w:rsidR="00E67FEE" w:rsidRDefault="00E67FEE" w:rsidP="002813F9">
      <w:pPr>
        <w:pStyle w:val="EndNoteBibliography"/>
        <w:spacing w:after="0"/>
      </w:pPr>
      <w:r w:rsidRPr="002813F9">
        <w:t>Santner, J., Williams, P.N., 2016. Measurement at High Spatial Resolution. In: Davison, W. (Ed.), Diffusive Gradients In Thin-Films For Environmental Measurements. Cambridge University Press, Cambridge, 174-215.</w:t>
      </w:r>
    </w:p>
    <w:p w14:paraId="5CD2C74F" w14:textId="77777777" w:rsidR="00E67FEE" w:rsidRPr="002813F9" w:rsidRDefault="00E67FEE" w:rsidP="002813F9">
      <w:pPr>
        <w:pStyle w:val="EndNoteBibliography"/>
        <w:spacing w:after="0"/>
      </w:pPr>
    </w:p>
    <w:p w14:paraId="36F2D400" w14:textId="1D3518FD" w:rsidR="00E67FEE" w:rsidRDefault="00E67FEE" w:rsidP="002813F9">
      <w:pPr>
        <w:pStyle w:val="EndNoteBibliography"/>
        <w:spacing w:after="0"/>
      </w:pPr>
      <w:r w:rsidRPr="002813F9">
        <w:t>Smolders, E., Wagner, S., Prohaska, T., Irrgeher, J., Santner, J., 2020. Sub-millimeter distribution of labile trace element fluxes in the rhizosphere explains differential effects of soil liming on cadmium and zinc uptake in maize. Science of The Total Environment 738, 140311.</w:t>
      </w:r>
    </w:p>
    <w:p w14:paraId="190C5BFB" w14:textId="77777777" w:rsidR="00E67FEE" w:rsidRPr="002813F9" w:rsidRDefault="00E67FEE" w:rsidP="002813F9">
      <w:pPr>
        <w:pStyle w:val="EndNoteBibliography"/>
        <w:spacing w:after="0"/>
      </w:pPr>
    </w:p>
    <w:p w14:paraId="1CBBD992" w14:textId="0A317D42" w:rsidR="00E67FEE" w:rsidRDefault="00E67FEE" w:rsidP="002813F9">
      <w:pPr>
        <w:pStyle w:val="EndNoteBibliography"/>
        <w:spacing w:after="0"/>
      </w:pPr>
      <w:r w:rsidRPr="002813F9">
        <w:t>Wagner, S., Hoefer, C., Puschenreiter, M., Wenzel, W.W., Oburger, E., Hann, S., Robinson, B., Kretzschmar, R., Santner, J., 2020. Arsenic redox transformations and cycling in the rhizosphere of Pteris vittata and Pteris quadriaurita. Environmental and Experimental Botany 177, 104122.</w:t>
      </w:r>
    </w:p>
    <w:p w14:paraId="279F14FC" w14:textId="77777777" w:rsidR="00E67FEE" w:rsidRPr="002813F9" w:rsidRDefault="00E67FEE" w:rsidP="002813F9">
      <w:pPr>
        <w:pStyle w:val="EndNoteBibliography"/>
        <w:spacing w:after="0"/>
      </w:pPr>
    </w:p>
    <w:p w14:paraId="6D967A25" w14:textId="1CF4D061" w:rsidR="00E67FEE" w:rsidRDefault="00E67FEE" w:rsidP="002813F9">
      <w:pPr>
        <w:pStyle w:val="EndNoteBibliography"/>
        <w:spacing w:after="0"/>
      </w:pPr>
      <w:r w:rsidRPr="002813F9">
        <w:t>Walas, S., Miliszkiewicz, N., Telk, A., 2014. Current approaches to calibration in LA-ICP-MS analysis. J. Anal. At. Spectrom. 30.</w:t>
      </w:r>
    </w:p>
    <w:p w14:paraId="76EAE1FE" w14:textId="77777777" w:rsidR="00E67FEE" w:rsidRPr="002813F9" w:rsidRDefault="00E67FEE" w:rsidP="002813F9">
      <w:pPr>
        <w:pStyle w:val="EndNoteBibliography"/>
        <w:spacing w:after="0"/>
      </w:pPr>
    </w:p>
    <w:p w14:paraId="40D8E1EA" w14:textId="2BECB56D" w:rsidR="00E67FEE" w:rsidRDefault="00E67FEE" w:rsidP="002813F9">
      <w:pPr>
        <w:pStyle w:val="EndNoteBibliography"/>
        <w:spacing w:after="0"/>
      </w:pPr>
      <w:r w:rsidRPr="002813F9">
        <w:t>Warnken, K.W., Zhang, H., Davison, W., 2004a. Analysis of Polyacrylamide Gels for Trace Metals Using Diffusive Gradients in Thin Films and Laser Ablation Inductively Coupled Plasma Mass Spectrometry. Analytical Chemistry 76, 6077-6084.</w:t>
      </w:r>
    </w:p>
    <w:p w14:paraId="32F8DCA8" w14:textId="77777777" w:rsidR="00E67FEE" w:rsidRPr="002813F9" w:rsidRDefault="00E67FEE" w:rsidP="002813F9">
      <w:pPr>
        <w:pStyle w:val="EndNoteBibliography"/>
        <w:spacing w:after="0"/>
      </w:pPr>
    </w:p>
    <w:p w14:paraId="5B5FAD3E" w14:textId="1035EC81" w:rsidR="00E67FEE" w:rsidRDefault="00E67FEE" w:rsidP="002813F9">
      <w:pPr>
        <w:pStyle w:val="EndNoteBibliography"/>
        <w:spacing w:after="0"/>
      </w:pPr>
      <w:r w:rsidRPr="002813F9">
        <w:t>Warnken, K.W., Zhang, H., Davison, W., 2004b. Performance characteristics of suspended particulate reagent-iminodiacetate as a binding agent for diffusive gradients in thin films. Anal Chim Acta 508, 41-51.</w:t>
      </w:r>
    </w:p>
    <w:p w14:paraId="7FBED1AC" w14:textId="77777777" w:rsidR="00E67FEE" w:rsidRPr="002813F9" w:rsidRDefault="00E67FEE" w:rsidP="002813F9">
      <w:pPr>
        <w:pStyle w:val="EndNoteBibliography"/>
        <w:spacing w:after="0"/>
      </w:pPr>
    </w:p>
    <w:p w14:paraId="0085F832" w14:textId="77777777" w:rsidR="00E67FEE" w:rsidRPr="002813F9" w:rsidRDefault="00E67FEE" w:rsidP="002813F9">
      <w:pPr>
        <w:pStyle w:val="EndNoteBibliography"/>
      </w:pPr>
      <w:r w:rsidRPr="002813F9">
        <w:t>Williams, P.N., Santner, J., Larsen, M., Lehto, N.J., Oburger, E., Wenzel, W., Glud, R.N., Davison, W., Zhang, H., 2014. Localized flux maxima of arsenic, lead, and iron around root apices in flooded lowland rice. Environmental Science &amp; Technology 48, 8498-8506.</w:t>
      </w:r>
    </w:p>
    <w:p w14:paraId="2E8F5362" w14:textId="77777777" w:rsidR="00E67FEE" w:rsidRDefault="00E67FEE"/>
    <w:p w14:paraId="4B7E9970" w14:textId="77777777" w:rsidR="006E5484" w:rsidRDefault="006E5484"/>
    <w:sectPr w:rsidR="006E5484" w:rsidSect="00CB1910">
      <w:footerReference w:type="default" r:id="rId1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0610296"/>
      <w:docPartObj>
        <w:docPartGallery w:val="Page Numbers (Bottom of Page)"/>
        <w:docPartUnique/>
      </w:docPartObj>
    </w:sdtPr>
    <w:sdtEndPr>
      <w:rPr>
        <w:noProof/>
      </w:rPr>
    </w:sdtEndPr>
    <w:sdtContent>
      <w:p w14:paraId="6E6C9E31" w14:textId="77777777" w:rsidR="007C3BE5" w:rsidRDefault="00E67FEE">
        <w:pPr>
          <w:pStyle w:val="Footer"/>
          <w:jc w:val="right"/>
        </w:pPr>
        <w:r>
          <w:fldChar w:fldCharType="begin"/>
        </w:r>
        <w:r>
          <w:instrText xml:space="preserve"> PAGE   \* MERGEFORMAT </w:instrText>
        </w:r>
        <w:r>
          <w:fldChar w:fldCharType="separate"/>
        </w:r>
        <w:r>
          <w:rPr>
            <w:noProof/>
          </w:rPr>
          <w:t>21</w:t>
        </w:r>
        <w:r>
          <w:rPr>
            <w:noProof/>
          </w:rPr>
          <w:fldChar w:fldCharType="end"/>
        </w:r>
      </w:p>
    </w:sdtContent>
  </w:sdt>
  <w:p w14:paraId="57FDC053" w14:textId="77777777" w:rsidR="007C3BE5" w:rsidRPr="002A1727" w:rsidRDefault="00E67FEE" w:rsidP="00CB1910">
    <w:pPr>
      <w:pStyle w:val="Footer"/>
      <w:jc w:val="right"/>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A7665D"/>
    <w:multiLevelType w:val="hybridMultilevel"/>
    <w:tmpl w:val="8DC074D8"/>
    <w:lvl w:ilvl="0" w:tplc="0C07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2C7B4B"/>
    <w:multiLevelType w:val="hybridMultilevel"/>
    <w:tmpl w:val="63FE7F7C"/>
    <w:lvl w:ilvl="0" w:tplc="0C07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FD7780"/>
    <w:multiLevelType w:val="hybridMultilevel"/>
    <w:tmpl w:val="C2A4C3EC"/>
    <w:lvl w:ilvl="0" w:tplc="A7B449E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E67FEE"/>
    <w:rsid w:val="00033AE9"/>
    <w:rsid w:val="006E5484"/>
    <w:rsid w:val="00E67FEE"/>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1895C"/>
  <w15:chartTrackingRefBased/>
  <w15:docId w15:val="{7DF4F85C-4868-4D88-AB14-3F9C55854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FEE"/>
    <w:pPr>
      <w:spacing w:after="200" w:line="276" w:lineRule="auto"/>
    </w:pPr>
  </w:style>
  <w:style w:type="character" w:default="1" w:styleId="DefaultParagraphFont">
    <w:name w:val="Default Paragraph Font"/>
    <w:uiPriority w:val="1"/>
    <w:semiHidden/>
    <w:unhideWhenUsed/>
    <w:rsid w:val="00E67FE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67FEE"/>
  </w:style>
  <w:style w:type="paragraph" w:styleId="ListParagraph">
    <w:name w:val="List Paragraph"/>
    <w:basedOn w:val="Normal"/>
    <w:link w:val="ListParagraphChar"/>
    <w:uiPriority w:val="34"/>
    <w:qFormat/>
    <w:rsid w:val="00E67FEE"/>
    <w:pPr>
      <w:ind w:left="720"/>
      <w:contextualSpacing/>
    </w:pPr>
  </w:style>
  <w:style w:type="paragraph" w:styleId="Footer">
    <w:name w:val="footer"/>
    <w:basedOn w:val="Normal"/>
    <w:link w:val="FooterChar"/>
    <w:uiPriority w:val="99"/>
    <w:unhideWhenUsed/>
    <w:rsid w:val="00E67FEE"/>
    <w:pPr>
      <w:tabs>
        <w:tab w:val="center" w:pos="4536"/>
        <w:tab w:val="right" w:pos="9072"/>
      </w:tabs>
      <w:spacing w:after="0" w:line="240" w:lineRule="auto"/>
    </w:pPr>
  </w:style>
  <w:style w:type="character" w:customStyle="1" w:styleId="FooterChar">
    <w:name w:val="Footer Char"/>
    <w:basedOn w:val="DefaultParagraphFont"/>
    <w:link w:val="Footer"/>
    <w:uiPriority w:val="99"/>
    <w:rsid w:val="00E67FEE"/>
  </w:style>
  <w:style w:type="character" w:customStyle="1" w:styleId="ListParagraphChar">
    <w:name w:val="List Paragraph Char"/>
    <w:basedOn w:val="DefaultParagraphFont"/>
    <w:link w:val="ListParagraph"/>
    <w:uiPriority w:val="34"/>
    <w:rsid w:val="00E67FEE"/>
  </w:style>
  <w:style w:type="paragraph" w:customStyle="1" w:styleId="EndNoteBibliography">
    <w:name w:val="EndNote Bibliography"/>
    <w:basedOn w:val="Normal"/>
    <w:link w:val="EndNoteBibliographyChar"/>
    <w:rsid w:val="00E67FEE"/>
    <w:pPr>
      <w:spacing w:after="160" w:line="240" w:lineRule="auto"/>
    </w:pPr>
    <w:rPr>
      <w:rFonts w:ascii="Calibri" w:hAnsi="Calibri" w:cs="Calibri"/>
      <w:noProof/>
    </w:rPr>
  </w:style>
  <w:style w:type="character" w:customStyle="1" w:styleId="EndNoteBibliographyChar">
    <w:name w:val="EndNote Bibliography Char"/>
    <w:basedOn w:val="ListParagraphChar"/>
    <w:link w:val="EndNoteBibliography"/>
    <w:rsid w:val="00E67FEE"/>
    <w:rPr>
      <w:rFonts w:ascii="Calibri" w:hAnsi="Calibri" w:cs="Calibri"/>
      <w:noProof/>
    </w:rPr>
  </w:style>
  <w:style w:type="paragraph" w:customStyle="1" w:styleId="EndNoteBibliographyTitle">
    <w:name w:val="EndNote Bibliography Title"/>
    <w:basedOn w:val="Normal"/>
    <w:link w:val="EndNoteBibliographyTitleChar"/>
    <w:rsid w:val="00E67FE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E67FEE"/>
    <w:rPr>
      <w:rFonts w:ascii="Calibri" w:hAnsi="Calibri" w:cs="Calibri"/>
      <w:noProof/>
    </w:rPr>
  </w:style>
  <w:style w:type="paragraph" w:styleId="BalloonText">
    <w:name w:val="Balloon Text"/>
    <w:basedOn w:val="Normal"/>
    <w:link w:val="BalloonTextChar"/>
    <w:uiPriority w:val="99"/>
    <w:semiHidden/>
    <w:unhideWhenUsed/>
    <w:rsid w:val="00E67F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7FEE"/>
    <w:rPr>
      <w:rFonts w:ascii="Segoe UI" w:hAnsi="Segoe UI" w:cs="Segoe UI"/>
      <w:sz w:val="18"/>
      <w:szCs w:val="18"/>
    </w:rPr>
  </w:style>
  <w:style w:type="character" w:styleId="Hyperlink">
    <w:name w:val="Hyperlink"/>
    <w:basedOn w:val="DefaultParagraphFont"/>
    <w:uiPriority w:val="99"/>
    <w:semiHidden/>
    <w:unhideWhenUsed/>
    <w:rsid w:val="00E67FEE"/>
    <w:rPr>
      <w:color w:val="0000FF"/>
      <w:u w:val="single"/>
    </w:rPr>
  </w:style>
  <w:style w:type="character" w:styleId="CommentReference">
    <w:name w:val="annotation reference"/>
    <w:basedOn w:val="DefaultParagraphFont"/>
    <w:uiPriority w:val="99"/>
    <w:semiHidden/>
    <w:unhideWhenUsed/>
    <w:rsid w:val="00E67FEE"/>
    <w:rPr>
      <w:sz w:val="16"/>
      <w:szCs w:val="16"/>
    </w:rPr>
  </w:style>
  <w:style w:type="paragraph" w:styleId="CommentText">
    <w:name w:val="annotation text"/>
    <w:basedOn w:val="Normal"/>
    <w:link w:val="CommentTextChar"/>
    <w:uiPriority w:val="99"/>
    <w:semiHidden/>
    <w:unhideWhenUsed/>
    <w:rsid w:val="00E67FEE"/>
    <w:pPr>
      <w:spacing w:line="240" w:lineRule="auto"/>
    </w:pPr>
    <w:rPr>
      <w:sz w:val="20"/>
      <w:szCs w:val="20"/>
    </w:rPr>
  </w:style>
  <w:style w:type="character" w:customStyle="1" w:styleId="CommentTextChar">
    <w:name w:val="Comment Text Char"/>
    <w:basedOn w:val="DefaultParagraphFont"/>
    <w:link w:val="CommentText"/>
    <w:uiPriority w:val="99"/>
    <w:semiHidden/>
    <w:rsid w:val="00E67FEE"/>
    <w:rPr>
      <w:sz w:val="20"/>
      <w:szCs w:val="20"/>
    </w:rPr>
  </w:style>
  <w:style w:type="paragraph" w:styleId="CommentSubject">
    <w:name w:val="annotation subject"/>
    <w:basedOn w:val="CommentText"/>
    <w:next w:val="CommentText"/>
    <w:link w:val="CommentSubjectChar"/>
    <w:uiPriority w:val="99"/>
    <w:semiHidden/>
    <w:unhideWhenUsed/>
    <w:rsid w:val="00E67FEE"/>
    <w:rPr>
      <w:b/>
      <w:bCs/>
    </w:rPr>
  </w:style>
  <w:style w:type="character" w:customStyle="1" w:styleId="CommentSubjectChar">
    <w:name w:val="Comment Subject Char"/>
    <w:basedOn w:val="CommentTextChar"/>
    <w:link w:val="CommentSubject"/>
    <w:uiPriority w:val="99"/>
    <w:semiHidden/>
    <w:rsid w:val="00E67FEE"/>
    <w:rPr>
      <w:b/>
      <w:bCs/>
      <w:sz w:val="20"/>
      <w:szCs w:val="20"/>
    </w:rPr>
  </w:style>
  <w:style w:type="table" w:styleId="TableGrid">
    <w:name w:val="Table Grid"/>
    <w:basedOn w:val="TableNormal"/>
    <w:uiPriority w:val="39"/>
    <w:rsid w:val="00E6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hyperlink" Target="https://creativecommons.org/licenses/by/4.0/"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6632</Words>
  <Characters>37805</Characters>
  <Application>Microsoft Office Word</Application>
  <DocSecurity>0</DocSecurity>
  <Lines>315</Lines>
  <Paragraphs>88</Paragraphs>
  <ScaleCrop>false</ScaleCrop>
  <Company/>
  <LinksUpToDate>false</LinksUpToDate>
  <CharactersWithSpaces>44349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Wagner</dc:creator>
  <cp:keywords/>
  <dc:description/>
  <cp:lastModifiedBy>Stefan Wagner</cp:lastModifiedBy>
  <cp:revision>1</cp:revision>
  <dcterms:created xsi:type="dcterms:W3CDTF">2020-07-10T13:49:00Z</dcterms:created>
  <dcterms:modified xsi:type="dcterms:W3CDTF">2020-07-10T13:51:00Z</dcterms:modified>
</cp:coreProperties>
</file>