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60E0" w:rsidRPr="008360E0" w:rsidRDefault="008360E0" w:rsidP="008360E0">
      <w:pPr>
        <w:spacing w:before="100" w:beforeAutospacing="1" w:after="100" w:afterAutospacing="1"/>
        <w:rPr>
          <w:rFonts w:ascii="Calibri" w:eastAsia="Times New Roman" w:hAnsi="Calibri" w:cs="Calibri"/>
          <w:b/>
          <w:bCs/>
          <w:color w:val="000000"/>
          <w:sz w:val="32"/>
          <w:szCs w:val="32"/>
        </w:rPr>
      </w:pPr>
      <w:r w:rsidRPr="008360E0">
        <w:rPr>
          <w:rFonts w:ascii="Calibri" w:eastAsia="Times New Roman" w:hAnsi="Calibri" w:cs="Calibri"/>
          <w:b/>
          <w:bCs/>
          <w:color w:val="000000"/>
          <w:sz w:val="32"/>
          <w:szCs w:val="32"/>
        </w:rPr>
        <w:t>Response to the reviewers</w:t>
      </w:r>
    </w:p>
    <w:p w:rsidR="008360E0" w:rsidRPr="008360E0" w:rsidRDefault="008360E0" w:rsidP="008360E0">
      <w:pPr>
        <w:spacing w:before="100" w:beforeAutospacing="1" w:after="100" w:afterAutospacing="1"/>
        <w:rPr>
          <w:rFonts w:ascii="Calibri" w:eastAsia="Times New Roman" w:hAnsi="Calibri" w:cs="Calibri"/>
          <w:b/>
          <w:bCs/>
          <w:color w:val="000000"/>
        </w:rPr>
      </w:pPr>
      <w:r w:rsidRPr="008360E0">
        <w:rPr>
          <w:rFonts w:ascii="Calibri" w:eastAsia="Times New Roman" w:hAnsi="Calibri" w:cs="Calibri"/>
          <w:b/>
          <w:bCs/>
          <w:color w:val="000000"/>
        </w:rPr>
        <w:t>Reviewer #1:</w:t>
      </w:r>
    </w:p>
    <w:p w:rsidR="008360E0" w:rsidRPr="008360E0" w:rsidRDefault="008360E0" w:rsidP="008360E0">
      <w:pPr>
        <w:spacing w:before="100" w:beforeAutospacing="1" w:after="100" w:afterAutospacing="1"/>
        <w:rPr>
          <w:rFonts w:ascii="Calibri" w:eastAsia="Times New Roman" w:hAnsi="Calibri" w:cs="Calibri"/>
          <w:b/>
          <w:bCs/>
          <w:color w:val="000000"/>
        </w:rPr>
      </w:pPr>
      <w:r w:rsidRPr="008360E0">
        <w:rPr>
          <w:rFonts w:ascii="Calibri" w:eastAsia="Times New Roman" w:hAnsi="Calibri" w:cs="Calibri"/>
          <w:b/>
          <w:bCs/>
          <w:color w:val="000000"/>
        </w:rPr>
        <w:t>1. The true comparison for the CDR method would be horizontal motion-based incubation rather than static incubation. Traditional Western blot is not based on static incubation of reagents and therefore, the comparative study needs to be re-designed. The authors have pointed out in their discussion that both static and rocking shaker are comparable as others have found. However, the authors need to provide evidence of the same in this study.</w:t>
      </w:r>
    </w:p>
    <w:p w:rsidR="008360E0" w:rsidRDefault="008360E0" w:rsidP="008360E0">
      <w:pPr>
        <w:spacing w:before="100" w:beforeAutospacing="1" w:after="100" w:afterAutospacing="1"/>
        <w:ind w:left="720"/>
        <w:rPr>
          <w:rFonts w:eastAsia="Times New Roman" w:cstheme="minorHAnsi"/>
          <w:color w:val="000000"/>
        </w:rPr>
      </w:pPr>
      <w:r>
        <w:rPr>
          <w:rFonts w:eastAsia="Times New Roman" w:cstheme="minorHAnsi"/>
          <w:color w:val="000000"/>
        </w:rPr>
        <w:t>We appreciate this reviewer’s comment. We agree that there are many ways to incubate membranes with antibodies. For example, membrane and antibody are (1) in a container with or without rocking, (2) in a sealed plastic bag, (3) on a parafilm, and (4) in a roller bottle. Different incubation methods are selected by individual labs, but the volume of diluted antibody is one of the factors considered. R</w:t>
      </w:r>
      <w:r w:rsidRPr="00FB502B">
        <w:rPr>
          <w:rFonts w:eastAsia="Times New Roman" w:cstheme="minorHAnsi"/>
          <w:color w:val="000000"/>
        </w:rPr>
        <w:t xml:space="preserve">oller-culture apparatus is commonly employed to reduce the volume of solution, but the potential of this technique to overcome MTL and shorten incubation times has not been </w:t>
      </w:r>
      <w:r w:rsidR="00F432DA">
        <w:rPr>
          <w:rFonts w:eastAsia="Times New Roman" w:cstheme="minorHAnsi"/>
          <w:color w:val="000000"/>
        </w:rPr>
        <w:t xml:space="preserve">well </w:t>
      </w:r>
      <w:r w:rsidRPr="00FB502B">
        <w:rPr>
          <w:rFonts w:eastAsia="Times New Roman" w:cstheme="minorHAnsi"/>
          <w:color w:val="000000"/>
        </w:rPr>
        <w:t>characterized.</w:t>
      </w:r>
      <w:r>
        <w:rPr>
          <w:rFonts w:eastAsia="Times New Roman" w:cstheme="minorHAnsi"/>
          <w:color w:val="000000"/>
        </w:rPr>
        <w:t xml:space="preserve"> </w:t>
      </w:r>
    </w:p>
    <w:p w:rsidR="008360E0" w:rsidRDefault="008360E0" w:rsidP="008360E0">
      <w:pPr>
        <w:spacing w:before="100" w:beforeAutospacing="1" w:after="100" w:afterAutospacing="1"/>
        <w:ind w:left="720"/>
        <w:rPr>
          <w:rFonts w:eastAsia="Times New Roman" w:cstheme="minorHAnsi"/>
          <w:color w:val="000000"/>
        </w:rPr>
      </w:pPr>
      <w:r>
        <w:rPr>
          <w:rFonts w:eastAsia="Times New Roman" w:cstheme="minorHAnsi"/>
          <w:color w:val="000000"/>
        </w:rPr>
        <w:t>In this study, we compared 2 methods (incubation on a parafilm vs. incubation in a roller bottle using a hybridization oven). It is clear that use of a roller bottle (CDR method) decreased the required amount of antigen (Fig. 2A) as well as the concentration of antibody (Fig. 2B).</w:t>
      </w:r>
    </w:p>
    <w:p w:rsidR="008360E0" w:rsidRDefault="008360E0" w:rsidP="008360E0">
      <w:pPr>
        <w:spacing w:before="100" w:beforeAutospacing="1" w:after="100" w:afterAutospacing="1"/>
        <w:ind w:left="720"/>
        <w:rPr>
          <w:rFonts w:eastAsia="Times New Roman" w:cstheme="minorHAnsi"/>
          <w:color w:val="000000"/>
        </w:rPr>
      </w:pPr>
      <w:r>
        <w:rPr>
          <w:rFonts w:eastAsia="Times New Roman" w:cstheme="minorHAnsi"/>
          <w:color w:val="000000"/>
        </w:rPr>
        <w:t xml:space="preserve">In our previous publication in </w:t>
      </w:r>
      <w:r w:rsidRPr="00FB502B">
        <w:rPr>
          <w:rFonts w:eastAsia="Times New Roman" w:cstheme="minorHAnsi"/>
          <w:i/>
          <w:iCs/>
          <w:color w:val="000000"/>
        </w:rPr>
        <w:t>Journal of Biochemistry</w:t>
      </w:r>
      <w:r>
        <w:rPr>
          <w:rFonts w:eastAsia="Times New Roman" w:cstheme="minorHAnsi"/>
          <w:color w:val="000000"/>
        </w:rPr>
        <w:t xml:space="preserve">, we have shown that there was no difference in the sensitivity between Rocking and Static conditions as supplementary Figure </w:t>
      </w:r>
      <w:r w:rsidR="00F432DA">
        <w:rPr>
          <w:rFonts w:eastAsia="Times New Roman" w:cstheme="minorHAnsi"/>
          <w:color w:val="000000"/>
        </w:rPr>
        <w:t>S</w:t>
      </w:r>
      <w:r>
        <w:rPr>
          <w:rFonts w:eastAsia="Times New Roman" w:cstheme="minorHAnsi"/>
          <w:color w:val="000000"/>
        </w:rPr>
        <w:t xml:space="preserve">3, which was cited as reference 6 in our discussion. For your convenience, we provide it as </w:t>
      </w:r>
      <w:r w:rsidRPr="00A0252C">
        <w:rPr>
          <w:rFonts w:eastAsia="Times New Roman" w:cstheme="minorHAnsi"/>
          <w:b/>
          <w:bCs/>
          <w:color w:val="000000"/>
        </w:rPr>
        <w:t>Reviewer’s Figure 1</w:t>
      </w:r>
      <w:r>
        <w:rPr>
          <w:rFonts w:eastAsia="Times New Roman" w:cstheme="minorHAnsi"/>
          <w:color w:val="000000"/>
        </w:rPr>
        <w:t>.</w:t>
      </w:r>
    </w:p>
    <w:p w:rsidR="008360E0" w:rsidRPr="008360E0" w:rsidRDefault="008360E0" w:rsidP="008360E0">
      <w:pPr>
        <w:spacing w:before="100" w:beforeAutospacing="1" w:after="100" w:afterAutospacing="1"/>
        <w:rPr>
          <w:rFonts w:eastAsia="Times New Roman" w:cstheme="minorHAnsi"/>
          <w:color w:val="000000"/>
        </w:rPr>
      </w:pPr>
      <w:r w:rsidRPr="008360E0">
        <w:rPr>
          <w:rFonts w:eastAsia="Times New Roman" w:cstheme="minorHAnsi"/>
          <w:b/>
          <w:bCs/>
          <w:color w:val="000000"/>
        </w:rPr>
        <w:t>2. Authors mention CGS reagent improves/maintains sensitivity of the signal, however, no quantitation has been provided to + CGS and - CGS blots.</w:t>
      </w:r>
    </w:p>
    <w:p w:rsidR="008360E0" w:rsidRDefault="008360E0" w:rsidP="008360E0">
      <w:pPr>
        <w:spacing w:before="100" w:beforeAutospacing="1" w:after="100" w:afterAutospacing="1"/>
        <w:ind w:left="720"/>
        <w:rPr>
          <w:rFonts w:eastAsia="Times New Roman" w:cstheme="minorHAnsi"/>
          <w:color w:val="000000"/>
        </w:rPr>
      </w:pPr>
      <w:r>
        <w:rPr>
          <w:rFonts w:eastAsia="Times New Roman" w:cstheme="minorHAnsi"/>
          <w:color w:val="000000"/>
        </w:rPr>
        <w:t xml:space="preserve">Western blot has been used for quantitation purposes, but it is limited to </w:t>
      </w:r>
      <w:r>
        <w:t xml:space="preserve">a semi-quantitation with chemiluminescent detection.  We hesitated to show the quantitation of individual bands with chemiluminescence. This is the reason why we loaded different amounts of cell lysates in each lane (Figure 2A) to show the threshold of detection.  Presence of CGS lowered the detection limit in both static and CDR conditions. Further, we showed the increased sensitivity by CGS using slot blot in our previous publication in </w:t>
      </w:r>
      <w:r>
        <w:rPr>
          <w:i/>
          <w:iCs/>
        </w:rPr>
        <w:t>Journal Biochemistry</w:t>
      </w:r>
      <w:r>
        <w:t xml:space="preserve"> as Supplementary Figure S2. In this figure, antibody concentration and incubation time were the same to study the effects of CGS and CDR. We provide this as </w:t>
      </w:r>
      <w:r w:rsidRPr="00A0252C">
        <w:rPr>
          <w:rFonts w:eastAsia="Times New Roman" w:cstheme="minorHAnsi"/>
          <w:b/>
          <w:bCs/>
          <w:color w:val="000000"/>
        </w:rPr>
        <w:t>Reviewer’s Figure 2</w:t>
      </w:r>
      <w:r>
        <w:rPr>
          <w:rFonts w:eastAsia="Times New Roman" w:cstheme="minorHAnsi"/>
          <w:color w:val="000000"/>
        </w:rPr>
        <w:t>.</w:t>
      </w:r>
    </w:p>
    <w:p w:rsidR="008360E0" w:rsidRDefault="008360E0" w:rsidP="008360E0">
      <w:pPr>
        <w:spacing w:before="100" w:beforeAutospacing="1" w:after="100" w:afterAutospacing="1"/>
        <w:rPr>
          <w:rFonts w:eastAsia="Times New Roman" w:cstheme="minorHAnsi"/>
          <w:b/>
          <w:bCs/>
          <w:color w:val="000000"/>
        </w:rPr>
      </w:pPr>
      <w:r w:rsidRPr="007B419D">
        <w:rPr>
          <w:rFonts w:eastAsia="Times New Roman" w:cstheme="minorHAnsi"/>
          <w:color w:val="000000"/>
        </w:rPr>
        <w:lastRenderedPageBreak/>
        <w:t>Minor Concerns:</w:t>
      </w:r>
      <w:r w:rsidRPr="007B419D">
        <w:rPr>
          <w:rFonts w:eastAsia="Times New Roman" w:cstheme="minorHAnsi"/>
          <w:color w:val="000000"/>
        </w:rPr>
        <w:br/>
      </w:r>
      <w:r w:rsidRPr="007B419D">
        <w:rPr>
          <w:rFonts w:eastAsia="Times New Roman" w:cstheme="minorHAnsi"/>
          <w:b/>
          <w:bCs/>
          <w:color w:val="000000"/>
        </w:rPr>
        <w:t>1. Line 136; step 4.2 Why not perform the washes within the tube rather than removing the membrane and placing it in a container with 50 ml PBST?</w:t>
      </w:r>
    </w:p>
    <w:p w:rsidR="008360E0" w:rsidRPr="00080534" w:rsidRDefault="008360E0" w:rsidP="008360E0">
      <w:pPr>
        <w:spacing w:before="100" w:beforeAutospacing="1" w:after="100" w:afterAutospacing="1"/>
        <w:ind w:left="720"/>
        <w:rPr>
          <w:rFonts w:eastAsia="Times New Roman" w:cstheme="minorHAnsi"/>
          <w:color w:val="000000"/>
        </w:rPr>
      </w:pPr>
      <w:r>
        <w:rPr>
          <w:rFonts w:eastAsia="Times New Roman" w:cstheme="minorHAnsi"/>
          <w:color w:val="000000"/>
        </w:rPr>
        <w:t>We appreciate this comment. We have already tried several different ways to wash the membrane.  As suggested, one of them was rinsing the membrane in the same 50 ml tube with rotation. We also tried a vortex method where the membrane was transferred to a new 50 ml tube and the tube was vortexed with PBS-T several times for 20 – 30 seconds each. When a larger membrane was used and rinsed with these alternative methods, we had a huge background at the final images. To decrease this background, we had to repeat these washing steps many times. It turned out that this took much longer than a traditional washing method using a container with agitation. In contrast, washing with a much larger volume of PBS-T in a salad spinner was more efficient to reduce the time. However, we mentioned the possibility of using traditional washing steps in the discussion in the case of high background.</w:t>
      </w:r>
    </w:p>
    <w:p w:rsidR="008360E0" w:rsidRDefault="008360E0" w:rsidP="008360E0">
      <w:pPr>
        <w:spacing w:before="100" w:beforeAutospacing="1" w:after="100" w:afterAutospacing="1"/>
        <w:rPr>
          <w:rFonts w:eastAsia="Times New Roman" w:cstheme="minorHAnsi"/>
          <w:b/>
          <w:bCs/>
          <w:color w:val="000000"/>
        </w:rPr>
      </w:pPr>
      <w:r w:rsidRPr="007B419D">
        <w:rPr>
          <w:rFonts w:eastAsia="Times New Roman" w:cstheme="minorHAnsi"/>
          <w:b/>
          <w:bCs/>
          <w:color w:val="000000"/>
        </w:rPr>
        <w:t>2. Figure 2: All the blot data is highly adjusted in terms of background noise. Please provide data that displays a blot background along with raw data image files.</w:t>
      </w:r>
    </w:p>
    <w:p w:rsidR="008360E0" w:rsidRPr="003F7DCB" w:rsidRDefault="008360E0" w:rsidP="008360E0">
      <w:pPr>
        <w:spacing w:before="100" w:beforeAutospacing="1" w:after="100" w:afterAutospacing="1"/>
        <w:ind w:left="720"/>
        <w:rPr>
          <w:rFonts w:eastAsia="Times New Roman" w:cstheme="minorHAnsi"/>
          <w:color w:val="000000"/>
        </w:rPr>
      </w:pPr>
      <w:r>
        <w:rPr>
          <w:rFonts w:eastAsia="Times New Roman" w:cstheme="minorHAnsi"/>
          <w:color w:val="000000"/>
        </w:rPr>
        <w:t xml:space="preserve">The data for Figure 2A and 2B were acquired with the same exposure times (15 s for 2A and 30 s for 2B) on the same day at the same time.  The images were cropped but not otherwise altered or adjusted. </w:t>
      </w:r>
    </w:p>
    <w:p w:rsidR="008360E0" w:rsidRDefault="008360E0" w:rsidP="008360E0">
      <w:pPr>
        <w:spacing w:before="100" w:beforeAutospacing="1" w:after="100" w:afterAutospacing="1"/>
        <w:rPr>
          <w:rFonts w:eastAsia="Times New Roman" w:cstheme="minorHAnsi"/>
          <w:b/>
          <w:bCs/>
          <w:color w:val="000000"/>
        </w:rPr>
      </w:pPr>
      <w:r w:rsidRPr="007B419D">
        <w:rPr>
          <w:rFonts w:eastAsia="Times New Roman" w:cstheme="minorHAnsi"/>
          <w:b/>
          <w:bCs/>
          <w:color w:val="000000"/>
        </w:rPr>
        <w:t>Reviewer #2: </w:t>
      </w:r>
      <w:r w:rsidRPr="007B419D">
        <w:rPr>
          <w:rFonts w:eastAsia="Times New Roman" w:cstheme="minorHAnsi"/>
          <w:color w:val="000000"/>
        </w:rPr>
        <w:br/>
      </w:r>
      <w:r w:rsidRPr="007B419D">
        <w:rPr>
          <w:rFonts w:eastAsia="Times New Roman" w:cstheme="minorHAnsi"/>
          <w:color w:val="000000"/>
        </w:rPr>
        <w:br/>
      </w:r>
      <w:r w:rsidRPr="007B419D">
        <w:rPr>
          <w:rFonts w:eastAsia="Times New Roman" w:cstheme="minorHAnsi"/>
          <w:b/>
          <w:bCs/>
          <w:color w:val="000000"/>
        </w:rPr>
        <w:t xml:space="preserve">-The authors describe the step-by-step protocol that they recently disclosed in Higashi S. et al. 2020 (J. </w:t>
      </w:r>
      <w:proofErr w:type="spellStart"/>
      <w:r w:rsidRPr="007B419D">
        <w:rPr>
          <w:rFonts w:eastAsia="Times New Roman" w:cstheme="minorHAnsi"/>
          <w:b/>
          <w:bCs/>
          <w:color w:val="000000"/>
        </w:rPr>
        <w:t>Biochem</w:t>
      </w:r>
      <w:proofErr w:type="spellEnd"/>
      <w:r w:rsidRPr="007B419D">
        <w:rPr>
          <w:rFonts w:eastAsia="Times New Roman" w:cstheme="minorHAnsi"/>
          <w:b/>
          <w:bCs/>
          <w:color w:val="000000"/>
        </w:rPr>
        <w:t>.) but it looks like that the cited publication already contains exemplificative videos and the figures are not modified at all, but just copy/pated from the same recent publication (Figure 2 same as Figure 2, Figure 3 same as Figure 6 and Figure 4 same as Figure 7 of Higashi S., 2020, respectively).</w:t>
      </w:r>
      <w:r w:rsidRPr="007B419D">
        <w:rPr>
          <w:rFonts w:eastAsia="Times New Roman" w:cstheme="minorHAnsi"/>
          <w:b/>
          <w:bCs/>
          <w:color w:val="000000"/>
        </w:rPr>
        <w:br/>
        <w:t xml:space="preserve">Even though this may not be a concern for </w:t>
      </w:r>
      <w:proofErr w:type="spellStart"/>
      <w:r w:rsidRPr="007B419D">
        <w:rPr>
          <w:rFonts w:eastAsia="Times New Roman" w:cstheme="minorHAnsi"/>
          <w:b/>
          <w:bCs/>
          <w:color w:val="000000"/>
        </w:rPr>
        <w:t>JoVE</w:t>
      </w:r>
      <w:proofErr w:type="spellEnd"/>
      <w:r w:rsidRPr="007B419D">
        <w:rPr>
          <w:rFonts w:eastAsia="Times New Roman" w:cstheme="minorHAnsi"/>
          <w:b/>
          <w:bCs/>
          <w:color w:val="000000"/>
        </w:rPr>
        <w:t xml:space="preserve"> papers, I would recommend the authors to provide additional representative examples.</w:t>
      </w:r>
    </w:p>
    <w:p w:rsidR="008360E0" w:rsidRDefault="008360E0" w:rsidP="008360E0">
      <w:pPr>
        <w:spacing w:before="100" w:beforeAutospacing="1" w:after="100" w:afterAutospacing="1"/>
        <w:ind w:left="720"/>
        <w:rPr>
          <w:rFonts w:eastAsia="Times New Roman" w:cstheme="minorHAnsi"/>
          <w:color w:val="000000"/>
        </w:rPr>
      </w:pPr>
      <w:r>
        <w:rPr>
          <w:rFonts w:eastAsia="Times New Roman" w:cstheme="minorHAnsi"/>
          <w:color w:val="000000"/>
        </w:rPr>
        <w:t xml:space="preserve">When we were invited to submit a paper by </w:t>
      </w:r>
      <w:proofErr w:type="spellStart"/>
      <w:r>
        <w:rPr>
          <w:rFonts w:eastAsia="Times New Roman" w:cstheme="minorHAnsi"/>
          <w:color w:val="000000"/>
        </w:rPr>
        <w:t>JoVE’s</w:t>
      </w:r>
      <w:proofErr w:type="spellEnd"/>
      <w:r>
        <w:rPr>
          <w:rFonts w:eastAsia="Times New Roman" w:cstheme="minorHAnsi"/>
          <w:color w:val="000000"/>
        </w:rPr>
        <w:t xml:space="preserve"> editor, we were told that no additional data were necessary. (Please see our response below.)</w:t>
      </w:r>
    </w:p>
    <w:p w:rsidR="008360E0" w:rsidRDefault="008360E0" w:rsidP="008360E0">
      <w:pPr>
        <w:spacing w:before="100" w:beforeAutospacing="1" w:after="100" w:afterAutospacing="1"/>
        <w:rPr>
          <w:rFonts w:eastAsia="Times New Roman" w:cstheme="minorHAnsi"/>
          <w:b/>
          <w:bCs/>
          <w:color w:val="000000"/>
        </w:rPr>
      </w:pPr>
      <w:r w:rsidRPr="007B419D">
        <w:rPr>
          <w:rFonts w:eastAsia="Times New Roman" w:cstheme="minorHAnsi"/>
          <w:b/>
          <w:bCs/>
          <w:color w:val="000000"/>
        </w:rPr>
        <w:t xml:space="preserve">-The author state "When overnight incubation is needed with primary antibodies for example, a slightly longer CDR incubation time (30 min - 6 h) should be evaluated." (line 310). Indeed, more than half of the experimental time for a Western blot experiment is dedicated to sample preparation (preferably fresh), gel preparation and loading, transfer to membrane and blocking. </w:t>
      </w:r>
    </w:p>
    <w:p w:rsidR="008360E0" w:rsidRPr="00FA3614" w:rsidRDefault="008360E0" w:rsidP="008360E0">
      <w:pPr>
        <w:spacing w:before="100" w:beforeAutospacing="1" w:after="100" w:afterAutospacing="1"/>
        <w:ind w:left="720"/>
        <w:rPr>
          <w:rFonts w:eastAsia="Times New Roman" w:cstheme="minorHAnsi"/>
          <w:color w:val="000000"/>
        </w:rPr>
      </w:pPr>
      <w:r>
        <w:rPr>
          <w:rFonts w:eastAsia="Times New Roman" w:cstheme="minorHAnsi"/>
          <w:color w:val="000000"/>
        </w:rPr>
        <w:t xml:space="preserve">We agree with this reviewer’s comment. The purpose of this manuscript is to show a comprehensive method to shorten the time for western blotting itself. Figure 4 shows </w:t>
      </w:r>
      <w:r>
        <w:rPr>
          <w:rFonts w:eastAsia="Times New Roman" w:cstheme="minorHAnsi"/>
          <w:color w:val="000000"/>
        </w:rPr>
        <w:lastRenderedPageBreak/>
        <w:t>the comparison between a traditional method and our CDR method, where all membranes are already blocked. To avoid such confusion, we added a phrase in the discussion.</w:t>
      </w:r>
    </w:p>
    <w:p w:rsidR="008360E0" w:rsidRDefault="008360E0" w:rsidP="008360E0">
      <w:pPr>
        <w:spacing w:before="100" w:beforeAutospacing="1" w:after="100" w:afterAutospacing="1"/>
        <w:rPr>
          <w:rFonts w:eastAsia="Times New Roman" w:cstheme="minorHAnsi"/>
          <w:b/>
          <w:bCs/>
          <w:color w:val="000000"/>
        </w:rPr>
      </w:pPr>
      <w:r w:rsidRPr="007B419D">
        <w:rPr>
          <w:rFonts w:eastAsia="Times New Roman" w:cstheme="minorHAnsi"/>
          <w:b/>
          <w:bCs/>
          <w:color w:val="000000"/>
        </w:rPr>
        <w:t xml:space="preserve">Moreover, since one of the hottest and explored </w:t>
      </w:r>
      <w:proofErr w:type="spellStart"/>
      <w:r w:rsidRPr="007B419D">
        <w:rPr>
          <w:rFonts w:eastAsia="Times New Roman" w:cstheme="minorHAnsi"/>
          <w:b/>
          <w:bCs/>
          <w:color w:val="000000"/>
        </w:rPr>
        <w:t>reasearch</w:t>
      </w:r>
      <w:proofErr w:type="spellEnd"/>
      <w:r w:rsidRPr="007B419D">
        <w:rPr>
          <w:rFonts w:eastAsia="Times New Roman" w:cstheme="minorHAnsi"/>
          <w:b/>
          <w:bCs/>
          <w:color w:val="000000"/>
        </w:rPr>
        <w:t xml:space="preserve"> field is based on analysis of post-translationally modified proteins, e.g. phospho-proteins, which are inherently less abundant than housekeeping genes such as actin, the incubation times with primary antibodies may turn out to be too long, even with the CDR+CGS protocol, thereby preventing anyways the use of CDR+CGS in a single day experiment.</w:t>
      </w:r>
      <w:r w:rsidRPr="007B419D">
        <w:rPr>
          <w:rFonts w:eastAsia="Times New Roman" w:cstheme="minorHAnsi"/>
          <w:b/>
          <w:bCs/>
          <w:color w:val="000000"/>
        </w:rPr>
        <w:br/>
        <w:t xml:space="preserve">Did the authors think about showing as additional results a representative quantification of a phosphorylated protein different from </w:t>
      </w:r>
      <w:proofErr w:type="spellStart"/>
      <w:r w:rsidRPr="007B419D">
        <w:rPr>
          <w:rFonts w:eastAsia="Times New Roman" w:cstheme="minorHAnsi"/>
          <w:b/>
          <w:bCs/>
          <w:color w:val="000000"/>
        </w:rPr>
        <w:t>pERKs</w:t>
      </w:r>
      <w:proofErr w:type="spellEnd"/>
      <w:r w:rsidRPr="007B419D">
        <w:rPr>
          <w:rFonts w:eastAsia="Times New Roman" w:cstheme="minorHAnsi"/>
          <w:b/>
          <w:bCs/>
          <w:color w:val="000000"/>
        </w:rPr>
        <w:t xml:space="preserve"> (which is a very abundant one)? It would be a compelling evidence to show a case where the sensitivity limit of traditional protocols is overcome by the CDR+CGS without </w:t>
      </w:r>
      <w:proofErr w:type="spellStart"/>
      <w:r w:rsidRPr="007B419D">
        <w:rPr>
          <w:rFonts w:eastAsia="Times New Roman" w:cstheme="minorHAnsi"/>
          <w:b/>
          <w:bCs/>
          <w:color w:val="000000"/>
        </w:rPr>
        <w:t>sacrifycing</w:t>
      </w:r>
      <w:proofErr w:type="spellEnd"/>
      <w:r w:rsidRPr="007B419D">
        <w:rPr>
          <w:rFonts w:eastAsia="Times New Roman" w:cstheme="minorHAnsi"/>
          <w:b/>
          <w:bCs/>
          <w:color w:val="000000"/>
        </w:rPr>
        <w:t xml:space="preserve"> the time, in the context of a low-abundance antigen.</w:t>
      </w:r>
    </w:p>
    <w:p w:rsidR="008360E0" w:rsidRDefault="008360E0" w:rsidP="008360E0">
      <w:pPr>
        <w:spacing w:before="100" w:beforeAutospacing="1" w:after="100" w:afterAutospacing="1"/>
        <w:ind w:left="720"/>
      </w:pPr>
      <w:r>
        <w:rPr>
          <w:rFonts w:eastAsia="Times New Roman" w:cstheme="minorHAnsi"/>
          <w:color w:val="000000"/>
        </w:rPr>
        <w:t>We totally agree with this comment. PTM is one of the hottest areas in biological research. I</w:t>
      </w:r>
      <w:r>
        <w:t xml:space="preserve">n our previous publication in </w:t>
      </w:r>
      <w:r>
        <w:rPr>
          <w:i/>
          <w:iCs/>
        </w:rPr>
        <w:t xml:space="preserve">Journal Biochemistry </w:t>
      </w:r>
      <w:r>
        <w:t xml:space="preserve">as Figure 4, we showed the autophosphorylation of exogenous v-src, where overnight incubation with the traditional method was reduced to 4 h with CDR+CGS. This figure is provided as </w:t>
      </w:r>
      <w:r w:rsidRPr="00A0252C">
        <w:rPr>
          <w:b/>
          <w:bCs/>
        </w:rPr>
        <w:t>Reviewer’s Figure 3</w:t>
      </w:r>
      <w:r>
        <w:t>.</w:t>
      </w:r>
    </w:p>
    <w:p w:rsidR="008360E0" w:rsidRPr="005D00F2" w:rsidRDefault="008360E0" w:rsidP="008360E0">
      <w:pPr>
        <w:spacing w:before="100" w:beforeAutospacing="1" w:after="100" w:afterAutospacing="1"/>
        <w:ind w:left="720"/>
        <w:rPr>
          <w:rFonts w:eastAsia="Times New Roman" w:cstheme="minorHAnsi"/>
          <w:color w:val="000000"/>
        </w:rPr>
      </w:pPr>
      <w:r>
        <w:t xml:space="preserve">One well-known PTM is glycosylation. We are working on chondroitin sulfate (CS) and heparan sulfate (HS) proteoglycans. Glycosaminoglycan (GAG) chains are linear polysaccharide with repetitive disaccharides with different </w:t>
      </w:r>
      <w:proofErr w:type="spellStart"/>
      <w:r>
        <w:t>sulfations</w:t>
      </w:r>
      <w:proofErr w:type="spellEnd"/>
      <w:r>
        <w:t xml:space="preserve">, resulting in the huge heterogeneity. Although monoclonal antibodies (CS-56 for CS and 10E4 for HS, both IgM) have been used for histochemistry for a long time, these antibodies </w:t>
      </w:r>
      <w:r w:rsidRPr="00A0252C">
        <w:t xml:space="preserve">have gained infamy for their ambiguous signals and lack of reliable controls </w:t>
      </w:r>
      <w:r>
        <w:t xml:space="preserve">on western blot. At least 18-hour incubation with CS-56 was required without the aid of CGS. We applied this methodology to these antibodies and representative data are provided as </w:t>
      </w:r>
      <w:r w:rsidRPr="00A0252C">
        <w:rPr>
          <w:b/>
          <w:bCs/>
        </w:rPr>
        <w:t>Reviewer’s Figure 4</w:t>
      </w:r>
      <w:r>
        <w:t>. We analyzed minimum amounts of antigen and proved the specificity of signals. The manuscript with these data is now under a second revision.</w:t>
      </w:r>
    </w:p>
    <w:p w:rsidR="008360E0" w:rsidRDefault="00F432DA" w:rsidP="00F432DA">
      <w:pPr>
        <w:spacing w:before="100" w:beforeAutospacing="1" w:after="100" w:afterAutospacing="1"/>
        <w:rPr>
          <w:rFonts w:eastAsia="Times New Roman" w:cstheme="minorHAnsi"/>
          <w:b/>
          <w:bCs/>
          <w:color w:val="000000"/>
        </w:rPr>
      </w:pPr>
      <w:r w:rsidRPr="007B419D">
        <w:rPr>
          <w:rFonts w:eastAsia="Times New Roman" w:cstheme="minorHAnsi"/>
          <w:b/>
          <w:bCs/>
          <w:color w:val="000000"/>
        </w:rPr>
        <w:t>-When discussing Figure 2, the authors state "In both static and CDR incubations, usage of CGS solution increased the sensitivity:" (line 230). While this holds true when comparing intra-condition (CDR or Static), counterintuitively the use of skim milk (60min-30min) under static conditions in Figure 2A, apparently resulted in a much brighter signal of the first bands as compared to its parallel under the CDR conditions. Indeed, although the static conditions with skim milk resulted in a way brighter initial signal, there does not appear to be a dilution curve at all. Conversely the CDR condition with skim milk has dimmer initial bands, reaches lower antigen amounts but, strangely, without a sequential fold-decrease</w:t>
      </w:r>
      <w:r w:rsidRPr="007B419D">
        <w:rPr>
          <w:rFonts w:eastAsia="Times New Roman" w:cstheme="minorHAnsi"/>
          <w:b/>
          <w:bCs/>
          <w:color w:val="000000"/>
        </w:rPr>
        <w:br/>
        <w:t>curve as in its parallel of Figure 2B.</w:t>
      </w:r>
      <w:r w:rsidRPr="007B419D">
        <w:rPr>
          <w:rFonts w:eastAsia="Times New Roman" w:cstheme="minorHAnsi"/>
          <w:color w:val="000000"/>
        </w:rPr>
        <w:br/>
      </w:r>
      <w:r w:rsidRPr="007B419D">
        <w:rPr>
          <w:rFonts w:eastAsia="Times New Roman" w:cstheme="minorHAnsi"/>
          <w:b/>
          <w:bCs/>
          <w:color w:val="000000"/>
        </w:rPr>
        <w:t xml:space="preserve">How do the authors explain this? Why didn't the authors provide band quantification histograms to show that the dilution curve is accurate? Since Western blotting is used for relative quantification of samples, it is of paramount importance that any methodology </w:t>
      </w:r>
      <w:r w:rsidRPr="007B419D">
        <w:rPr>
          <w:rFonts w:eastAsia="Times New Roman" w:cstheme="minorHAnsi"/>
          <w:b/>
          <w:bCs/>
          <w:color w:val="000000"/>
        </w:rPr>
        <w:lastRenderedPageBreak/>
        <w:t xml:space="preserve">aimed at reaching lower limits of sensitivity is also able to keep the relative differences over a wide dynamic range so as not to result in a </w:t>
      </w:r>
      <w:proofErr w:type="spellStart"/>
      <w:r w:rsidRPr="007B419D">
        <w:rPr>
          <w:rFonts w:eastAsia="Times New Roman" w:cstheme="minorHAnsi"/>
          <w:b/>
          <w:bCs/>
          <w:color w:val="000000"/>
        </w:rPr>
        <w:t>misinterpreation</w:t>
      </w:r>
      <w:proofErr w:type="spellEnd"/>
      <w:r w:rsidRPr="007B419D">
        <w:rPr>
          <w:rFonts w:eastAsia="Times New Roman" w:cstheme="minorHAnsi"/>
          <w:b/>
          <w:bCs/>
          <w:color w:val="000000"/>
        </w:rPr>
        <w:t xml:space="preserve"> of results.</w:t>
      </w:r>
    </w:p>
    <w:p w:rsidR="00F432DA" w:rsidRDefault="00F432DA" w:rsidP="00F432DA">
      <w:pPr>
        <w:spacing w:before="100" w:beforeAutospacing="1" w:after="100" w:afterAutospacing="1"/>
        <w:ind w:left="720"/>
      </w:pPr>
      <w:r>
        <w:rPr>
          <w:rFonts w:eastAsia="Times New Roman" w:cstheme="minorHAnsi"/>
          <w:color w:val="000000"/>
        </w:rPr>
        <w:t xml:space="preserve">We appreciate this comment and it is a good point. As mentioned above in the response to Reviewer 1, the data for Figure 2A and 2B were acquired with the same exposure times (15 s for 2A and 30 s for 2B) on the same day at the same time.  The images were cropped but not adjusted. </w:t>
      </w:r>
      <w:r>
        <w:t xml:space="preserve">While we do not have a straightforward and precise explanation of this pattern of results, we are confident that the careful planning and execution of these experiments has produced reliable data; </w:t>
      </w:r>
      <w:r>
        <w:rPr>
          <w:rFonts w:eastAsia="Times New Roman" w:cstheme="minorHAnsi"/>
          <w:color w:val="000000"/>
        </w:rPr>
        <w:t xml:space="preserve">transfer from a gel to a membrane was performed individually (no multiple transfer simultaneously) and membranes were blocked in separate containers. There could be many reasons such as uneven transfer from a gel to a membrane and altered activity of chemiluminescent substrate. This is another reason </w:t>
      </w:r>
      <w:r>
        <w:t xml:space="preserve">why we loaded different amounts of antigens in each lane (Figure 2A) and used different concentrations of antibody in individual membranes (Figure 2B). To have a better solution, we showed fluorescent detection with slot blot in our previous publication. Because of fluorescent detection, we can obtain a wider dynamic range compared to chemiluminescent detection. Because of slot blot, uneven transfer is likely to be avoided. We provide this data as </w:t>
      </w:r>
      <w:r w:rsidRPr="00C83C47">
        <w:rPr>
          <w:b/>
          <w:bCs/>
        </w:rPr>
        <w:t>Reviewer’s Figure 5</w:t>
      </w:r>
      <w:r>
        <w:t>.</w:t>
      </w:r>
    </w:p>
    <w:p w:rsidR="00F432DA" w:rsidRDefault="00F432DA" w:rsidP="00F432DA">
      <w:pPr>
        <w:spacing w:before="100" w:beforeAutospacing="1" w:after="100" w:afterAutospacing="1"/>
        <w:rPr>
          <w:rFonts w:eastAsia="Times New Roman" w:cstheme="minorHAnsi"/>
          <w:b/>
          <w:bCs/>
          <w:color w:val="000000"/>
        </w:rPr>
      </w:pPr>
      <w:r w:rsidRPr="007B419D">
        <w:rPr>
          <w:rFonts w:eastAsia="Times New Roman" w:cstheme="minorHAnsi"/>
          <w:color w:val="000000"/>
        </w:rPr>
        <w:t>Minor Concerns:</w:t>
      </w:r>
      <w:r w:rsidRPr="007B419D">
        <w:rPr>
          <w:rFonts w:eastAsia="Times New Roman" w:cstheme="minorHAnsi"/>
          <w:color w:val="000000"/>
        </w:rPr>
        <w:br/>
      </w:r>
      <w:r w:rsidRPr="007B419D">
        <w:rPr>
          <w:rFonts w:eastAsia="Times New Roman" w:cstheme="minorHAnsi"/>
          <w:b/>
          <w:bCs/>
          <w:color w:val="000000"/>
        </w:rPr>
        <w:t>-Please provide a vendor and a catalog number for the plastic ring holders required for 14mL tube fixation inside the 50mL Falcon tube during rotatory incubation.</w:t>
      </w:r>
    </w:p>
    <w:p w:rsidR="00F432DA" w:rsidRPr="00A00DE0" w:rsidRDefault="00F432DA" w:rsidP="00F432DA">
      <w:pPr>
        <w:spacing w:before="100" w:beforeAutospacing="1" w:after="100" w:afterAutospacing="1"/>
        <w:ind w:left="720"/>
        <w:rPr>
          <w:rFonts w:eastAsia="Times New Roman" w:cstheme="minorHAnsi"/>
          <w:color w:val="000000"/>
        </w:rPr>
      </w:pPr>
      <w:r>
        <w:rPr>
          <w:rFonts w:eastAsia="Times New Roman" w:cstheme="minorHAnsi"/>
          <w:color w:val="000000"/>
        </w:rPr>
        <w:t>We appreciate this comment.  We created these rings in a machine shop. A sentence was added to the list.</w:t>
      </w:r>
    </w:p>
    <w:p w:rsidR="00F432DA" w:rsidRDefault="00F432DA" w:rsidP="00F432DA">
      <w:pPr>
        <w:spacing w:before="100" w:beforeAutospacing="1" w:after="100" w:afterAutospacing="1"/>
        <w:rPr>
          <w:rFonts w:eastAsia="Times New Roman" w:cstheme="minorHAnsi"/>
          <w:b/>
          <w:bCs/>
          <w:color w:val="000000"/>
        </w:rPr>
      </w:pPr>
      <w:r w:rsidRPr="007B419D">
        <w:rPr>
          <w:rFonts w:eastAsia="Times New Roman" w:cstheme="minorHAnsi"/>
          <w:b/>
          <w:bCs/>
          <w:color w:val="000000"/>
        </w:rPr>
        <w:t>As exemplified by the authors and as shown in the video in Higashi et al. 2020, the membranes are washed by placing them in NOT inside the salad spinner's strainer basket but rather directly inside the outer container. Why do the authors perform such a procedure?</w:t>
      </w:r>
    </w:p>
    <w:p w:rsidR="00F432DA" w:rsidRPr="006B0A7E" w:rsidRDefault="00F432DA" w:rsidP="00F432DA">
      <w:pPr>
        <w:spacing w:before="100" w:beforeAutospacing="1" w:after="100" w:afterAutospacing="1"/>
        <w:ind w:left="720"/>
        <w:rPr>
          <w:rFonts w:eastAsia="Times New Roman" w:cstheme="minorHAnsi"/>
          <w:color w:val="000000"/>
        </w:rPr>
      </w:pPr>
      <w:r>
        <w:rPr>
          <w:rFonts w:eastAsia="Times New Roman" w:cstheme="minorHAnsi"/>
          <w:color w:val="000000"/>
        </w:rPr>
        <w:t>As mentioned above, we attempted many techniques for washing the membrane and have used the one that was most effective. When membranes were placed inside the salad spinner’s strainer basket, we observed that the membrane’s exposure to dynamic PBS-T solution was actually fairly low, with the membrane exhibiting little movement. This technique thus yielded higher background. When membranes were placed outside the strainer basket at the margins of the device, its exposure to the PBS-T solution was greatly enhanced, and the membrane was more vigorously washed with a large volume of PBS-T. This yielded lower background, and therefore this is the technique we used for our experiments.</w:t>
      </w:r>
    </w:p>
    <w:p w:rsidR="00F432DA" w:rsidRDefault="00F432DA" w:rsidP="00F432DA">
      <w:pPr>
        <w:spacing w:before="100" w:beforeAutospacing="1" w:after="100" w:afterAutospacing="1"/>
        <w:rPr>
          <w:rFonts w:eastAsia="Times New Roman" w:cstheme="minorHAnsi"/>
          <w:b/>
          <w:bCs/>
          <w:color w:val="000000"/>
        </w:rPr>
      </w:pPr>
      <w:r w:rsidRPr="007B419D">
        <w:rPr>
          <w:rFonts w:eastAsia="Times New Roman" w:cstheme="minorHAnsi"/>
          <w:b/>
          <w:bCs/>
          <w:color w:val="000000"/>
        </w:rPr>
        <w:t xml:space="preserve">Did the author ever </w:t>
      </w:r>
      <w:proofErr w:type="gramStart"/>
      <w:r w:rsidRPr="007B419D">
        <w:rPr>
          <w:rFonts w:eastAsia="Times New Roman" w:cstheme="minorHAnsi"/>
          <w:b/>
          <w:bCs/>
          <w:color w:val="000000"/>
        </w:rPr>
        <w:t>tried</w:t>
      </w:r>
      <w:proofErr w:type="gramEnd"/>
      <w:r w:rsidRPr="007B419D">
        <w:rPr>
          <w:rFonts w:eastAsia="Times New Roman" w:cstheme="minorHAnsi"/>
          <w:b/>
          <w:bCs/>
          <w:color w:val="000000"/>
        </w:rPr>
        <w:t xml:space="preserve"> nitrocellulose instead? Many labs use nitrocellulose instead of PVDF membranes, the latter being more resistant. Is nitrocellulose going to be damaged by this procedure?</w:t>
      </w:r>
    </w:p>
    <w:p w:rsidR="00F432DA" w:rsidRPr="00D92468" w:rsidRDefault="00F432DA" w:rsidP="00F432DA">
      <w:pPr>
        <w:spacing w:before="100" w:beforeAutospacing="1" w:after="100" w:afterAutospacing="1"/>
        <w:ind w:left="720"/>
        <w:rPr>
          <w:rFonts w:eastAsia="Times New Roman" w:cstheme="minorHAnsi"/>
          <w:color w:val="000000"/>
        </w:rPr>
      </w:pPr>
      <w:r>
        <w:rPr>
          <w:rFonts w:eastAsia="Times New Roman" w:cstheme="minorHAnsi"/>
          <w:color w:val="000000"/>
        </w:rPr>
        <w:lastRenderedPageBreak/>
        <w:t>We have tried this method with nitrocellulose membranes. As long as the nitrocellulose membrane attaches to the wall of the tube during the incubation with the antibodies, it worked. Washing membrane in a salad spinner should be carefully performed, otherwise the nitrocellulose membrane could be damaged easily.</w:t>
      </w:r>
    </w:p>
    <w:p w:rsidR="00F432DA" w:rsidRDefault="00F432DA" w:rsidP="00F432DA">
      <w:pPr>
        <w:spacing w:before="100" w:beforeAutospacing="1" w:after="100" w:afterAutospacing="1"/>
        <w:rPr>
          <w:rFonts w:eastAsia="Times New Roman" w:cstheme="minorHAnsi"/>
          <w:b/>
          <w:bCs/>
          <w:color w:val="000000"/>
        </w:rPr>
      </w:pPr>
      <w:r w:rsidRPr="007B419D">
        <w:rPr>
          <w:rFonts w:eastAsia="Times New Roman" w:cstheme="minorHAnsi"/>
          <w:b/>
          <w:bCs/>
          <w:color w:val="000000"/>
        </w:rPr>
        <w:t xml:space="preserve">-Please use actual numbers to indicate antigen and antibody amounts, respectively in Figure 2A and </w:t>
      </w:r>
      <w:proofErr w:type="spellStart"/>
      <w:r w:rsidRPr="007B419D">
        <w:rPr>
          <w:rFonts w:eastAsia="Times New Roman" w:cstheme="minorHAnsi"/>
          <w:b/>
          <w:bCs/>
          <w:color w:val="000000"/>
        </w:rPr>
        <w:t>B,rather</w:t>
      </w:r>
      <w:proofErr w:type="spellEnd"/>
      <w:r w:rsidRPr="007B419D">
        <w:rPr>
          <w:rFonts w:eastAsia="Times New Roman" w:cstheme="minorHAnsi"/>
          <w:b/>
          <w:bCs/>
          <w:color w:val="000000"/>
        </w:rPr>
        <w:t xml:space="preserve"> than using an arrow.</w:t>
      </w:r>
    </w:p>
    <w:p w:rsidR="006760B0" w:rsidRPr="00F432DA" w:rsidRDefault="00F432DA" w:rsidP="00F432DA">
      <w:pPr>
        <w:spacing w:before="100" w:beforeAutospacing="1" w:after="100" w:afterAutospacing="1"/>
        <w:ind w:left="720"/>
        <w:rPr>
          <w:rFonts w:eastAsia="Times New Roman" w:cstheme="minorHAnsi"/>
          <w:color w:val="000000"/>
        </w:rPr>
      </w:pPr>
      <w:r>
        <w:rPr>
          <w:rFonts w:eastAsia="Times New Roman" w:cstheme="minorHAnsi"/>
          <w:color w:val="000000"/>
        </w:rPr>
        <w:t>Figure 2 was changed accordingly.</w:t>
      </w:r>
    </w:p>
    <w:sectPr w:rsidR="006760B0" w:rsidRPr="00F432DA" w:rsidSect="00977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E0"/>
    <w:rsid w:val="0000797A"/>
    <w:rsid w:val="000107CA"/>
    <w:rsid w:val="00012D08"/>
    <w:rsid w:val="00063E41"/>
    <w:rsid w:val="0007309A"/>
    <w:rsid w:val="00077F06"/>
    <w:rsid w:val="000A7626"/>
    <w:rsid w:val="000A7955"/>
    <w:rsid w:val="000B228D"/>
    <w:rsid w:val="000C682C"/>
    <w:rsid w:val="000E497F"/>
    <w:rsid w:val="00100320"/>
    <w:rsid w:val="0010149A"/>
    <w:rsid w:val="0010797C"/>
    <w:rsid w:val="00131FF6"/>
    <w:rsid w:val="00150C9B"/>
    <w:rsid w:val="001716FE"/>
    <w:rsid w:val="00181FCC"/>
    <w:rsid w:val="001A43A3"/>
    <w:rsid w:val="001C3CE6"/>
    <w:rsid w:val="001C4853"/>
    <w:rsid w:val="001F3D31"/>
    <w:rsid w:val="0024654E"/>
    <w:rsid w:val="0028048D"/>
    <w:rsid w:val="00284D74"/>
    <w:rsid w:val="002A6543"/>
    <w:rsid w:val="002B4A59"/>
    <w:rsid w:val="002B5A60"/>
    <w:rsid w:val="002C2EAE"/>
    <w:rsid w:val="002E08E4"/>
    <w:rsid w:val="002F0D68"/>
    <w:rsid w:val="002F715F"/>
    <w:rsid w:val="003017AC"/>
    <w:rsid w:val="0030767D"/>
    <w:rsid w:val="0032720A"/>
    <w:rsid w:val="0033785F"/>
    <w:rsid w:val="0034108B"/>
    <w:rsid w:val="00352F9D"/>
    <w:rsid w:val="00374669"/>
    <w:rsid w:val="00397B8F"/>
    <w:rsid w:val="003B23CD"/>
    <w:rsid w:val="003D493C"/>
    <w:rsid w:val="003E0066"/>
    <w:rsid w:val="003E0B10"/>
    <w:rsid w:val="003E304A"/>
    <w:rsid w:val="003F3BA6"/>
    <w:rsid w:val="003F45EF"/>
    <w:rsid w:val="00403EA9"/>
    <w:rsid w:val="00421C19"/>
    <w:rsid w:val="004314B7"/>
    <w:rsid w:val="004332E4"/>
    <w:rsid w:val="004536D5"/>
    <w:rsid w:val="00462523"/>
    <w:rsid w:val="004721DF"/>
    <w:rsid w:val="00480DA2"/>
    <w:rsid w:val="00481954"/>
    <w:rsid w:val="00484EF8"/>
    <w:rsid w:val="00491523"/>
    <w:rsid w:val="0049344C"/>
    <w:rsid w:val="00495F91"/>
    <w:rsid w:val="004B28E7"/>
    <w:rsid w:val="004B33E8"/>
    <w:rsid w:val="004D372B"/>
    <w:rsid w:val="004E194A"/>
    <w:rsid w:val="004F7E57"/>
    <w:rsid w:val="00507B6A"/>
    <w:rsid w:val="005152C3"/>
    <w:rsid w:val="005171CC"/>
    <w:rsid w:val="005207BD"/>
    <w:rsid w:val="0053169B"/>
    <w:rsid w:val="0053328C"/>
    <w:rsid w:val="00573F39"/>
    <w:rsid w:val="00590699"/>
    <w:rsid w:val="005911DE"/>
    <w:rsid w:val="006000DF"/>
    <w:rsid w:val="00605E4A"/>
    <w:rsid w:val="00646C4D"/>
    <w:rsid w:val="00662D36"/>
    <w:rsid w:val="0066385B"/>
    <w:rsid w:val="00665CCB"/>
    <w:rsid w:val="00666FA3"/>
    <w:rsid w:val="00673B48"/>
    <w:rsid w:val="006760B0"/>
    <w:rsid w:val="00690547"/>
    <w:rsid w:val="00694CA0"/>
    <w:rsid w:val="006B3617"/>
    <w:rsid w:val="006C05F1"/>
    <w:rsid w:val="006D44C1"/>
    <w:rsid w:val="006E66CA"/>
    <w:rsid w:val="007400F7"/>
    <w:rsid w:val="0074096E"/>
    <w:rsid w:val="007460E5"/>
    <w:rsid w:val="00760E00"/>
    <w:rsid w:val="00766201"/>
    <w:rsid w:val="007774E9"/>
    <w:rsid w:val="007A7272"/>
    <w:rsid w:val="007B40A6"/>
    <w:rsid w:val="007B41EC"/>
    <w:rsid w:val="007C3050"/>
    <w:rsid w:val="00806559"/>
    <w:rsid w:val="008212CD"/>
    <w:rsid w:val="008360E0"/>
    <w:rsid w:val="008410B5"/>
    <w:rsid w:val="00855B25"/>
    <w:rsid w:val="00887D51"/>
    <w:rsid w:val="00896DD8"/>
    <w:rsid w:val="008C2CC3"/>
    <w:rsid w:val="008C354C"/>
    <w:rsid w:val="008D2D9F"/>
    <w:rsid w:val="008E392F"/>
    <w:rsid w:val="008E3FB2"/>
    <w:rsid w:val="008F0ADE"/>
    <w:rsid w:val="0090125E"/>
    <w:rsid w:val="0091601E"/>
    <w:rsid w:val="0092293E"/>
    <w:rsid w:val="0095454F"/>
    <w:rsid w:val="009623DC"/>
    <w:rsid w:val="0097036A"/>
    <w:rsid w:val="00977CB8"/>
    <w:rsid w:val="00977F25"/>
    <w:rsid w:val="00987F9E"/>
    <w:rsid w:val="009A039B"/>
    <w:rsid w:val="009B6A74"/>
    <w:rsid w:val="009B75A4"/>
    <w:rsid w:val="009C3310"/>
    <w:rsid w:val="009C3D10"/>
    <w:rsid w:val="009F5773"/>
    <w:rsid w:val="00A0509E"/>
    <w:rsid w:val="00A06BE0"/>
    <w:rsid w:val="00A31716"/>
    <w:rsid w:val="00A50E40"/>
    <w:rsid w:val="00A91378"/>
    <w:rsid w:val="00A93F38"/>
    <w:rsid w:val="00AB469F"/>
    <w:rsid w:val="00AB5939"/>
    <w:rsid w:val="00AC15DD"/>
    <w:rsid w:val="00AD16DF"/>
    <w:rsid w:val="00AD45D2"/>
    <w:rsid w:val="00AF61A2"/>
    <w:rsid w:val="00B36C24"/>
    <w:rsid w:val="00B5499A"/>
    <w:rsid w:val="00BA0D5D"/>
    <w:rsid w:val="00BA5DB8"/>
    <w:rsid w:val="00BC783C"/>
    <w:rsid w:val="00BD1F6F"/>
    <w:rsid w:val="00BD59C7"/>
    <w:rsid w:val="00C22602"/>
    <w:rsid w:val="00C52AB2"/>
    <w:rsid w:val="00C66911"/>
    <w:rsid w:val="00C83852"/>
    <w:rsid w:val="00C91DF7"/>
    <w:rsid w:val="00CC00F5"/>
    <w:rsid w:val="00CD3448"/>
    <w:rsid w:val="00D11482"/>
    <w:rsid w:val="00D26541"/>
    <w:rsid w:val="00D47428"/>
    <w:rsid w:val="00D507A4"/>
    <w:rsid w:val="00D5534E"/>
    <w:rsid w:val="00D85FCE"/>
    <w:rsid w:val="00D96F96"/>
    <w:rsid w:val="00DB59BE"/>
    <w:rsid w:val="00DB636F"/>
    <w:rsid w:val="00DC2DFF"/>
    <w:rsid w:val="00DC5E9B"/>
    <w:rsid w:val="00DE52A8"/>
    <w:rsid w:val="00DF5925"/>
    <w:rsid w:val="00E12CB1"/>
    <w:rsid w:val="00E35F97"/>
    <w:rsid w:val="00E92F95"/>
    <w:rsid w:val="00EC4213"/>
    <w:rsid w:val="00EE2453"/>
    <w:rsid w:val="00EF27C4"/>
    <w:rsid w:val="00F11D56"/>
    <w:rsid w:val="00F17556"/>
    <w:rsid w:val="00F432DA"/>
    <w:rsid w:val="00F62D21"/>
    <w:rsid w:val="00F85494"/>
    <w:rsid w:val="00FA0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BE19986"/>
  <w15:chartTrackingRefBased/>
  <w15:docId w15:val="{94452FF8-6A50-6048-B685-5A64FB09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5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65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Katagiri, Hiro (NIH/NHLBI) [E]</dc:creator>
  <cp:keywords/>
  <dc:description/>
  <cp:lastModifiedBy>Katagiri, Hiro (NIH/NHLBI) [E]</cp:lastModifiedBy>
  <cp:revision>2</cp:revision>
  <dcterms:created xsi:type="dcterms:W3CDTF">2020-06-16T20:58:00Z</dcterms:created>
  <dcterms:modified xsi:type="dcterms:W3CDTF">2020-06-17T01:35:00Z</dcterms:modified>
</cp:coreProperties>
</file>