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16B29" w14:textId="77777777" w:rsidR="009912F1" w:rsidRDefault="009912F1">
      <w:pPr>
        <w:rPr>
          <w:rFonts w:ascii="Arial" w:hAnsi="Arial" w:cs="Arial"/>
          <w:color w:val="222222"/>
          <w:shd w:val="clear" w:color="auto" w:fill="FFFFFF"/>
        </w:rPr>
      </w:pPr>
      <w:r>
        <w:rPr>
          <w:rFonts w:ascii="Arial" w:hAnsi="Arial" w:cs="Arial"/>
          <w:color w:val="222222"/>
          <w:shd w:val="clear" w:color="auto" w:fill="FFFFFF"/>
        </w:rPr>
        <w:t>Dear Dr. Nguyen,</w:t>
      </w:r>
    </w:p>
    <w:p w14:paraId="0408D259" w14:textId="77777777" w:rsidR="009912F1" w:rsidRPr="009912F1" w:rsidRDefault="009912F1">
      <w:pPr>
        <w:rPr>
          <w:rStyle w:val="Strong"/>
          <w:rFonts w:ascii="Arial" w:hAnsi="Arial" w:cs="Arial"/>
          <w:b w:val="0"/>
          <w:bCs w:val="0"/>
          <w:color w:val="222222"/>
          <w:shd w:val="clear" w:color="auto" w:fill="FFFFFF"/>
        </w:rPr>
      </w:pPr>
      <w:r>
        <w:rPr>
          <w:rFonts w:ascii="Arial" w:hAnsi="Arial" w:cs="Arial"/>
          <w:color w:val="222222"/>
          <w:shd w:val="clear" w:color="auto" w:fill="FFFFFF"/>
        </w:rPr>
        <w:t xml:space="preserve">The following concerns have been raised regarding our manuscript. </w:t>
      </w:r>
      <w:r w:rsidR="00243453">
        <w:rPr>
          <w:rFonts w:ascii="Arial" w:hAnsi="Arial" w:cs="Arial"/>
          <w:color w:val="222222"/>
          <w:shd w:val="clear" w:color="auto" w:fill="FFFFFF"/>
        </w:rPr>
        <w:t xml:space="preserve">We have tried to address all of them and have improved our manuscript accordingly. </w:t>
      </w:r>
      <w:r>
        <w:rPr>
          <w:rFonts w:ascii="Arial" w:hAnsi="Arial" w:cs="Arial"/>
          <w:color w:val="222222"/>
          <w:shd w:val="clear" w:color="auto" w:fill="FFFFFF"/>
        </w:rPr>
        <w:t xml:space="preserve">These are our point by point answers: </w:t>
      </w:r>
    </w:p>
    <w:p w14:paraId="617A5AA0" w14:textId="77777777" w:rsidR="00B3609D" w:rsidRDefault="009912F1">
      <w:pPr>
        <w:rPr>
          <w:rFonts w:ascii="Arial" w:hAnsi="Arial" w:cs="Arial"/>
          <w:color w:val="222222"/>
          <w:shd w:val="clear" w:color="auto" w:fill="FFFFFF"/>
        </w:rPr>
      </w:pPr>
      <w:r>
        <w:rPr>
          <w:rStyle w:val="Strong"/>
          <w:rFonts w:ascii="Arial" w:hAnsi="Arial" w:cs="Arial"/>
          <w:color w:val="FF0000"/>
          <w:u w:val="single"/>
          <w:shd w:val="clear" w:color="auto" w:fill="FFFFFF"/>
        </w:rPr>
        <w:t>Editorial comments: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b/>
          <w:bCs/>
          <w:color w:val="FF0000"/>
          <w:shd w:val="clear" w:color="auto" w:fill="FFFFFF"/>
        </w:rPr>
        <w:t>Protocol Detail:</w:t>
      </w:r>
      <w:r>
        <w:rPr>
          <w:rFonts w:ascii="Arial" w:hAnsi="Arial" w:cs="Arial"/>
          <w:color w:val="222222"/>
          <w:shd w:val="clear" w:color="auto" w:fill="FFFFFF"/>
        </w:rPr>
        <w:t> Please note that your protocol will be used to generate the script for the video, and must contain everything that you would like shown in the video. </w:t>
      </w:r>
      <w:r>
        <w:rPr>
          <w:rFonts w:ascii="Arial" w:hAnsi="Arial" w:cs="Arial"/>
          <w:b/>
          <w:bCs/>
          <w:color w:val="222222"/>
          <w:shd w:val="clear" w:color="auto" w:fill="FFFFFF"/>
        </w:rPr>
        <w:t xml:space="preserve">Please ensure that all specific details (e.g. button clicks for software actions, numerical values for settings, </w:t>
      </w:r>
      <w:proofErr w:type="spellStart"/>
      <w:r>
        <w:rPr>
          <w:rFonts w:ascii="Arial" w:hAnsi="Arial" w:cs="Arial"/>
          <w:b/>
          <w:bCs/>
          <w:color w:val="222222"/>
          <w:shd w:val="clear" w:color="auto" w:fill="FFFFFF"/>
        </w:rPr>
        <w:t>etc</w:t>
      </w:r>
      <w:proofErr w:type="spellEnd"/>
      <w:r>
        <w:rPr>
          <w:rFonts w:ascii="Arial" w:hAnsi="Arial" w:cs="Arial"/>
          <w:b/>
          <w:bCs/>
          <w:color w:val="222222"/>
          <w:shd w:val="clear" w:color="auto" w:fill="FFFFFF"/>
        </w:rPr>
        <w:t>) have been added to your protocol steps. </w:t>
      </w:r>
      <w:r>
        <w:rPr>
          <w:rFonts w:ascii="Arial" w:hAnsi="Arial" w:cs="Arial"/>
          <w:color w:val="222222"/>
          <w:shd w:val="clear" w:color="auto" w:fill="FFFFFF"/>
        </w:rPr>
        <w:t>There should be enough detail in each step to supplement the actions seen in the video so that viewers can easily replicate the protocol.</w:t>
      </w:r>
      <w:r>
        <w:rPr>
          <w:rFonts w:ascii="Arial" w:hAnsi="Arial" w:cs="Arial"/>
          <w:color w:val="222222"/>
        </w:rPr>
        <w:br/>
      </w:r>
      <w:r>
        <w:rPr>
          <w:rFonts w:ascii="Arial" w:hAnsi="Arial" w:cs="Arial"/>
          <w:color w:val="222222"/>
          <w:shd w:val="clear" w:color="auto" w:fill="FFFFFF"/>
        </w:rPr>
        <w:t>1) 1.12: Provide an example figure showing the desired plot.</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b/>
          <w:bCs/>
          <w:color w:val="FF0000"/>
          <w:shd w:val="clear" w:color="auto" w:fill="FFFFFF"/>
        </w:rPr>
        <w:t>Protocol Numbering: </w:t>
      </w:r>
      <w:r>
        <w:rPr>
          <w:rFonts w:ascii="Arial" w:hAnsi="Arial" w:cs="Arial"/>
          <w:color w:val="222222"/>
          <w:shd w:val="clear" w:color="auto" w:fill="FFFFFF"/>
        </w:rPr>
        <w:t xml:space="preserve">Add a one-line space between each protocol step. </w:t>
      </w:r>
    </w:p>
    <w:p w14:paraId="2DF3921B" w14:textId="77777777" w:rsidR="00B3609D" w:rsidRDefault="009912F1">
      <w:pPr>
        <w:rPr>
          <w:rFonts w:ascii="Arial" w:hAnsi="Arial" w:cs="Arial"/>
          <w:b/>
          <w:bCs/>
          <w:color w:val="FF0000"/>
          <w:shd w:val="clear" w:color="auto" w:fill="FFFFFF"/>
        </w:rPr>
      </w:pPr>
      <w:r>
        <w:rPr>
          <w:rFonts w:ascii="Arial" w:hAnsi="Arial" w:cs="Arial"/>
          <w:color w:val="222222"/>
          <w:shd w:val="clear" w:color="auto" w:fill="FFFFFF"/>
        </w:rPr>
        <w:t xml:space="preserve">– </w:t>
      </w:r>
      <w:r w:rsidRPr="009912F1">
        <w:rPr>
          <w:rFonts w:ascii="Arial" w:hAnsi="Arial" w:cs="Arial"/>
          <w:i/>
          <w:color w:val="222222"/>
          <w:shd w:val="clear" w:color="auto" w:fill="FFFFFF"/>
        </w:rPr>
        <w:t>has been included in the manuscript.</w:t>
      </w:r>
      <w:r w:rsidRPr="009912F1">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b/>
          <w:bCs/>
          <w:color w:val="FF0000"/>
          <w:shd w:val="clear" w:color="auto" w:fill="FFFFFF"/>
        </w:rPr>
        <w:t>Protocol Highlight:</w:t>
      </w:r>
      <w:r>
        <w:rPr>
          <w:rFonts w:ascii="Arial" w:hAnsi="Arial" w:cs="Arial"/>
          <w:color w:val="222222"/>
          <w:shd w:val="clear" w:color="auto" w:fill="FFFFFF"/>
        </w:rPr>
        <w:t>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Pr>
          <w:rFonts w:ascii="Arial" w:hAnsi="Arial" w:cs="Arial"/>
          <w:color w:val="222222"/>
        </w:rPr>
        <w:br/>
      </w:r>
      <w:r>
        <w:rPr>
          <w:rFonts w:ascii="Arial" w:hAnsi="Arial" w:cs="Arial"/>
          <w:color w:val="222222"/>
          <w:shd w:val="clear" w:color="auto" w:fill="FFFFFF"/>
        </w:rPr>
        <w:t>1) The highlighted steps should form a cohesive narrative, that is, there must be a logical flow from one highlighted step to the next.</w:t>
      </w:r>
      <w:r>
        <w:rPr>
          <w:rFonts w:ascii="Arial" w:hAnsi="Arial" w:cs="Arial"/>
          <w:color w:val="222222"/>
        </w:rPr>
        <w:br/>
      </w:r>
      <w:r>
        <w:rPr>
          <w:rFonts w:ascii="Arial" w:hAnsi="Arial" w:cs="Arial"/>
          <w:color w:val="222222"/>
          <w:shd w:val="clear" w:color="auto" w:fill="FFFFFF"/>
        </w:rPr>
        <w:t>2) Please highlight complete sentences (not parts of sentences). Include sub-headings and spaces when calculating the final highlighted length.</w:t>
      </w:r>
      <w:r>
        <w:rPr>
          <w:rFonts w:ascii="Arial" w:hAnsi="Arial" w:cs="Arial"/>
          <w:color w:val="222222"/>
        </w:rPr>
        <w:br/>
      </w:r>
      <w:r>
        <w:rPr>
          <w:rFonts w:ascii="Arial" w:hAnsi="Arial" w:cs="Arial"/>
          <w:color w:val="222222"/>
          <w:shd w:val="clear" w:color="auto" w:fill="FFFFFF"/>
        </w:rPr>
        <w:t>3) Notes cannot be filmed and should be excluded from highlighting.</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b/>
          <w:bCs/>
          <w:color w:val="FF0000"/>
          <w:shd w:val="clear" w:color="auto" w:fill="FFFFFF"/>
        </w:rPr>
        <w:t>Discussion:</w:t>
      </w:r>
      <w:r>
        <w:rPr>
          <w:rFonts w:ascii="Arial" w:hAnsi="Arial" w:cs="Arial"/>
          <w:color w:val="222222"/>
          <w:shd w:val="clear" w:color="auto" w:fill="FFFFFF"/>
        </w:rPr>
        <w:t>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b/>
          <w:bCs/>
          <w:color w:val="FF0000"/>
          <w:shd w:val="clear" w:color="auto" w:fill="FFFFFF"/>
        </w:rPr>
        <w:t>Figures:</w:t>
      </w:r>
    </w:p>
    <w:p w14:paraId="7438D173" w14:textId="77777777" w:rsidR="00B3609D" w:rsidRPr="007E529B" w:rsidRDefault="007E529B" w:rsidP="007E529B">
      <w:pPr>
        <w:rPr>
          <w:rFonts w:ascii="Arial" w:hAnsi="Arial" w:cs="Arial"/>
          <w:color w:val="222222"/>
          <w:shd w:val="clear" w:color="auto" w:fill="FFFFFF"/>
        </w:rPr>
      </w:pPr>
      <w:r>
        <w:rPr>
          <w:rFonts w:ascii="Arial" w:hAnsi="Arial" w:cs="Arial"/>
          <w:bCs/>
          <w:i/>
          <w:shd w:val="clear" w:color="auto" w:fill="FFFFFF"/>
        </w:rPr>
        <w:t>-</w:t>
      </w:r>
      <w:r w:rsidR="00B3609D" w:rsidRPr="007E529B">
        <w:rPr>
          <w:rFonts w:ascii="Arial" w:hAnsi="Arial" w:cs="Arial"/>
          <w:bCs/>
          <w:i/>
          <w:shd w:val="clear" w:color="auto" w:fill="FFFFFF"/>
        </w:rPr>
        <w:t>We added an additional figure</w:t>
      </w:r>
      <w:r w:rsidRPr="007E529B">
        <w:rPr>
          <w:rFonts w:ascii="Arial" w:hAnsi="Arial" w:cs="Arial"/>
          <w:bCs/>
          <w:i/>
          <w:shd w:val="clear" w:color="auto" w:fill="FFFFFF"/>
        </w:rPr>
        <w:t xml:space="preserve"> according to the comment of the reviewer #1</w:t>
      </w:r>
      <w:r w:rsidR="00B3609D" w:rsidRPr="007E529B">
        <w:rPr>
          <w:rFonts w:ascii="Arial" w:hAnsi="Arial" w:cs="Arial"/>
          <w:bCs/>
          <w:i/>
          <w:shd w:val="clear" w:color="auto" w:fill="FFFFFF"/>
        </w:rPr>
        <w:t>, Figure 1.</w:t>
      </w:r>
      <w:r w:rsidR="00B3609D" w:rsidRPr="007E529B">
        <w:rPr>
          <w:i/>
        </w:rPr>
        <w:t xml:space="preserve"> </w:t>
      </w:r>
      <w:r w:rsidR="00B3609D" w:rsidRPr="007E529B">
        <w:rPr>
          <w:rFonts w:ascii="Arial" w:hAnsi="Arial" w:cs="Arial"/>
          <w:bCs/>
          <w:i/>
          <w:shd w:val="clear" w:color="auto" w:fill="FFFFFF"/>
        </w:rPr>
        <w:t xml:space="preserve">Schematic representation of the algorithm for the somatic genetic variant detection in the CALR gene by HRM, agarose gel electrophoresis and sequencing methods. The number of the other figures changed accordingly. </w:t>
      </w:r>
    </w:p>
    <w:p w14:paraId="42C81918" w14:textId="77777777" w:rsidR="00B3609D" w:rsidRPr="00B3609D" w:rsidRDefault="009912F1" w:rsidP="00B3609D">
      <w:pPr>
        <w:rPr>
          <w:rFonts w:ascii="Arial" w:hAnsi="Arial" w:cs="Arial"/>
          <w:color w:val="222222"/>
          <w:shd w:val="clear" w:color="auto" w:fill="FFFFFF"/>
        </w:rPr>
      </w:pPr>
      <w:r w:rsidRPr="00B3609D">
        <w:rPr>
          <w:rFonts w:ascii="Arial" w:hAnsi="Arial" w:cs="Arial"/>
          <w:color w:val="222222"/>
          <w:shd w:val="clear" w:color="auto" w:fill="FFFFFF"/>
        </w:rPr>
        <w:t>1) Fig 6, fig 7b: provide molecular weight markers.</w:t>
      </w:r>
    </w:p>
    <w:p w14:paraId="1177925A" w14:textId="77777777" w:rsidR="00B3609D" w:rsidRPr="00B3609D" w:rsidRDefault="00B3609D" w:rsidP="00B3609D">
      <w:pPr>
        <w:pStyle w:val="ListParagraph"/>
        <w:numPr>
          <w:ilvl w:val="0"/>
          <w:numId w:val="1"/>
        </w:numPr>
        <w:rPr>
          <w:rFonts w:ascii="Arial" w:hAnsi="Arial" w:cs="Arial"/>
          <w:color w:val="222222"/>
        </w:rPr>
      </w:pPr>
      <w:r w:rsidRPr="00B3609D">
        <w:rPr>
          <w:rFonts w:ascii="Arial" w:hAnsi="Arial" w:cs="Arial"/>
          <w:i/>
          <w:color w:val="222222"/>
          <w:shd w:val="clear" w:color="auto" w:fill="FFFFFF"/>
        </w:rPr>
        <w:t>Molecular weight marker w</w:t>
      </w:r>
      <w:r w:rsidR="007E529B">
        <w:rPr>
          <w:rFonts w:ascii="Arial" w:hAnsi="Arial" w:cs="Arial"/>
          <w:i/>
          <w:color w:val="222222"/>
          <w:shd w:val="clear" w:color="auto" w:fill="FFFFFF"/>
        </w:rPr>
        <w:t>as</w:t>
      </w:r>
      <w:r w:rsidRPr="00B3609D">
        <w:rPr>
          <w:rFonts w:ascii="Arial" w:hAnsi="Arial" w:cs="Arial"/>
          <w:i/>
          <w:color w:val="222222"/>
          <w:shd w:val="clear" w:color="auto" w:fill="FFFFFF"/>
        </w:rPr>
        <w:t xml:space="preserve"> added to the </w:t>
      </w:r>
      <w:r>
        <w:rPr>
          <w:rFonts w:ascii="Arial" w:hAnsi="Arial" w:cs="Arial"/>
          <w:i/>
          <w:color w:val="222222"/>
          <w:shd w:val="clear" w:color="auto" w:fill="FFFFFF"/>
        </w:rPr>
        <w:t>f</w:t>
      </w:r>
      <w:r w:rsidRPr="00B3609D">
        <w:rPr>
          <w:rFonts w:ascii="Arial" w:hAnsi="Arial" w:cs="Arial"/>
          <w:i/>
          <w:color w:val="222222"/>
          <w:shd w:val="clear" w:color="auto" w:fill="FFFFFF"/>
        </w:rPr>
        <w:t xml:space="preserve">ig 7 (before </w:t>
      </w:r>
      <w:r>
        <w:rPr>
          <w:rFonts w:ascii="Arial" w:hAnsi="Arial" w:cs="Arial"/>
          <w:i/>
          <w:color w:val="222222"/>
          <w:shd w:val="clear" w:color="auto" w:fill="FFFFFF"/>
        </w:rPr>
        <w:t>f</w:t>
      </w:r>
      <w:r w:rsidRPr="00B3609D">
        <w:rPr>
          <w:rFonts w:ascii="Arial" w:hAnsi="Arial" w:cs="Arial"/>
          <w:i/>
          <w:color w:val="222222"/>
          <w:shd w:val="clear" w:color="auto" w:fill="FFFFFF"/>
        </w:rPr>
        <w:t>ig 6) and fig 8b (before fig 7b)</w:t>
      </w:r>
      <w:r w:rsidR="007E529B">
        <w:rPr>
          <w:rFonts w:ascii="Arial" w:hAnsi="Arial" w:cs="Arial"/>
          <w:i/>
          <w:color w:val="222222"/>
          <w:shd w:val="clear" w:color="auto" w:fill="FFFFFF"/>
        </w:rPr>
        <w:t>.</w:t>
      </w:r>
    </w:p>
    <w:p w14:paraId="33363800" w14:textId="77777777" w:rsidR="00B3609D" w:rsidRDefault="009912F1" w:rsidP="00B3609D">
      <w:pPr>
        <w:rPr>
          <w:rFonts w:ascii="Arial" w:hAnsi="Arial" w:cs="Arial"/>
          <w:color w:val="222222"/>
          <w:shd w:val="clear" w:color="auto" w:fill="FFFFFF"/>
        </w:rPr>
      </w:pPr>
      <w:r w:rsidRPr="00B3609D">
        <w:rPr>
          <w:rFonts w:ascii="Arial" w:hAnsi="Arial" w:cs="Arial"/>
          <w:color w:val="222222"/>
          <w:shd w:val="clear" w:color="auto" w:fill="FFFFFF"/>
        </w:rPr>
        <w:t>• </w:t>
      </w:r>
      <w:r w:rsidRPr="00B3609D">
        <w:rPr>
          <w:rFonts w:ascii="Arial" w:hAnsi="Arial" w:cs="Arial"/>
          <w:b/>
          <w:bCs/>
          <w:color w:val="FF0000"/>
          <w:shd w:val="clear" w:color="auto" w:fill="FFFFFF"/>
        </w:rPr>
        <w:t>Commercial Language: </w:t>
      </w:r>
      <w:proofErr w:type="spellStart"/>
      <w:r w:rsidRPr="00B3609D">
        <w:rPr>
          <w:rFonts w:ascii="Arial" w:hAnsi="Arial" w:cs="Arial"/>
          <w:color w:val="222222"/>
          <w:shd w:val="clear" w:color="auto" w:fill="FFFFFF"/>
        </w:rPr>
        <w:t>JoVE</w:t>
      </w:r>
      <w:proofErr w:type="spellEnd"/>
      <w:r w:rsidRPr="00B3609D">
        <w:rPr>
          <w:rFonts w:ascii="Arial" w:hAnsi="Arial" w:cs="Arial"/>
          <w:color w:val="222222"/>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E-gel EX, </w:t>
      </w:r>
      <w:proofErr w:type="spellStart"/>
      <w:r w:rsidRPr="00B3609D">
        <w:rPr>
          <w:rFonts w:ascii="Arial" w:hAnsi="Arial" w:cs="Arial"/>
          <w:color w:val="222222"/>
          <w:shd w:val="clear" w:color="auto" w:fill="FFFFFF"/>
        </w:rPr>
        <w:t>biotix</w:t>
      </w:r>
      <w:proofErr w:type="spellEnd"/>
      <w:r w:rsidRPr="00B3609D">
        <w:rPr>
          <w:rFonts w:ascii="Arial" w:hAnsi="Arial" w:cs="Arial"/>
          <w:color w:val="222222"/>
          <w:shd w:val="clear" w:color="auto" w:fill="FFFFFF"/>
        </w:rPr>
        <w:t xml:space="preserve">, </w:t>
      </w:r>
      <w:proofErr w:type="spellStart"/>
      <w:r w:rsidRPr="00B3609D">
        <w:rPr>
          <w:rFonts w:ascii="Arial" w:hAnsi="Arial" w:cs="Arial"/>
          <w:color w:val="222222"/>
          <w:shd w:val="clear" w:color="auto" w:fill="FFFFFF"/>
        </w:rPr>
        <w:t>utip</w:t>
      </w:r>
      <w:proofErr w:type="spellEnd"/>
      <w:r w:rsidRPr="00B3609D">
        <w:rPr>
          <w:rFonts w:ascii="Arial" w:hAnsi="Arial" w:cs="Arial"/>
          <w:color w:val="222222"/>
          <w:shd w:val="clear" w:color="auto" w:fill="FFFFFF"/>
        </w:rPr>
        <w:t>, Invitrogen,</w:t>
      </w:r>
      <w:r w:rsidRPr="00B3609D">
        <w:rPr>
          <w:rFonts w:ascii="Arial" w:hAnsi="Arial" w:cs="Arial"/>
          <w:color w:val="222222"/>
        </w:rPr>
        <w:br/>
      </w:r>
      <w:r w:rsidRPr="00B3609D">
        <w:rPr>
          <w:rFonts w:ascii="Arial" w:hAnsi="Arial" w:cs="Arial"/>
          <w:color w:val="222222"/>
          <w:shd w:val="clear" w:color="auto" w:fill="FFFFFF"/>
        </w:rPr>
        <w:t>1) Please use MS Word’s find function (</w:t>
      </w:r>
      <w:proofErr w:type="spellStart"/>
      <w:r w:rsidRPr="00B3609D">
        <w:rPr>
          <w:rFonts w:ascii="Arial" w:hAnsi="Arial" w:cs="Arial"/>
          <w:color w:val="222222"/>
          <w:shd w:val="clear" w:color="auto" w:fill="FFFFFF"/>
        </w:rPr>
        <w:t>Ctrl+F</w:t>
      </w:r>
      <w:proofErr w:type="spellEnd"/>
      <w:r w:rsidRPr="00B3609D">
        <w:rPr>
          <w:rFonts w:ascii="Arial" w:hAnsi="Arial" w:cs="Arial"/>
          <w:color w:val="222222"/>
          <w:shd w:val="clear" w:color="auto" w:fill="FFFFFF"/>
        </w:rPr>
        <w:t xml:space="preserve">), to locate and replace all commercial sounding </w:t>
      </w:r>
      <w:r w:rsidRPr="00B3609D">
        <w:rPr>
          <w:rFonts w:ascii="Arial" w:hAnsi="Arial" w:cs="Arial"/>
          <w:color w:val="222222"/>
          <w:shd w:val="clear" w:color="auto" w:fill="FFFFFF"/>
        </w:rPr>
        <w:lastRenderedPageBreak/>
        <w:t>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420F1F68" w14:textId="77777777" w:rsidR="00B3609D" w:rsidRPr="00B3609D" w:rsidRDefault="00B3609D" w:rsidP="00B3609D">
      <w:pPr>
        <w:pStyle w:val="ListParagraph"/>
        <w:numPr>
          <w:ilvl w:val="0"/>
          <w:numId w:val="1"/>
        </w:numPr>
        <w:rPr>
          <w:rFonts w:ascii="Arial" w:hAnsi="Arial" w:cs="Arial"/>
          <w:i/>
          <w:color w:val="222222"/>
        </w:rPr>
      </w:pPr>
      <w:r w:rsidRPr="00B3609D">
        <w:rPr>
          <w:rFonts w:ascii="Arial" w:hAnsi="Arial" w:cs="Arial"/>
          <w:i/>
          <w:color w:val="222222"/>
          <w:shd w:val="clear" w:color="auto" w:fill="FFFFFF"/>
        </w:rPr>
        <w:t>Have been changed, blur out</w:t>
      </w:r>
    </w:p>
    <w:p w14:paraId="5934B697" w14:textId="77777777" w:rsidR="00B3609D" w:rsidRDefault="009912F1" w:rsidP="00B3609D">
      <w:pPr>
        <w:rPr>
          <w:rFonts w:ascii="Arial" w:hAnsi="Arial" w:cs="Arial"/>
          <w:i/>
          <w:color w:val="222222"/>
          <w:shd w:val="clear" w:color="auto" w:fill="FFFFFF"/>
        </w:rPr>
      </w:pPr>
      <w:r w:rsidRPr="00B3609D">
        <w:rPr>
          <w:rFonts w:ascii="Arial" w:hAnsi="Arial" w:cs="Arial"/>
          <w:color w:val="222222"/>
          <w:shd w:val="clear" w:color="auto" w:fill="FFFFFF"/>
        </w:rPr>
        <w:t>2) Fig 4,5: blur out product names.</w:t>
      </w:r>
      <w:r w:rsidRPr="00B3609D">
        <w:rPr>
          <w:rFonts w:ascii="Arial" w:hAnsi="Arial" w:cs="Arial"/>
          <w:color w:val="222222"/>
        </w:rPr>
        <w:br/>
      </w:r>
    </w:p>
    <w:p w14:paraId="564DA894" w14:textId="77777777" w:rsidR="00B3609D" w:rsidRDefault="00B3609D" w:rsidP="00B3609D">
      <w:pPr>
        <w:rPr>
          <w:rFonts w:ascii="Arial" w:hAnsi="Arial" w:cs="Arial"/>
          <w:i/>
          <w:color w:val="222222"/>
          <w:shd w:val="clear" w:color="auto" w:fill="FFFFFF"/>
        </w:rPr>
      </w:pPr>
      <w:r>
        <w:rPr>
          <w:rFonts w:ascii="Arial" w:hAnsi="Arial" w:cs="Arial"/>
          <w:i/>
          <w:color w:val="222222"/>
          <w:shd w:val="clear" w:color="auto" w:fill="FFFFFF"/>
        </w:rPr>
        <w:t xml:space="preserve">- </w:t>
      </w:r>
      <w:r w:rsidRPr="00B3609D">
        <w:rPr>
          <w:rFonts w:ascii="Arial" w:hAnsi="Arial" w:cs="Arial"/>
          <w:i/>
          <w:color w:val="222222"/>
          <w:shd w:val="clear" w:color="auto" w:fill="FFFFFF"/>
        </w:rPr>
        <w:t>Have been changed, blur out</w:t>
      </w:r>
      <w:r>
        <w:rPr>
          <w:rFonts w:ascii="Arial" w:hAnsi="Arial" w:cs="Arial"/>
          <w:i/>
          <w:color w:val="222222"/>
          <w:shd w:val="clear" w:color="auto" w:fill="FFFFFF"/>
        </w:rPr>
        <w:t xml:space="preserve"> (Fig</w:t>
      </w:r>
      <w:r w:rsidR="007E529B">
        <w:rPr>
          <w:rFonts w:ascii="Arial" w:hAnsi="Arial" w:cs="Arial"/>
          <w:i/>
          <w:color w:val="222222"/>
          <w:shd w:val="clear" w:color="auto" w:fill="FFFFFF"/>
        </w:rPr>
        <w:t xml:space="preserve"> 5,6</w:t>
      </w:r>
      <w:r>
        <w:rPr>
          <w:rFonts w:ascii="Arial" w:hAnsi="Arial" w:cs="Arial"/>
          <w:i/>
          <w:color w:val="222222"/>
          <w:shd w:val="clear" w:color="auto" w:fill="FFFFFF"/>
        </w:rPr>
        <w:t>)</w:t>
      </w:r>
    </w:p>
    <w:p w14:paraId="7C491AEA" w14:textId="77777777" w:rsidR="009912F1" w:rsidRPr="00B3609D" w:rsidRDefault="009912F1" w:rsidP="00B3609D">
      <w:pPr>
        <w:rPr>
          <w:rFonts w:ascii="Arial" w:hAnsi="Arial" w:cs="Arial"/>
          <w:i/>
          <w:color w:val="222222"/>
          <w:shd w:val="clear" w:color="auto" w:fill="FFFFFF"/>
        </w:rPr>
      </w:pPr>
      <w:r w:rsidRPr="00B3609D">
        <w:rPr>
          <w:rFonts w:ascii="Arial" w:hAnsi="Arial" w:cs="Arial"/>
          <w:color w:val="222222"/>
        </w:rPr>
        <w:br/>
      </w:r>
      <w:r w:rsidRPr="00B3609D">
        <w:rPr>
          <w:rFonts w:ascii="Arial" w:hAnsi="Arial" w:cs="Arial"/>
          <w:color w:val="222222"/>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B3609D">
        <w:rPr>
          <w:rFonts w:ascii="Arial" w:hAnsi="Arial" w:cs="Arial"/>
          <w:color w:val="222222"/>
          <w:shd w:val="clear" w:color="auto" w:fill="FFFFFF"/>
        </w:rPr>
        <w:t>JoVE</w:t>
      </w:r>
      <w:proofErr w:type="spellEnd"/>
      <w:r w:rsidRPr="00B3609D">
        <w:rPr>
          <w:rFonts w:ascii="Arial" w:hAnsi="Arial" w:cs="Arial"/>
          <w:color w:val="222222"/>
          <w:shd w:val="clear" w:color="auto" w:fill="FFFFFF"/>
        </w:rPr>
        <w:t>)" section. Please also cite the figure appropriately in the figure legend, i.e. "This figure has been modified from [citation]."</w:t>
      </w:r>
      <w:r w:rsidRPr="00B3609D">
        <w:rPr>
          <w:rFonts w:ascii="Arial" w:hAnsi="Arial" w:cs="Arial"/>
          <w:color w:val="222222"/>
        </w:rPr>
        <w:br/>
      </w:r>
    </w:p>
    <w:p w14:paraId="50085CD4" w14:textId="13EB1440" w:rsidR="009C0D69" w:rsidRDefault="009912F1">
      <w:pPr>
        <w:rPr>
          <w:rFonts w:ascii="Arial" w:hAnsi="Arial" w:cs="Arial"/>
          <w:color w:val="222222"/>
        </w:rPr>
      </w:pPr>
      <w:r>
        <w:rPr>
          <w:rFonts w:ascii="Arial" w:hAnsi="Arial" w:cs="Arial"/>
          <w:color w:val="222222"/>
          <w:shd w:val="clear" w:color="auto" w:fill="FFFFFF"/>
        </w:rPr>
        <w:t>____________________________________</w:t>
      </w:r>
      <w:r>
        <w:rPr>
          <w:rFonts w:ascii="Arial" w:hAnsi="Arial" w:cs="Arial"/>
          <w:color w:val="222222"/>
        </w:rPr>
        <w:br/>
      </w:r>
      <w:r>
        <w:rPr>
          <w:rStyle w:val="Strong"/>
          <w:rFonts w:ascii="Arial" w:hAnsi="Arial" w:cs="Arial"/>
          <w:color w:val="0000FF"/>
          <w:u w:val="single"/>
          <w:shd w:val="clear" w:color="auto" w:fill="FFFFFF"/>
        </w:rPr>
        <w:t>Reviewers' comments:</w:t>
      </w: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authors demonstrated that HRM and agarose gel electrophoresis are effective methods to identify types of CALR mutation.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1. The abstract was not correlated with the manuscript since it did not provide the information about methods and results of the manuscript.</w:t>
      </w:r>
      <w:r w:rsidR="00AC53AC">
        <w:rPr>
          <w:rFonts w:ascii="Arial" w:hAnsi="Arial" w:cs="Arial"/>
          <w:color w:val="222222"/>
          <w:shd w:val="clear" w:color="auto" w:fill="FFFFFF"/>
        </w:rPr>
        <w:t xml:space="preserve"> – </w:t>
      </w:r>
      <w:proofErr w:type="gramStart"/>
      <w:r w:rsidR="00AC53AC" w:rsidRPr="00AC53AC">
        <w:rPr>
          <w:rFonts w:ascii="Arial" w:hAnsi="Arial" w:cs="Arial"/>
          <w:i/>
          <w:iCs/>
          <w:color w:val="222222"/>
          <w:highlight w:val="yellow"/>
          <w:shd w:val="clear" w:color="auto" w:fill="FFFFFF"/>
        </w:rPr>
        <w:t>the</w:t>
      </w:r>
      <w:proofErr w:type="gramEnd"/>
      <w:r w:rsidR="00AC53AC" w:rsidRPr="00AC53AC">
        <w:rPr>
          <w:rFonts w:ascii="Arial" w:hAnsi="Arial" w:cs="Arial"/>
          <w:i/>
          <w:iCs/>
          <w:color w:val="222222"/>
          <w:highlight w:val="yellow"/>
          <w:shd w:val="clear" w:color="auto" w:fill="FFFFFF"/>
        </w:rPr>
        <w:t xml:space="preserve"> abstract consists of the description of </w:t>
      </w:r>
      <w:r w:rsidR="00BA38E9">
        <w:rPr>
          <w:rFonts w:ascii="Arial" w:hAnsi="Arial" w:cs="Arial"/>
          <w:i/>
          <w:iCs/>
          <w:color w:val="222222"/>
          <w:highlight w:val="yellow"/>
          <w:shd w:val="clear" w:color="auto" w:fill="FFFFFF"/>
        </w:rPr>
        <w:t>the method</w:t>
      </w:r>
      <w:r w:rsidR="00AC53AC" w:rsidRPr="00AC53AC">
        <w:rPr>
          <w:rFonts w:ascii="Arial" w:hAnsi="Arial" w:cs="Arial"/>
          <w:i/>
          <w:iCs/>
          <w:color w:val="222222"/>
          <w:highlight w:val="yellow"/>
          <w:shd w:val="clear" w:color="auto" w:fill="FFFFFF"/>
        </w:rPr>
        <w:t xml:space="preserve"> and we added our clinical results</w:t>
      </w:r>
      <w:r>
        <w:rPr>
          <w:rFonts w:ascii="Arial" w:hAnsi="Arial" w:cs="Arial"/>
          <w:color w:val="222222"/>
        </w:rPr>
        <w:br/>
      </w:r>
      <w:r>
        <w:rPr>
          <w:rFonts w:ascii="Arial" w:hAnsi="Arial" w:cs="Arial"/>
          <w:color w:val="222222"/>
          <w:shd w:val="clear" w:color="auto" w:fill="FFFFFF"/>
        </w:rPr>
        <w:t>2. The authors should describe more information about material and methods.</w:t>
      </w:r>
      <w:r>
        <w:rPr>
          <w:rFonts w:ascii="Arial" w:hAnsi="Arial" w:cs="Arial"/>
          <w:color w:val="222222"/>
        </w:rPr>
        <w:br/>
      </w:r>
      <w:r>
        <w:rPr>
          <w:rFonts w:ascii="Arial" w:hAnsi="Arial" w:cs="Arial"/>
          <w:color w:val="222222"/>
          <w:shd w:val="clear" w:color="auto" w:fill="FFFFFF"/>
        </w:rPr>
        <w:t>- Population (MPN patients, which type?) and sample size calculation</w:t>
      </w:r>
      <w:r w:rsidR="00591008">
        <w:rPr>
          <w:rFonts w:ascii="Arial" w:hAnsi="Arial" w:cs="Arial"/>
          <w:color w:val="222222"/>
          <w:shd w:val="clear" w:color="auto" w:fill="FFFFFF"/>
        </w:rPr>
        <w:t xml:space="preserve"> – </w:t>
      </w:r>
      <w:r w:rsidR="00591008" w:rsidRPr="0004555E">
        <w:rPr>
          <w:rFonts w:ascii="Arial" w:hAnsi="Arial" w:cs="Arial"/>
          <w:i/>
          <w:iCs/>
          <w:color w:val="222222"/>
          <w:highlight w:val="yellow"/>
          <w:shd w:val="clear" w:color="auto" w:fill="FFFFFF"/>
        </w:rPr>
        <w:t>we have included the necessary patient population information in the text</w:t>
      </w:r>
      <w:bookmarkStart w:id="0" w:name="_GoBack"/>
      <w:bookmarkEnd w:id="0"/>
      <w:r>
        <w:rPr>
          <w:rFonts w:ascii="Arial" w:hAnsi="Arial" w:cs="Arial"/>
          <w:color w:val="222222"/>
        </w:rPr>
        <w:br/>
      </w:r>
      <w:r>
        <w:rPr>
          <w:rFonts w:ascii="Arial" w:hAnsi="Arial" w:cs="Arial"/>
          <w:color w:val="222222"/>
          <w:shd w:val="clear" w:color="auto" w:fill="FFFFFF"/>
        </w:rPr>
        <w:t>- Ethical consideration for analysis of specimen</w:t>
      </w:r>
      <w:r w:rsidR="00591008">
        <w:rPr>
          <w:rFonts w:ascii="Arial" w:hAnsi="Arial" w:cs="Arial"/>
          <w:color w:val="222222"/>
          <w:shd w:val="clear" w:color="auto" w:fill="FFFFFF"/>
        </w:rPr>
        <w:t xml:space="preserve"> – </w:t>
      </w:r>
      <w:r w:rsidR="00591008" w:rsidRPr="0004555E">
        <w:rPr>
          <w:rFonts w:ascii="Arial" w:hAnsi="Arial" w:cs="Arial"/>
          <w:i/>
          <w:iCs/>
          <w:color w:val="222222"/>
          <w:highlight w:val="yellow"/>
          <w:shd w:val="clear" w:color="auto" w:fill="FFFFFF"/>
        </w:rPr>
        <w:t>it was addressed in the text</w:t>
      </w:r>
      <w:r>
        <w:rPr>
          <w:rFonts w:ascii="Arial" w:hAnsi="Arial" w:cs="Arial"/>
          <w:color w:val="222222"/>
        </w:rPr>
        <w:br/>
      </w:r>
      <w:r>
        <w:rPr>
          <w:rFonts w:ascii="Arial" w:hAnsi="Arial" w:cs="Arial"/>
          <w:color w:val="222222"/>
          <w:shd w:val="clear" w:color="auto" w:fill="FFFFFF"/>
        </w:rPr>
        <w:t xml:space="preserve">- Overview of method such as performed HRM, gel electrophoresis, and Sanger sequencing concurrently or in sequential? – </w:t>
      </w:r>
      <w:r w:rsidRPr="009912F1">
        <w:rPr>
          <w:rFonts w:ascii="Arial" w:hAnsi="Arial" w:cs="Arial"/>
          <w:i/>
          <w:color w:val="222222"/>
          <w:shd w:val="clear" w:color="auto" w:fill="FFFFFF"/>
        </w:rPr>
        <w:t>we have included a figure showing our step-wise appr</w:t>
      </w:r>
      <w:r>
        <w:rPr>
          <w:rFonts w:ascii="Arial" w:hAnsi="Arial" w:cs="Arial"/>
          <w:i/>
          <w:color w:val="222222"/>
          <w:shd w:val="clear" w:color="auto" w:fill="FFFFFF"/>
        </w:rPr>
        <w:t>oach to CALR mutation detection with HRM used as a screening method, gel electrophoresis as a confirmation method and Sanger sequencing in determining non type 1 or type 2 mutations</w:t>
      </w:r>
      <w:r w:rsidRPr="009912F1">
        <w:rPr>
          <w:rFonts w:ascii="Arial" w:hAnsi="Arial" w:cs="Arial"/>
          <w:i/>
          <w:color w:val="222222"/>
        </w:rPr>
        <w:br/>
      </w:r>
      <w:r>
        <w:rPr>
          <w:rFonts w:ascii="Arial" w:hAnsi="Arial" w:cs="Arial"/>
          <w:color w:val="222222"/>
          <w:shd w:val="clear" w:color="auto" w:fill="FFFFFF"/>
        </w:rPr>
        <w:t xml:space="preserve">- Describe about statistical analysis – </w:t>
      </w:r>
      <w:r w:rsidRPr="009912F1">
        <w:rPr>
          <w:rFonts w:ascii="Arial" w:hAnsi="Arial" w:cs="Arial"/>
          <w:i/>
          <w:color w:val="222222"/>
          <w:shd w:val="clear" w:color="auto" w:fill="FFFFFF"/>
        </w:rPr>
        <w:t>does not apply to our manuscript</w:t>
      </w:r>
      <w:r w:rsidRPr="009912F1">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The conclusion that "HRM is powerful method for genotyping and genetic variation scanning" should be specific for CALR mutation according to this study.</w:t>
      </w:r>
      <w:r>
        <w:rPr>
          <w:rFonts w:ascii="Arial" w:hAnsi="Arial" w:cs="Arial"/>
          <w:color w:val="222222"/>
        </w:rPr>
        <w:br/>
      </w:r>
      <w:r>
        <w:rPr>
          <w:rFonts w:ascii="Arial" w:hAnsi="Arial" w:cs="Arial"/>
          <w:color w:val="222222"/>
        </w:rPr>
        <w:br/>
      </w:r>
    </w:p>
    <w:p w14:paraId="6A92D01D" w14:textId="6BDE011D" w:rsidR="007E529B" w:rsidRPr="009C0D69" w:rsidRDefault="009912F1">
      <w:pPr>
        <w:rPr>
          <w:rFonts w:ascii="Arial" w:hAnsi="Arial" w:cs="Arial"/>
          <w:color w:val="222222"/>
        </w:rPr>
      </w:pPr>
      <w:r>
        <w:rPr>
          <w:rFonts w:ascii="Arial" w:hAnsi="Arial" w:cs="Arial"/>
          <w:b/>
          <w:bCs/>
          <w:color w:val="222222"/>
          <w:shd w:val="clear" w:color="auto" w:fill="FFFFFF"/>
        </w:rPr>
        <w:lastRenderedPageBreak/>
        <w:t>Reviewer #2</w:t>
      </w:r>
      <w:proofErr w:type="gramStart"/>
      <w:r>
        <w:rPr>
          <w:rFonts w:ascii="Arial" w:hAnsi="Arial" w:cs="Arial"/>
          <w:b/>
          <w:bCs/>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Pajič et al describe the use of high resolution melt curve analysis to detect somatic mutations in the CALR gene. They discuss the use of the ViiA7 Real-Time PCR System and associated software to </w:t>
      </w:r>
      <w:proofErr w:type="spellStart"/>
      <w:r>
        <w:rPr>
          <w:rFonts w:ascii="Arial" w:hAnsi="Arial" w:cs="Arial"/>
          <w:color w:val="222222"/>
          <w:shd w:val="clear" w:color="auto" w:fill="FFFFFF"/>
        </w:rPr>
        <w:t>analyse</w:t>
      </w:r>
      <w:proofErr w:type="spellEnd"/>
      <w:r>
        <w:rPr>
          <w:rFonts w:ascii="Arial" w:hAnsi="Arial" w:cs="Arial"/>
          <w:color w:val="222222"/>
          <w:shd w:val="clear" w:color="auto" w:fill="FFFFFF"/>
        </w:rPr>
        <w:t xml:space="preserve"> a sample number of samples and controls for type 1 and type 2 CALR mutations.</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 xml:space="preserve">1) The manuscript is very specific to the type of machine and reagents used. Although it demonstrates that CALR mutations can be detected using HRM the protocol presented is not directly transferable to other HRM platforms. The most difficult aspect of HRM is the analysis and applying the correct software parameters and this will vary greatly for each amplicon </w:t>
      </w:r>
      <w:proofErr w:type="spellStart"/>
      <w:r>
        <w:rPr>
          <w:rFonts w:ascii="Arial" w:hAnsi="Arial" w:cs="Arial"/>
          <w:color w:val="222222"/>
          <w:shd w:val="clear" w:color="auto" w:fill="FFFFFF"/>
        </w:rPr>
        <w:t>analysed</w:t>
      </w:r>
      <w:proofErr w:type="spellEnd"/>
      <w:r>
        <w:rPr>
          <w:rFonts w:ascii="Arial" w:hAnsi="Arial" w:cs="Arial"/>
          <w:color w:val="222222"/>
          <w:shd w:val="clear" w:color="auto" w:fill="FFFFFF"/>
        </w:rPr>
        <w:t xml:space="preserve"> and each HRM platform used.</w:t>
      </w:r>
      <w:r>
        <w:rPr>
          <w:rFonts w:ascii="Arial" w:hAnsi="Arial" w:cs="Arial"/>
          <w:color w:val="222222"/>
        </w:rPr>
        <w:br/>
      </w:r>
    </w:p>
    <w:p w14:paraId="1D46DBDA" w14:textId="77777777" w:rsidR="00F1049C" w:rsidRDefault="007E529B" w:rsidP="00CC14E5">
      <w:pPr>
        <w:jc w:val="both"/>
        <w:rPr>
          <w:rFonts w:ascii="Arial" w:hAnsi="Arial" w:cs="Arial"/>
          <w:i/>
          <w:color w:val="222222"/>
        </w:rPr>
      </w:pPr>
      <w:r w:rsidRPr="00335FD9">
        <w:rPr>
          <w:rFonts w:ascii="Arial" w:hAnsi="Arial" w:cs="Arial"/>
          <w:i/>
          <w:color w:val="222222"/>
        </w:rPr>
        <w:t xml:space="preserve">- </w:t>
      </w:r>
      <w:r w:rsidR="00A55A1E" w:rsidRPr="00335FD9">
        <w:rPr>
          <w:rFonts w:ascii="Arial" w:hAnsi="Arial" w:cs="Arial"/>
          <w:i/>
          <w:color w:val="222222"/>
        </w:rPr>
        <w:t>It</w:t>
      </w:r>
      <w:r w:rsidR="00444382" w:rsidRPr="00335FD9">
        <w:rPr>
          <w:rFonts w:ascii="Arial" w:hAnsi="Arial" w:cs="Arial"/>
          <w:i/>
          <w:color w:val="222222"/>
        </w:rPr>
        <w:t xml:space="preserve"> is also true for many other molecular genetic tests. </w:t>
      </w:r>
      <w:r w:rsidR="0034081D" w:rsidRPr="00335FD9">
        <w:rPr>
          <w:rFonts w:ascii="Arial" w:hAnsi="Arial" w:cs="Arial"/>
          <w:i/>
          <w:color w:val="222222"/>
        </w:rPr>
        <w:t xml:space="preserve">However, </w:t>
      </w:r>
      <w:r w:rsidR="00444382" w:rsidRPr="00335FD9">
        <w:rPr>
          <w:rFonts w:ascii="Arial" w:hAnsi="Arial" w:cs="Arial"/>
          <w:i/>
          <w:color w:val="222222"/>
        </w:rPr>
        <w:t>the most important</w:t>
      </w:r>
      <w:r w:rsidR="0034081D" w:rsidRPr="00335FD9">
        <w:rPr>
          <w:rFonts w:ascii="Arial" w:hAnsi="Arial" w:cs="Arial"/>
          <w:i/>
          <w:color w:val="222222"/>
        </w:rPr>
        <w:t xml:space="preserve"> part in the </w:t>
      </w:r>
      <w:r w:rsidR="00A55A1E" w:rsidRPr="00335FD9">
        <w:rPr>
          <w:rFonts w:ascii="Arial" w:hAnsi="Arial" w:cs="Arial"/>
          <w:i/>
          <w:color w:val="222222"/>
        </w:rPr>
        <w:t>successful</w:t>
      </w:r>
      <w:r w:rsidR="00335FD9" w:rsidRPr="00335FD9">
        <w:rPr>
          <w:rFonts w:ascii="Arial" w:hAnsi="Arial" w:cs="Arial"/>
          <w:i/>
          <w:color w:val="222222"/>
        </w:rPr>
        <w:t xml:space="preserve"> implementation of the </w:t>
      </w:r>
      <w:r w:rsidR="00390F00">
        <w:rPr>
          <w:rFonts w:ascii="Arial" w:hAnsi="Arial" w:cs="Arial"/>
          <w:i/>
          <w:color w:val="222222"/>
        </w:rPr>
        <w:t>PCR</w:t>
      </w:r>
      <w:r w:rsidR="008A7CD6">
        <w:rPr>
          <w:rFonts w:ascii="Arial" w:hAnsi="Arial" w:cs="Arial"/>
          <w:i/>
          <w:color w:val="222222"/>
        </w:rPr>
        <w:t xml:space="preserve"> (qPCR)</w:t>
      </w:r>
      <w:r w:rsidR="00390F00">
        <w:rPr>
          <w:rFonts w:ascii="Arial" w:hAnsi="Arial" w:cs="Arial"/>
          <w:i/>
          <w:color w:val="222222"/>
        </w:rPr>
        <w:t>-based test</w:t>
      </w:r>
      <w:r w:rsidR="00335FD9" w:rsidRPr="00335FD9">
        <w:rPr>
          <w:rFonts w:ascii="Arial" w:hAnsi="Arial" w:cs="Arial"/>
          <w:i/>
          <w:color w:val="222222"/>
        </w:rPr>
        <w:t xml:space="preserve"> on different platforms</w:t>
      </w:r>
      <w:r w:rsidR="00A55A1E" w:rsidRPr="00335FD9">
        <w:rPr>
          <w:rFonts w:ascii="Arial" w:hAnsi="Arial" w:cs="Arial"/>
          <w:i/>
          <w:color w:val="222222"/>
        </w:rPr>
        <w:t xml:space="preserve"> </w:t>
      </w:r>
      <w:r w:rsidR="00335FD9" w:rsidRPr="00335FD9">
        <w:rPr>
          <w:rFonts w:ascii="Arial" w:hAnsi="Arial" w:cs="Arial"/>
          <w:i/>
          <w:color w:val="222222"/>
        </w:rPr>
        <w:t xml:space="preserve">are the primer sequences used in the PCR </w:t>
      </w:r>
      <w:r w:rsidR="008A7CD6">
        <w:rPr>
          <w:rFonts w:ascii="Arial" w:hAnsi="Arial" w:cs="Arial"/>
          <w:i/>
          <w:color w:val="222222"/>
        </w:rPr>
        <w:t xml:space="preserve">(qPCR) </w:t>
      </w:r>
      <w:r w:rsidR="00335FD9" w:rsidRPr="00335FD9">
        <w:rPr>
          <w:rFonts w:ascii="Arial" w:hAnsi="Arial" w:cs="Arial"/>
          <w:i/>
          <w:color w:val="222222"/>
        </w:rPr>
        <w:t>protocols</w:t>
      </w:r>
      <w:r w:rsidR="00390F00">
        <w:rPr>
          <w:rFonts w:ascii="Arial" w:hAnsi="Arial" w:cs="Arial"/>
          <w:i/>
          <w:color w:val="222222"/>
        </w:rPr>
        <w:t>.</w:t>
      </w:r>
      <w:r w:rsidR="00222AAA">
        <w:rPr>
          <w:rFonts w:ascii="Arial" w:hAnsi="Arial" w:cs="Arial"/>
          <w:i/>
          <w:color w:val="222222"/>
        </w:rPr>
        <w:t xml:space="preserve"> </w:t>
      </w:r>
      <w:r w:rsidR="00A55A1E" w:rsidRPr="00335FD9">
        <w:rPr>
          <w:rFonts w:ascii="Arial" w:hAnsi="Arial" w:cs="Arial"/>
          <w:i/>
          <w:color w:val="222222"/>
        </w:rPr>
        <w:t>S</w:t>
      </w:r>
      <w:r w:rsidR="0034081D" w:rsidRPr="00335FD9">
        <w:rPr>
          <w:rFonts w:ascii="Arial" w:hAnsi="Arial" w:cs="Arial"/>
          <w:i/>
          <w:color w:val="222222"/>
        </w:rPr>
        <w:t xml:space="preserve">ome </w:t>
      </w:r>
      <w:r w:rsidR="00A55A1E" w:rsidRPr="00335FD9">
        <w:rPr>
          <w:rFonts w:ascii="Arial" w:hAnsi="Arial" w:cs="Arial"/>
          <w:i/>
          <w:color w:val="222222"/>
        </w:rPr>
        <w:t xml:space="preserve">of the </w:t>
      </w:r>
      <w:r w:rsidR="0034081D" w:rsidRPr="00335FD9">
        <w:rPr>
          <w:rFonts w:ascii="Arial" w:hAnsi="Arial" w:cs="Arial"/>
          <w:i/>
          <w:color w:val="222222"/>
        </w:rPr>
        <w:t>exa</w:t>
      </w:r>
      <w:r w:rsidR="00A55A1E" w:rsidRPr="00335FD9">
        <w:rPr>
          <w:rFonts w:ascii="Arial" w:hAnsi="Arial" w:cs="Arial"/>
          <w:i/>
          <w:color w:val="222222"/>
        </w:rPr>
        <w:t xml:space="preserve">mples are standardization of the PCR </w:t>
      </w:r>
      <w:r w:rsidR="00335FD9" w:rsidRPr="00335FD9">
        <w:rPr>
          <w:rFonts w:ascii="Arial" w:hAnsi="Arial" w:cs="Arial"/>
          <w:i/>
          <w:color w:val="222222"/>
        </w:rPr>
        <w:t xml:space="preserve">primers </w:t>
      </w:r>
      <w:r w:rsidR="00222AAA">
        <w:rPr>
          <w:rFonts w:ascii="Arial" w:hAnsi="Arial" w:cs="Arial"/>
          <w:i/>
          <w:color w:val="222222"/>
        </w:rPr>
        <w:t xml:space="preserve">and </w:t>
      </w:r>
      <w:r w:rsidR="00A55A1E" w:rsidRPr="00335FD9">
        <w:rPr>
          <w:rFonts w:ascii="Arial" w:hAnsi="Arial" w:cs="Arial"/>
          <w:i/>
          <w:color w:val="222222"/>
        </w:rPr>
        <w:t>protocols in A Europe Against Cancer Program</w:t>
      </w:r>
      <w:r w:rsidR="00390F00">
        <w:rPr>
          <w:rFonts w:ascii="Arial" w:hAnsi="Arial" w:cs="Arial"/>
          <w:i/>
          <w:color w:val="222222"/>
        </w:rPr>
        <w:t xml:space="preserve"> </w:t>
      </w:r>
      <w:r w:rsidR="00390F00" w:rsidRPr="00335FD9">
        <w:rPr>
          <w:rFonts w:ascii="Arial" w:hAnsi="Arial" w:cs="Arial"/>
          <w:i/>
          <w:color w:val="222222"/>
        </w:rPr>
        <w:t>(1,2,3)</w:t>
      </w:r>
      <w:r w:rsidR="00222AAA">
        <w:rPr>
          <w:rFonts w:ascii="Arial" w:hAnsi="Arial" w:cs="Arial"/>
          <w:i/>
          <w:color w:val="222222"/>
        </w:rPr>
        <w:t xml:space="preserve">. </w:t>
      </w:r>
      <w:r w:rsidR="00F1049C">
        <w:rPr>
          <w:rFonts w:ascii="Arial" w:hAnsi="Arial" w:cs="Arial"/>
          <w:i/>
          <w:color w:val="222222"/>
        </w:rPr>
        <w:t>Such a</w:t>
      </w:r>
      <w:r w:rsidR="00335FD9">
        <w:rPr>
          <w:rFonts w:ascii="Arial" w:hAnsi="Arial" w:cs="Arial"/>
          <w:i/>
          <w:color w:val="222222"/>
        </w:rPr>
        <w:t xml:space="preserve"> standardization effort ha</w:t>
      </w:r>
      <w:r w:rsidR="00222AAA">
        <w:rPr>
          <w:rFonts w:ascii="Arial" w:hAnsi="Arial" w:cs="Arial"/>
          <w:i/>
          <w:color w:val="222222"/>
        </w:rPr>
        <w:t>s</w:t>
      </w:r>
      <w:r w:rsidR="00335FD9">
        <w:rPr>
          <w:rFonts w:ascii="Arial" w:hAnsi="Arial" w:cs="Arial"/>
          <w:i/>
          <w:color w:val="222222"/>
        </w:rPr>
        <w:t xml:space="preserve"> not been </w:t>
      </w:r>
      <w:r w:rsidR="00F1049C">
        <w:rPr>
          <w:rFonts w:ascii="Arial" w:hAnsi="Arial" w:cs="Arial"/>
          <w:i/>
          <w:color w:val="222222"/>
        </w:rPr>
        <w:t>performed</w:t>
      </w:r>
      <w:r w:rsidR="00335FD9">
        <w:rPr>
          <w:rFonts w:ascii="Arial" w:hAnsi="Arial" w:cs="Arial"/>
          <w:i/>
          <w:color w:val="222222"/>
        </w:rPr>
        <w:t xml:space="preserve"> </w:t>
      </w:r>
      <w:r w:rsidR="00222AAA">
        <w:rPr>
          <w:rFonts w:ascii="Arial" w:hAnsi="Arial" w:cs="Arial"/>
          <w:i/>
          <w:color w:val="222222"/>
        </w:rPr>
        <w:t>for the genetic variant detection in the CALR gene, yet. Therefore,</w:t>
      </w:r>
      <w:r w:rsidR="00335FD9">
        <w:rPr>
          <w:rFonts w:ascii="Arial" w:hAnsi="Arial" w:cs="Arial"/>
          <w:i/>
          <w:color w:val="222222"/>
        </w:rPr>
        <w:t xml:space="preserve"> w</w:t>
      </w:r>
      <w:r w:rsidR="00222AAA">
        <w:rPr>
          <w:rFonts w:ascii="Arial" w:hAnsi="Arial" w:cs="Arial"/>
          <w:i/>
          <w:color w:val="222222"/>
        </w:rPr>
        <w:t xml:space="preserve">e have searched for the most suitable primer sequences for the </w:t>
      </w:r>
      <w:r w:rsidR="008A7CD6">
        <w:rPr>
          <w:rFonts w:ascii="Arial" w:hAnsi="Arial" w:cs="Arial"/>
          <w:i/>
          <w:color w:val="222222"/>
        </w:rPr>
        <w:t xml:space="preserve">our </w:t>
      </w:r>
      <w:r w:rsidR="00222AAA">
        <w:rPr>
          <w:rFonts w:ascii="Arial" w:hAnsi="Arial" w:cs="Arial"/>
          <w:i/>
          <w:color w:val="222222"/>
        </w:rPr>
        <w:t xml:space="preserve">HRM assay and found them in the </w:t>
      </w:r>
      <w:r w:rsidR="00390F00">
        <w:rPr>
          <w:rFonts w:ascii="Arial" w:hAnsi="Arial" w:cs="Arial"/>
          <w:i/>
          <w:color w:val="222222"/>
        </w:rPr>
        <w:t>principal study</w:t>
      </w:r>
      <w:r w:rsidR="00F1049C">
        <w:rPr>
          <w:rFonts w:ascii="Arial" w:hAnsi="Arial" w:cs="Arial"/>
          <w:i/>
          <w:color w:val="222222"/>
        </w:rPr>
        <w:t>,</w:t>
      </w:r>
      <w:r w:rsidR="00390F00">
        <w:rPr>
          <w:rFonts w:ascii="Arial" w:hAnsi="Arial" w:cs="Arial"/>
          <w:i/>
          <w:color w:val="222222"/>
        </w:rPr>
        <w:t xml:space="preserve"> w</w:t>
      </w:r>
      <w:r w:rsidR="00F1049C">
        <w:rPr>
          <w:rFonts w:ascii="Arial" w:hAnsi="Arial" w:cs="Arial"/>
          <w:i/>
          <w:color w:val="222222"/>
        </w:rPr>
        <w:t>h</w:t>
      </w:r>
      <w:r w:rsidR="00390F00">
        <w:rPr>
          <w:rFonts w:ascii="Arial" w:hAnsi="Arial" w:cs="Arial"/>
          <w:i/>
          <w:color w:val="222222"/>
        </w:rPr>
        <w:t>ere the genetic variant</w:t>
      </w:r>
      <w:r w:rsidR="008A7CD6">
        <w:rPr>
          <w:rFonts w:ascii="Arial" w:hAnsi="Arial" w:cs="Arial"/>
          <w:i/>
          <w:color w:val="222222"/>
        </w:rPr>
        <w:t>s</w:t>
      </w:r>
      <w:r w:rsidR="00390F00">
        <w:rPr>
          <w:rFonts w:ascii="Arial" w:hAnsi="Arial" w:cs="Arial"/>
          <w:i/>
          <w:color w:val="222222"/>
        </w:rPr>
        <w:t xml:space="preserve"> in the CALR gene in </w:t>
      </w:r>
      <w:r w:rsidR="008A7CD6" w:rsidRPr="008A7CD6">
        <w:rPr>
          <w:rFonts w:ascii="Arial" w:hAnsi="Arial" w:cs="Arial"/>
          <w:i/>
          <w:color w:val="222222"/>
        </w:rPr>
        <w:t xml:space="preserve">patients with Philadelphia chromosome–negative myeloproliferative </w:t>
      </w:r>
      <w:r w:rsidR="008A7CD6">
        <w:rPr>
          <w:rFonts w:ascii="Arial" w:hAnsi="Arial" w:cs="Arial"/>
          <w:i/>
          <w:color w:val="222222"/>
        </w:rPr>
        <w:t>n</w:t>
      </w:r>
      <w:r w:rsidR="008A7CD6" w:rsidRPr="008A7CD6">
        <w:rPr>
          <w:rFonts w:ascii="Arial" w:hAnsi="Arial" w:cs="Arial"/>
          <w:i/>
          <w:color w:val="222222"/>
        </w:rPr>
        <w:t>eoplasms</w:t>
      </w:r>
      <w:r w:rsidR="008A7CD6">
        <w:rPr>
          <w:rFonts w:ascii="Arial" w:hAnsi="Arial" w:cs="Arial"/>
          <w:i/>
          <w:color w:val="222222"/>
        </w:rPr>
        <w:t xml:space="preserve"> </w:t>
      </w:r>
      <w:r w:rsidR="00F1049C">
        <w:rPr>
          <w:rFonts w:ascii="Arial" w:hAnsi="Arial" w:cs="Arial"/>
          <w:i/>
          <w:color w:val="222222"/>
        </w:rPr>
        <w:t xml:space="preserve">were found </w:t>
      </w:r>
      <w:r w:rsidR="008A7CD6">
        <w:rPr>
          <w:rFonts w:ascii="Arial" w:hAnsi="Arial" w:cs="Arial"/>
          <w:i/>
          <w:color w:val="222222"/>
        </w:rPr>
        <w:t>(4).</w:t>
      </w:r>
      <w:r w:rsidR="00390F00">
        <w:rPr>
          <w:rFonts w:ascii="Arial" w:hAnsi="Arial" w:cs="Arial"/>
          <w:i/>
          <w:color w:val="222222"/>
        </w:rPr>
        <w:t xml:space="preserve"> </w:t>
      </w:r>
      <w:r w:rsidR="008A7CD6">
        <w:rPr>
          <w:rFonts w:ascii="Arial" w:hAnsi="Arial" w:cs="Arial"/>
          <w:i/>
          <w:color w:val="222222"/>
        </w:rPr>
        <w:t xml:space="preserve">We and other (5) </w:t>
      </w:r>
      <w:r w:rsidR="00F1049C">
        <w:rPr>
          <w:rFonts w:ascii="Arial" w:hAnsi="Arial" w:cs="Arial"/>
          <w:i/>
          <w:color w:val="222222"/>
        </w:rPr>
        <w:t xml:space="preserve">demonstrated that the published primer sequences (4) are suitable for the HRM analysis with comparable sensitivity on different HRM platforms. </w:t>
      </w:r>
    </w:p>
    <w:p w14:paraId="426D0294" w14:textId="77777777" w:rsidR="00983BF3" w:rsidRDefault="00F1049C" w:rsidP="00CC14E5">
      <w:pPr>
        <w:jc w:val="both"/>
        <w:rPr>
          <w:rFonts w:ascii="Arial" w:hAnsi="Arial" w:cs="Arial"/>
          <w:i/>
          <w:color w:val="222222"/>
        </w:rPr>
      </w:pPr>
      <w:r>
        <w:rPr>
          <w:rFonts w:ascii="Arial" w:hAnsi="Arial" w:cs="Arial"/>
          <w:i/>
          <w:color w:val="222222"/>
        </w:rPr>
        <w:t>Nevertheless, t</w:t>
      </w:r>
      <w:r w:rsidR="008A7CD6">
        <w:rPr>
          <w:rFonts w:ascii="Arial" w:hAnsi="Arial" w:cs="Arial"/>
          <w:i/>
          <w:color w:val="222222"/>
        </w:rPr>
        <w:t>he presented protocol cover</w:t>
      </w:r>
      <w:r>
        <w:rPr>
          <w:rFonts w:ascii="Arial" w:hAnsi="Arial" w:cs="Arial"/>
          <w:i/>
          <w:color w:val="222222"/>
        </w:rPr>
        <w:t>s</w:t>
      </w:r>
      <w:r w:rsidR="008A7CD6">
        <w:rPr>
          <w:rFonts w:ascii="Arial" w:hAnsi="Arial" w:cs="Arial"/>
          <w:i/>
          <w:color w:val="222222"/>
        </w:rPr>
        <w:t xml:space="preserve"> the most critical steps in the evaluation of the HRM results</w:t>
      </w:r>
      <w:r>
        <w:rPr>
          <w:rFonts w:ascii="Arial" w:hAnsi="Arial" w:cs="Arial"/>
          <w:i/>
          <w:color w:val="222222"/>
        </w:rPr>
        <w:t xml:space="preserve"> that can be transferable to other HRM platforms</w:t>
      </w:r>
      <w:r w:rsidR="008A7CD6">
        <w:rPr>
          <w:rFonts w:ascii="Arial" w:hAnsi="Arial" w:cs="Arial"/>
          <w:i/>
          <w:color w:val="222222"/>
        </w:rPr>
        <w:t xml:space="preserve">. </w:t>
      </w:r>
    </w:p>
    <w:p w14:paraId="6B08AD12" w14:textId="77777777" w:rsidR="007E529B" w:rsidRDefault="00734462" w:rsidP="00734462">
      <w:pPr>
        <w:rPr>
          <w:rFonts w:ascii="Arial" w:hAnsi="Arial" w:cs="Arial"/>
          <w:i/>
          <w:color w:val="222222"/>
        </w:rPr>
      </w:pPr>
      <w:r>
        <w:rPr>
          <w:rFonts w:ascii="Arial" w:hAnsi="Arial" w:cs="Arial"/>
          <w:i/>
          <w:color w:val="222222"/>
        </w:rPr>
        <w:t xml:space="preserve">We have discussed </w:t>
      </w:r>
      <w:r w:rsidR="00982AA7">
        <w:rPr>
          <w:rFonts w:ascii="Arial" w:hAnsi="Arial" w:cs="Arial"/>
          <w:i/>
          <w:color w:val="222222"/>
        </w:rPr>
        <w:t xml:space="preserve">the subject </w:t>
      </w:r>
      <w:r w:rsidR="00983BF3">
        <w:rPr>
          <w:rFonts w:ascii="Arial" w:hAnsi="Arial" w:cs="Arial"/>
          <w:i/>
          <w:color w:val="222222"/>
        </w:rPr>
        <w:t xml:space="preserve">in </w:t>
      </w:r>
      <w:r w:rsidR="008A7CD6">
        <w:rPr>
          <w:rFonts w:ascii="Arial" w:hAnsi="Arial" w:cs="Arial"/>
          <w:i/>
          <w:color w:val="222222"/>
        </w:rPr>
        <w:t>the discussion section</w:t>
      </w:r>
      <w:r>
        <w:rPr>
          <w:rFonts w:ascii="Arial" w:hAnsi="Arial" w:cs="Arial"/>
          <w:i/>
          <w:color w:val="222222"/>
        </w:rPr>
        <w:t>.</w:t>
      </w:r>
    </w:p>
    <w:p w14:paraId="46E48C6A" w14:textId="77777777" w:rsidR="008A7CD6" w:rsidRPr="007E529B" w:rsidRDefault="008A7CD6" w:rsidP="007E529B">
      <w:pPr>
        <w:rPr>
          <w:rFonts w:ascii="Arial" w:hAnsi="Arial" w:cs="Arial"/>
          <w:i/>
          <w:color w:val="222222"/>
        </w:rPr>
      </w:pPr>
      <w:r>
        <w:rPr>
          <w:rFonts w:ascii="Arial" w:hAnsi="Arial" w:cs="Arial"/>
          <w:i/>
          <w:color w:val="222222"/>
        </w:rPr>
        <w:t>Reference</w:t>
      </w:r>
      <w:r w:rsidR="00983BF3">
        <w:rPr>
          <w:rFonts w:ascii="Arial" w:hAnsi="Arial" w:cs="Arial"/>
          <w:i/>
          <w:color w:val="222222"/>
        </w:rPr>
        <w:t>s</w:t>
      </w:r>
      <w:r>
        <w:rPr>
          <w:rFonts w:ascii="Arial" w:hAnsi="Arial" w:cs="Arial"/>
          <w:i/>
          <w:color w:val="222222"/>
        </w:rPr>
        <w:t>:</w:t>
      </w:r>
    </w:p>
    <w:p w14:paraId="48EBA888" w14:textId="77777777" w:rsidR="00335FD9" w:rsidRPr="00335FD9" w:rsidRDefault="00335FD9" w:rsidP="00335FD9">
      <w:pPr>
        <w:rPr>
          <w:rFonts w:ascii="Arial" w:hAnsi="Arial" w:cs="Arial"/>
          <w:i/>
          <w:color w:val="222222"/>
        </w:rPr>
      </w:pPr>
      <w:r w:rsidRPr="00335FD9">
        <w:rPr>
          <w:rFonts w:ascii="Arial" w:hAnsi="Arial" w:cs="Arial"/>
          <w:i/>
          <w:color w:val="222222"/>
        </w:rPr>
        <w:t xml:space="preserve">1. van </w:t>
      </w:r>
      <w:proofErr w:type="spellStart"/>
      <w:r w:rsidRPr="00335FD9">
        <w:rPr>
          <w:rFonts w:ascii="Arial" w:hAnsi="Arial" w:cs="Arial"/>
          <w:i/>
          <w:color w:val="222222"/>
        </w:rPr>
        <w:t>Dongen</w:t>
      </w:r>
      <w:proofErr w:type="spellEnd"/>
      <w:r w:rsidRPr="00335FD9">
        <w:rPr>
          <w:rFonts w:ascii="Arial" w:hAnsi="Arial" w:cs="Arial"/>
          <w:i/>
          <w:color w:val="222222"/>
        </w:rPr>
        <w:t xml:space="preserve">, J., Macintyre, E., </w:t>
      </w:r>
      <w:proofErr w:type="spellStart"/>
      <w:r w:rsidRPr="00335FD9">
        <w:rPr>
          <w:rFonts w:ascii="Arial" w:hAnsi="Arial" w:cs="Arial"/>
          <w:i/>
          <w:color w:val="222222"/>
        </w:rPr>
        <w:t>Gabert</w:t>
      </w:r>
      <w:proofErr w:type="spellEnd"/>
      <w:r w:rsidRPr="00335FD9">
        <w:rPr>
          <w:rFonts w:ascii="Arial" w:hAnsi="Arial" w:cs="Arial"/>
          <w:i/>
          <w:color w:val="222222"/>
        </w:rPr>
        <w:t xml:space="preserve">, J. et al. Standardized RT-PCR analysis of fusion gene transcripts from chromosome aberrations in acute leukemia for detection of minimal residual disease. Leukemia 13, 1901–1928 (1999). </w:t>
      </w:r>
      <w:hyperlink r:id="rId5" w:history="1">
        <w:r w:rsidRPr="00335FD9">
          <w:rPr>
            <w:rStyle w:val="Hyperlink"/>
            <w:rFonts w:ascii="Arial" w:hAnsi="Arial" w:cs="Arial"/>
            <w:i/>
          </w:rPr>
          <w:t>https://doi.org/10.1038/sj.leu.2401592</w:t>
        </w:r>
      </w:hyperlink>
      <w:r w:rsidRPr="00335FD9">
        <w:rPr>
          <w:rFonts w:ascii="Arial" w:hAnsi="Arial" w:cs="Arial"/>
          <w:i/>
          <w:color w:val="222222"/>
        </w:rPr>
        <w:t xml:space="preserve">; </w:t>
      </w:r>
    </w:p>
    <w:p w14:paraId="13AD4413" w14:textId="77777777" w:rsidR="00335FD9" w:rsidRPr="00335FD9" w:rsidRDefault="00335FD9" w:rsidP="00335FD9">
      <w:pPr>
        <w:rPr>
          <w:rFonts w:ascii="Arial" w:hAnsi="Arial" w:cs="Arial"/>
          <w:i/>
        </w:rPr>
      </w:pPr>
      <w:r w:rsidRPr="00335FD9">
        <w:rPr>
          <w:rFonts w:ascii="Arial" w:hAnsi="Arial" w:cs="Arial"/>
          <w:i/>
          <w:color w:val="222222"/>
        </w:rPr>
        <w:t xml:space="preserve">2. </w:t>
      </w:r>
      <w:proofErr w:type="spellStart"/>
      <w:r w:rsidRPr="00335FD9">
        <w:rPr>
          <w:rFonts w:ascii="Arial" w:hAnsi="Arial" w:cs="Arial"/>
          <w:i/>
        </w:rPr>
        <w:t>Gabert</w:t>
      </w:r>
      <w:proofErr w:type="spellEnd"/>
      <w:r w:rsidRPr="00335FD9">
        <w:rPr>
          <w:rFonts w:ascii="Arial" w:hAnsi="Arial" w:cs="Arial"/>
          <w:i/>
        </w:rPr>
        <w:t xml:space="preserve">, J., </w:t>
      </w:r>
      <w:proofErr w:type="spellStart"/>
      <w:r w:rsidRPr="00335FD9">
        <w:rPr>
          <w:rFonts w:ascii="Arial" w:hAnsi="Arial" w:cs="Arial"/>
          <w:i/>
        </w:rPr>
        <w:t>Beillard</w:t>
      </w:r>
      <w:proofErr w:type="spellEnd"/>
      <w:r w:rsidRPr="00335FD9">
        <w:rPr>
          <w:rFonts w:ascii="Arial" w:hAnsi="Arial" w:cs="Arial"/>
          <w:i/>
        </w:rPr>
        <w:t xml:space="preserve">, E., van der Velden, V. </w:t>
      </w:r>
      <w:r w:rsidRPr="00335FD9">
        <w:rPr>
          <w:rFonts w:ascii="Arial" w:hAnsi="Arial" w:cs="Arial"/>
          <w:i/>
          <w:iCs/>
        </w:rPr>
        <w:t>et al.</w:t>
      </w:r>
      <w:r w:rsidRPr="00335FD9">
        <w:rPr>
          <w:rFonts w:ascii="Arial" w:hAnsi="Arial" w:cs="Arial"/>
          <w:i/>
        </w:rPr>
        <w:t xml:space="preserve"> Standardization and quality control studies of ‘real-time’ quantitative reverse transcriptase polymerase chain reaction of fusion gene transcripts for residual disease detection in leukemia – A Europe Against Cancer Program. </w:t>
      </w:r>
      <w:r w:rsidRPr="00335FD9">
        <w:rPr>
          <w:rFonts w:ascii="Arial" w:hAnsi="Arial" w:cs="Arial"/>
          <w:i/>
          <w:iCs/>
        </w:rPr>
        <w:t>Leukemia</w:t>
      </w:r>
      <w:r w:rsidRPr="00335FD9">
        <w:rPr>
          <w:rFonts w:ascii="Arial" w:hAnsi="Arial" w:cs="Arial"/>
          <w:i/>
        </w:rPr>
        <w:t xml:space="preserve"> </w:t>
      </w:r>
      <w:r w:rsidRPr="00335FD9">
        <w:rPr>
          <w:rFonts w:ascii="Arial" w:hAnsi="Arial" w:cs="Arial"/>
          <w:b/>
          <w:bCs/>
          <w:i/>
        </w:rPr>
        <w:t xml:space="preserve">17, </w:t>
      </w:r>
      <w:r w:rsidRPr="00335FD9">
        <w:rPr>
          <w:rFonts w:ascii="Arial" w:hAnsi="Arial" w:cs="Arial"/>
          <w:i/>
        </w:rPr>
        <w:t xml:space="preserve">2318–2357 (2003). </w:t>
      </w:r>
      <w:hyperlink r:id="rId6" w:history="1">
        <w:r w:rsidRPr="00335FD9">
          <w:rPr>
            <w:rStyle w:val="Hyperlink"/>
            <w:rFonts w:ascii="Arial" w:hAnsi="Arial" w:cs="Arial"/>
            <w:i/>
          </w:rPr>
          <w:t>https://doi.org/10.1038/sj.leu.2403135</w:t>
        </w:r>
      </w:hyperlink>
      <w:r w:rsidRPr="00335FD9">
        <w:rPr>
          <w:rFonts w:ascii="Arial" w:hAnsi="Arial" w:cs="Arial"/>
          <w:i/>
        </w:rPr>
        <w:t xml:space="preserve">; </w:t>
      </w:r>
    </w:p>
    <w:p w14:paraId="79193822" w14:textId="77777777" w:rsidR="00335FD9" w:rsidRDefault="00335FD9" w:rsidP="00335FD9">
      <w:pPr>
        <w:rPr>
          <w:rFonts w:ascii="Arial" w:hAnsi="Arial" w:cs="Arial"/>
          <w:i/>
        </w:rPr>
      </w:pPr>
      <w:r w:rsidRPr="00335FD9">
        <w:rPr>
          <w:rFonts w:ascii="Arial" w:hAnsi="Arial" w:cs="Arial"/>
          <w:i/>
        </w:rPr>
        <w:t xml:space="preserve">3. van </w:t>
      </w:r>
      <w:proofErr w:type="spellStart"/>
      <w:r w:rsidRPr="00335FD9">
        <w:rPr>
          <w:rFonts w:ascii="Arial" w:hAnsi="Arial" w:cs="Arial"/>
          <w:i/>
        </w:rPr>
        <w:t>Dongen</w:t>
      </w:r>
      <w:proofErr w:type="spellEnd"/>
      <w:r w:rsidRPr="00335FD9">
        <w:rPr>
          <w:rFonts w:ascii="Arial" w:hAnsi="Arial" w:cs="Arial"/>
          <w:i/>
        </w:rPr>
        <w:t xml:space="preserve">, J., </w:t>
      </w:r>
      <w:proofErr w:type="spellStart"/>
      <w:r w:rsidRPr="00335FD9">
        <w:rPr>
          <w:rFonts w:ascii="Arial" w:hAnsi="Arial" w:cs="Arial"/>
          <w:i/>
        </w:rPr>
        <w:t>Langerak</w:t>
      </w:r>
      <w:proofErr w:type="spellEnd"/>
      <w:r w:rsidRPr="00335FD9">
        <w:rPr>
          <w:rFonts w:ascii="Arial" w:hAnsi="Arial" w:cs="Arial"/>
          <w:i/>
        </w:rPr>
        <w:t xml:space="preserve">, A., </w:t>
      </w:r>
      <w:proofErr w:type="spellStart"/>
      <w:r w:rsidRPr="00335FD9">
        <w:rPr>
          <w:rFonts w:ascii="Arial" w:hAnsi="Arial" w:cs="Arial"/>
          <w:i/>
        </w:rPr>
        <w:t>Brüggemann</w:t>
      </w:r>
      <w:proofErr w:type="spellEnd"/>
      <w:r w:rsidRPr="00335FD9">
        <w:rPr>
          <w:rFonts w:ascii="Arial" w:hAnsi="Arial" w:cs="Arial"/>
          <w:i/>
        </w:rPr>
        <w:t xml:space="preserve">, M. et al. Design and standardization of PCR primers and protocols for detection of clonal immunoglobulin and T-cell receptor gene </w:t>
      </w:r>
      <w:proofErr w:type="spellStart"/>
      <w:r w:rsidRPr="00335FD9">
        <w:rPr>
          <w:rFonts w:ascii="Arial" w:hAnsi="Arial" w:cs="Arial"/>
          <w:i/>
        </w:rPr>
        <w:t>recombinations</w:t>
      </w:r>
      <w:proofErr w:type="spellEnd"/>
      <w:r w:rsidRPr="00335FD9">
        <w:rPr>
          <w:rFonts w:ascii="Arial" w:hAnsi="Arial" w:cs="Arial"/>
          <w:i/>
        </w:rPr>
        <w:t xml:space="preserve"> in suspect </w:t>
      </w:r>
      <w:proofErr w:type="spellStart"/>
      <w:r w:rsidRPr="00335FD9">
        <w:rPr>
          <w:rFonts w:ascii="Arial" w:hAnsi="Arial" w:cs="Arial"/>
          <w:i/>
        </w:rPr>
        <w:t>lymphoproliferations</w:t>
      </w:r>
      <w:proofErr w:type="spellEnd"/>
      <w:r w:rsidRPr="00335FD9">
        <w:rPr>
          <w:rFonts w:ascii="Arial" w:hAnsi="Arial" w:cs="Arial"/>
          <w:i/>
        </w:rPr>
        <w:t xml:space="preserve">: Report of the BIOMED-2 Concerted Action BMH4-CT98-3936. Leukemia 17, 2257–2317 (2003). </w:t>
      </w:r>
      <w:hyperlink r:id="rId7" w:history="1">
        <w:r w:rsidR="00983BF3" w:rsidRPr="00DC3A26">
          <w:rPr>
            <w:rStyle w:val="Hyperlink"/>
            <w:rFonts w:ascii="Arial" w:hAnsi="Arial" w:cs="Arial"/>
            <w:i/>
          </w:rPr>
          <w:t>https://doi.org/10.1038/sj.leu.2403202</w:t>
        </w:r>
      </w:hyperlink>
      <w:r w:rsidRPr="00335FD9">
        <w:rPr>
          <w:rFonts w:ascii="Arial" w:hAnsi="Arial" w:cs="Arial"/>
          <w:i/>
        </w:rPr>
        <w:t>)</w:t>
      </w:r>
    </w:p>
    <w:p w14:paraId="578B6923" w14:textId="77777777" w:rsidR="00983BF3" w:rsidRPr="00983BF3" w:rsidRDefault="00983BF3" w:rsidP="00983BF3">
      <w:pPr>
        <w:rPr>
          <w:rFonts w:ascii="Arial" w:hAnsi="Arial" w:cs="Arial"/>
          <w:i/>
          <w:noProof/>
        </w:rPr>
      </w:pPr>
      <w:r w:rsidRPr="00983BF3">
        <w:rPr>
          <w:rFonts w:ascii="Arial" w:hAnsi="Arial" w:cs="Arial"/>
          <w:i/>
          <w:noProof/>
        </w:rPr>
        <w:t xml:space="preserve">4. Klampfl, T. </w:t>
      </w:r>
      <w:r w:rsidRPr="00983BF3">
        <w:rPr>
          <w:rFonts w:ascii="Arial" w:hAnsi="Arial" w:cs="Arial"/>
          <w:i/>
          <w:iCs/>
          <w:noProof/>
        </w:rPr>
        <w:t>et al.</w:t>
      </w:r>
      <w:r w:rsidRPr="00983BF3">
        <w:rPr>
          <w:rFonts w:ascii="Arial" w:hAnsi="Arial" w:cs="Arial"/>
          <w:i/>
          <w:noProof/>
        </w:rPr>
        <w:t xml:space="preserve"> Somatic mutations of calreticulin in myeloproliferative neoplasms. </w:t>
      </w:r>
      <w:r w:rsidRPr="00983BF3">
        <w:rPr>
          <w:rFonts w:ascii="Arial" w:hAnsi="Arial" w:cs="Arial"/>
          <w:i/>
          <w:iCs/>
          <w:noProof/>
        </w:rPr>
        <w:t>N. Engl. J. Med.</w:t>
      </w:r>
      <w:r w:rsidRPr="00983BF3">
        <w:rPr>
          <w:rFonts w:ascii="Arial" w:hAnsi="Arial" w:cs="Arial"/>
          <w:i/>
          <w:noProof/>
        </w:rPr>
        <w:t xml:space="preserve"> </w:t>
      </w:r>
      <w:r w:rsidRPr="00983BF3">
        <w:rPr>
          <w:rFonts w:ascii="Arial" w:hAnsi="Arial" w:cs="Arial"/>
          <w:b/>
          <w:bCs/>
          <w:i/>
          <w:noProof/>
        </w:rPr>
        <w:t>369</w:t>
      </w:r>
      <w:r w:rsidRPr="00983BF3">
        <w:rPr>
          <w:rFonts w:ascii="Arial" w:hAnsi="Arial" w:cs="Arial"/>
          <w:i/>
          <w:noProof/>
        </w:rPr>
        <w:t>, 2379–2390 (2013).</w:t>
      </w:r>
    </w:p>
    <w:p w14:paraId="1A4D3610" w14:textId="77777777" w:rsidR="00983BF3" w:rsidRPr="00335FD9" w:rsidRDefault="00983BF3" w:rsidP="00335FD9">
      <w:pPr>
        <w:rPr>
          <w:rFonts w:ascii="Arial" w:hAnsi="Arial" w:cs="Arial"/>
          <w:i/>
          <w:color w:val="222222"/>
        </w:rPr>
      </w:pPr>
      <w:r>
        <w:rPr>
          <w:rFonts w:ascii="Arial" w:hAnsi="Arial" w:cs="Arial"/>
          <w:i/>
          <w:color w:val="222222"/>
        </w:rPr>
        <w:lastRenderedPageBreak/>
        <w:t xml:space="preserve">5. </w:t>
      </w:r>
      <w:r w:rsidRPr="00983BF3">
        <w:rPr>
          <w:rFonts w:ascii="Arial" w:hAnsi="Arial" w:cs="Arial"/>
          <w:i/>
          <w:color w:val="222222"/>
        </w:rPr>
        <w:t>Bilbao-</w:t>
      </w:r>
      <w:proofErr w:type="spellStart"/>
      <w:r w:rsidRPr="00983BF3">
        <w:rPr>
          <w:rFonts w:ascii="Arial" w:hAnsi="Arial" w:cs="Arial"/>
          <w:i/>
          <w:color w:val="222222"/>
        </w:rPr>
        <w:t>Sieyro</w:t>
      </w:r>
      <w:proofErr w:type="spellEnd"/>
      <w:r w:rsidRPr="00983BF3">
        <w:rPr>
          <w:rFonts w:ascii="Arial" w:hAnsi="Arial" w:cs="Arial"/>
          <w:i/>
          <w:color w:val="222222"/>
        </w:rPr>
        <w:t xml:space="preserve">, C. et al. High Resolution Melting Analysis: A Rapid and Accurate Method to Detect CALR Mutations. </w:t>
      </w:r>
      <w:proofErr w:type="spellStart"/>
      <w:r w:rsidRPr="00983BF3">
        <w:rPr>
          <w:rFonts w:ascii="Arial" w:hAnsi="Arial" w:cs="Arial"/>
          <w:i/>
          <w:color w:val="222222"/>
        </w:rPr>
        <w:t>PLoS</w:t>
      </w:r>
      <w:proofErr w:type="spellEnd"/>
      <w:r w:rsidRPr="00983BF3">
        <w:rPr>
          <w:rFonts w:ascii="Arial" w:hAnsi="Arial" w:cs="Arial"/>
          <w:i/>
          <w:color w:val="222222"/>
        </w:rPr>
        <w:t xml:space="preserve"> One 9, e103511 (2014).</w:t>
      </w:r>
    </w:p>
    <w:p w14:paraId="1F1FCF31" w14:textId="77777777" w:rsidR="00335FD9" w:rsidRDefault="009912F1">
      <w:pPr>
        <w:rPr>
          <w:rFonts w:ascii="Arial" w:hAnsi="Arial" w:cs="Arial"/>
          <w:i/>
          <w:color w:val="222222"/>
          <w:shd w:val="clear" w:color="auto" w:fill="FFFFFF"/>
        </w:rPr>
      </w:pPr>
      <w:r>
        <w:rPr>
          <w:rFonts w:ascii="Arial" w:hAnsi="Arial" w:cs="Arial"/>
          <w:color w:val="222222"/>
        </w:rPr>
        <w:br/>
      </w:r>
      <w:r>
        <w:rPr>
          <w:rFonts w:ascii="Arial" w:hAnsi="Arial" w:cs="Arial"/>
          <w:color w:val="222222"/>
          <w:shd w:val="clear" w:color="auto" w:fill="FFFFFF"/>
        </w:rPr>
        <w:t>2) No information is provided regarding the level of detection of somatic mutation. This is a very important information to ascertain (or at least discuss) as it impacts greatly on the follow up confirmation of cases where the melt curve is shifted from the normal controls and also determines the lower limit of detection of the technique for this particular amplicon. It would have been useful to see a dilution series of the two positive controls to see the effect of mutational load on the ability of the technique to detect the mutations a variety of levels. In many cases HRM will detect mutations at &lt;5% and so there needs to be some discussion of how to handle these cases as Sanger sequencing will generally only confirm mutations present at c.20%. For cases with low mutational burden a technique such as NGS may be needed to confirm the mutations.</w:t>
      </w:r>
      <w:r>
        <w:rPr>
          <w:rFonts w:ascii="Arial" w:hAnsi="Arial" w:cs="Arial"/>
          <w:color w:val="222222"/>
        </w:rPr>
        <w:br/>
      </w:r>
      <w:r w:rsidR="00444382" w:rsidRPr="0034081D">
        <w:rPr>
          <w:rFonts w:ascii="Arial" w:hAnsi="Arial" w:cs="Arial"/>
          <w:i/>
          <w:color w:val="222222"/>
        </w:rPr>
        <w:t xml:space="preserve">- </w:t>
      </w:r>
      <w:r w:rsidR="0034081D" w:rsidRPr="0034081D">
        <w:rPr>
          <w:rFonts w:ascii="Arial" w:hAnsi="Arial" w:cs="Arial"/>
          <w:i/>
          <w:color w:val="222222"/>
        </w:rPr>
        <w:t xml:space="preserve">we have included our data for </w:t>
      </w:r>
      <w:r w:rsidR="0034081D" w:rsidRPr="0034081D">
        <w:rPr>
          <w:rFonts w:ascii="Arial" w:hAnsi="Arial" w:cs="Arial"/>
          <w:i/>
          <w:color w:val="222222"/>
          <w:shd w:val="clear" w:color="auto" w:fill="FFFFFF"/>
        </w:rPr>
        <w:t>the level of detection of somatic mutation</w:t>
      </w:r>
      <w:r w:rsidR="00335FD9">
        <w:rPr>
          <w:rFonts w:ascii="Arial" w:hAnsi="Arial" w:cs="Arial"/>
          <w:i/>
          <w:color w:val="222222"/>
          <w:shd w:val="clear" w:color="auto" w:fill="FFFFFF"/>
        </w:rPr>
        <w:t xml:space="preserve"> in the </w:t>
      </w:r>
      <w:r w:rsidR="00335FD9" w:rsidRPr="00335FD9">
        <w:rPr>
          <w:rFonts w:ascii="Arial" w:hAnsi="Arial" w:cs="Arial"/>
          <w:i/>
          <w:color w:val="222222"/>
          <w:shd w:val="clear" w:color="auto" w:fill="FFFFFF"/>
        </w:rPr>
        <w:t>CALR</w:t>
      </w:r>
      <w:r w:rsidR="00335FD9">
        <w:rPr>
          <w:rFonts w:ascii="Arial" w:hAnsi="Arial" w:cs="Arial"/>
          <w:color w:val="222222"/>
          <w:shd w:val="clear" w:color="auto" w:fill="FFFFFF"/>
        </w:rPr>
        <w:t xml:space="preserve"> </w:t>
      </w:r>
      <w:r w:rsidR="00335FD9" w:rsidRPr="00335FD9">
        <w:rPr>
          <w:rFonts w:ascii="Arial" w:hAnsi="Arial" w:cs="Arial"/>
          <w:i/>
          <w:color w:val="222222"/>
          <w:shd w:val="clear" w:color="auto" w:fill="FFFFFF"/>
        </w:rPr>
        <w:t>gene</w:t>
      </w:r>
      <w:r w:rsidR="00335FD9">
        <w:rPr>
          <w:rFonts w:ascii="Arial" w:hAnsi="Arial" w:cs="Arial"/>
          <w:i/>
          <w:color w:val="222222"/>
          <w:shd w:val="clear" w:color="auto" w:fill="FFFFFF"/>
        </w:rPr>
        <w:t xml:space="preserve"> (Figure 9)</w:t>
      </w:r>
      <w:r w:rsidR="00335FD9" w:rsidRPr="00335FD9">
        <w:rPr>
          <w:rFonts w:ascii="Arial" w:hAnsi="Arial" w:cs="Arial"/>
          <w:i/>
          <w:color w:val="222222"/>
          <w:shd w:val="clear" w:color="auto" w:fill="FFFFFF"/>
        </w:rPr>
        <w:t xml:space="preserve"> </w:t>
      </w:r>
      <w:r w:rsidR="00335FD9">
        <w:rPr>
          <w:rFonts w:ascii="Arial" w:hAnsi="Arial" w:cs="Arial"/>
          <w:i/>
          <w:color w:val="222222"/>
          <w:shd w:val="clear" w:color="auto" w:fill="FFFFFF"/>
        </w:rPr>
        <w:t>and discuss it in the Representative results and Discussion</w:t>
      </w:r>
      <w:r w:rsidR="00335FD9" w:rsidRPr="00335FD9">
        <w:rPr>
          <w:rFonts w:ascii="Arial" w:hAnsi="Arial" w:cs="Arial"/>
          <w:i/>
          <w:color w:val="222222"/>
          <w:shd w:val="clear" w:color="auto" w:fill="FFFFFF"/>
        </w:rPr>
        <w:t xml:space="preserve"> </w:t>
      </w:r>
      <w:r w:rsidR="00335FD9">
        <w:rPr>
          <w:rFonts w:ascii="Arial" w:hAnsi="Arial" w:cs="Arial"/>
          <w:i/>
          <w:color w:val="222222"/>
          <w:shd w:val="clear" w:color="auto" w:fill="FFFFFF"/>
        </w:rPr>
        <w:t xml:space="preserve">sections. </w:t>
      </w:r>
    </w:p>
    <w:p w14:paraId="225C5A4D" w14:textId="77777777" w:rsidR="0034081D" w:rsidRDefault="009912F1">
      <w:pPr>
        <w:rPr>
          <w:rFonts w:ascii="Arial" w:hAnsi="Arial" w:cs="Arial"/>
          <w:i/>
          <w:color w:val="222222"/>
        </w:rPr>
      </w:pPr>
      <w:r w:rsidRPr="0034081D">
        <w:rPr>
          <w:rFonts w:ascii="Arial" w:hAnsi="Arial" w:cs="Arial"/>
          <w:i/>
          <w:color w:val="222222"/>
        </w:rPr>
        <w:br/>
      </w:r>
      <w:r>
        <w:rPr>
          <w:rFonts w:ascii="Arial" w:hAnsi="Arial" w:cs="Arial"/>
          <w:color w:val="222222"/>
          <w:shd w:val="clear" w:color="auto" w:fill="FFFFFF"/>
        </w:rPr>
        <w:t>3) More data from patient samples could be included to add data concerning the sensitivity and specificity of the technique</w:t>
      </w:r>
      <w:r w:rsidR="00FF4DED">
        <w:rPr>
          <w:rFonts w:ascii="Arial" w:hAnsi="Arial" w:cs="Arial"/>
          <w:color w:val="222222"/>
          <w:shd w:val="clear" w:color="auto" w:fill="FFFFFF"/>
        </w:rPr>
        <w:t xml:space="preserve"> – </w:t>
      </w:r>
      <w:r w:rsidR="00FF4DED" w:rsidRPr="00FF4DED">
        <w:rPr>
          <w:rFonts w:ascii="Arial" w:hAnsi="Arial" w:cs="Arial"/>
          <w:i/>
          <w:color w:val="222222"/>
          <w:shd w:val="clear" w:color="auto" w:fill="FFFFFF"/>
        </w:rPr>
        <w:t>we have included data on CALR mutation detecti</w:t>
      </w:r>
      <w:r w:rsidR="0034081D">
        <w:rPr>
          <w:rFonts w:ascii="Arial" w:hAnsi="Arial" w:cs="Arial"/>
          <w:i/>
          <w:color w:val="222222"/>
          <w:shd w:val="clear" w:color="auto" w:fill="FFFFFF"/>
        </w:rPr>
        <w:t>o</w:t>
      </w:r>
      <w:r w:rsidR="00FF4DED" w:rsidRPr="00FF4DED">
        <w:rPr>
          <w:rFonts w:ascii="Arial" w:hAnsi="Arial" w:cs="Arial"/>
          <w:i/>
          <w:color w:val="222222"/>
          <w:shd w:val="clear" w:color="auto" w:fill="FFFFFF"/>
        </w:rPr>
        <w:t>n from our center in the discussion</w:t>
      </w:r>
      <w:r w:rsidRPr="00FF4DED">
        <w:rPr>
          <w:rFonts w:ascii="Arial" w:hAnsi="Arial" w:cs="Arial"/>
          <w:i/>
          <w:color w:val="222222"/>
        </w:rPr>
        <w:br/>
      </w:r>
      <w:r>
        <w:rPr>
          <w:rFonts w:ascii="Arial" w:hAnsi="Arial" w:cs="Arial"/>
          <w:color w:val="222222"/>
        </w:rPr>
        <w:br/>
      </w:r>
      <w:r>
        <w:rPr>
          <w:rFonts w:ascii="Arial" w:hAnsi="Arial" w:cs="Arial"/>
          <w:color w:val="222222"/>
          <w:shd w:val="clear" w:color="auto" w:fill="FFFFFF"/>
        </w:rPr>
        <w:t>4) The section on gel electrophoresis should be removed or significantly shortened. This is a standard laboratory technique and does not need to be discussed. It does not require expensive equipment to carry out.</w:t>
      </w:r>
      <w:r>
        <w:rPr>
          <w:rFonts w:ascii="Arial" w:hAnsi="Arial" w:cs="Arial"/>
          <w:color w:val="222222"/>
        </w:rPr>
        <w:br/>
      </w:r>
      <w:r w:rsidR="0034081D" w:rsidRPr="0034081D">
        <w:rPr>
          <w:rFonts w:ascii="Arial" w:hAnsi="Arial" w:cs="Arial"/>
          <w:i/>
          <w:color w:val="222222"/>
        </w:rPr>
        <w:t xml:space="preserve">-we </w:t>
      </w:r>
      <w:r w:rsidR="0034081D">
        <w:rPr>
          <w:rFonts w:ascii="Arial" w:hAnsi="Arial" w:cs="Arial"/>
          <w:i/>
          <w:color w:val="222222"/>
        </w:rPr>
        <w:t xml:space="preserve">significantly shortened </w:t>
      </w:r>
      <w:r w:rsidR="0034081D" w:rsidRPr="0034081D">
        <w:rPr>
          <w:rFonts w:ascii="Arial" w:hAnsi="Arial" w:cs="Arial"/>
          <w:i/>
          <w:color w:val="222222"/>
        </w:rPr>
        <w:t>the agarose gel electrop</w:t>
      </w:r>
      <w:r w:rsidR="0034081D">
        <w:rPr>
          <w:rFonts w:ascii="Arial" w:hAnsi="Arial" w:cs="Arial"/>
          <w:i/>
          <w:color w:val="222222"/>
        </w:rPr>
        <w:t>h</w:t>
      </w:r>
      <w:r w:rsidR="0034081D" w:rsidRPr="0034081D">
        <w:rPr>
          <w:rFonts w:ascii="Arial" w:hAnsi="Arial" w:cs="Arial"/>
          <w:i/>
          <w:color w:val="222222"/>
        </w:rPr>
        <w:t>oresis</w:t>
      </w:r>
      <w:r w:rsidR="0034081D">
        <w:rPr>
          <w:rFonts w:ascii="Arial" w:hAnsi="Arial" w:cs="Arial"/>
          <w:i/>
          <w:color w:val="222222"/>
        </w:rPr>
        <w:t xml:space="preserve"> section. The agarose gel electrophoresis is the step that we always perform in routine practice and therefore cannot be removed completely.</w:t>
      </w:r>
    </w:p>
    <w:p w14:paraId="4C010B19" w14:textId="77777777" w:rsidR="005B51C2" w:rsidRDefault="009912F1">
      <w:r w:rsidRPr="0034081D">
        <w:rPr>
          <w:rFonts w:ascii="Arial" w:hAnsi="Arial" w:cs="Arial"/>
          <w:i/>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Suggest that the title is changed to 'Genetic Variant Detection in the CALR gene using High Resolution Melting Analysis'</w:t>
      </w:r>
      <w:r w:rsidR="00243453">
        <w:rPr>
          <w:rFonts w:ascii="Arial" w:hAnsi="Arial" w:cs="Arial"/>
          <w:color w:val="222222"/>
          <w:shd w:val="clear" w:color="auto" w:fill="FFFFFF"/>
        </w:rPr>
        <w:t xml:space="preserve"> – </w:t>
      </w:r>
      <w:r w:rsidR="00243453" w:rsidRPr="00243453">
        <w:rPr>
          <w:rFonts w:ascii="Arial" w:hAnsi="Arial" w:cs="Arial"/>
          <w:i/>
          <w:color w:val="222222"/>
          <w:shd w:val="clear" w:color="auto" w:fill="FFFFFF"/>
        </w:rPr>
        <w:t>the title has been changed</w:t>
      </w:r>
    </w:p>
    <w:sectPr w:rsidR="005B5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40C"/>
    <w:multiLevelType w:val="hybridMultilevel"/>
    <w:tmpl w:val="73C26796"/>
    <w:lvl w:ilvl="0" w:tplc="ED5208EA">
      <w:start w:val="2"/>
      <w:numFmt w:val="bullet"/>
      <w:lvlText w:val="-"/>
      <w:lvlJc w:val="left"/>
      <w:pPr>
        <w:ind w:left="360" w:hanging="360"/>
      </w:pPr>
      <w:rPr>
        <w:rFonts w:ascii="Arial" w:eastAsiaTheme="minorHAnsi" w:hAnsi="Arial" w:cs="Arial" w:hint="default"/>
        <w:i/>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4B462A"/>
    <w:multiLevelType w:val="hybridMultilevel"/>
    <w:tmpl w:val="C20E080E"/>
    <w:lvl w:ilvl="0" w:tplc="111A6E60">
      <w:start w:val="2"/>
      <w:numFmt w:val="bullet"/>
      <w:lvlText w:val="-"/>
      <w:lvlJc w:val="left"/>
      <w:pPr>
        <w:ind w:left="360" w:hanging="360"/>
      </w:pPr>
      <w:rPr>
        <w:rFonts w:ascii="Arial" w:eastAsiaTheme="minorHAnsi" w:hAnsi="Arial" w:cs="Arial" w:hint="default"/>
        <w:i/>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6B4512AD"/>
    <w:multiLevelType w:val="hybridMultilevel"/>
    <w:tmpl w:val="8006CA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F1"/>
    <w:rsid w:val="0004555E"/>
    <w:rsid w:val="00067543"/>
    <w:rsid w:val="000756A3"/>
    <w:rsid w:val="00076103"/>
    <w:rsid w:val="000A126E"/>
    <w:rsid w:val="000B57B3"/>
    <w:rsid w:val="000D3FFA"/>
    <w:rsid w:val="000D717C"/>
    <w:rsid w:val="000D7A27"/>
    <w:rsid w:val="00105821"/>
    <w:rsid w:val="00122945"/>
    <w:rsid w:val="001323E9"/>
    <w:rsid w:val="00132D94"/>
    <w:rsid w:val="00156062"/>
    <w:rsid w:val="00170393"/>
    <w:rsid w:val="00175136"/>
    <w:rsid w:val="001A498D"/>
    <w:rsid w:val="001B236D"/>
    <w:rsid w:val="001B7EE3"/>
    <w:rsid w:val="001C72F5"/>
    <w:rsid w:val="001D3449"/>
    <w:rsid w:val="001F07A8"/>
    <w:rsid w:val="001F35AC"/>
    <w:rsid w:val="00215ACC"/>
    <w:rsid w:val="00216F41"/>
    <w:rsid w:val="00217165"/>
    <w:rsid w:val="00222AAA"/>
    <w:rsid w:val="00224401"/>
    <w:rsid w:val="00234AF1"/>
    <w:rsid w:val="00234D1E"/>
    <w:rsid w:val="00243453"/>
    <w:rsid w:val="00257120"/>
    <w:rsid w:val="00262047"/>
    <w:rsid w:val="00290542"/>
    <w:rsid w:val="00295B6A"/>
    <w:rsid w:val="00297A44"/>
    <w:rsid w:val="002B6839"/>
    <w:rsid w:val="002C07AB"/>
    <w:rsid w:val="002C48D1"/>
    <w:rsid w:val="002D09AC"/>
    <w:rsid w:val="002D0B87"/>
    <w:rsid w:val="002D5A47"/>
    <w:rsid w:val="002E08E7"/>
    <w:rsid w:val="002E32FF"/>
    <w:rsid w:val="002F125E"/>
    <w:rsid w:val="002F5A87"/>
    <w:rsid w:val="00311201"/>
    <w:rsid w:val="0031282A"/>
    <w:rsid w:val="00335684"/>
    <w:rsid w:val="00335FD9"/>
    <w:rsid w:val="0034081D"/>
    <w:rsid w:val="0034763C"/>
    <w:rsid w:val="0036295F"/>
    <w:rsid w:val="00380EC7"/>
    <w:rsid w:val="00390F00"/>
    <w:rsid w:val="00392ADA"/>
    <w:rsid w:val="003A7E65"/>
    <w:rsid w:val="003B233B"/>
    <w:rsid w:val="003B24E4"/>
    <w:rsid w:val="003B5FD4"/>
    <w:rsid w:val="0040706F"/>
    <w:rsid w:val="004144D0"/>
    <w:rsid w:val="00433A9B"/>
    <w:rsid w:val="004370B3"/>
    <w:rsid w:val="00444382"/>
    <w:rsid w:val="00444ED0"/>
    <w:rsid w:val="00467FF7"/>
    <w:rsid w:val="004711E0"/>
    <w:rsid w:val="0047265D"/>
    <w:rsid w:val="00473278"/>
    <w:rsid w:val="00475D8D"/>
    <w:rsid w:val="0049043F"/>
    <w:rsid w:val="004A1F93"/>
    <w:rsid w:val="004B6CC7"/>
    <w:rsid w:val="004F234A"/>
    <w:rsid w:val="004F75F9"/>
    <w:rsid w:val="004F7EE7"/>
    <w:rsid w:val="00546193"/>
    <w:rsid w:val="00561935"/>
    <w:rsid w:val="005657B1"/>
    <w:rsid w:val="00573B35"/>
    <w:rsid w:val="00591008"/>
    <w:rsid w:val="00591DE5"/>
    <w:rsid w:val="00596F0E"/>
    <w:rsid w:val="005A3FB2"/>
    <w:rsid w:val="005A626D"/>
    <w:rsid w:val="005B20D6"/>
    <w:rsid w:val="005B51C2"/>
    <w:rsid w:val="005D2FD5"/>
    <w:rsid w:val="005E30EF"/>
    <w:rsid w:val="005F0534"/>
    <w:rsid w:val="00623DE8"/>
    <w:rsid w:val="00661D95"/>
    <w:rsid w:val="00665322"/>
    <w:rsid w:val="00683F0D"/>
    <w:rsid w:val="00690A40"/>
    <w:rsid w:val="00693C40"/>
    <w:rsid w:val="006A171C"/>
    <w:rsid w:val="006A2322"/>
    <w:rsid w:val="006A3039"/>
    <w:rsid w:val="006A49B1"/>
    <w:rsid w:val="006C5357"/>
    <w:rsid w:val="006D4CF1"/>
    <w:rsid w:val="006D7C09"/>
    <w:rsid w:val="006F4535"/>
    <w:rsid w:val="00734353"/>
    <w:rsid w:val="00734462"/>
    <w:rsid w:val="007352F2"/>
    <w:rsid w:val="007368A0"/>
    <w:rsid w:val="007535FE"/>
    <w:rsid w:val="0075361A"/>
    <w:rsid w:val="00761CDE"/>
    <w:rsid w:val="0076696F"/>
    <w:rsid w:val="00767756"/>
    <w:rsid w:val="00770565"/>
    <w:rsid w:val="00773CF7"/>
    <w:rsid w:val="007A1E2E"/>
    <w:rsid w:val="007B23B5"/>
    <w:rsid w:val="007D49D3"/>
    <w:rsid w:val="007E529B"/>
    <w:rsid w:val="008124D6"/>
    <w:rsid w:val="0083285E"/>
    <w:rsid w:val="00843A6A"/>
    <w:rsid w:val="00873A73"/>
    <w:rsid w:val="00895932"/>
    <w:rsid w:val="008A382A"/>
    <w:rsid w:val="008A7CD6"/>
    <w:rsid w:val="008B18A1"/>
    <w:rsid w:val="008C624A"/>
    <w:rsid w:val="008C747F"/>
    <w:rsid w:val="008D319A"/>
    <w:rsid w:val="008E34CF"/>
    <w:rsid w:val="008E7E74"/>
    <w:rsid w:val="008F0159"/>
    <w:rsid w:val="008F1139"/>
    <w:rsid w:val="00900E6D"/>
    <w:rsid w:val="00906F04"/>
    <w:rsid w:val="009264DE"/>
    <w:rsid w:val="00954BE5"/>
    <w:rsid w:val="0096656C"/>
    <w:rsid w:val="00967527"/>
    <w:rsid w:val="0097066F"/>
    <w:rsid w:val="009710CE"/>
    <w:rsid w:val="00982AA7"/>
    <w:rsid w:val="00983BF3"/>
    <w:rsid w:val="009912F1"/>
    <w:rsid w:val="009950F5"/>
    <w:rsid w:val="009C0D69"/>
    <w:rsid w:val="009C4F70"/>
    <w:rsid w:val="00A07CFE"/>
    <w:rsid w:val="00A11650"/>
    <w:rsid w:val="00A3730D"/>
    <w:rsid w:val="00A46594"/>
    <w:rsid w:val="00A467B9"/>
    <w:rsid w:val="00A50928"/>
    <w:rsid w:val="00A55A1E"/>
    <w:rsid w:val="00A72789"/>
    <w:rsid w:val="00AC1983"/>
    <w:rsid w:val="00AC53AC"/>
    <w:rsid w:val="00AC5D87"/>
    <w:rsid w:val="00AD6270"/>
    <w:rsid w:val="00AE23AE"/>
    <w:rsid w:val="00AF2B6B"/>
    <w:rsid w:val="00B04D95"/>
    <w:rsid w:val="00B114B4"/>
    <w:rsid w:val="00B134E5"/>
    <w:rsid w:val="00B14E53"/>
    <w:rsid w:val="00B3609D"/>
    <w:rsid w:val="00B4690B"/>
    <w:rsid w:val="00B54CF2"/>
    <w:rsid w:val="00B55AB4"/>
    <w:rsid w:val="00B76CDA"/>
    <w:rsid w:val="00B834F1"/>
    <w:rsid w:val="00BA38E9"/>
    <w:rsid w:val="00BA3E66"/>
    <w:rsid w:val="00BB2B78"/>
    <w:rsid w:val="00BB3579"/>
    <w:rsid w:val="00BC3DBE"/>
    <w:rsid w:val="00BC5CF0"/>
    <w:rsid w:val="00BE54CA"/>
    <w:rsid w:val="00BE7FD9"/>
    <w:rsid w:val="00C041D9"/>
    <w:rsid w:val="00C118D0"/>
    <w:rsid w:val="00C121FE"/>
    <w:rsid w:val="00C20D74"/>
    <w:rsid w:val="00C270E5"/>
    <w:rsid w:val="00C31BB2"/>
    <w:rsid w:val="00C32439"/>
    <w:rsid w:val="00C34A83"/>
    <w:rsid w:val="00C35262"/>
    <w:rsid w:val="00C457ED"/>
    <w:rsid w:val="00C54821"/>
    <w:rsid w:val="00C60C7D"/>
    <w:rsid w:val="00C60CD1"/>
    <w:rsid w:val="00C82B1E"/>
    <w:rsid w:val="00CA2045"/>
    <w:rsid w:val="00CA2D6C"/>
    <w:rsid w:val="00CB1E05"/>
    <w:rsid w:val="00CC14E5"/>
    <w:rsid w:val="00CC2E54"/>
    <w:rsid w:val="00CC702F"/>
    <w:rsid w:val="00CE3DB2"/>
    <w:rsid w:val="00CE4687"/>
    <w:rsid w:val="00CF4B5D"/>
    <w:rsid w:val="00D030F6"/>
    <w:rsid w:val="00D27618"/>
    <w:rsid w:val="00D27AF0"/>
    <w:rsid w:val="00D34B41"/>
    <w:rsid w:val="00D4211D"/>
    <w:rsid w:val="00D51723"/>
    <w:rsid w:val="00D63621"/>
    <w:rsid w:val="00D70042"/>
    <w:rsid w:val="00D775E7"/>
    <w:rsid w:val="00D943B5"/>
    <w:rsid w:val="00DA086C"/>
    <w:rsid w:val="00DB5F19"/>
    <w:rsid w:val="00DB6A4E"/>
    <w:rsid w:val="00DC2D78"/>
    <w:rsid w:val="00DD3D82"/>
    <w:rsid w:val="00DE0DEB"/>
    <w:rsid w:val="00DE7B35"/>
    <w:rsid w:val="00DF7267"/>
    <w:rsid w:val="00E001F2"/>
    <w:rsid w:val="00E04DBA"/>
    <w:rsid w:val="00E04F4E"/>
    <w:rsid w:val="00E2010E"/>
    <w:rsid w:val="00E20526"/>
    <w:rsid w:val="00E3559D"/>
    <w:rsid w:val="00E36F04"/>
    <w:rsid w:val="00E43543"/>
    <w:rsid w:val="00E5353D"/>
    <w:rsid w:val="00E72205"/>
    <w:rsid w:val="00E746D0"/>
    <w:rsid w:val="00E753BD"/>
    <w:rsid w:val="00E84B28"/>
    <w:rsid w:val="00E92DDB"/>
    <w:rsid w:val="00EA788C"/>
    <w:rsid w:val="00EC0596"/>
    <w:rsid w:val="00ED3175"/>
    <w:rsid w:val="00ED5656"/>
    <w:rsid w:val="00EF42E1"/>
    <w:rsid w:val="00F02D77"/>
    <w:rsid w:val="00F1049C"/>
    <w:rsid w:val="00F1566F"/>
    <w:rsid w:val="00F21082"/>
    <w:rsid w:val="00F57B54"/>
    <w:rsid w:val="00F738D0"/>
    <w:rsid w:val="00FA34C7"/>
    <w:rsid w:val="00FA36A9"/>
    <w:rsid w:val="00FE4158"/>
    <w:rsid w:val="00FF4DED"/>
    <w:rsid w:val="00FF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16D3"/>
  <w15:chartTrackingRefBased/>
  <w15:docId w15:val="{72393C33-3D2A-45ED-9F93-F3357066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12F1"/>
    <w:rPr>
      <w:b/>
      <w:bCs/>
    </w:rPr>
  </w:style>
  <w:style w:type="paragraph" w:styleId="ListParagraph">
    <w:name w:val="List Paragraph"/>
    <w:basedOn w:val="Normal"/>
    <w:uiPriority w:val="34"/>
    <w:qFormat/>
    <w:rsid w:val="00B3609D"/>
    <w:pPr>
      <w:ind w:left="720"/>
      <w:contextualSpacing/>
    </w:pPr>
  </w:style>
  <w:style w:type="character" w:styleId="Hyperlink">
    <w:name w:val="Hyperlink"/>
    <w:basedOn w:val="DefaultParagraphFont"/>
    <w:uiPriority w:val="99"/>
    <w:unhideWhenUsed/>
    <w:rsid w:val="00A55A1E"/>
    <w:rPr>
      <w:color w:val="0563C1" w:themeColor="hyperlink"/>
      <w:u w:val="single"/>
    </w:rPr>
  </w:style>
  <w:style w:type="paragraph" w:styleId="BalloonText">
    <w:name w:val="Balloon Text"/>
    <w:basedOn w:val="Normal"/>
    <w:link w:val="BalloonTextChar"/>
    <w:uiPriority w:val="99"/>
    <w:semiHidden/>
    <w:unhideWhenUsed/>
    <w:rsid w:val="00661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sj.leu.2403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j.leu.2403135" TargetMode="External"/><Relationship Id="rId5" Type="http://schemas.openxmlformats.org/officeDocument/2006/relationships/hyperlink" Target="https://doi.org/10.1038/sj.leu.24015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1562</Words>
  <Characters>8907</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Belčič</dc:creator>
  <cp:keywords/>
  <dc:description/>
  <cp:lastModifiedBy>Tanja Belčič</cp:lastModifiedBy>
  <cp:revision>4</cp:revision>
  <dcterms:created xsi:type="dcterms:W3CDTF">2020-07-20T17:18:00Z</dcterms:created>
  <dcterms:modified xsi:type="dcterms:W3CDTF">2020-07-20T20:23:00Z</dcterms:modified>
</cp:coreProperties>
</file>